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DD029" w14:textId="77777777" w:rsidR="006D67F1" w:rsidRPr="002C224A" w:rsidRDefault="006D67F1" w:rsidP="008074B1">
      <w:pPr>
        <w:pStyle w:val="Nzev"/>
        <w:rPr>
          <w:rFonts w:ascii="Calibri" w:hAnsi="Calibri"/>
        </w:rPr>
      </w:pPr>
    </w:p>
    <w:p w14:paraId="1FE7800D" w14:textId="77777777" w:rsidR="00790B17" w:rsidRPr="00B91A82" w:rsidRDefault="00790B17" w:rsidP="00790B17">
      <w:pPr>
        <w:jc w:val="center"/>
        <w:rPr>
          <w:rFonts w:cs="Calibri"/>
          <w:b/>
          <w:color w:val="4F81BD"/>
          <w:spacing w:val="5"/>
          <w:kern w:val="28"/>
          <w:sz w:val="52"/>
          <w:szCs w:val="52"/>
        </w:rPr>
      </w:pPr>
      <w:bookmarkStart w:id="0" w:name="_Toc417682873"/>
    </w:p>
    <w:p w14:paraId="0F282D52" w14:textId="77777777" w:rsidR="00790B17" w:rsidRPr="00B91A82" w:rsidRDefault="00790B17" w:rsidP="00790B17">
      <w:pPr>
        <w:spacing w:after="120"/>
        <w:jc w:val="center"/>
        <w:rPr>
          <w:rFonts w:cs="Calibri"/>
          <w:b/>
          <w:color w:val="4F81BD"/>
          <w:spacing w:val="5"/>
          <w:kern w:val="28"/>
          <w:sz w:val="48"/>
          <w:szCs w:val="48"/>
        </w:rPr>
      </w:pPr>
    </w:p>
    <w:p w14:paraId="135F57EB" w14:textId="77777777" w:rsidR="00790B17" w:rsidRPr="00B91A82" w:rsidRDefault="00790B17" w:rsidP="00790B17">
      <w:pPr>
        <w:spacing w:after="120"/>
        <w:jc w:val="center"/>
        <w:rPr>
          <w:rFonts w:cs="Calibri"/>
          <w:b/>
          <w:color w:val="4F81BD"/>
          <w:spacing w:val="5"/>
          <w:kern w:val="28"/>
          <w:sz w:val="48"/>
          <w:szCs w:val="48"/>
        </w:rPr>
      </w:pPr>
    </w:p>
    <w:p w14:paraId="4BBC7D88" w14:textId="77777777" w:rsidR="00790B17" w:rsidRPr="00B91A82" w:rsidRDefault="00790B17" w:rsidP="00790B17">
      <w:pPr>
        <w:spacing w:after="120"/>
        <w:jc w:val="center"/>
        <w:rPr>
          <w:rFonts w:cs="Calibri"/>
          <w:b/>
          <w:color w:val="4F81BD"/>
          <w:spacing w:val="5"/>
          <w:kern w:val="28"/>
          <w:sz w:val="48"/>
          <w:szCs w:val="48"/>
        </w:rPr>
      </w:pPr>
      <w:r w:rsidRPr="00B91A82">
        <w:rPr>
          <w:b/>
          <w:color w:val="4F81BD"/>
          <w:spacing w:val="5"/>
          <w:kern w:val="28"/>
          <w:sz w:val="48"/>
        </w:rPr>
        <w:t>Ex Ante Assessment of Financial Instruments</w:t>
      </w:r>
    </w:p>
    <w:p w14:paraId="192895DD" w14:textId="77777777" w:rsidR="00790B17" w:rsidRPr="00B91A82" w:rsidRDefault="00790B17" w:rsidP="00790B17">
      <w:pPr>
        <w:spacing w:after="120"/>
        <w:jc w:val="center"/>
        <w:rPr>
          <w:color w:val="4F81BD"/>
          <w:sz w:val="48"/>
          <w:szCs w:val="48"/>
        </w:rPr>
      </w:pPr>
      <w:r w:rsidRPr="00B91A82">
        <w:rPr>
          <w:b/>
          <w:color w:val="4F81BD"/>
          <w:spacing w:val="5"/>
          <w:kern w:val="28"/>
          <w:sz w:val="48"/>
        </w:rPr>
        <w:t>of the Operational Programme Enterprise and Innovation for Competitiveness 2014-2020</w:t>
      </w:r>
    </w:p>
    <w:p w14:paraId="4509EF64" w14:textId="77777777" w:rsidR="00790B17" w:rsidRPr="00B91A82" w:rsidRDefault="00790B17" w:rsidP="00790B17"/>
    <w:p w14:paraId="29319A55" w14:textId="77777777" w:rsidR="00790B17" w:rsidRPr="00B91A82" w:rsidRDefault="00790B17" w:rsidP="00790B17"/>
    <w:p w14:paraId="6EFA81E6" w14:textId="3B238290" w:rsidR="00790B17" w:rsidRPr="00B91A82" w:rsidRDefault="00790B17" w:rsidP="00790B17">
      <w:pPr>
        <w:jc w:val="center"/>
        <w:rPr>
          <w:b/>
          <w:sz w:val="40"/>
          <w:szCs w:val="40"/>
        </w:rPr>
      </w:pPr>
      <w:r w:rsidRPr="00B91A82">
        <w:rPr>
          <w:b/>
          <w:sz w:val="40"/>
        </w:rPr>
        <w:t>Final Report</w:t>
      </w:r>
    </w:p>
    <w:p w14:paraId="1B563849" w14:textId="77777777" w:rsidR="00790B17" w:rsidRPr="00B91A82" w:rsidRDefault="00790B17" w:rsidP="00790B17">
      <w:pPr>
        <w:rPr>
          <w:b/>
        </w:rPr>
      </w:pPr>
    </w:p>
    <w:p w14:paraId="55BA195E" w14:textId="77777777" w:rsidR="00790B17" w:rsidRPr="00B91A82" w:rsidRDefault="00790B17" w:rsidP="00790B17">
      <w:pPr>
        <w:rPr>
          <w:b/>
        </w:rPr>
      </w:pPr>
    </w:p>
    <w:p w14:paraId="5F6C049C" w14:textId="77777777" w:rsidR="00790B17" w:rsidRPr="00B91A82" w:rsidRDefault="00790B17" w:rsidP="00790B17">
      <w:pPr>
        <w:rPr>
          <w:b/>
        </w:rPr>
      </w:pPr>
    </w:p>
    <w:p w14:paraId="4DF9D03A" w14:textId="77777777" w:rsidR="00790B17" w:rsidRPr="00B91A82" w:rsidRDefault="00790B17" w:rsidP="00790B17">
      <w:pPr>
        <w:rPr>
          <w:b/>
        </w:rPr>
      </w:pPr>
    </w:p>
    <w:p w14:paraId="03B62F12" w14:textId="77777777" w:rsidR="00790B17" w:rsidRPr="00B91A82" w:rsidRDefault="00790B17" w:rsidP="00790B17">
      <w:pPr>
        <w:rPr>
          <w:b/>
        </w:rPr>
      </w:pPr>
    </w:p>
    <w:p w14:paraId="7F386B86" w14:textId="77777777" w:rsidR="00790B17" w:rsidRPr="00B91A82" w:rsidRDefault="00790B17" w:rsidP="00790B17">
      <w:pPr>
        <w:rPr>
          <w:b/>
        </w:rPr>
      </w:pPr>
    </w:p>
    <w:p w14:paraId="3281F768" w14:textId="77777777" w:rsidR="00790B17" w:rsidRPr="00B91A82" w:rsidRDefault="00790B17" w:rsidP="00790B17">
      <w:pPr>
        <w:overflowPunct/>
        <w:autoSpaceDE/>
        <w:autoSpaceDN/>
        <w:adjustRightInd/>
        <w:jc w:val="left"/>
        <w:textAlignment w:val="auto"/>
        <w:rPr>
          <w:rFonts w:cs="Calibri"/>
          <w:b/>
          <w:sz w:val="32"/>
          <w:szCs w:val="32"/>
        </w:rPr>
      </w:pPr>
    </w:p>
    <w:p w14:paraId="3EFD10D8" w14:textId="77777777" w:rsidR="00790B17" w:rsidRPr="00B91A82" w:rsidRDefault="00790B17" w:rsidP="00790B17">
      <w:pPr>
        <w:overflowPunct/>
        <w:autoSpaceDE/>
        <w:autoSpaceDN/>
        <w:adjustRightInd/>
        <w:jc w:val="left"/>
        <w:textAlignment w:val="auto"/>
        <w:rPr>
          <w:rFonts w:cs="Calibri"/>
          <w:b/>
          <w:sz w:val="32"/>
          <w:szCs w:val="32"/>
        </w:rPr>
      </w:pPr>
    </w:p>
    <w:p w14:paraId="0D7C13ED" w14:textId="77777777" w:rsidR="00790B17" w:rsidRPr="00B91A82" w:rsidRDefault="00790B17" w:rsidP="00790B17">
      <w:pPr>
        <w:overflowPunct/>
        <w:autoSpaceDE/>
        <w:autoSpaceDN/>
        <w:adjustRightInd/>
        <w:jc w:val="left"/>
        <w:textAlignment w:val="auto"/>
        <w:rPr>
          <w:rFonts w:cs="Calibri"/>
          <w:b/>
          <w:sz w:val="32"/>
          <w:szCs w:val="32"/>
        </w:rPr>
      </w:pPr>
    </w:p>
    <w:p w14:paraId="6C151C53" w14:textId="77777777" w:rsidR="00790B17" w:rsidRPr="00B91A82" w:rsidRDefault="00790B17" w:rsidP="00790B17">
      <w:pPr>
        <w:overflowPunct/>
        <w:autoSpaceDE/>
        <w:autoSpaceDN/>
        <w:adjustRightInd/>
        <w:jc w:val="left"/>
        <w:textAlignment w:val="auto"/>
        <w:rPr>
          <w:rFonts w:cs="Calibri"/>
          <w:b/>
          <w:sz w:val="32"/>
          <w:szCs w:val="32"/>
        </w:rPr>
      </w:pPr>
    </w:p>
    <w:p w14:paraId="00EC82F5" w14:textId="77777777" w:rsidR="00790B17" w:rsidRPr="00B91A82" w:rsidRDefault="00790B17" w:rsidP="00790B17">
      <w:pPr>
        <w:overflowPunct/>
        <w:autoSpaceDE/>
        <w:autoSpaceDN/>
        <w:adjustRightInd/>
        <w:jc w:val="left"/>
        <w:textAlignment w:val="auto"/>
        <w:rPr>
          <w:rFonts w:cs="Calibri"/>
          <w:b/>
          <w:sz w:val="32"/>
          <w:szCs w:val="32"/>
        </w:rPr>
      </w:pPr>
    </w:p>
    <w:p w14:paraId="0C68AC93" w14:textId="77777777" w:rsidR="00790B17" w:rsidRPr="00B91A82" w:rsidRDefault="00790B17" w:rsidP="00790B17">
      <w:pPr>
        <w:overflowPunct/>
        <w:autoSpaceDE/>
        <w:autoSpaceDN/>
        <w:adjustRightInd/>
        <w:jc w:val="left"/>
        <w:textAlignment w:val="auto"/>
        <w:rPr>
          <w:rFonts w:cs="Calibri"/>
          <w:b/>
          <w:sz w:val="32"/>
          <w:szCs w:val="32"/>
        </w:rPr>
      </w:pPr>
    </w:p>
    <w:p w14:paraId="26B14664" w14:textId="77777777" w:rsidR="00790B17" w:rsidRPr="00B91A82" w:rsidRDefault="00790B17" w:rsidP="00790B17">
      <w:pPr>
        <w:overflowPunct/>
        <w:autoSpaceDE/>
        <w:autoSpaceDN/>
        <w:adjustRightInd/>
        <w:jc w:val="left"/>
        <w:textAlignment w:val="auto"/>
        <w:rPr>
          <w:rFonts w:cs="Calibri"/>
          <w:b/>
          <w:sz w:val="32"/>
          <w:szCs w:val="32"/>
        </w:rPr>
      </w:pPr>
    </w:p>
    <w:p w14:paraId="79E63823" w14:textId="77777777" w:rsidR="00790B17" w:rsidRPr="00B91A82" w:rsidRDefault="00790B17" w:rsidP="00790B17">
      <w:pPr>
        <w:overflowPunct/>
        <w:autoSpaceDE/>
        <w:autoSpaceDN/>
        <w:adjustRightInd/>
        <w:jc w:val="left"/>
        <w:textAlignment w:val="auto"/>
        <w:rPr>
          <w:rFonts w:cs="Calibri"/>
          <w:b/>
          <w:sz w:val="32"/>
          <w:szCs w:val="32"/>
        </w:rPr>
      </w:pPr>
    </w:p>
    <w:p w14:paraId="10049C0E" w14:textId="77777777" w:rsidR="00790B17" w:rsidRPr="00B91A82" w:rsidRDefault="00790B17" w:rsidP="00790B17">
      <w:pPr>
        <w:overflowPunct/>
        <w:autoSpaceDE/>
        <w:autoSpaceDN/>
        <w:adjustRightInd/>
        <w:jc w:val="left"/>
        <w:textAlignment w:val="auto"/>
        <w:rPr>
          <w:rFonts w:cs="Calibri"/>
          <w:b/>
          <w:sz w:val="32"/>
          <w:szCs w:val="32"/>
        </w:rPr>
      </w:pPr>
    </w:p>
    <w:p w14:paraId="1BE36E39" w14:textId="77777777" w:rsidR="00790B17" w:rsidRPr="00B91A82" w:rsidRDefault="00790B17" w:rsidP="00790B17">
      <w:pPr>
        <w:overflowPunct/>
        <w:autoSpaceDE/>
        <w:autoSpaceDN/>
        <w:adjustRightInd/>
        <w:jc w:val="left"/>
        <w:textAlignment w:val="auto"/>
        <w:rPr>
          <w:rFonts w:cs="Calibri"/>
          <w:b/>
          <w:sz w:val="32"/>
          <w:szCs w:val="32"/>
        </w:rPr>
      </w:pPr>
    </w:p>
    <w:p w14:paraId="7F084FD4" w14:textId="6B6BC0CD" w:rsidR="00790B17" w:rsidRPr="00B91A82" w:rsidRDefault="00AB4210" w:rsidP="00790B17">
      <w:pPr>
        <w:overflowPunct/>
        <w:autoSpaceDE/>
        <w:autoSpaceDN/>
        <w:adjustRightInd/>
        <w:jc w:val="left"/>
        <w:textAlignment w:val="auto"/>
        <w:rPr>
          <w:rFonts w:cs="Calibri"/>
          <w:b/>
          <w:sz w:val="32"/>
          <w:szCs w:val="32"/>
        </w:rPr>
      </w:pPr>
      <w:r>
        <w:rPr>
          <w:b/>
          <w:sz w:val="32"/>
        </w:rPr>
        <w:t>June</w:t>
      </w:r>
      <w:r w:rsidR="00790B17" w:rsidRPr="00B91A82">
        <w:rPr>
          <w:b/>
          <w:sz w:val="32"/>
        </w:rPr>
        <w:t xml:space="preserve"> 2015</w:t>
      </w:r>
    </w:p>
    <w:p w14:paraId="7CEB7105" w14:textId="77777777" w:rsidR="00790B17" w:rsidRPr="00B91A82" w:rsidRDefault="00790B17" w:rsidP="00790B17">
      <w:pPr>
        <w:overflowPunct/>
        <w:autoSpaceDE/>
        <w:autoSpaceDN/>
        <w:adjustRightInd/>
        <w:jc w:val="left"/>
        <w:textAlignment w:val="auto"/>
        <w:rPr>
          <w:rFonts w:cs="Calibri"/>
          <w:b/>
          <w:sz w:val="32"/>
          <w:szCs w:val="32"/>
        </w:rPr>
      </w:pPr>
    </w:p>
    <w:p w14:paraId="6F5BDA81" w14:textId="77777777" w:rsidR="00790B17" w:rsidRPr="00B91A82" w:rsidRDefault="00790B17" w:rsidP="00790B17">
      <w:pPr>
        <w:overflowPunct/>
        <w:autoSpaceDE/>
        <w:autoSpaceDN/>
        <w:adjustRightInd/>
        <w:jc w:val="left"/>
        <w:textAlignment w:val="auto"/>
        <w:rPr>
          <w:rFonts w:cs="Calibri"/>
          <w:b/>
          <w:sz w:val="32"/>
          <w:szCs w:val="32"/>
        </w:rPr>
      </w:pPr>
    </w:p>
    <w:p w14:paraId="31DA7349" w14:textId="77777777" w:rsidR="00790B17" w:rsidRPr="00B91A82" w:rsidRDefault="00790B17" w:rsidP="00790B17">
      <w:pPr>
        <w:overflowPunct/>
        <w:autoSpaceDE/>
        <w:autoSpaceDN/>
        <w:adjustRightInd/>
        <w:jc w:val="left"/>
        <w:textAlignment w:val="auto"/>
        <w:rPr>
          <w:rFonts w:cs="Calibri"/>
          <w:b/>
          <w:sz w:val="32"/>
          <w:szCs w:val="32"/>
        </w:rPr>
      </w:pPr>
    </w:p>
    <w:p w14:paraId="24858B11" w14:textId="77777777" w:rsidR="00790B17" w:rsidRPr="00B91A82" w:rsidRDefault="00790B17" w:rsidP="00790B17">
      <w:pPr>
        <w:overflowPunct/>
        <w:autoSpaceDE/>
        <w:autoSpaceDN/>
        <w:adjustRightInd/>
        <w:jc w:val="left"/>
        <w:textAlignment w:val="auto"/>
        <w:rPr>
          <w:rFonts w:cs="Calibri"/>
          <w:b/>
          <w:sz w:val="32"/>
          <w:szCs w:val="32"/>
        </w:rPr>
      </w:pPr>
    </w:p>
    <w:p w14:paraId="3234D2F5" w14:textId="77777777" w:rsidR="006D67F1" w:rsidRPr="00A50943" w:rsidRDefault="00790B17" w:rsidP="006D3AD5">
      <w:pPr>
        <w:pStyle w:val="Nadpis1"/>
        <w:numPr>
          <w:ilvl w:val="0"/>
          <w:numId w:val="0"/>
        </w:numPr>
      </w:pPr>
      <w:bookmarkStart w:id="1" w:name="_Toc420870656"/>
      <w:bookmarkStart w:id="2" w:name="_Toc422312082"/>
      <w:r w:rsidRPr="00B91A82">
        <w:rPr>
          <w:rFonts w:ascii="Calibri" w:hAnsi="Calibri"/>
        </w:rPr>
        <w:t>Table of Contents</w:t>
      </w:r>
      <w:bookmarkEnd w:id="1"/>
      <w:bookmarkEnd w:id="0"/>
      <w:bookmarkEnd w:id="2"/>
    </w:p>
    <w:p w14:paraId="082474FB" w14:textId="77777777" w:rsidR="000A08A2" w:rsidRDefault="009333CC">
      <w:pPr>
        <w:pStyle w:val="Obsah1"/>
        <w:rPr>
          <w:rFonts w:asciiTheme="minorHAnsi" w:eastAsiaTheme="minorEastAsia" w:hAnsiTheme="minorHAnsi" w:cstheme="minorBidi"/>
          <w:noProof/>
          <w:szCs w:val="22"/>
        </w:rPr>
      </w:pPr>
      <w:r w:rsidRPr="002C224A">
        <w:fldChar w:fldCharType="begin"/>
      </w:r>
      <w:r w:rsidR="006D67F1" w:rsidRPr="002C224A">
        <w:instrText xml:space="preserve"> TOC \o "1-3" \h \z \u </w:instrText>
      </w:r>
      <w:r w:rsidRPr="002C224A">
        <w:fldChar w:fldCharType="separate"/>
      </w:r>
      <w:hyperlink w:anchor="_Toc422312082" w:history="1">
        <w:r w:rsidR="000A08A2" w:rsidRPr="001864F7">
          <w:rPr>
            <w:rStyle w:val="Hypertextovodkaz"/>
            <w:noProof/>
          </w:rPr>
          <w:t>Table of Contents</w:t>
        </w:r>
        <w:r w:rsidR="000A08A2">
          <w:rPr>
            <w:noProof/>
            <w:webHidden/>
          </w:rPr>
          <w:tab/>
        </w:r>
        <w:r w:rsidR="000A08A2">
          <w:rPr>
            <w:noProof/>
            <w:webHidden/>
          </w:rPr>
          <w:fldChar w:fldCharType="begin"/>
        </w:r>
        <w:r w:rsidR="000A08A2">
          <w:rPr>
            <w:noProof/>
            <w:webHidden/>
          </w:rPr>
          <w:instrText xml:space="preserve"> PAGEREF _Toc422312082 \h </w:instrText>
        </w:r>
        <w:r w:rsidR="000A08A2">
          <w:rPr>
            <w:noProof/>
            <w:webHidden/>
          </w:rPr>
        </w:r>
        <w:r w:rsidR="000A08A2">
          <w:rPr>
            <w:noProof/>
            <w:webHidden/>
          </w:rPr>
          <w:fldChar w:fldCharType="separate"/>
        </w:r>
        <w:r w:rsidR="000A08A2">
          <w:rPr>
            <w:noProof/>
            <w:webHidden/>
          </w:rPr>
          <w:t>2</w:t>
        </w:r>
        <w:r w:rsidR="000A08A2">
          <w:rPr>
            <w:noProof/>
            <w:webHidden/>
          </w:rPr>
          <w:fldChar w:fldCharType="end"/>
        </w:r>
      </w:hyperlink>
    </w:p>
    <w:p w14:paraId="79A8842B" w14:textId="77777777" w:rsidR="000A08A2" w:rsidRDefault="0012136C">
      <w:pPr>
        <w:pStyle w:val="Obsah1"/>
        <w:rPr>
          <w:rFonts w:asciiTheme="minorHAnsi" w:eastAsiaTheme="minorEastAsia" w:hAnsiTheme="minorHAnsi" w:cstheme="minorBidi"/>
          <w:noProof/>
          <w:szCs w:val="22"/>
        </w:rPr>
      </w:pPr>
      <w:hyperlink w:anchor="_Toc422312083" w:history="1">
        <w:r w:rsidR="000A08A2" w:rsidRPr="001864F7">
          <w:rPr>
            <w:rStyle w:val="Hypertextovodkaz"/>
            <w:noProof/>
          </w:rPr>
          <w:t>1</w:t>
        </w:r>
        <w:r w:rsidR="000A08A2">
          <w:rPr>
            <w:rFonts w:asciiTheme="minorHAnsi" w:eastAsiaTheme="minorEastAsia" w:hAnsiTheme="minorHAnsi" w:cstheme="minorBidi"/>
            <w:noProof/>
            <w:szCs w:val="22"/>
          </w:rPr>
          <w:tab/>
        </w:r>
        <w:r w:rsidR="000A08A2" w:rsidRPr="001864F7">
          <w:rPr>
            <w:rStyle w:val="Hypertextovodkaz"/>
            <w:noProof/>
          </w:rPr>
          <w:t>Definitions of key terms</w:t>
        </w:r>
        <w:r w:rsidR="000A08A2">
          <w:rPr>
            <w:noProof/>
            <w:webHidden/>
          </w:rPr>
          <w:tab/>
        </w:r>
        <w:r w:rsidR="000A08A2">
          <w:rPr>
            <w:noProof/>
            <w:webHidden/>
          </w:rPr>
          <w:fldChar w:fldCharType="begin"/>
        </w:r>
        <w:r w:rsidR="000A08A2">
          <w:rPr>
            <w:noProof/>
            <w:webHidden/>
          </w:rPr>
          <w:instrText xml:space="preserve"> PAGEREF _Toc422312083 \h </w:instrText>
        </w:r>
        <w:r w:rsidR="000A08A2">
          <w:rPr>
            <w:noProof/>
            <w:webHidden/>
          </w:rPr>
        </w:r>
        <w:r w:rsidR="000A08A2">
          <w:rPr>
            <w:noProof/>
            <w:webHidden/>
          </w:rPr>
          <w:fldChar w:fldCharType="separate"/>
        </w:r>
        <w:r w:rsidR="000A08A2">
          <w:rPr>
            <w:noProof/>
            <w:webHidden/>
          </w:rPr>
          <w:t>4</w:t>
        </w:r>
        <w:r w:rsidR="000A08A2">
          <w:rPr>
            <w:noProof/>
            <w:webHidden/>
          </w:rPr>
          <w:fldChar w:fldCharType="end"/>
        </w:r>
      </w:hyperlink>
    </w:p>
    <w:p w14:paraId="50E34E4C" w14:textId="77777777" w:rsidR="000A08A2" w:rsidRDefault="0012136C">
      <w:pPr>
        <w:pStyle w:val="Obsah1"/>
        <w:rPr>
          <w:rFonts w:asciiTheme="minorHAnsi" w:eastAsiaTheme="minorEastAsia" w:hAnsiTheme="minorHAnsi" w:cstheme="minorBidi"/>
          <w:noProof/>
          <w:szCs w:val="22"/>
        </w:rPr>
      </w:pPr>
      <w:hyperlink w:anchor="_Toc422312084" w:history="1">
        <w:r w:rsidR="000A08A2" w:rsidRPr="001864F7">
          <w:rPr>
            <w:rStyle w:val="Hypertextovodkaz"/>
            <w:noProof/>
          </w:rPr>
          <w:t>2</w:t>
        </w:r>
        <w:r w:rsidR="000A08A2">
          <w:rPr>
            <w:rFonts w:asciiTheme="minorHAnsi" w:eastAsiaTheme="minorEastAsia" w:hAnsiTheme="minorHAnsi" w:cstheme="minorBidi"/>
            <w:noProof/>
            <w:szCs w:val="22"/>
          </w:rPr>
          <w:tab/>
        </w:r>
        <w:r w:rsidR="000A08A2" w:rsidRPr="001864F7">
          <w:rPr>
            <w:rStyle w:val="Hypertextovodkaz"/>
            <w:noProof/>
          </w:rPr>
          <w:t>Executive Summary</w:t>
        </w:r>
        <w:r w:rsidR="000A08A2">
          <w:rPr>
            <w:noProof/>
            <w:webHidden/>
          </w:rPr>
          <w:tab/>
        </w:r>
        <w:r w:rsidR="000A08A2">
          <w:rPr>
            <w:noProof/>
            <w:webHidden/>
          </w:rPr>
          <w:fldChar w:fldCharType="begin"/>
        </w:r>
        <w:r w:rsidR="000A08A2">
          <w:rPr>
            <w:noProof/>
            <w:webHidden/>
          </w:rPr>
          <w:instrText xml:space="preserve"> PAGEREF _Toc422312084 \h </w:instrText>
        </w:r>
        <w:r w:rsidR="000A08A2">
          <w:rPr>
            <w:noProof/>
            <w:webHidden/>
          </w:rPr>
        </w:r>
        <w:r w:rsidR="000A08A2">
          <w:rPr>
            <w:noProof/>
            <w:webHidden/>
          </w:rPr>
          <w:fldChar w:fldCharType="separate"/>
        </w:r>
        <w:r w:rsidR="000A08A2">
          <w:rPr>
            <w:noProof/>
            <w:webHidden/>
          </w:rPr>
          <w:t>6</w:t>
        </w:r>
        <w:r w:rsidR="000A08A2">
          <w:rPr>
            <w:noProof/>
            <w:webHidden/>
          </w:rPr>
          <w:fldChar w:fldCharType="end"/>
        </w:r>
      </w:hyperlink>
    </w:p>
    <w:p w14:paraId="3B3F8A02" w14:textId="77777777" w:rsidR="000A08A2" w:rsidRDefault="0012136C">
      <w:pPr>
        <w:pStyle w:val="Obsah1"/>
        <w:rPr>
          <w:rFonts w:asciiTheme="minorHAnsi" w:eastAsiaTheme="minorEastAsia" w:hAnsiTheme="minorHAnsi" w:cstheme="minorBidi"/>
          <w:noProof/>
          <w:szCs w:val="22"/>
        </w:rPr>
      </w:pPr>
      <w:hyperlink w:anchor="_Toc422312085" w:history="1">
        <w:r w:rsidR="000A08A2" w:rsidRPr="001864F7">
          <w:rPr>
            <w:rStyle w:val="Hypertextovodkaz"/>
            <w:noProof/>
          </w:rPr>
          <w:t>3</w:t>
        </w:r>
        <w:r w:rsidR="000A08A2">
          <w:rPr>
            <w:rFonts w:asciiTheme="minorHAnsi" w:eastAsiaTheme="minorEastAsia" w:hAnsiTheme="minorHAnsi" w:cstheme="minorBidi"/>
            <w:noProof/>
            <w:szCs w:val="22"/>
          </w:rPr>
          <w:tab/>
        </w:r>
        <w:r w:rsidR="000A08A2" w:rsidRPr="001864F7">
          <w:rPr>
            <w:rStyle w:val="Hypertextovodkaz"/>
            <w:noProof/>
          </w:rPr>
          <w:t>Introduction</w:t>
        </w:r>
        <w:r w:rsidR="000A08A2">
          <w:rPr>
            <w:noProof/>
            <w:webHidden/>
          </w:rPr>
          <w:tab/>
        </w:r>
        <w:r w:rsidR="000A08A2">
          <w:rPr>
            <w:noProof/>
            <w:webHidden/>
          </w:rPr>
          <w:fldChar w:fldCharType="begin"/>
        </w:r>
        <w:r w:rsidR="000A08A2">
          <w:rPr>
            <w:noProof/>
            <w:webHidden/>
          </w:rPr>
          <w:instrText xml:space="preserve"> PAGEREF _Toc422312085 \h </w:instrText>
        </w:r>
        <w:r w:rsidR="000A08A2">
          <w:rPr>
            <w:noProof/>
            <w:webHidden/>
          </w:rPr>
        </w:r>
        <w:r w:rsidR="000A08A2">
          <w:rPr>
            <w:noProof/>
            <w:webHidden/>
          </w:rPr>
          <w:fldChar w:fldCharType="separate"/>
        </w:r>
        <w:r w:rsidR="000A08A2">
          <w:rPr>
            <w:noProof/>
            <w:webHidden/>
          </w:rPr>
          <w:t>14</w:t>
        </w:r>
        <w:r w:rsidR="000A08A2">
          <w:rPr>
            <w:noProof/>
            <w:webHidden/>
          </w:rPr>
          <w:fldChar w:fldCharType="end"/>
        </w:r>
      </w:hyperlink>
    </w:p>
    <w:p w14:paraId="0F9E44BF" w14:textId="77777777" w:rsidR="000A08A2" w:rsidRDefault="0012136C">
      <w:pPr>
        <w:pStyle w:val="Obsah1"/>
        <w:rPr>
          <w:rFonts w:asciiTheme="minorHAnsi" w:eastAsiaTheme="minorEastAsia" w:hAnsiTheme="minorHAnsi" w:cstheme="minorBidi"/>
          <w:noProof/>
          <w:szCs w:val="22"/>
        </w:rPr>
      </w:pPr>
      <w:hyperlink w:anchor="_Toc422312086" w:history="1">
        <w:r w:rsidR="000A08A2" w:rsidRPr="001864F7">
          <w:rPr>
            <w:rStyle w:val="Hypertextovodkaz"/>
            <w:noProof/>
          </w:rPr>
          <w:t>4</w:t>
        </w:r>
        <w:r w:rsidR="000A08A2">
          <w:rPr>
            <w:rFonts w:asciiTheme="minorHAnsi" w:eastAsiaTheme="minorEastAsia" w:hAnsiTheme="minorHAnsi" w:cstheme="minorBidi"/>
            <w:noProof/>
            <w:szCs w:val="22"/>
          </w:rPr>
          <w:tab/>
        </w:r>
        <w:r w:rsidR="000A08A2" w:rsidRPr="001864F7">
          <w:rPr>
            <w:rStyle w:val="Hypertextovodkaz"/>
            <w:noProof/>
          </w:rPr>
          <w:t>Background of the analysis</w:t>
        </w:r>
        <w:r w:rsidR="000A08A2">
          <w:rPr>
            <w:noProof/>
            <w:webHidden/>
          </w:rPr>
          <w:tab/>
        </w:r>
        <w:r w:rsidR="000A08A2">
          <w:rPr>
            <w:noProof/>
            <w:webHidden/>
          </w:rPr>
          <w:fldChar w:fldCharType="begin"/>
        </w:r>
        <w:r w:rsidR="000A08A2">
          <w:rPr>
            <w:noProof/>
            <w:webHidden/>
          </w:rPr>
          <w:instrText xml:space="preserve"> PAGEREF _Toc422312086 \h </w:instrText>
        </w:r>
        <w:r w:rsidR="000A08A2">
          <w:rPr>
            <w:noProof/>
            <w:webHidden/>
          </w:rPr>
        </w:r>
        <w:r w:rsidR="000A08A2">
          <w:rPr>
            <w:noProof/>
            <w:webHidden/>
          </w:rPr>
          <w:fldChar w:fldCharType="separate"/>
        </w:r>
        <w:r w:rsidR="000A08A2">
          <w:rPr>
            <w:noProof/>
            <w:webHidden/>
          </w:rPr>
          <w:t>15</w:t>
        </w:r>
        <w:r w:rsidR="000A08A2">
          <w:rPr>
            <w:noProof/>
            <w:webHidden/>
          </w:rPr>
          <w:fldChar w:fldCharType="end"/>
        </w:r>
      </w:hyperlink>
    </w:p>
    <w:p w14:paraId="45C01AF1"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087" w:history="1">
        <w:r w:rsidR="000A08A2" w:rsidRPr="001864F7">
          <w:rPr>
            <w:rStyle w:val="Hypertextovodkaz"/>
            <w:noProof/>
          </w:rPr>
          <w:t>4.1</w:t>
        </w:r>
        <w:r w:rsidR="000A08A2">
          <w:rPr>
            <w:rFonts w:asciiTheme="minorHAnsi" w:eastAsiaTheme="minorEastAsia" w:hAnsiTheme="minorHAnsi" w:cstheme="minorBidi"/>
            <w:noProof/>
            <w:szCs w:val="22"/>
          </w:rPr>
          <w:tab/>
        </w:r>
        <w:r w:rsidR="000A08A2" w:rsidRPr="001864F7">
          <w:rPr>
            <w:rStyle w:val="Hypertextovodkaz"/>
            <w:noProof/>
          </w:rPr>
          <w:t>The basic working principles of financial instruments</w:t>
        </w:r>
        <w:r w:rsidR="000A08A2">
          <w:rPr>
            <w:noProof/>
            <w:webHidden/>
          </w:rPr>
          <w:tab/>
        </w:r>
        <w:r w:rsidR="000A08A2">
          <w:rPr>
            <w:noProof/>
            <w:webHidden/>
          </w:rPr>
          <w:fldChar w:fldCharType="begin"/>
        </w:r>
        <w:r w:rsidR="000A08A2">
          <w:rPr>
            <w:noProof/>
            <w:webHidden/>
          </w:rPr>
          <w:instrText xml:space="preserve"> PAGEREF _Toc422312087 \h </w:instrText>
        </w:r>
        <w:r w:rsidR="000A08A2">
          <w:rPr>
            <w:noProof/>
            <w:webHidden/>
          </w:rPr>
        </w:r>
        <w:r w:rsidR="000A08A2">
          <w:rPr>
            <w:noProof/>
            <w:webHidden/>
          </w:rPr>
          <w:fldChar w:fldCharType="separate"/>
        </w:r>
        <w:r w:rsidR="000A08A2">
          <w:rPr>
            <w:noProof/>
            <w:webHidden/>
          </w:rPr>
          <w:t>16</w:t>
        </w:r>
        <w:r w:rsidR="000A08A2">
          <w:rPr>
            <w:noProof/>
            <w:webHidden/>
          </w:rPr>
          <w:fldChar w:fldCharType="end"/>
        </w:r>
      </w:hyperlink>
    </w:p>
    <w:p w14:paraId="75D67B4B"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88" w:history="1">
        <w:r w:rsidR="000A08A2" w:rsidRPr="001864F7">
          <w:rPr>
            <w:rStyle w:val="Hypertextovodkaz"/>
            <w:noProof/>
          </w:rPr>
          <w:t>4.1.1</w:t>
        </w:r>
        <w:r w:rsidR="000A08A2">
          <w:rPr>
            <w:rFonts w:asciiTheme="minorHAnsi" w:eastAsiaTheme="minorEastAsia" w:hAnsiTheme="minorHAnsi" w:cstheme="minorBidi"/>
            <w:noProof/>
            <w:szCs w:val="22"/>
          </w:rPr>
          <w:tab/>
        </w:r>
        <w:r w:rsidR="000A08A2" w:rsidRPr="001864F7">
          <w:rPr>
            <w:rStyle w:val="Hypertextovodkaz"/>
            <w:noProof/>
          </w:rPr>
          <w:t>Usability of financial instruments</w:t>
        </w:r>
        <w:r w:rsidR="000A08A2">
          <w:rPr>
            <w:noProof/>
            <w:webHidden/>
          </w:rPr>
          <w:tab/>
        </w:r>
        <w:r w:rsidR="000A08A2">
          <w:rPr>
            <w:noProof/>
            <w:webHidden/>
          </w:rPr>
          <w:fldChar w:fldCharType="begin"/>
        </w:r>
        <w:r w:rsidR="000A08A2">
          <w:rPr>
            <w:noProof/>
            <w:webHidden/>
          </w:rPr>
          <w:instrText xml:space="preserve"> PAGEREF _Toc422312088 \h </w:instrText>
        </w:r>
        <w:r w:rsidR="000A08A2">
          <w:rPr>
            <w:noProof/>
            <w:webHidden/>
          </w:rPr>
        </w:r>
        <w:r w:rsidR="000A08A2">
          <w:rPr>
            <w:noProof/>
            <w:webHidden/>
          </w:rPr>
          <w:fldChar w:fldCharType="separate"/>
        </w:r>
        <w:r w:rsidR="000A08A2">
          <w:rPr>
            <w:noProof/>
            <w:webHidden/>
          </w:rPr>
          <w:t>16</w:t>
        </w:r>
        <w:r w:rsidR="000A08A2">
          <w:rPr>
            <w:noProof/>
            <w:webHidden/>
          </w:rPr>
          <w:fldChar w:fldCharType="end"/>
        </w:r>
      </w:hyperlink>
    </w:p>
    <w:p w14:paraId="4044F41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89" w:history="1">
        <w:r w:rsidR="000A08A2" w:rsidRPr="001864F7">
          <w:rPr>
            <w:rStyle w:val="Hypertextovodkaz"/>
            <w:noProof/>
          </w:rPr>
          <w:t>4.1.2</w:t>
        </w:r>
        <w:r w:rsidR="000A08A2">
          <w:rPr>
            <w:rFonts w:asciiTheme="minorHAnsi" w:eastAsiaTheme="minorEastAsia" w:hAnsiTheme="minorHAnsi" w:cstheme="minorBidi"/>
            <w:noProof/>
            <w:szCs w:val="22"/>
          </w:rPr>
          <w:tab/>
        </w:r>
        <w:r w:rsidR="000A08A2" w:rsidRPr="001864F7">
          <w:rPr>
            <w:rStyle w:val="Hypertextovodkaz"/>
            <w:noProof/>
          </w:rPr>
          <w:t>Benefits for the use of public funds</w:t>
        </w:r>
        <w:r w:rsidR="000A08A2">
          <w:rPr>
            <w:noProof/>
            <w:webHidden/>
          </w:rPr>
          <w:tab/>
        </w:r>
        <w:r w:rsidR="000A08A2">
          <w:rPr>
            <w:noProof/>
            <w:webHidden/>
          </w:rPr>
          <w:fldChar w:fldCharType="begin"/>
        </w:r>
        <w:r w:rsidR="000A08A2">
          <w:rPr>
            <w:noProof/>
            <w:webHidden/>
          </w:rPr>
          <w:instrText xml:space="preserve"> PAGEREF _Toc422312089 \h </w:instrText>
        </w:r>
        <w:r w:rsidR="000A08A2">
          <w:rPr>
            <w:noProof/>
            <w:webHidden/>
          </w:rPr>
        </w:r>
        <w:r w:rsidR="000A08A2">
          <w:rPr>
            <w:noProof/>
            <w:webHidden/>
          </w:rPr>
          <w:fldChar w:fldCharType="separate"/>
        </w:r>
        <w:r w:rsidR="000A08A2">
          <w:rPr>
            <w:noProof/>
            <w:webHidden/>
          </w:rPr>
          <w:t>16</w:t>
        </w:r>
        <w:r w:rsidR="000A08A2">
          <w:rPr>
            <w:noProof/>
            <w:webHidden/>
          </w:rPr>
          <w:fldChar w:fldCharType="end"/>
        </w:r>
      </w:hyperlink>
    </w:p>
    <w:p w14:paraId="3054FC56"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0" w:history="1">
        <w:r w:rsidR="000A08A2" w:rsidRPr="001864F7">
          <w:rPr>
            <w:rStyle w:val="Hypertextovodkaz"/>
            <w:noProof/>
          </w:rPr>
          <w:t>4.1.3</w:t>
        </w:r>
        <w:r w:rsidR="000A08A2">
          <w:rPr>
            <w:rFonts w:asciiTheme="minorHAnsi" w:eastAsiaTheme="minorEastAsia" w:hAnsiTheme="minorHAnsi" w:cstheme="minorBidi"/>
            <w:noProof/>
            <w:szCs w:val="22"/>
          </w:rPr>
          <w:tab/>
        </w:r>
        <w:r w:rsidR="000A08A2" w:rsidRPr="001864F7">
          <w:rPr>
            <w:rStyle w:val="Hypertextovodkaz"/>
            <w:noProof/>
          </w:rPr>
          <w:t>Added value and risks of financial instruments</w:t>
        </w:r>
        <w:r w:rsidR="000A08A2">
          <w:rPr>
            <w:noProof/>
            <w:webHidden/>
          </w:rPr>
          <w:tab/>
        </w:r>
        <w:r w:rsidR="000A08A2">
          <w:rPr>
            <w:noProof/>
            <w:webHidden/>
          </w:rPr>
          <w:fldChar w:fldCharType="begin"/>
        </w:r>
        <w:r w:rsidR="000A08A2">
          <w:rPr>
            <w:noProof/>
            <w:webHidden/>
          </w:rPr>
          <w:instrText xml:space="preserve"> PAGEREF _Toc422312090 \h </w:instrText>
        </w:r>
        <w:r w:rsidR="000A08A2">
          <w:rPr>
            <w:noProof/>
            <w:webHidden/>
          </w:rPr>
        </w:r>
        <w:r w:rsidR="000A08A2">
          <w:rPr>
            <w:noProof/>
            <w:webHidden/>
          </w:rPr>
          <w:fldChar w:fldCharType="separate"/>
        </w:r>
        <w:r w:rsidR="000A08A2">
          <w:rPr>
            <w:noProof/>
            <w:webHidden/>
          </w:rPr>
          <w:t>16</w:t>
        </w:r>
        <w:r w:rsidR="000A08A2">
          <w:rPr>
            <w:noProof/>
            <w:webHidden/>
          </w:rPr>
          <w:fldChar w:fldCharType="end"/>
        </w:r>
      </w:hyperlink>
    </w:p>
    <w:p w14:paraId="47612AE3"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1" w:history="1">
        <w:r w:rsidR="000A08A2" w:rsidRPr="001864F7">
          <w:rPr>
            <w:rStyle w:val="Hypertextovodkaz"/>
            <w:noProof/>
          </w:rPr>
          <w:t>4.1.4</w:t>
        </w:r>
        <w:r w:rsidR="000A08A2">
          <w:rPr>
            <w:rFonts w:asciiTheme="minorHAnsi" w:eastAsiaTheme="minorEastAsia" w:hAnsiTheme="minorHAnsi" w:cstheme="minorBidi"/>
            <w:noProof/>
            <w:szCs w:val="22"/>
          </w:rPr>
          <w:tab/>
        </w:r>
        <w:r w:rsidR="000A08A2" w:rsidRPr="001864F7">
          <w:rPr>
            <w:rStyle w:val="Hypertextovodkaz"/>
            <w:noProof/>
          </w:rPr>
          <w:t>Possible solutions for public aid</w:t>
        </w:r>
        <w:r w:rsidR="000A08A2">
          <w:rPr>
            <w:noProof/>
            <w:webHidden/>
          </w:rPr>
          <w:tab/>
        </w:r>
        <w:r w:rsidR="000A08A2">
          <w:rPr>
            <w:noProof/>
            <w:webHidden/>
          </w:rPr>
          <w:fldChar w:fldCharType="begin"/>
        </w:r>
        <w:r w:rsidR="000A08A2">
          <w:rPr>
            <w:noProof/>
            <w:webHidden/>
          </w:rPr>
          <w:instrText xml:space="preserve"> PAGEREF _Toc422312091 \h </w:instrText>
        </w:r>
        <w:r w:rsidR="000A08A2">
          <w:rPr>
            <w:noProof/>
            <w:webHidden/>
          </w:rPr>
        </w:r>
        <w:r w:rsidR="000A08A2">
          <w:rPr>
            <w:noProof/>
            <w:webHidden/>
          </w:rPr>
          <w:fldChar w:fldCharType="separate"/>
        </w:r>
        <w:r w:rsidR="000A08A2">
          <w:rPr>
            <w:noProof/>
            <w:webHidden/>
          </w:rPr>
          <w:t>17</w:t>
        </w:r>
        <w:r w:rsidR="000A08A2">
          <w:rPr>
            <w:noProof/>
            <w:webHidden/>
          </w:rPr>
          <w:fldChar w:fldCharType="end"/>
        </w:r>
      </w:hyperlink>
    </w:p>
    <w:p w14:paraId="75B7106B"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092" w:history="1">
        <w:r w:rsidR="000A08A2" w:rsidRPr="001864F7">
          <w:rPr>
            <w:rStyle w:val="Hypertextovodkaz"/>
            <w:noProof/>
          </w:rPr>
          <w:t>4.2</w:t>
        </w:r>
        <w:r w:rsidR="000A08A2">
          <w:rPr>
            <w:rFonts w:asciiTheme="minorHAnsi" w:eastAsiaTheme="minorEastAsia" w:hAnsiTheme="minorHAnsi" w:cstheme="minorBidi"/>
            <w:noProof/>
            <w:szCs w:val="22"/>
          </w:rPr>
          <w:tab/>
        </w:r>
        <w:r w:rsidR="000A08A2" w:rsidRPr="001864F7">
          <w:rPr>
            <w:rStyle w:val="Hypertextovodkaz"/>
            <w:noProof/>
          </w:rPr>
          <w:t>Screening of the OP EIC's specific objectives in terms of the applicability of financial instruments</w:t>
        </w:r>
        <w:r w:rsidR="000A08A2">
          <w:rPr>
            <w:noProof/>
            <w:webHidden/>
          </w:rPr>
          <w:tab/>
        </w:r>
        <w:r w:rsidR="000A08A2">
          <w:rPr>
            <w:noProof/>
            <w:webHidden/>
          </w:rPr>
          <w:fldChar w:fldCharType="begin"/>
        </w:r>
        <w:r w:rsidR="000A08A2">
          <w:rPr>
            <w:noProof/>
            <w:webHidden/>
          </w:rPr>
          <w:instrText xml:space="preserve"> PAGEREF _Toc422312092 \h </w:instrText>
        </w:r>
        <w:r w:rsidR="000A08A2">
          <w:rPr>
            <w:noProof/>
            <w:webHidden/>
          </w:rPr>
        </w:r>
        <w:r w:rsidR="000A08A2">
          <w:rPr>
            <w:noProof/>
            <w:webHidden/>
          </w:rPr>
          <w:fldChar w:fldCharType="separate"/>
        </w:r>
        <w:r w:rsidR="000A08A2">
          <w:rPr>
            <w:noProof/>
            <w:webHidden/>
          </w:rPr>
          <w:t>19</w:t>
        </w:r>
        <w:r w:rsidR="000A08A2">
          <w:rPr>
            <w:noProof/>
            <w:webHidden/>
          </w:rPr>
          <w:fldChar w:fldCharType="end"/>
        </w:r>
      </w:hyperlink>
    </w:p>
    <w:p w14:paraId="0AFDBD6E"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093" w:history="1">
        <w:r w:rsidR="000A08A2" w:rsidRPr="001864F7">
          <w:rPr>
            <w:rStyle w:val="Hypertextovodkaz"/>
            <w:noProof/>
          </w:rPr>
          <w:t>4.3</w:t>
        </w:r>
        <w:r w:rsidR="000A08A2">
          <w:rPr>
            <w:rFonts w:asciiTheme="minorHAnsi" w:eastAsiaTheme="minorEastAsia" w:hAnsiTheme="minorHAnsi" w:cstheme="minorBidi"/>
            <w:noProof/>
            <w:szCs w:val="22"/>
          </w:rPr>
          <w:tab/>
        </w:r>
        <w:r w:rsidR="000A08A2" w:rsidRPr="001864F7">
          <w:rPr>
            <w:rStyle w:val="Hypertextovodkaz"/>
            <w:noProof/>
          </w:rPr>
          <w:t>Methodological approach to the ex ante assessment of financial instruments</w:t>
        </w:r>
        <w:r w:rsidR="000A08A2">
          <w:rPr>
            <w:noProof/>
            <w:webHidden/>
          </w:rPr>
          <w:tab/>
        </w:r>
        <w:r w:rsidR="000A08A2">
          <w:rPr>
            <w:noProof/>
            <w:webHidden/>
          </w:rPr>
          <w:fldChar w:fldCharType="begin"/>
        </w:r>
        <w:r w:rsidR="000A08A2">
          <w:rPr>
            <w:noProof/>
            <w:webHidden/>
          </w:rPr>
          <w:instrText xml:space="preserve"> PAGEREF _Toc422312093 \h </w:instrText>
        </w:r>
        <w:r w:rsidR="000A08A2">
          <w:rPr>
            <w:noProof/>
            <w:webHidden/>
          </w:rPr>
        </w:r>
        <w:r w:rsidR="000A08A2">
          <w:rPr>
            <w:noProof/>
            <w:webHidden/>
          </w:rPr>
          <w:fldChar w:fldCharType="separate"/>
        </w:r>
        <w:r w:rsidR="000A08A2">
          <w:rPr>
            <w:noProof/>
            <w:webHidden/>
          </w:rPr>
          <w:t>26</w:t>
        </w:r>
        <w:r w:rsidR="000A08A2">
          <w:rPr>
            <w:noProof/>
            <w:webHidden/>
          </w:rPr>
          <w:fldChar w:fldCharType="end"/>
        </w:r>
      </w:hyperlink>
    </w:p>
    <w:p w14:paraId="4358CF72"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4" w:history="1">
        <w:r w:rsidR="000A08A2" w:rsidRPr="001864F7">
          <w:rPr>
            <w:rStyle w:val="Hypertextovodkaz"/>
            <w:noProof/>
          </w:rPr>
          <w:t>4.3.1</w:t>
        </w:r>
        <w:r w:rsidR="000A08A2">
          <w:rPr>
            <w:rFonts w:asciiTheme="minorHAnsi" w:eastAsiaTheme="minorEastAsia" w:hAnsiTheme="minorHAnsi" w:cstheme="minorBidi"/>
            <w:noProof/>
            <w:szCs w:val="22"/>
          </w:rPr>
          <w:tab/>
        </w:r>
        <w:r w:rsidR="000A08A2" w:rsidRPr="001864F7">
          <w:rPr>
            <w:rStyle w:val="Hypertextovodkaz"/>
            <w:noProof/>
          </w:rPr>
          <w:t>Market situation analysis</w:t>
        </w:r>
        <w:r w:rsidR="000A08A2">
          <w:rPr>
            <w:noProof/>
            <w:webHidden/>
          </w:rPr>
          <w:tab/>
        </w:r>
        <w:r w:rsidR="000A08A2">
          <w:rPr>
            <w:noProof/>
            <w:webHidden/>
          </w:rPr>
          <w:fldChar w:fldCharType="begin"/>
        </w:r>
        <w:r w:rsidR="000A08A2">
          <w:rPr>
            <w:noProof/>
            <w:webHidden/>
          </w:rPr>
          <w:instrText xml:space="preserve"> PAGEREF _Toc422312094 \h </w:instrText>
        </w:r>
        <w:r w:rsidR="000A08A2">
          <w:rPr>
            <w:noProof/>
            <w:webHidden/>
          </w:rPr>
        </w:r>
        <w:r w:rsidR="000A08A2">
          <w:rPr>
            <w:noProof/>
            <w:webHidden/>
          </w:rPr>
          <w:fldChar w:fldCharType="separate"/>
        </w:r>
        <w:r w:rsidR="000A08A2">
          <w:rPr>
            <w:noProof/>
            <w:webHidden/>
          </w:rPr>
          <w:t>28</w:t>
        </w:r>
        <w:r w:rsidR="000A08A2">
          <w:rPr>
            <w:noProof/>
            <w:webHidden/>
          </w:rPr>
          <w:fldChar w:fldCharType="end"/>
        </w:r>
      </w:hyperlink>
    </w:p>
    <w:p w14:paraId="411B21E1"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5" w:history="1">
        <w:r w:rsidR="000A08A2" w:rsidRPr="001864F7">
          <w:rPr>
            <w:rStyle w:val="Hypertextovodkaz"/>
            <w:noProof/>
          </w:rPr>
          <w:t>4.3.2</w:t>
        </w:r>
        <w:r w:rsidR="000A08A2">
          <w:rPr>
            <w:rFonts w:asciiTheme="minorHAnsi" w:eastAsiaTheme="minorEastAsia" w:hAnsiTheme="minorHAnsi" w:cstheme="minorBidi"/>
            <w:noProof/>
            <w:szCs w:val="22"/>
          </w:rPr>
          <w:tab/>
        </w:r>
        <w:r w:rsidR="000A08A2" w:rsidRPr="001864F7">
          <w:rPr>
            <w:rStyle w:val="Hypertextovodkaz"/>
            <w:noProof/>
          </w:rPr>
          <w:t>Proposed appropriate strategy</w:t>
        </w:r>
        <w:r w:rsidR="000A08A2">
          <w:rPr>
            <w:noProof/>
            <w:webHidden/>
          </w:rPr>
          <w:tab/>
        </w:r>
        <w:r w:rsidR="000A08A2">
          <w:rPr>
            <w:noProof/>
            <w:webHidden/>
          </w:rPr>
          <w:fldChar w:fldCharType="begin"/>
        </w:r>
        <w:r w:rsidR="000A08A2">
          <w:rPr>
            <w:noProof/>
            <w:webHidden/>
          </w:rPr>
          <w:instrText xml:space="preserve"> PAGEREF _Toc422312095 \h </w:instrText>
        </w:r>
        <w:r w:rsidR="000A08A2">
          <w:rPr>
            <w:noProof/>
            <w:webHidden/>
          </w:rPr>
        </w:r>
        <w:r w:rsidR="000A08A2">
          <w:rPr>
            <w:noProof/>
            <w:webHidden/>
          </w:rPr>
          <w:fldChar w:fldCharType="separate"/>
        </w:r>
        <w:r w:rsidR="000A08A2">
          <w:rPr>
            <w:noProof/>
            <w:webHidden/>
          </w:rPr>
          <w:t>29</w:t>
        </w:r>
        <w:r w:rsidR="000A08A2">
          <w:rPr>
            <w:noProof/>
            <w:webHidden/>
          </w:rPr>
          <w:fldChar w:fldCharType="end"/>
        </w:r>
      </w:hyperlink>
    </w:p>
    <w:p w14:paraId="48EF89EE" w14:textId="77777777" w:rsidR="000A08A2" w:rsidRDefault="0012136C">
      <w:pPr>
        <w:pStyle w:val="Obsah1"/>
        <w:rPr>
          <w:rFonts w:asciiTheme="minorHAnsi" w:eastAsiaTheme="minorEastAsia" w:hAnsiTheme="minorHAnsi" w:cstheme="minorBidi"/>
          <w:noProof/>
          <w:szCs w:val="22"/>
        </w:rPr>
      </w:pPr>
      <w:hyperlink w:anchor="_Toc422312096" w:history="1">
        <w:r w:rsidR="000A08A2" w:rsidRPr="001864F7">
          <w:rPr>
            <w:rStyle w:val="Hypertextovodkaz"/>
            <w:noProof/>
          </w:rPr>
          <w:t>5</w:t>
        </w:r>
        <w:r w:rsidR="000A08A2">
          <w:rPr>
            <w:rFonts w:asciiTheme="minorHAnsi" w:eastAsiaTheme="minorEastAsia" w:hAnsiTheme="minorHAnsi" w:cstheme="minorBidi"/>
            <w:noProof/>
            <w:szCs w:val="22"/>
          </w:rPr>
          <w:tab/>
        </w:r>
        <w:r w:rsidR="000A08A2" w:rsidRPr="001864F7">
          <w:rPr>
            <w:rStyle w:val="Hypertextovodkaz"/>
            <w:noProof/>
          </w:rPr>
          <w:t>Block I: Market situation analysis</w:t>
        </w:r>
        <w:r w:rsidR="000A08A2">
          <w:rPr>
            <w:noProof/>
            <w:webHidden/>
          </w:rPr>
          <w:tab/>
        </w:r>
        <w:r w:rsidR="000A08A2">
          <w:rPr>
            <w:noProof/>
            <w:webHidden/>
          </w:rPr>
          <w:fldChar w:fldCharType="begin"/>
        </w:r>
        <w:r w:rsidR="000A08A2">
          <w:rPr>
            <w:noProof/>
            <w:webHidden/>
          </w:rPr>
          <w:instrText xml:space="preserve"> PAGEREF _Toc422312096 \h </w:instrText>
        </w:r>
        <w:r w:rsidR="000A08A2">
          <w:rPr>
            <w:noProof/>
            <w:webHidden/>
          </w:rPr>
        </w:r>
        <w:r w:rsidR="000A08A2">
          <w:rPr>
            <w:noProof/>
            <w:webHidden/>
          </w:rPr>
          <w:fldChar w:fldCharType="separate"/>
        </w:r>
        <w:r w:rsidR="000A08A2">
          <w:rPr>
            <w:noProof/>
            <w:webHidden/>
          </w:rPr>
          <w:t>31</w:t>
        </w:r>
        <w:r w:rsidR="000A08A2">
          <w:rPr>
            <w:noProof/>
            <w:webHidden/>
          </w:rPr>
          <w:fldChar w:fldCharType="end"/>
        </w:r>
      </w:hyperlink>
    </w:p>
    <w:p w14:paraId="288B5D75"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097" w:history="1">
        <w:r w:rsidR="000A08A2" w:rsidRPr="001864F7">
          <w:rPr>
            <w:rStyle w:val="Hypertextovodkaz"/>
            <w:noProof/>
          </w:rPr>
          <w:t>5.1</w:t>
        </w:r>
        <w:r w:rsidR="000A08A2">
          <w:rPr>
            <w:rFonts w:asciiTheme="minorHAnsi" w:eastAsiaTheme="minorEastAsia" w:hAnsiTheme="minorHAnsi" w:cstheme="minorBidi"/>
            <w:noProof/>
            <w:szCs w:val="22"/>
          </w:rPr>
          <w:tab/>
        </w:r>
        <w:r w:rsidR="000A08A2" w:rsidRPr="001864F7">
          <w:rPr>
            <w:rStyle w:val="Hypertextovodkaz"/>
            <w:noProof/>
          </w:rPr>
          <w:t>Specific Objective 1.1 – Increasing innovation performance of enterprises</w:t>
        </w:r>
        <w:r w:rsidR="000A08A2">
          <w:rPr>
            <w:noProof/>
            <w:webHidden/>
          </w:rPr>
          <w:tab/>
        </w:r>
        <w:r w:rsidR="000A08A2">
          <w:rPr>
            <w:noProof/>
            <w:webHidden/>
          </w:rPr>
          <w:fldChar w:fldCharType="begin"/>
        </w:r>
        <w:r w:rsidR="000A08A2">
          <w:rPr>
            <w:noProof/>
            <w:webHidden/>
          </w:rPr>
          <w:instrText xml:space="preserve"> PAGEREF _Toc422312097 \h </w:instrText>
        </w:r>
        <w:r w:rsidR="000A08A2">
          <w:rPr>
            <w:noProof/>
            <w:webHidden/>
          </w:rPr>
        </w:r>
        <w:r w:rsidR="000A08A2">
          <w:rPr>
            <w:noProof/>
            <w:webHidden/>
          </w:rPr>
          <w:fldChar w:fldCharType="separate"/>
        </w:r>
        <w:r w:rsidR="000A08A2">
          <w:rPr>
            <w:noProof/>
            <w:webHidden/>
          </w:rPr>
          <w:t>31</w:t>
        </w:r>
        <w:r w:rsidR="000A08A2">
          <w:rPr>
            <w:noProof/>
            <w:webHidden/>
          </w:rPr>
          <w:fldChar w:fldCharType="end"/>
        </w:r>
      </w:hyperlink>
    </w:p>
    <w:p w14:paraId="058D1DDC"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8" w:history="1">
        <w:r w:rsidR="000A08A2" w:rsidRPr="001864F7">
          <w:rPr>
            <w:rStyle w:val="Hypertextovodkaz"/>
            <w:noProof/>
          </w:rPr>
          <w:t>5.1.1</w:t>
        </w:r>
        <w:r w:rsidR="000A08A2">
          <w:rPr>
            <w:rFonts w:asciiTheme="minorHAnsi" w:eastAsiaTheme="minorEastAsia" w:hAnsiTheme="minorHAnsi" w:cstheme="minorBidi"/>
            <w:noProof/>
            <w:szCs w:val="22"/>
          </w:rPr>
          <w:tab/>
        </w:r>
        <w:r w:rsidR="000A08A2" w:rsidRPr="001864F7">
          <w:rPr>
            <w:rStyle w:val="Hypertextovodkaz"/>
            <w:noProof/>
          </w:rPr>
          <w:t>Focus of the specific objective</w:t>
        </w:r>
        <w:r w:rsidR="000A08A2">
          <w:rPr>
            <w:noProof/>
            <w:webHidden/>
          </w:rPr>
          <w:tab/>
        </w:r>
        <w:r w:rsidR="000A08A2">
          <w:rPr>
            <w:noProof/>
            <w:webHidden/>
          </w:rPr>
          <w:fldChar w:fldCharType="begin"/>
        </w:r>
        <w:r w:rsidR="000A08A2">
          <w:rPr>
            <w:noProof/>
            <w:webHidden/>
          </w:rPr>
          <w:instrText xml:space="preserve"> PAGEREF _Toc422312098 \h </w:instrText>
        </w:r>
        <w:r w:rsidR="000A08A2">
          <w:rPr>
            <w:noProof/>
            <w:webHidden/>
          </w:rPr>
        </w:r>
        <w:r w:rsidR="000A08A2">
          <w:rPr>
            <w:noProof/>
            <w:webHidden/>
          </w:rPr>
          <w:fldChar w:fldCharType="separate"/>
        </w:r>
        <w:r w:rsidR="000A08A2">
          <w:rPr>
            <w:noProof/>
            <w:webHidden/>
          </w:rPr>
          <w:t>31</w:t>
        </w:r>
        <w:r w:rsidR="000A08A2">
          <w:rPr>
            <w:noProof/>
            <w:webHidden/>
          </w:rPr>
          <w:fldChar w:fldCharType="end"/>
        </w:r>
      </w:hyperlink>
    </w:p>
    <w:p w14:paraId="11BF37EC"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099" w:history="1">
        <w:r w:rsidR="000A08A2" w:rsidRPr="001864F7">
          <w:rPr>
            <w:rStyle w:val="Hypertextovodkaz"/>
            <w:noProof/>
          </w:rPr>
          <w:t>5.1.2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_Toc422312099 \h </w:instrText>
        </w:r>
        <w:r w:rsidR="000A08A2">
          <w:rPr>
            <w:noProof/>
            <w:webHidden/>
          </w:rPr>
        </w:r>
        <w:r w:rsidR="000A08A2">
          <w:rPr>
            <w:noProof/>
            <w:webHidden/>
          </w:rPr>
          <w:fldChar w:fldCharType="separate"/>
        </w:r>
        <w:r w:rsidR="000A08A2">
          <w:rPr>
            <w:noProof/>
            <w:webHidden/>
          </w:rPr>
          <w:t>32</w:t>
        </w:r>
        <w:r w:rsidR="000A08A2">
          <w:rPr>
            <w:noProof/>
            <w:webHidden/>
          </w:rPr>
          <w:fldChar w:fldCharType="end"/>
        </w:r>
      </w:hyperlink>
    </w:p>
    <w:p w14:paraId="6FD118A5"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0" w:history="1">
        <w:r w:rsidR="000A08A2" w:rsidRPr="001864F7">
          <w:rPr>
            <w:rStyle w:val="Hypertextovodkaz"/>
            <w:noProof/>
          </w:rPr>
          <w:t>5.1.3</w:t>
        </w:r>
        <w:r w:rsidR="000A08A2">
          <w:rPr>
            <w:rFonts w:asciiTheme="minorHAnsi" w:eastAsiaTheme="minorEastAsia" w:hAnsiTheme="minorHAnsi" w:cstheme="minorBidi"/>
            <w:noProof/>
            <w:szCs w:val="22"/>
          </w:rPr>
          <w:tab/>
        </w:r>
        <w:r w:rsidR="000A08A2" w:rsidRPr="001864F7">
          <w:rPr>
            <w:rStyle w:val="Hypertextovodkaz"/>
            <w:noProof/>
          </w:rPr>
          <w:t>Assessment of added value of financial instruments</w:t>
        </w:r>
        <w:r w:rsidR="000A08A2">
          <w:rPr>
            <w:noProof/>
            <w:webHidden/>
          </w:rPr>
          <w:tab/>
        </w:r>
        <w:r w:rsidR="000A08A2">
          <w:rPr>
            <w:noProof/>
            <w:webHidden/>
          </w:rPr>
          <w:fldChar w:fldCharType="begin"/>
        </w:r>
        <w:r w:rsidR="000A08A2">
          <w:rPr>
            <w:noProof/>
            <w:webHidden/>
          </w:rPr>
          <w:instrText xml:space="preserve"> PAGEREF _Toc422312100 \h </w:instrText>
        </w:r>
        <w:r w:rsidR="000A08A2">
          <w:rPr>
            <w:noProof/>
            <w:webHidden/>
          </w:rPr>
        </w:r>
        <w:r w:rsidR="000A08A2">
          <w:rPr>
            <w:noProof/>
            <w:webHidden/>
          </w:rPr>
          <w:fldChar w:fldCharType="separate"/>
        </w:r>
        <w:r w:rsidR="000A08A2">
          <w:rPr>
            <w:noProof/>
            <w:webHidden/>
          </w:rPr>
          <w:t>42</w:t>
        </w:r>
        <w:r w:rsidR="000A08A2">
          <w:rPr>
            <w:noProof/>
            <w:webHidden/>
          </w:rPr>
          <w:fldChar w:fldCharType="end"/>
        </w:r>
      </w:hyperlink>
    </w:p>
    <w:p w14:paraId="43AB6FD2"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1" w:history="1">
        <w:r w:rsidR="000A08A2" w:rsidRPr="001864F7">
          <w:rPr>
            <w:rStyle w:val="Hypertextovodkaz"/>
            <w:noProof/>
          </w:rPr>
          <w:t>5.1.4</w:t>
        </w:r>
        <w:r w:rsidR="000A08A2">
          <w:rPr>
            <w:rFonts w:asciiTheme="minorHAnsi" w:eastAsiaTheme="minorEastAsia" w:hAnsiTheme="minorHAnsi" w:cstheme="minorBidi"/>
            <w:noProof/>
            <w:szCs w:val="22"/>
          </w:rPr>
          <w:tab/>
        </w:r>
        <w:r w:rsidR="000A08A2" w:rsidRPr="001864F7">
          <w:rPr>
            <w:rStyle w:val="Hypertextovodkaz"/>
            <w:noProof/>
          </w:rPr>
          <w:t>Estimate of additional public and private resources</w:t>
        </w:r>
        <w:r w:rsidR="000A08A2">
          <w:rPr>
            <w:noProof/>
            <w:webHidden/>
          </w:rPr>
          <w:tab/>
        </w:r>
        <w:r w:rsidR="000A08A2">
          <w:rPr>
            <w:noProof/>
            <w:webHidden/>
          </w:rPr>
          <w:fldChar w:fldCharType="begin"/>
        </w:r>
        <w:r w:rsidR="000A08A2">
          <w:rPr>
            <w:noProof/>
            <w:webHidden/>
          </w:rPr>
          <w:instrText xml:space="preserve"> PAGEREF _Toc422312101 \h </w:instrText>
        </w:r>
        <w:r w:rsidR="000A08A2">
          <w:rPr>
            <w:noProof/>
            <w:webHidden/>
          </w:rPr>
        </w:r>
        <w:r w:rsidR="000A08A2">
          <w:rPr>
            <w:noProof/>
            <w:webHidden/>
          </w:rPr>
          <w:fldChar w:fldCharType="separate"/>
        </w:r>
        <w:r w:rsidR="000A08A2">
          <w:rPr>
            <w:noProof/>
            <w:webHidden/>
          </w:rPr>
          <w:t>48</w:t>
        </w:r>
        <w:r w:rsidR="000A08A2">
          <w:rPr>
            <w:noProof/>
            <w:webHidden/>
          </w:rPr>
          <w:fldChar w:fldCharType="end"/>
        </w:r>
      </w:hyperlink>
    </w:p>
    <w:p w14:paraId="22EDAB20"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02" w:history="1">
        <w:r w:rsidR="000A08A2" w:rsidRPr="001864F7">
          <w:rPr>
            <w:rStyle w:val="Hypertextovodkaz"/>
            <w:noProof/>
          </w:rPr>
          <w:t>5.2</w:t>
        </w:r>
        <w:r w:rsidR="000A08A2">
          <w:rPr>
            <w:rFonts w:asciiTheme="minorHAnsi" w:eastAsiaTheme="minorEastAsia" w:hAnsiTheme="minorHAnsi" w:cstheme="minorBidi"/>
            <w:noProof/>
            <w:szCs w:val="22"/>
          </w:rPr>
          <w:tab/>
        </w:r>
        <w:r w:rsidR="000A08A2" w:rsidRPr="001864F7">
          <w:rPr>
            <w:rStyle w:val="Hypertextovodkaz"/>
            <w:noProof/>
          </w:rPr>
          <w:t>Specific objective 1.2 – Improving the intensity and efficiency of cooperation in research, development and innovations</w:t>
        </w:r>
        <w:r w:rsidR="000A08A2">
          <w:rPr>
            <w:noProof/>
            <w:webHidden/>
          </w:rPr>
          <w:tab/>
        </w:r>
        <w:r w:rsidR="000A08A2">
          <w:rPr>
            <w:noProof/>
            <w:webHidden/>
          </w:rPr>
          <w:fldChar w:fldCharType="begin"/>
        </w:r>
        <w:r w:rsidR="000A08A2">
          <w:rPr>
            <w:noProof/>
            <w:webHidden/>
          </w:rPr>
          <w:instrText xml:space="preserve"> PAGEREF _Toc422312102 \h </w:instrText>
        </w:r>
        <w:r w:rsidR="000A08A2">
          <w:rPr>
            <w:noProof/>
            <w:webHidden/>
          </w:rPr>
        </w:r>
        <w:r w:rsidR="000A08A2">
          <w:rPr>
            <w:noProof/>
            <w:webHidden/>
          </w:rPr>
          <w:fldChar w:fldCharType="separate"/>
        </w:r>
        <w:r w:rsidR="000A08A2">
          <w:rPr>
            <w:noProof/>
            <w:webHidden/>
          </w:rPr>
          <w:t>50</w:t>
        </w:r>
        <w:r w:rsidR="000A08A2">
          <w:rPr>
            <w:noProof/>
            <w:webHidden/>
          </w:rPr>
          <w:fldChar w:fldCharType="end"/>
        </w:r>
      </w:hyperlink>
    </w:p>
    <w:p w14:paraId="12CAAA51"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3" w:history="1">
        <w:r w:rsidR="000A08A2" w:rsidRPr="001864F7">
          <w:rPr>
            <w:rStyle w:val="Hypertextovodkaz"/>
            <w:noProof/>
          </w:rPr>
          <w:t>5.2.1</w:t>
        </w:r>
        <w:r w:rsidR="000A08A2">
          <w:rPr>
            <w:rFonts w:asciiTheme="minorHAnsi" w:eastAsiaTheme="minorEastAsia" w:hAnsiTheme="minorHAnsi" w:cstheme="minorBidi"/>
            <w:noProof/>
            <w:szCs w:val="22"/>
          </w:rPr>
          <w:tab/>
        </w:r>
        <w:r w:rsidR="000A08A2" w:rsidRPr="001864F7">
          <w:rPr>
            <w:rStyle w:val="Hypertextovodkaz"/>
            <w:noProof/>
          </w:rPr>
          <w:t>Focus of the specific objective</w:t>
        </w:r>
        <w:r w:rsidR="000A08A2">
          <w:rPr>
            <w:noProof/>
            <w:webHidden/>
          </w:rPr>
          <w:tab/>
        </w:r>
        <w:r w:rsidR="000A08A2">
          <w:rPr>
            <w:noProof/>
            <w:webHidden/>
          </w:rPr>
          <w:fldChar w:fldCharType="begin"/>
        </w:r>
        <w:r w:rsidR="000A08A2">
          <w:rPr>
            <w:noProof/>
            <w:webHidden/>
          </w:rPr>
          <w:instrText xml:space="preserve"> PAGEREF _Toc422312103 \h </w:instrText>
        </w:r>
        <w:r w:rsidR="000A08A2">
          <w:rPr>
            <w:noProof/>
            <w:webHidden/>
          </w:rPr>
        </w:r>
        <w:r w:rsidR="000A08A2">
          <w:rPr>
            <w:noProof/>
            <w:webHidden/>
          </w:rPr>
          <w:fldChar w:fldCharType="separate"/>
        </w:r>
        <w:r w:rsidR="000A08A2">
          <w:rPr>
            <w:noProof/>
            <w:webHidden/>
          </w:rPr>
          <w:t>50</w:t>
        </w:r>
        <w:r w:rsidR="000A08A2">
          <w:rPr>
            <w:noProof/>
            <w:webHidden/>
          </w:rPr>
          <w:fldChar w:fldCharType="end"/>
        </w:r>
      </w:hyperlink>
    </w:p>
    <w:p w14:paraId="03F4A80B"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4" w:history="1">
        <w:r w:rsidR="000A08A2" w:rsidRPr="001864F7">
          <w:rPr>
            <w:rStyle w:val="Hypertextovodkaz"/>
            <w:noProof/>
          </w:rPr>
          <w:t>5.2.2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_Toc422312104 \h </w:instrText>
        </w:r>
        <w:r w:rsidR="000A08A2">
          <w:rPr>
            <w:noProof/>
            <w:webHidden/>
          </w:rPr>
        </w:r>
        <w:r w:rsidR="000A08A2">
          <w:rPr>
            <w:noProof/>
            <w:webHidden/>
          </w:rPr>
          <w:fldChar w:fldCharType="separate"/>
        </w:r>
        <w:r w:rsidR="000A08A2">
          <w:rPr>
            <w:noProof/>
            <w:webHidden/>
          </w:rPr>
          <w:t>50</w:t>
        </w:r>
        <w:r w:rsidR="000A08A2">
          <w:rPr>
            <w:noProof/>
            <w:webHidden/>
          </w:rPr>
          <w:fldChar w:fldCharType="end"/>
        </w:r>
      </w:hyperlink>
    </w:p>
    <w:p w14:paraId="5BDF4D7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5" w:history="1">
        <w:r w:rsidR="000A08A2" w:rsidRPr="001864F7">
          <w:rPr>
            <w:rStyle w:val="Hypertextovodkaz"/>
            <w:noProof/>
          </w:rPr>
          <w:t>5.2.3</w:t>
        </w:r>
        <w:r w:rsidR="000A08A2">
          <w:rPr>
            <w:rFonts w:asciiTheme="minorHAnsi" w:eastAsiaTheme="minorEastAsia" w:hAnsiTheme="minorHAnsi" w:cstheme="minorBidi"/>
            <w:noProof/>
            <w:szCs w:val="22"/>
          </w:rPr>
          <w:tab/>
        </w:r>
        <w:r w:rsidR="000A08A2" w:rsidRPr="001864F7">
          <w:rPr>
            <w:rStyle w:val="Hypertextovodkaz"/>
            <w:noProof/>
          </w:rPr>
          <w:t>Assessment of added value of financial instruments</w:t>
        </w:r>
        <w:r w:rsidR="000A08A2">
          <w:rPr>
            <w:noProof/>
            <w:webHidden/>
          </w:rPr>
          <w:tab/>
        </w:r>
        <w:r w:rsidR="000A08A2">
          <w:rPr>
            <w:noProof/>
            <w:webHidden/>
          </w:rPr>
          <w:fldChar w:fldCharType="begin"/>
        </w:r>
        <w:r w:rsidR="000A08A2">
          <w:rPr>
            <w:noProof/>
            <w:webHidden/>
          </w:rPr>
          <w:instrText xml:space="preserve"> PAGEREF _Toc422312105 \h </w:instrText>
        </w:r>
        <w:r w:rsidR="000A08A2">
          <w:rPr>
            <w:noProof/>
            <w:webHidden/>
          </w:rPr>
        </w:r>
        <w:r w:rsidR="000A08A2">
          <w:rPr>
            <w:noProof/>
            <w:webHidden/>
          </w:rPr>
          <w:fldChar w:fldCharType="separate"/>
        </w:r>
        <w:r w:rsidR="000A08A2">
          <w:rPr>
            <w:noProof/>
            <w:webHidden/>
          </w:rPr>
          <w:t>56</w:t>
        </w:r>
        <w:r w:rsidR="000A08A2">
          <w:rPr>
            <w:noProof/>
            <w:webHidden/>
          </w:rPr>
          <w:fldChar w:fldCharType="end"/>
        </w:r>
      </w:hyperlink>
    </w:p>
    <w:p w14:paraId="20ABB329"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6" w:history="1">
        <w:r w:rsidR="000A08A2" w:rsidRPr="001864F7">
          <w:rPr>
            <w:rStyle w:val="Hypertextovodkaz"/>
            <w:noProof/>
          </w:rPr>
          <w:t>5.2.4</w:t>
        </w:r>
        <w:r w:rsidR="000A08A2">
          <w:rPr>
            <w:rFonts w:asciiTheme="minorHAnsi" w:eastAsiaTheme="minorEastAsia" w:hAnsiTheme="minorHAnsi" w:cstheme="minorBidi"/>
            <w:noProof/>
            <w:szCs w:val="22"/>
          </w:rPr>
          <w:tab/>
        </w:r>
        <w:r w:rsidR="000A08A2" w:rsidRPr="001864F7">
          <w:rPr>
            <w:rStyle w:val="Hypertextovodkaz"/>
            <w:noProof/>
          </w:rPr>
          <w:t>Estimate of additional public and private resources</w:t>
        </w:r>
        <w:r w:rsidR="000A08A2">
          <w:rPr>
            <w:noProof/>
            <w:webHidden/>
          </w:rPr>
          <w:tab/>
        </w:r>
        <w:r w:rsidR="000A08A2">
          <w:rPr>
            <w:noProof/>
            <w:webHidden/>
          </w:rPr>
          <w:fldChar w:fldCharType="begin"/>
        </w:r>
        <w:r w:rsidR="000A08A2">
          <w:rPr>
            <w:noProof/>
            <w:webHidden/>
          </w:rPr>
          <w:instrText xml:space="preserve"> PAGEREF _Toc422312106 \h </w:instrText>
        </w:r>
        <w:r w:rsidR="000A08A2">
          <w:rPr>
            <w:noProof/>
            <w:webHidden/>
          </w:rPr>
        </w:r>
        <w:r w:rsidR="000A08A2">
          <w:rPr>
            <w:noProof/>
            <w:webHidden/>
          </w:rPr>
          <w:fldChar w:fldCharType="separate"/>
        </w:r>
        <w:r w:rsidR="000A08A2">
          <w:rPr>
            <w:noProof/>
            <w:webHidden/>
          </w:rPr>
          <w:t>59</w:t>
        </w:r>
        <w:r w:rsidR="000A08A2">
          <w:rPr>
            <w:noProof/>
            <w:webHidden/>
          </w:rPr>
          <w:fldChar w:fldCharType="end"/>
        </w:r>
      </w:hyperlink>
    </w:p>
    <w:p w14:paraId="7604F911"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07" w:history="1">
        <w:r w:rsidR="000A08A2" w:rsidRPr="001864F7">
          <w:rPr>
            <w:rStyle w:val="Hypertextovodkaz"/>
            <w:noProof/>
          </w:rPr>
          <w:t>5.3</w:t>
        </w:r>
        <w:r w:rsidR="000A08A2">
          <w:rPr>
            <w:rFonts w:asciiTheme="minorHAnsi" w:eastAsiaTheme="minorEastAsia" w:hAnsiTheme="minorHAnsi" w:cstheme="minorBidi"/>
            <w:noProof/>
            <w:szCs w:val="22"/>
          </w:rPr>
          <w:tab/>
        </w:r>
        <w:r w:rsidR="000A08A2" w:rsidRPr="001864F7">
          <w:rPr>
            <w:rStyle w:val="Hypertextovodkaz"/>
            <w:noProof/>
          </w:rPr>
          <w:t>Specific objective 2.1 – Enhancing competitiveness of start-ups and developing SMEs</w:t>
        </w:r>
        <w:r w:rsidR="000A08A2">
          <w:rPr>
            <w:noProof/>
            <w:webHidden/>
          </w:rPr>
          <w:tab/>
        </w:r>
        <w:r w:rsidR="000A08A2">
          <w:rPr>
            <w:noProof/>
            <w:webHidden/>
          </w:rPr>
          <w:fldChar w:fldCharType="begin"/>
        </w:r>
        <w:r w:rsidR="000A08A2">
          <w:rPr>
            <w:noProof/>
            <w:webHidden/>
          </w:rPr>
          <w:instrText xml:space="preserve"> PAGEREF _Toc422312107 \h </w:instrText>
        </w:r>
        <w:r w:rsidR="000A08A2">
          <w:rPr>
            <w:noProof/>
            <w:webHidden/>
          </w:rPr>
        </w:r>
        <w:r w:rsidR="000A08A2">
          <w:rPr>
            <w:noProof/>
            <w:webHidden/>
          </w:rPr>
          <w:fldChar w:fldCharType="separate"/>
        </w:r>
        <w:r w:rsidR="000A08A2">
          <w:rPr>
            <w:noProof/>
            <w:webHidden/>
          </w:rPr>
          <w:t>60</w:t>
        </w:r>
        <w:r w:rsidR="000A08A2">
          <w:rPr>
            <w:noProof/>
            <w:webHidden/>
          </w:rPr>
          <w:fldChar w:fldCharType="end"/>
        </w:r>
      </w:hyperlink>
    </w:p>
    <w:p w14:paraId="37D404D3"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8" w:history="1">
        <w:r w:rsidR="000A08A2" w:rsidRPr="001864F7">
          <w:rPr>
            <w:rStyle w:val="Hypertextovodkaz"/>
            <w:noProof/>
          </w:rPr>
          <w:t>5.3.1</w:t>
        </w:r>
        <w:r w:rsidR="000A08A2">
          <w:rPr>
            <w:rFonts w:asciiTheme="minorHAnsi" w:eastAsiaTheme="minorEastAsia" w:hAnsiTheme="minorHAnsi" w:cstheme="minorBidi"/>
            <w:noProof/>
            <w:szCs w:val="22"/>
          </w:rPr>
          <w:tab/>
        </w:r>
        <w:r w:rsidR="000A08A2" w:rsidRPr="001864F7">
          <w:rPr>
            <w:rStyle w:val="Hypertextovodkaz"/>
            <w:noProof/>
          </w:rPr>
          <w:t>Focus of the specific objective</w:t>
        </w:r>
        <w:r w:rsidR="000A08A2">
          <w:rPr>
            <w:noProof/>
            <w:webHidden/>
          </w:rPr>
          <w:tab/>
        </w:r>
        <w:r w:rsidR="000A08A2">
          <w:rPr>
            <w:noProof/>
            <w:webHidden/>
          </w:rPr>
          <w:fldChar w:fldCharType="begin"/>
        </w:r>
        <w:r w:rsidR="000A08A2">
          <w:rPr>
            <w:noProof/>
            <w:webHidden/>
          </w:rPr>
          <w:instrText xml:space="preserve"> PAGEREF _Toc422312108 \h </w:instrText>
        </w:r>
        <w:r w:rsidR="000A08A2">
          <w:rPr>
            <w:noProof/>
            <w:webHidden/>
          </w:rPr>
        </w:r>
        <w:r w:rsidR="000A08A2">
          <w:rPr>
            <w:noProof/>
            <w:webHidden/>
          </w:rPr>
          <w:fldChar w:fldCharType="separate"/>
        </w:r>
        <w:r w:rsidR="000A08A2">
          <w:rPr>
            <w:noProof/>
            <w:webHidden/>
          </w:rPr>
          <w:t>60</w:t>
        </w:r>
        <w:r w:rsidR="000A08A2">
          <w:rPr>
            <w:noProof/>
            <w:webHidden/>
          </w:rPr>
          <w:fldChar w:fldCharType="end"/>
        </w:r>
      </w:hyperlink>
    </w:p>
    <w:p w14:paraId="5BC9F209"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09" w:history="1">
        <w:r w:rsidR="000A08A2" w:rsidRPr="001864F7">
          <w:rPr>
            <w:rStyle w:val="Hypertextovodkaz"/>
            <w:noProof/>
          </w:rPr>
          <w:t>5.3.2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_Toc422312109 \h </w:instrText>
        </w:r>
        <w:r w:rsidR="000A08A2">
          <w:rPr>
            <w:noProof/>
            <w:webHidden/>
          </w:rPr>
        </w:r>
        <w:r w:rsidR="000A08A2">
          <w:rPr>
            <w:noProof/>
            <w:webHidden/>
          </w:rPr>
          <w:fldChar w:fldCharType="separate"/>
        </w:r>
        <w:r w:rsidR="000A08A2">
          <w:rPr>
            <w:noProof/>
            <w:webHidden/>
          </w:rPr>
          <w:t>61</w:t>
        </w:r>
        <w:r w:rsidR="000A08A2">
          <w:rPr>
            <w:noProof/>
            <w:webHidden/>
          </w:rPr>
          <w:fldChar w:fldCharType="end"/>
        </w:r>
      </w:hyperlink>
    </w:p>
    <w:p w14:paraId="6D5725DF"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0" w:history="1">
        <w:r w:rsidR="000A08A2" w:rsidRPr="001864F7">
          <w:rPr>
            <w:rStyle w:val="Hypertextovodkaz"/>
            <w:noProof/>
          </w:rPr>
          <w:t>5.3.3</w:t>
        </w:r>
        <w:r w:rsidR="000A08A2">
          <w:rPr>
            <w:rFonts w:asciiTheme="minorHAnsi" w:eastAsiaTheme="minorEastAsia" w:hAnsiTheme="minorHAnsi" w:cstheme="minorBidi"/>
            <w:noProof/>
            <w:szCs w:val="22"/>
          </w:rPr>
          <w:tab/>
        </w:r>
        <w:r w:rsidR="000A08A2" w:rsidRPr="001864F7">
          <w:rPr>
            <w:rStyle w:val="Hypertextovodkaz"/>
            <w:noProof/>
          </w:rPr>
          <w:t>Assessment of added value of financial instruments</w:t>
        </w:r>
        <w:r w:rsidR="000A08A2">
          <w:rPr>
            <w:noProof/>
            <w:webHidden/>
          </w:rPr>
          <w:tab/>
        </w:r>
        <w:r w:rsidR="000A08A2">
          <w:rPr>
            <w:noProof/>
            <w:webHidden/>
          </w:rPr>
          <w:fldChar w:fldCharType="begin"/>
        </w:r>
        <w:r w:rsidR="000A08A2">
          <w:rPr>
            <w:noProof/>
            <w:webHidden/>
          </w:rPr>
          <w:instrText xml:space="preserve"> PAGEREF _Toc422312110 \h </w:instrText>
        </w:r>
        <w:r w:rsidR="000A08A2">
          <w:rPr>
            <w:noProof/>
            <w:webHidden/>
          </w:rPr>
        </w:r>
        <w:r w:rsidR="000A08A2">
          <w:rPr>
            <w:noProof/>
            <w:webHidden/>
          </w:rPr>
          <w:fldChar w:fldCharType="separate"/>
        </w:r>
        <w:r w:rsidR="000A08A2">
          <w:rPr>
            <w:noProof/>
            <w:webHidden/>
          </w:rPr>
          <w:t>82</w:t>
        </w:r>
        <w:r w:rsidR="000A08A2">
          <w:rPr>
            <w:noProof/>
            <w:webHidden/>
          </w:rPr>
          <w:fldChar w:fldCharType="end"/>
        </w:r>
      </w:hyperlink>
    </w:p>
    <w:p w14:paraId="4354DDB6"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1" w:history="1">
        <w:r w:rsidR="000A08A2" w:rsidRPr="001864F7">
          <w:rPr>
            <w:rStyle w:val="Hypertextovodkaz"/>
            <w:noProof/>
          </w:rPr>
          <w:t>5.3.4</w:t>
        </w:r>
        <w:r w:rsidR="000A08A2">
          <w:rPr>
            <w:rFonts w:asciiTheme="minorHAnsi" w:eastAsiaTheme="minorEastAsia" w:hAnsiTheme="minorHAnsi" w:cstheme="minorBidi"/>
            <w:noProof/>
            <w:szCs w:val="22"/>
          </w:rPr>
          <w:tab/>
        </w:r>
        <w:r w:rsidR="000A08A2" w:rsidRPr="001864F7">
          <w:rPr>
            <w:rStyle w:val="Hypertextovodkaz"/>
            <w:noProof/>
          </w:rPr>
          <w:t>Estimate of additional public and private resources</w:t>
        </w:r>
        <w:r w:rsidR="000A08A2">
          <w:rPr>
            <w:noProof/>
            <w:webHidden/>
          </w:rPr>
          <w:tab/>
        </w:r>
        <w:r w:rsidR="000A08A2">
          <w:rPr>
            <w:noProof/>
            <w:webHidden/>
          </w:rPr>
          <w:fldChar w:fldCharType="begin"/>
        </w:r>
        <w:r w:rsidR="000A08A2">
          <w:rPr>
            <w:noProof/>
            <w:webHidden/>
          </w:rPr>
          <w:instrText xml:space="preserve"> PAGEREF _Toc422312111 \h </w:instrText>
        </w:r>
        <w:r w:rsidR="000A08A2">
          <w:rPr>
            <w:noProof/>
            <w:webHidden/>
          </w:rPr>
        </w:r>
        <w:r w:rsidR="000A08A2">
          <w:rPr>
            <w:noProof/>
            <w:webHidden/>
          </w:rPr>
          <w:fldChar w:fldCharType="separate"/>
        </w:r>
        <w:r w:rsidR="000A08A2">
          <w:rPr>
            <w:noProof/>
            <w:webHidden/>
          </w:rPr>
          <w:t>90</w:t>
        </w:r>
        <w:r w:rsidR="000A08A2">
          <w:rPr>
            <w:noProof/>
            <w:webHidden/>
          </w:rPr>
          <w:fldChar w:fldCharType="end"/>
        </w:r>
      </w:hyperlink>
    </w:p>
    <w:p w14:paraId="29CA7924"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12" w:history="1">
        <w:r w:rsidR="000A08A2" w:rsidRPr="001864F7">
          <w:rPr>
            <w:rStyle w:val="Hypertextovodkaz"/>
            <w:noProof/>
          </w:rPr>
          <w:t>5.4</w:t>
        </w:r>
        <w:r w:rsidR="000A08A2">
          <w:rPr>
            <w:rFonts w:asciiTheme="minorHAnsi" w:eastAsiaTheme="minorEastAsia" w:hAnsiTheme="minorHAnsi" w:cstheme="minorBidi"/>
            <w:noProof/>
            <w:szCs w:val="22"/>
          </w:rPr>
          <w:tab/>
        </w:r>
        <w:r w:rsidR="000A08A2" w:rsidRPr="001864F7">
          <w:rPr>
            <w:rStyle w:val="Hypertextovodkaz"/>
            <w:noProof/>
          </w:rPr>
          <w:t>Specific objective 2.3 – Increasing business usability of the infrastructure</w:t>
        </w:r>
        <w:r w:rsidR="000A08A2">
          <w:rPr>
            <w:noProof/>
            <w:webHidden/>
          </w:rPr>
          <w:tab/>
        </w:r>
        <w:r w:rsidR="000A08A2">
          <w:rPr>
            <w:noProof/>
            <w:webHidden/>
          </w:rPr>
          <w:fldChar w:fldCharType="begin"/>
        </w:r>
        <w:r w:rsidR="000A08A2">
          <w:rPr>
            <w:noProof/>
            <w:webHidden/>
          </w:rPr>
          <w:instrText xml:space="preserve"> PAGEREF _Toc422312112 \h </w:instrText>
        </w:r>
        <w:r w:rsidR="000A08A2">
          <w:rPr>
            <w:noProof/>
            <w:webHidden/>
          </w:rPr>
        </w:r>
        <w:r w:rsidR="000A08A2">
          <w:rPr>
            <w:noProof/>
            <w:webHidden/>
          </w:rPr>
          <w:fldChar w:fldCharType="separate"/>
        </w:r>
        <w:r w:rsidR="000A08A2">
          <w:rPr>
            <w:noProof/>
            <w:webHidden/>
          </w:rPr>
          <w:t>92</w:t>
        </w:r>
        <w:r w:rsidR="000A08A2">
          <w:rPr>
            <w:noProof/>
            <w:webHidden/>
          </w:rPr>
          <w:fldChar w:fldCharType="end"/>
        </w:r>
      </w:hyperlink>
    </w:p>
    <w:p w14:paraId="579634BE"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3" w:history="1">
        <w:r w:rsidR="000A08A2" w:rsidRPr="001864F7">
          <w:rPr>
            <w:rStyle w:val="Hypertextovodkaz"/>
            <w:noProof/>
          </w:rPr>
          <w:t>5.4.1</w:t>
        </w:r>
        <w:r w:rsidR="000A08A2">
          <w:rPr>
            <w:rFonts w:asciiTheme="minorHAnsi" w:eastAsiaTheme="minorEastAsia" w:hAnsiTheme="minorHAnsi" w:cstheme="minorBidi"/>
            <w:noProof/>
            <w:szCs w:val="22"/>
          </w:rPr>
          <w:tab/>
        </w:r>
        <w:r w:rsidR="000A08A2" w:rsidRPr="001864F7">
          <w:rPr>
            <w:rStyle w:val="Hypertextovodkaz"/>
            <w:noProof/>
          </w:rPr>
          <w:t>Focus of the specific objective</w:t>
        </w:r>
        <w:r w:rsidR="000A08A2">
          <w:rPr>
            <w:noProof/>
            <w:webHidden/>
          </w:rPr>
          <w:tab/>
        </w:r>
        <w:r w:rsidR="000A08A2">
          <w:rPr>
            <w:noProof/>
            <w:webHidden/>
          </w:rPr>
          <w:fldChar w:fldCharType="begin"/>
        </w:r>
        <w:r w:rsidR="000A08A2">
          <w:rPr>
            <w:noProof/>
            <w:webHidden/>
          </w:rPr>
          <w:instrText xml:space="preserve"> PAGEREF _Toc422312113 \h </w:instrText>
        </w:r>
        <w:r w:rsidR="000A08A2">
          <w:rPr>
            <w:noProof/>
            <w:webHidden/>
          </w:rPr>
        </w:r>
        <w:r w:rsidR="000A08A2">
          <w:rPr>
            <w:noProof/>
            <w:webHidden/>
          </w:rPr>
          <w:fldChar w:fldCharType="separate"/>
        </w:r>
        <w:r w:rsidR="000A08A2">
          <w:rPr>
            <w:noProof/>
            <w:webHidden/>
          </w:rPr>
          <w:t>92</w:t>
        </w:r>
        <w:r w:rsidR="000A08A2">
          <w:rPr>
            <w:noProof/>
            <w:webHidden/>
          </w:rPr>
          <w:fldChar w:fldCharType="end"/>
        </w:r>
      </w:hyperlink>
    </w:p>
    <w:p w14:paraId="38722E9F"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4" w:history="1">
        <w:r w:rsidR="000A08A2" w:rsidRPr="001864F7">
          <w:rPr>
            <w:rStyle w:val="Hypertextovodkaz"/>
            <w:noProof/>
          </w:rPr>
          <w:t>5.4.2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_Toc422312114 \h </w:instrText>
        </w:r>
        <w:r w:rsidR="000A08A2">
          <w:rPr>
            <w:noProof/>
            <w:webHidden/>
          </w:rPr>
        </w:r>
        <w:r w:rsidR="000A08A2">
          <w:rPr>
            <w:noProof/>
            <w:webHidden/>
          </w:rPr>
          <w:fldChar w:fldCharType="separate"/>
        </w:r>
        <w:r w:rsidR="000A08A2">
          <w:rPr>
            <w:noProof/>
            <w:webHidden/>
          </w:rPr>
          <w:t>93</w:t>
        </w:r>
        <w:r w:rsidR="000A08A2">
          <w:rPr>
            <w:noProof/>
            <w:webHidden/>
          </w:rPr>
          <w:fldChar w:fldCharType="end"/>
        </w:r>
      </w:hyperlink>
    </w:p>
    <w:p w14:paraId="0F735C30"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5" w:history="1">
        <w:r w:rsidR="000A08A2" w:rsidRPr="001864F7">
          <w:rPr>
            <w:rStyle w:val="Hypertextovodkaz"/>
            <w:noProof/>
          </w:rPr>
          <w:t>5.4.3</w:t>
        </w:r>
        <w:r w:rsidR="000A08A2">
          <w:rPr>
            <w:rFonts w:asciiTheme="minorHAnsi" w:eastAsiaTheme="minorEastAsia" w:hAnsiTheme="minorHAnsi" w:cstheme="minorBidi"/>
            <w:noProof/>
            <w:szCs w:val="22"/>
          </w:rPr>
          <w:tab/>
        </w:r>
        <w:r w:rsidR="000A08A2" w:rsidRPr="001864F7">
          <w:rPr>
            <w:rStyle w:val="Hypertextovodkaz"/>
            <w:noProof/>
          </w:rPr>
          <w:t>Assessment of added value of financial instruments</w:t>
        </w:r>
        <w:r w:rsidR="000A08A2">
          <w:rPr>
            <w:noProof/>
            <w:webHidden/>
          </w:rPr>
          <w:tab/>
        </w:r>
        <w:r w:rsidR="000A08A2">
          <w:rPr>
            <w:noProof/>
            <w:webHidden/>
          </w:rPr>
          <w:fldChar w:fldCharType="begin"/>
        </w:r>
        <w:r w:rsidR="000A08A2">
          <w:rPr>
            <w:noProof/>
            <w:webHidden/>
          </w:rPr>
          <w:instrText xml:space="preserve"> PAGEREF _Toc422312115 \h </w:instrText>
        </w:r>
        <w:r w:rsidR="000A08A2">
          <w:rPr>
            <w:noProof/>
            <w:webHidden/>
          </w:rPr>
        </w:r>
        <w:r w:rsidR="000A08A2">
          <w:rPr>
            <w:noProof/>
            <w:webHidden/>
          </w:rPr>
          <w:fldChar w:fldCharType="separate"/>
        </w:r>
        <w:r w:rsidR="000A08A2">
          <w:rPr>
            <w:noProof/>
            <w:webHidden/>
          </w:rPr>
          <w:t>104</w:t>
        </w:r>
        <w:r w:rsidR="000A08A2">
          <w:rPr>
            <w:noProof/>
            <w:webHidden/>
          </w:rPr>
          <w:fldChar w:fldCharType="end"/>
        </w:r>
      </w:hyperlink>
    </w:p>
    <w:p w14:paraId="57A4496B"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6" w:history="1">
        <w:r w:rsidR="000A08A2" w:rsidRPr="001864F7">
          <w:rPr>
            <w:rStyle w:val="Hypertextovodkaz"/>
            <w:noProof/>
          </w:rPr>
          <w:t>5.4.4</w:t>
        </w:r>
        <w:r w:rsidR="000A08A2">
          <w:rPr>
            <w:rFonts w:asciiTheme="minorHAnsi" w:eastAsiaTheme="minorEastAsia" w:hAnsiTheme="minorHAnsi" w:cstheme="minorBidi"/>
            <w:noProof/>
            <w:szCs w:val="22"/>
          </w:rPr>
          <w:tab/>
        </w:r>
        <w:r w:rsidR="000A08A2" w:rsidRPr="001864F7">
          <w:rPr>
            <w:rStyle w:val="Hypertextovodkaz"/>
            <w:noProof/>
          </w:rPr>
          <w:t>Estimate of additional public and private resources</w:t>
        </w:r>
        <w:r w:rsidR="000A08A2">
          <w:rPr>
            <w:noProof/>
            <w:webHidden/>
          </w:rPr>
          <w:tab/>
        </w:r>
        <w:r w:rsidR="000A08A2">
          <w:rPr>
            <w:noProof/>
            <w:webHidden/>
          </w:rPr>
          <w:fldChar w:fldCharType="begin"/>
        </w:r>
        <w:r w:rsidR="000A08A2">
          <w:rPr>
            <w:noProof/>
            <w:webHidden/>
          </w:rPr>
          <w:instrText xml:space="preserve"> PAGEREF _Toc422312116 \h </w:instrText>
        </w:r>
        <w:r w:rsidR="000A08A2">
          <w:rPr>
            <w:noProof/>
            <w:webHidden/>
          </w:rPr>
        </w:r>
        <w:r w:rsidR="000A08A2">
          <w:rPr>
            <w:noProof/>
            <w:webHidden/>
          </w:rPr>
          <w:fldChar w:fldCharType="separate"/>
        </w:r>
        <w:r w:rsidR="000A08A2">
          <w:rPr>
            <w:noProof/>
            <w:webHidden/>
          </w:rPr>
          <w:t>109</w:t>
        </w:r>
        <w:r w:rsidR="000A08A2">
          <w:rPr>
            <w:noProof/>
            <w:webHidden/>
          </w:rPr>
          <w:fldChar w:fldCharType="end"/>
        </w:r>
      </w:hyperlink>
    </w:p>
    <w:p w14:paraId="54A17F9C"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17" w:history="1">
        <w:r w:rsidR="000A08A2" w:rsidRPr="001864F7">
          <w:rPr>
            <w:rStyle w:val="Hypertextovodkaz"/>
            <w:noProof/>
          </w:rPr>
          <w:t>5.5</w:t>
        </w:r>
        <w:r w:rsidR="000A08A2">
          <w:rPr>
            <w:rFonts w:asciiTheme="minorHAnsi" w:eastAsiaTheme="minorEastAsia" w:hAnsiTheme="minorHAnsi" w:cstheme="minorBidi"/>
            <w:noProof/>
            <w:szCs w:val="22"/>
          </w:rPr>
          <w:tab/>
        </w:r>
        <w:r w:rsidR="000A08A2" w:rsidRPr="001864F7">
          <w:rPr>
            <w:rStyle w:val="Hypertextovodkaz"/>
            <w:noProof/>
          </w:rPr>
          <w:t>Specific objective 3.1 – Increase the share of energy production from RES in the gross final consumption of the Czech Republic</w:t>
        </w:r>
        <w:r w:rsidR="000A08A2">
          <w:rPr>
            <w:noProof/>
            <w:webHidden/>
          </w:rPr>
          <w:tab/>
        </w:r>
        <w:r w:rsidR="000A08A2">
          <w:rPr>
            <w:noProof/>
            <w:webHidden/>
          </w:rPr>
          <w:fldChar w:fldCharType="begin"/>
        </w:r>
        <w:r w:rsidR="000A08A2">
          <w:rPr>
            <w:noProof/>
            <w:webHidden/>
          </w:rPr>
          <w:instrText xml:space="preserve"> PAGEREF _Toc422312117 \h </w:instrText>
        </w:r>
        <w:r w:rsidR="000A08A2">
          <w:rPr>
            <w:noProof/>
            <w:webHidden/>
          </w:rPr>
        </w:r>
        <w:r w:rsidR="000A08A2">
          <w:rPr>
            <w:noProof/>
            <w:webHidden/>
          </w:rPr>
          <w:fldChar w:fldCharType="separate"/>
        </w:r>
        <w:r w:rsidR="000A08A2">
          <w:rPr>
            <w:noProof/>
            <w:webHidden/>
          </w:rPr>
          <w:t>111</w:t>
        </w:r>
        <w:r w:rsidR="000A08A2">
          <w:rPr>
            <w:noProof/>
            <w:webHidden/>
          </w:rPr>
          <w:fldChar w:fldCharType="end"/>
        </w:r>
      </w:hyperlink>
    </w:p>
    <w:p w14:paraId="52A97989"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8" w:history="1">
        <w:r w:rsidR="000A08A2" w:rsidRPr="001864F7">
          <w:rPr>
            <w:rStyle w:val="Hypertextovodkaz"/>
            <w:noProof/>
          </w:rPr>
          <w:t>5.5.1</w:t>
        </w:r>
        <w:r w:rsidR="000A08A2">
          <w:rPr>
            <w:rFonts w:asciiTheme="minorHAnsi" w:eastAsiaTheme="minorEastAsia" w:hAnsiTheme="minorHAnsi" w:cstheme="minorBidi"/>
            <w:noProof/>
            <w:szCs w:val="22"/>
          </w:rPr>
          <w:tab/>
        </w:r>
        <w:r w:rsidR="000A08A2" w:rsidRPr="001864F7">
          <w:rPr>
            <w:rStyle w:val="Hypertextovodkaz"/>
            <w:noProof/>
          </w:rPr>
          <w:t>Goal orientation</w:t>
        </w:r>
        <w:r w:rsidR="000A08A2">
          <w:rPr>
            <w:noProof/>
            <w:webHidden/>
          </w:rPr>
          <w:tab/>
        </w:r>
        <w:r w:rsidR="000A08A2">
          <w:rPr>
            <w:noProof/>
            <w:webHidden/>
          </w:rPr>
          <w:fldChar w:fldCharType="begin"/>
        </w:r>
        <w:r w:rsidR="000A08A2">
          <w:rPr>
            <w:noProof/>
            <w:webHidden/>
          </w:rPr>
          <w:instrText xml:space="preserve"> PAGEREF _Toc422312118 \h </w:instrText>
        </w:r>
        <w:r w:rsidR="000A08A2">
          <w:rPr>
            <w:noProof/>
            <w:webHidden/>
          </w:rPr>
        </w:r>
        <w:r w:rsidR="000A08A2">
          <w:rPr>
            <w:noProof/>
            <w:webHidden/>
          </w:rPr>
          <w:fldChar w:fldCharType="separate"/>
        </w:r>
        <w:r w:rsidR="000A08A2">
          <w:rPr>
            <w:noProof/>
            <w:webHidden/>
          </w:rPr>
          <w:t>111</w:t>
        </w:r>
        <w:r w:rsidR="000A08A2">
          <w:rPr>
            <w:noProof/>
            <w:webHidden/>
          </w:rPr>
          <w:fldChar w:fldCharType="end"/>
        </w:r>
      </w:hyperlink>
    </w:p>
    <w:p w14:paraId="4AA84BE5"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19" w:history="1">
        <w:r w:rsidR="000A08A2" w:rsidRPr="001864F7">
          <w:rPr>
            <w:rStyle w:val="Hypertextovodkaz"/>
            <w:noProof/>
          </w:rPr>
          <w:t>5.5.2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_Toc422312119 \h </w:instrText>
        </w:r>
        <w:r w:rsidR="000A08A2">
          <w:rPr>
            <w:noProof/>
            <w:webHidden/>
          </w:rPr>
        </w:r>
        <w:r w:rsidR="000A08A2">
          <w:rPr>
            <w:noProof/>
            <w:webHidden/>
          </w:rPr>
          <w:fldChar w:fldCharType="separate"/>
        </w:r>
        <w:r w:rsidR="000A08A2">
          <w:rPr>
            <w:noProof/>
            <w:webHidden/>
          </w:rPr>
          <w:t>111</w:t>
        </w:r>
        <w:r w:rsidR="000A08A2">
          <w:rPr>
            <w:noProof/>
            <w:webHidden/>
          </w:rPr>
          <w:fldChar w:fldCharType="end"/>
        </w:r>
      </w:hyperlink>
    </w:p>
    <w:p w14:paraId="357462D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0" w:history="1">
        <w:r w:rsidR="000A08A2" w:rsidRPr="001864F7">
          <w:rPr>
            <w:rStyle w:val="Hypertextovodkaz"/>
            <w:noProof/>
          </w:rPr>
          <w:t>5.5.3</w:t>
        </w:r>
        <w:r w:rsidR="000A08A2">
          <w:rPr>
            <w:rFonts w:asciiTheme="minorHAnsi" w:eastAsiaTheme="minorEastAsia" w:hAnsiTheme="minorHAnsi" w:cstheme="minorBidi"/>
            <w:noProof/>
            <w:szCs w:val="22"/>
          </w:rPr>
          <w:tab/>
        </w:r>
        <w:r w:rsidR="000A08A2" w:rsidRPr="001864F7">
          <w:rPr>
            <w:rStyle w:val="Hypertextovodkaz"/>
            <w:noProof/>
          </w:rPr>
          <w:t>Assessment of the added value of financial instruments</w:t>
        </w:r>
        <w:r w:rsidR="000A08A2">
          <w:rPr>
            <w:noProof/>
            <w:webHidden/>
          </w:rPr>
          <w:tab/>
        </w:r>
        <w:r w:rsidR="000A08A2">
          <w:rPr>
            <w:noProof/>
            <w:webHidden/>
          </w:rPr>
          <w:fldChar w:fldCharType="begin"/>
        </w:r>
        <w:r w:rsidR="000A08A2">
          <w:rPr>
            <w:noProof/>
            <w:webHidden/>
          </w:rPr>
          <w:instrText xml:space="preserve"> PAGEREF _Toc422312120 \h </w:instrText>
        </w:r>
        <w:r w:rsidR="000A08A2">
          <w:rPr>
            <w:noProof/>
            <w:webHidden/>
          </w:rPr>
        </w:r>
        <w:r w:rsidR="000A08A2">
          <w:rPr>
            <w:noProof/>
            <w:webHidden/>
          </w:rPr>
          <w:fldChar w:fldCharType="separate"/>
        </w:r>
        <w:r w:rsidR="000A08A2">
          <w:rPr>
            <w:noProof/>
            <w:webHidden/>
          </w:rPr>
          <w:t>119</w:t>
        </w:r>
        <w:r w:rsidR="000A08A2">
          <w:rPr>
            <w:noProof/>
            <w:webHidden/>
          </w:rPr>
          <w:fldChar w:fldCharType="end"/>
        </w:r>
      </w:hyperlink>
    </w:p>
    <w:p w14:paraId="4D0092FE"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1" w:history="1">
        <w:r w:rsidR="000A08A2" w:rsidRPr="001864F7">
          <w:rPr>
            <w:rStyle w:val="Hypertextovodkaz"/>
            <w:noProof/>
          </w:rPr>
          <w:t>5.5.4</w:t>
        </w:r>
        <w:r w:rsidR="000A08A2">
          <w:rPr>
            <w:rFonts w:asciiTheme="minorHAnsi" w:eastAsiaTheme="minorEastAsia" w:hAnsiTheme="minorHAnsi" w:cstheme="minorBidi"/>
            <w:noProof/>
            <w:szCs w:val="22"/>
          </w:rPr>
          <w:tab/>
        </w:r>
        <w:r w:rsidR="000A08A2" w:rsidRPr="001864F7">
          <w:rPr>
            <w:rStyle w:val="Hypertextovodkaz"/>
            <w:noProof/>
          </w:rPr>
          <w:t>Estimated additional public and private resources.</w:t>
        </w:r>
        <w:r w:rsidR="000A08A2">
          <w:rPr>
            <w:noProof/>
            <w:webHidden/>
          </w:rPr>
          <w:tab/>
        </w:r>
        <w:r w:rsidR="000A08A2">
          <w:rPr>
            <w:noProof/>
            <w:webHidden/>
          </w:rPr>
          <w:fldChar w:fldCharType="begin"/>
        </w:r>
        <w:r w:rsidR="000A08A2">
          <w:rPr>
            <w:noProof/>
            <w:webHidden/>
          </w:rPr>
          <w:instrText xml:space="preserve"> PAGEREF _Toc422312121 \h </w:instrText>
        </w:r>
        <w:r w:rsidR="000A08A2">
          <w:rPr>
            <w:noProof/>
            <w:webHidden/>
          </w:rPr>
        </w:r>
        <w:r w:rsidR="000A08A2">
          <w:rPr>
            <w:noProof/>
            <w:webHidden/>
          </w:rPr>
          <w:fldChar w:fldCharType="separate"/>
        </w:r>
        <w:r w:rsidR="000A08A2">
          <w:rPr>
            <w:noProof/>
            <w:webHidden/>
          </w:rPr>
          <w:t>122</w:t>
        </w:r>
        <w:r w:rsidR="000A08A2">
          <w:rPr>
            <w:noProof/>
            <w:webHidden/>
          </w:rPr>
          <w:fldChar w:fldCharType="end"/>
        </w:r>
      </w:hyperlink>
    </w:p>
    <w:p w14:paraId="2A13FFA7"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22" w:history="1">
        <w:r w:rsidR="000A08A2" w:rsidRPr="001864F7">
          <w:rPr>
            <w:rStyle w:val="Hypertextovodkaz"/>
            <w:noProof/>
          </w:rPr>
          <w:t>5.6</w:t>
        </w:r>
        <w:r w:rsidR="000A08A2">
          <w:rPr>
            <w:rFonts w:asciiTheme="minorHAnsi" w:eastAsiaTheme="minorEastAsia" w:hAnsiTheme="minorHAnsi" w:cstheme="minorBidi"/>
            <w:noProof/>
            <w:szCs w:val="22"/>
          </w:rPr>
          <w:tab/>
        </w:r>
        <w:r w:rsidR="000A08A2" w:rsidRPr="001864F7">
          <w:rPr>
            <w:rStyle w:val="Hypertextovodkaz"/>
            <w:noProof/>
          </w:rPr>
          <w:t>Specific objective 3.2 – Energy intensity reduction of the business sector and development of energetic services</w:t>
        </w:r>
        <w:r w:rsidR="000A08A2">
          <w:rPr>
            <w:noProof/>
            <w:webHidden/>
          </w:rPr>
          <w:tab/>
        </w:r>
        <w:r w:rsidR="000A08A2">
          <w:rPr>
            <w:noProof/>
            <w:webHidden/>
          </w:rPr>
          <w:fldChar w:fldCharType="begin"/>
        </w:r>
        <w:r w:rsidR="000A08A2">
          <w:rPr>
            <w:noProof/>
            <w:webHidden/>
          </w:rPr>
          <w:instrText xml:space="preserve"> PAGEREF _Toc422312122 \h </w:instrText>
        </w:r>
        <w:r w:rsidR="000A08A2">
          <w:rPr>
            <w:noProof/>
            <w:webHidden/>
          </w:rPr>
        </w:r>
        <w:r w:rsidR="000A08A2">
          <w:rPr>
            <w:noProof/>
            <w:webHidden/>
          </w:rPr>
          <w:fldChar w:fldCharType="separate"/>
        </w:r>
        <w:r w:rsidR="000A08A2">
          <w:rPr>
            <w:noProof/>
            <w:webHidden/>
          </w:rPr>
          <w:t>123</w:t>
        </w:r>
        <w:r w:rsidR="000A08A2">
          <w:rPr>
            <w:noProof/>
            <w:webHidden/>
          </w:rPr>
          <w:fldChar w:fldCharType="end"/>
        </w:r>
      </w:hyperlink>
    </w:p>
    <w:p w14:paraId="5C437A4A"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3" w:history="1">
        <w:r w:rsidR="000A08A2" w:rsidRPr="001864F7">
          <w:rPr>
            <w:rStyle w:val="Hypertextovodkaz"/>
            <w:noProof/>
          </w:rPr>
          <w:t>5.6.1</w:t>
        </w:r>
        <w:r w:rsidR="000A08A2">
          <w:rPr>
            <w:rFonts w:asciiTheme="minorHAnsi" w:eastAsiaTheme="minorEastAsia" w:hAnsiTheme="minorHAnsi" w:cstheme="minorBidi"/>
            <w:noProof/>
            <w:szCs w:val="22"/>
          </w:rPr>
          <w:tab/>
        </w:r>
        <w:r w:rsidR="000A08A2" w:rsidRPr="001864F7">
          <w:rPr>
            <w:rStyle w:val="Hypertextovodkaz"/>
            <w:noProof/>
          </w:rPr>
          <w:t>Goal orientation</w:t>
        </w:r>
        <w:r w:rsidR="000A08A2">
          <w:rPr>
            <w:noProof/>
            <w:webHidden/>
          </w:rPr>
          <w:tab/>
        </w:r>
        <w:r w:rsidR="000A08A2">
          <w:rPr>
            <w:noProof/>
            <w:webHidden/>
          </w:rPr>
          <w:fldChar w:fldCharType="begin"/>
        </w:r>
        <w:r w:rsidR="000A08A2">
          <w:rPr>
            <w:noProof/>
            <w:webHidden/>
          </w:rPr>
          <w:instrText xml:space="preserve"> PAGEREF _Toc422312123 \h </w:instrText>
        </w:r>
        <w:r w:rsidR="000A08A2">
          <w:rPr>
            <w:noProof/>
            <w:webHidden/>
          </w:rPr>
        </w:r>
        <w:r w:rsidR="000A08A2">
          <w:rPr>
            <w:noProof/>
            <w:webHidden/>
          </w:rPr>
          <w:fldChar w:fldCharType="separate"/>
        </w:r>
        <w:r w:rsidR="000A08A2">
          <w:rPr>
            <w:noProof/>
            <w:webHidden/>
          </w:rPr>
          <w:t>123</w:t>
        </w:r>
        <w:r w:rsidR="000A08A2">
          <w:rPr>
            <w:noProof/>
            <w:webHidden/>
          </w:rPr>
          <w:fldChar w:fldCharType="end"/>
        </w:r>
      </w:hyperlink>
    </w:p>
    <w:p w14:paraId="23B753CF"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4" w:history="1">
        <w:r w:rsidR="000A08A2" w:rsidRPr="001864F7">
          <w:rPr>
            <w:rStyle w:val="Hypertextovodkaz"/>
            <w:noProof/>
          </w:rPr>
          <w:t>5.6.2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_Toc422312124 \h </w:instrText>
        </w:r>
        <w:r w:rsidR="000A08A2">
          <w:rPr>
            <w:noProof/>
            <w:webHidden/>
          </w:rPr>
        </w:r>
        <w:r w:rsidR="000A08A2">
          <w:rPr>
            <w:noProof/>
            <w:webHidden/>
          </w:rPr>
          <w:fldChar w:fldCharType="separate"/>
        </w:r>
        <w:r w:rsidR="000A08A2">
          <w:rPr>
            <w:noProof/>
            <w:webHidden/>
          </w:rPr>
          <w:t>124</w:t>
        </w:r>
        <w:r w:rsidR="000A08A2">
          <w:rPr>
            <w:noProof/>
            <w:webHidden/>
          </w:rPr>
          <w:fldChar w:fldCharType="end"/>
        </w:r>
      </w:hyperlink>
    </w:p>
    <w:p w14:paraId="4B16E764"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5" w:history="1">
        <w:r w:rsidR="000A08A2" w:rsidRPr="001864F7">
          <w:rPr>
            <w:rStyle w:val="Hypertextovodkaz"/>
            <w:noProof/>
          </w:rPr>
          <w:t>5.6.3</w:t>
        </w:r>
        <w:r w:rsidR="000A08A2">
          <w:rPr>
            <w:rFonts w:asciiTheme="minorHAnsi" w:eastAsiaTheme="minorEastAsia" w:hAnsiTheme="minorHAnsi" w:cstheme="minorBidi"/>
            <w:noProof/>
            <w:szCs w:val="22"/>
          </w:rPr>
          <w:tab/>
        </w:r>
        <w:r w:rsidR="000A08A2" w:rsidRPr="001864F7">
          <w:rPr>
            <w:rStyle w:val="Hypertextovodkaz"/>
            <w:noProof/>
          </w:rPr>
          <w:t>Assessment of the added value of financial instruments</w:t>
        </w:r>
        <w:r w:rsidR="000A08A2">
          <w:rPr>
            <w:noProof/>
            <w:webHidden/>
          </w:rPr>
          <w:tab/>
        </w:r>
        <w:r w:rsidR="000A08A2">
          <w:rPr>
            <w:noProof/>
            <w:webHidden/>
          </w:rPr>
          <w:fldChar w:fldCharType="begin"/>
        </w:r>
        <w:r w:rsidR="000A08A2">
          <w:rPr>
            <w:noProof/>
            <w:webHidden/>
          </w:rPr>
          <w:instrText xml:space="preserve"> PAGEREF _Toc422312125 \h </w:instrText>
        </w:r>
        <w:r w:rsidR="000A08A2">
          <w:rPr>
            <w:noProof/>
            <w:webHidden/>
          </w:rPr>
        </w:r>
        <w:r w:rsidR="000A08A2">
          <w:rPr>
            <w:noProof/>
            <w:webHidden/>
          </w:rPr>
          <w:fldChar w:fldCharType="separate"/>
        </w:r>
        <w:r w:rsidR="000A08A2">
          <w:rPr>
            <w:noProof/>
            <w:webHidden/>
          </w:rPr>
          <w:t>134</w:t>
        </w:r>
        <w:r w:rsidR="000A08A2">
          <w:rPr>
            <w:noProof/>
            <w:webHidden/>
          </w:rPr>
          <w:fldChar w:fldCharType="end"/>
        </w:r>
      </w:hyperlink>
    </w:p>
    <w:p w14:paraId="48B7D433"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6" w:history="1">
        <w:r w:rsidR="000A08A2" w:rsidRPr="001864F7">
          <w:rPr>
            <w:rStyle w:val="Hypertextovodkaz"/>
            <w:noProof/>
          </w:rPr>
          <w:t>5.6.4</w:t>
        </w:r>
        <w:r w:rsidR="000A08A2">
          <w:rPr>
            <w:rFonts w:asciiTheme="minorHAnsi" w:eastAsiaTheme="minorEastAsia" w:hAnsiTheme="minorHAnsi" w:cstheme="minorBidi"/>
            <w:noProof/>
            <w:szCs w:val="22"/>
          </w:rPr>
          <w:tab/>
        </w:r>
        <w:r w:rsidR="000A08A2" w:rsidRPr="001864F7">
          <w:rPr>
            <w:rStyle w:val="Hypertextovodkaz"/>
            <w:noProof/>
          </w:rPr>
          <w:t>Estimated additional public and private resources.</w:t>
        </w:r>
        <w:r w:rsidR="000A08A2">
          <w:rPr>
            <w:noProof/>
            <w:webHidden/>
          </w:rPr>
          <w:tab/>
        </w:r>
        <w:r w:rsidR="000A08A2">
          <w:rPr>
            <w:noProof/>
            <w:webHidden/>
          </w:rPr>
          <w:fldChar w:fldCharType="begin"/>
        </w:r>
        <w:r w:rsidR="000A08A2">
          <w:rPr>
            <w:noProof/>
            <w:webHidden/>
          </w:rPr>
          <w:instrText xml:space="preserve"> PAGEREF _Toc422312126 \h </w:instrText>
        </w:r>
        <w:r w:rsidR="000A08A2">
          <w:rPr>
            <w:noProof/>
            <w:webHidden/>
          </w:rPr>
        </w:r>
        <w:r w:rsidR="000A08A2">
          <w:rPr>
            <w:noProof/>
            <w:webHidden/>
          </w:rPr>
          <w:fldChar w:fldCharType="separate"/>
        </w:r>
        <w:r w:rsidR="000A08A2">
          <w:rPr>
            <w:noProof/>
            <w:webHidden/>
          </w:rPr>
          <w:t>138</w:t>
        </w:r>
        <w:r w:rsidR="000A08A2">
          <w:rPr>
            <w:noProof/>
            <w:webHidden/>
          </w:rPr>
          <w:fldChar w:fldCharType="end"/>
        </w:r>
      </w:hyperlink>
    </w:p>
    <w:p w14:paraId="4F547F72"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27" w:history="1">
        <w:r w:rsidR="000A08A2" w:rsidRPr="001864F7">
          <w:rPr>
            <w:rStyle w:val="Hypertextovodkaz"/>
            <w:noProof/>
          </w:rPr>
          <w:t>5.7</w:t>
        </w:r>
        <w:r w:rsidR="000A08A2">
          <w:rPr>
            <w:rFonts w:asciiTheme="minorHAnsi" w:eastAsiaTheme="minorEastAsia" w:hAnsiTheme="minorHAnsi" w:cstheme="minorBidi"/>
            <w:noProof/>
            <w:szCs w:val="22"/>
          </w:rPr>
          <w:tab/>
        </w:r>
        <w:r w:rsidR="000A08A2" w:rsidRPr="001864F7">
          <w:rPr>
            <w:rStyle w:val="Hypertextovodkaz"/>
            <w:noProof/>
          </w:rPr>
          <w:t>Specific objective 3.5 – Improving the efficiency of the systems for heat supply</w:t>
        </w:r>
        <w:r w:rsidR="000A08A2">
          <w:rPr>
            <w:noProof/>
            <w:webHidden/>
          </w:rPr>
          <w:tab/>
        </w:r>
        <w:r w:rsidR="000A08A2">
          <w:rPr>
            <w:noProof/>
            <w:webHidden/>
          </w:rPr>
          <w:fldChar w:fldCharType="begin"/>
        </w:r>
        <w:r w:rsidR="000A08A2">
          <w:rPr>
            <w:noProof/>
            <w:webHidden/>
          </w:rPr>
          <w:instrText xml:space="preserve"> PAGEREF _Toc422312127 \h </w:instrText>
        </w:r>
        <w:r w:rsidR="000A08A2">
          <w:rPr>
            <w:noProof/>
            <w:webHidden/>
          </w:rPr>
        </w:r>
        <w:r w:rsidR="000A08A2">
          <w:rPr>
            <w:noProof/>
            <w:webHidden/>
          </w:rPr>
          <w:fldChar w:fldCharType="separate"/>
        </w:r>
        <w:r w:rsidR="000A08A2">
          <w:rPr>
            <w:noProof/>
            <w:webHidden/>
          </w:rPr>
          <w:t>139</w:t>
        </w:r>
        <w:r w:rsidR="000A08A2">
          <w:rPr>
            <w:noProof/>
            <w:webHidden/>
          </w:rPr>
          <w:fldChar w:fldCharType="end"/>
        </w:r>
      </w:hyperlink>
    </w:p>
    <w:p w14:paraId="77AA06DC"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8" w:history="1">
        <w:r w:rsidR="000A08A2" w:rsidRPr="001864F7">
          <w:rPr>
            <w:rStyle w:val="Hypertextovodkaz"/>
            <w:noProof/>
          </w:rPr>
          <w:t>5.7.1</w:t>
        </w:r>
        <w:r w:rsidR="000A08A2">
          <w:rPr>
            <w:rFonts w:asciiTheme="minorHAnsi" w:eastAsiaTheme="minorEastAsia" w:hAnsiTheme="minorHAnsi" w:cstheme="minorBidi"/>
            <w:noProof/>
            <w:szCs w:val="22"/>
          </w:rPr>
          <w:tab/>
        </w:r>
        <w:r w:rsidR="000A08A2" w:rsidRPr="001864F7">
          <w:rPr>
            <w:rStyle w:val="Hypertextovodkaz"/>
            <w:noProof/>
          </w:rPr>
          <w:t>Orientation of a specific objective</w:t>
        </w:r>
        <w:r w:rsidR="000A08A2">
          <w:rPr>
            <w:noProof/>
            <w:webHidden/>
          </w:rPr>
          <w:tab/>
        </w:r>
        <w:r w:rsidR="000A08A2">
          <w:rPr>
            <w:noProof/>
            <w:webHidden/>
          </w:rPr>
          <w:fldChar w:fldCharType="begin"/>
        </w:r>
        <w:r w:rsidR="000A08A2">
          <w:rPr>
            <w:noProof/>
            <w:webHidden/>
          </w:rPr>
          <w:instrText xml:space="preserve"> PAGEREF _Toc422312128 \h </w:instrText>
        </w:r>
        <w:r w:rsidR="000A08A2">
          <w:rPr>
            <w:noProof/>
            <w:webHidden/>
          </w:rPr>
        </w:r>
        <w:r w:rsidR="000A08A2">
          <w:rPr>
            <w:noProof/>
            <w:webHidden/>
          </w:rPr>
          <w:fldChar w:fldCharType="separate"/>
        </w:r>
        <w:r w:rsidR="000A08A2">
          <w:rPr>
            <w:noProof/>
            <w:webHidden/>
          </w:rPr>
          <w:t>139</w:t>
        </w:r>
        <w:r w:rsidR="000A08A2">
          <w:rPr>
            <w:noProof/>
            <w:webHidden/>
          </w:rPr>
          <w:fldChar w:fldCharType="end"/>
        </w:r>
      </w:hyperlink>
    </w:p>
    <w:p w14:paraId="50D62CF1"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29" w:history="1">
        <w:r w:rsidR="000A08A2" w:rsidRPr="001864F7">
          <w:rPr>
            <w:rStyle w:val="Hypertextovodkaz"/>
            <w:noProof/>
          </w:rPr>
          <w:t>5.7.2</w:t>
        </w:r>
        <w:r w:rsidR="000A08A2">
          <w:rPr>
            <w:rFonts w:asciiTheme="minorHAnsi" w:eastAsiaTheme="minorEastAsia" w:hAnsiTheme="minorHAnsi" w:cstheme="minorBidi"/>
            <w:noProof/>
            <w:szCs w:val="22"/>
          </w:rPr>
          <w:tab/>
        </w:r>
        <w:r w:rsidR="000A08A2" w:rsidRPr="001864F7">
          <w:rPr>
            <w:rStyle w:val="Hypertextovodkaz"/>
            <w:noProof/>
          </w:rPr>
          <w:t>Analysis of market failures</w:t>
        </w:r>
        <w:r w:rsidR="000A08A2">
          <w:rPr>
            <w:noProof/>
            <w:webHidden/>
          </w:rPr>
          <w:tab/>
        </w:r>
        <w:r w:rsidR="000A08A2">
          <w:rPr>
            <w:noProof/>
            <w:webHidden/>
          </w:rPr>
          <w:fldChar w:fldCharType="begin"/>
        </w:r>
        <w:r w:rsidR="000A08A2">
          <w:rPr>
            <w:noProof/>
            <w:webHidden/>
          </w:rPr>
          <w:instrText xml:space="preserve"> PAGEREF _Toc422312129 \h </w:instrText>
        </w:r>
        <w:r w:rsidR="000A08A2">
          <w:rPr>
            <w:noProof/>
            <w:webHidden/>
          </w:rPr>
        </w:r>
        <w:r w:rsidR="000A08A2">
          <w:rPr>
            <w:noProof/>
            <w:webHidden/>
          </w:rPr>
          <w:fldChar w:fldCharType="separate"/>
        </w:r>
        <w:r w:rsidR="000A08A2">
          <w:rPr>
            <w:noProof/>
            <w:webHidden/>
          </w:rPr>
          <w:t>140</w:t>
        </w:r>
        <w:r w:rsidR="000A08A2">
          <w:rPr>
            <w:noProof/>
            <w:webHidden/>
          </w:rPr>
          <w:fldChar w:fldCharType="end"/>
        </w:r>
      </w:hyperlink>
    </w:p>
    <w:p w14:paraId="4386FFAE"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0" w:history="1">
        <w:r w:rsidR="000A08A2" w:rsidRPr="001864F7">
          <w:rPr>
            <w:rStyle w:val="Hypertextovodkaz"/>
            <w:noProof/>
          </w:rPr>
          <w:t>5.7.3</w:t>
        </w:r>
        <w:r w:rsidR="000A08A2">
          <w:rPr>
            <w:rFonts w:asciiTheme="minorHAnsi" w:eastAsiaTheme="minorEastAsia" w:hAnsiTheme="minorHAnsi" w:cstheme="minorBidi"/>
            <w:noProof/>
            <w:szCs w:val="22"/>
          </w:rPr>
          <w:tab/>
        </w:r>
        <w:r w:rsidR="000A08A2" w:rsidRPr="001864F7">
          <w:rPr>
            <w:rStyle w:val="Hypertextovodkaz"/>
            <w:noProof/>
          </w:rPr>
          <w:t>Assessment of the added value of financial instruments</w:t>
        </w:r>
        <w:r w:rsidR="000A08A2">
          <w:rPr>
            <w:noProof/>
            <w:webHidden/>
          </w:rPr>
          <w:tab/>
        </w:r>
        <w:r w:rsidR="000A08A2">
          <w:rPr>
            <w:noProof/>
            <w:webHidden/>
          </w:rPr>
          <w:fldChar w:fldCharType="begin"/>
        </w:r>
        <w:r w:rsidR="000A08A2">
          <w:rPr>
            <w:noProof/>
            <w:webHidden/>
          </w:rPr>
          <w:instrText xml:space="preserve"> PAGEREF _Toc422312130 \h </w:instrText>
        </w:r>
        <w:r w:rsidR="000A08A2">
          <w:rPr>
            <w:noProof/>
            <w:webHidden/>
          </w:rPr>
        </w:r>
        <w:r w:rsidR="000A08A2">
          <w:rPr>
            <w:noProof/>
            <w:webHidden/>
          </w:rPr>
          <w:fldChar w:fldCharType="separate"/>
        </w:r>
        <w:r w:rsidR="000A08A2">
          <w:rPr>
            <w:noProof/>
            <w:webHidden/>
          </w:rPr>
          <w:t>146</w:t>
        </w:r>
        <w:r w:rsidR="000A08A2">
          <w:rPr>
            <w:noProof/>
            <w:webHidden/>
          </w:rPr>
          <w:fldChar w:fldCharType="end"/>
        </w:r>
      </w:hyperlink>
    </w:p>
    <w:p w14:paraId="2D0B7FCB"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1" w:history="1">
        <w:r w:rsidR="000A08A2" w:rsidRPr="001864F7">
          <w:rPr>
            <w:rStyle w:val="Hypertextovodkaz"/>
            <w:noProof/>
          </w:rPr>
          <w:t>5.7.4</w:t>
        </w:r>
        <w:r w:rsidR="000A08A2">
          <w:rPr>
            <w:rFonts w:asciiTheme="minorHAnsi" w:eastAsiaTheme="minorEastAsia" w:hAnsiTheme="minorHAnsi" w:cstheme="minorBidi"/>
            <w:noProof/>
            <w:szCs w:val="22"/>
          </w:rPr>
          <w:tab/>
        </w:r>
        <w:r w:rsidR="000A08A2" w:rsidRPr="001864F7">
          <w:rPr>
            <w:rStyle w:val="Hypertextovodkaz"/>
            <w:noProof/>
          </w:rPr>
          <w:t>Estimated additional public and private resources</w:t>
        </w:r>
        <w:r w:rsidR="000A08A2">
          <w:rPr>
            <w:noProof/>
            <w:webHidden/>
          </w:rPr>
          <w:tab/>
        </w:r>
        <w:r w:rsidR="000A08A2">
          <w:rPr>
            <w:noProof/>
            <w:webHidden/>
          </w:rPr>
          <w:fldChar w:fldCharType="begin"/>
        </w:r>
        <w:r w:rsidR="000A08A2">
          <w:rPr>
            <w:noProof/>
            <w:webHidden/>
          </w:rPr>
          <w:instrText xml:space="preserve"> PAGEREF _Toc422312131 \h </w:instrText>
        </w:r>
        <w:r w:rsidR="000A08A2">
          <w:rPr>
            <w:noProof/>
            <w:webHidden/>
          </w:rPr>
        </w:r>
        <w:r w:rsidR="000A08A2">
          <w:rPr>
            <w:noProof/>
            <w:webHidden/>
          </w:rPr>
          <w:fldChar w:fldCharType="separate"/>
        </w:r>
        <w:r w:rsidR="000A08A2">
          <w:rPr>
            <w:noProof/>
            <w:webHidden/>
          </w:rPr>
          <w:t>149</w:t>
        </w:r>
        <w:r w:rsidR="000A08A2">
          <w:rPr>
            <w:noProof/>
            <w:webHidden/>
          </w:rPr>
          <w:fldChar w:fldCharType="end"/>
        </w:r>
      </w:hyperlink>
    </w:p>
    <w:p w14:paraId="2D325076"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32" w:history="1">
        <w:r w:rsidR="000A08A2" w:rsidRPr="001864F7">
          <w:rPr>
            <w:rStyle w:val="Hypertextovodkaz"/>
            <w:noProof/>
          </w:rPr>
          <w:t>5.8</w:t>
        </w:r>
        <w:r w:rsidR="000A08A2">
          <w:rPr>
            <w:rFonts w:asciiTheme="minorHAnsi" w:eastAsiaTheme="minorEastAsia" w:hAnsiTheme="minorHAnsi" w:cstheme="minorBidi"/>
            <w:noProof/>
            <w:szCs w:val="22"/>
          </w:rPr>
          <w:tab/>
        </w:r>
        <w:r w:rsidR="000A08A2" w:rsidRPr="001864F7">
          <w:rPr>
            <w:rStyle w:val="Hypertextovodkaz"/>
            <w:noProof/>
          </w:rPr>
          <w:t>Specific objective 4.1- Increase the coverage via Internet high-speed access</w:t>
        </w:r>
        <w:r w:rsidR="000A08A2">
          <w:rPr>
            <w:noProof/>
            <w:webHidden/>
          </w:rPr>
          <w:tab/>
        </w:r>
        <w:r w:rsidR="000A08A2">
          <w:rPr>
            <w:noProof/>
            <w:webHidden/>
          </w:rPr>
          <w:fldChar w:fldCharType="begin"/>
        </w:r>
        <w:r w:rsidR="000A08A2">
          <w:rPr>
            <w:noProof/>
            <w:webHidden/>
          </w:rPr>
          <w:instrText xml:space="preserve"> PAGEREF _Toc422312132 \h </w:instrText>
        </w:r>
        <w:r w:rsidR="000A08A2">
          <w:rPr>
            <w:noProof/>
            <w:webHidden/>
          </w:rPr>
        </w:r>
        <w:r w:rsidR="000A08A2">
          <w:rPr>
            <w:noProof/>
            <w:webHidden/>
          </w:rPr>
          <w:fldChar w:fldCharType="separate"/>
        </w:r>
        <w:r w:rsidR="000A08A2">
          <w:rPr>
            <w:noProof/>
            <w:webHidden/>
          </w:rPr>
          <w:t>150</w:t>
        </w:r>
        <w:r w:rsidR="000A08A2">
          <w:rPr>
            <w:noProof/>
            <w:webHidden/>
          </w:rPr>
          <w:fldChar w:fldCharType="end"/>
        </w:r>
      </w:hyperlink>
    </w:p>
    <w:p w14:paraId="7E457DCE"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3" w:history="1">
        <w:r w:rsidR="000A08A2" w:rsidRPr="001864F7">
          <w:rPr>
            <w:rStyle w:val="Hypertextovodkaz"/>
            <w:noProof/>
          </w:rPr>
          <w:t>5.8.1</w:t>
        </w:r>
        <w:r w:rsidR="000A08A2">
          <w:rPr>
            <w:rFonts w:asciiTheme="minorHAnsi" w:eastAsiaTheme="minorEastAsia" w:hAnsiTheme="minorHAnsi" w:cstheme="minorBidi"/>
            <w:noProof/>
            <w:szCs w:val="22"/>
          </w:rPr>
          <w:tab/>
        </w:r>
        <w:r w:rsidR="000A08A2" w:rsidRPr="001864F7">
          <w:rPr>
            <w:rStyle w:val="Hypertextovodkaz"/>
            <w:noProof/>
          </w:rPr>
          <w:t>Orientation of a specific objective</w:t>
        </w:r>
        <w:r w:rsidR="000A08A2">
          <w:rPr>
            <w:noProof/>
            <w:webHidden/>
          </w:rPr>
          <w:tab/>
        </w:r>
        <w:r w:rsidR="000A08A2">
          <w:rPr>
            <w:noProof/>
            <w:webHidden/>
          </w:rPr>
          <w:fldChar w:fldCharType="begin"/>
        </w:r>
        <w:r w:rsidR="000A08A2">
          <w:rPr>
            <w:noProof/>
            <w:webHidden/>
          </w:rPr>
          <w:instrText xml:space="preserve"> PAGEREF _Toc422312133 \h </w:instrText>
        </w:r>
        <w:r w:rsidR="000A08A2">
          <w:rPr>
            <w:noProof/>
            <w:webHidden/>
          </w:rPr>
        </w:r>
        <w:r w:rsidR="000A08A2">
          <w:rPr>
            <w:noProof/>
            <w:webHidden/>
          </w:rPr>
          <w:fldChar w:fldCharType="separate"/>
        </w:r>
        <w:r w:rsidR="000A08A2">
          <w:rPr>
            <w:noProof/>
            <w:webHidden/>
          </w:rPr>
          <w:t>150</w:t>
        </w:r>
        <w:r w:rsidR="000A08A2">
          <w:rPr>
            <w:noProof/>
            <w:webHidden/>
          </w:rPr>
          <w:fldChar w:fldCharType="end"/>
        </w:r>
      </w:hyperlink>
    </w:p>
    <w:p w14:paraId="4AF837DA"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4" w:history="1">
        <w:r w:rsidR="000A08A2" w:rsidRPr="001864F7">
          <w:rPr>
            <w:rStyle w:val="Hypertextovodkaz"/>
            <w:noProof/>
          </w:rPr>
          <w:t>5.8.2</w:t>
        </w:r>
        <w:r w:rsidR="000A08A2">
          <w:rPr>
            <w:rFonts w:asciiTheme="minorHAnsi" w:eastAsiaTheme="minorEastAsia" w:hAnsiTheme="minorHAnsi" w:cstheme="minorBidi"/>
            <w:noProof/>
            <w:szCs w:val="22"/>
          </w:rPr>
          <w:tab/>
        </w:r>
        <w:r w:rsidR="000A08A2" w:rsidRPr="001864F7">
          <w:rPr>
            <w:rStyle w:val="Hypertextovodkaz"/>
            <w:noProof/>
          </w:rPr>
          <w:t>Analysis of the market failure</w:t>
        </w:r>
        <w:r w:rsidR="000A08A2">
          <w:rPr>
            <w:noProof/>
            <w:webHidden/>
          </w:rPr>
          <w:tab/>
        </w:r>
        <w:r w:rsidR="000A08A2">
          <w:rPr>
            <w:noProof/>
            <w:webHidden/>
          </w:rPr>
          <w:fldChar w:fldCharType="begin"/>
        </w:r>
        <w:r w:rsidR="000A08A2">
          <w:rPr>
            <w:noProof/>
            <w:webHidden/>
          </w:rPr>
          <w:instrText xml:space="preserve"> PAGEREF _Toc422312134 \h </w:instrText>
        </w:r>
        <w:r w:rsidR="000A08A2">
          <w:rPr>
            <w:noProof/>
            <w:webHidden/>
          </w:rPr>
        </w:r>
        <w:r w:rsidR="000A08A2">
          <w:rPr>
            <w:noProof/>
            <w:webHidden/>
          </w:rPr>
          <w:fldChar w:fldCharType="separate"/>
        </w:r>
        <w:r w:rsidR="000A08A2">
          <w:rPr>
            <w:noProof/>
            <w:webHidden/>
          </w:rPr>
          <w:t>151</w:t>
        </w:r>
        <w:r w:rsidR="000A08A2">
          <w:rPr>
            <w:noProof/>
            <w:webHidden/>
          </w:rPr>
          <w:fldChar w:fldCharType="end"/>
        </w:r>
      </w:hyperlink>
    </w:p>
    <w:p w14:paraId="2F839551" w14:textId="77777777" w:rsidR="000A08A2" w:rsidRDefault="0012136C">
      <w:pPr>
        <w:pStyle w:val="Obsah1"/>
        <w:rPr>
          <w:rFonts w:asciiTheme="minorHAnsi" w:eastAsiaTheme="minorEastAsia" w:hAnsiTheme="minorHAnsi" w:cstheme="minorBidi"/>
          <w:noProof/>
          <w:szCs w:val="22"/>
        </w:rPr>
      </w:pPr>
      <w:hyperlink w:anchor="_Toc422312135" w:history="1">
        <w:r w:rsidR="000A08A2" w:rsidRPr="001864F7">
          <w:rPr>
            <w:rStyle w:val="Hypertextovodkaz"/>
            <w:noProof/>
          </w:rPr>
          <w:t>6</w:t>
        </w:r>
        <w:r w:rsidR="000A08A2">
          <w:rPr>
            <w:rFonts w:asciiTheme="minorHAnsi" w:eastAsiaTheme="minorEastAsia" w:hAnsiTheme="minorHAnsi" w:cstheme="minorBidi"/>
            <w:noProof/>
            <w:szCs w:val="22"/>
          </w:rPr>
          <w:tab/>
        </w:r>
        <w:r w:rsidR="000A08A2" w:rsidRPr="001864F7">
          <w:rPr>
            <w:rStyle w:val="Hypertextovodkaz"/>
            <w:noProof/>
          </w:rPr>
          <w:t>Block II: Proposed appropriate strategy</w:t>
        </w:r>
        <w:r w:rsidR="000A08A2">
          <w:rPr>
            <w:noProof/>
            <w:webHidden/>
          </w:rPr>
          <w:tab/>
        </w:r>
        <w:r w:rsidR="000A08A2">
          <w:rPr>
            <w:noProof/>
            <w:webHidden/>
          </w:rPr>
          <w:fldChar w:fldCharType="begin"/>
        </w:r>
        <w:r w:rsidR="000A08A2">
          <w:rPr>
            <w:noProof/>
            <w:webHidden/>
          </w:rPr>
          <w:instrText xml:space="preserve"> PAGEREF _Toc422312135 \h </w:instrText>
        </w:r>
        <w:r w:rsidR="000A08A2">
          <w:rPr>
            <w:noProof/>
            <w:webHidden/>
          </w:rPr>
        </w:r>
        <w:r w:rsidR="000A08A2">
          <w:rPr>
            <w:noProof/>
            <w:webHidden/>
          </w:rPr>
          <w:fldChar w:fldCharType="separate"/>
        </w:r>
        <w:r w:rsidR="000A08A2">
          <w:rPr>
            <w:noProof/>
            <w:webHidden/>
          </w:rPr>
          <w:t>156</w:t>
        </w:r>
        <w:r w:rsidR="000A08A2">
          <w:rPr>
            <w:noProof/>
            <w:webHidden/>
          </w:rPr>
          <w:fldChar w:fldCharType="end"/>
        </w:r>
      </w:hyperlink>
    </w:p>
    <w:p w14:paraId="66040636"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36" w:history="1">
        <w:r w:rsidR="000A08A2" w:rsidRPr="001864F7">
          <w:rPr>
            <w:rStyle w:val="Hypertextovodkaz"/>
            <w:noProof/>
          </w:rPr>
          <w:t>6.1</w:t>
        </w:r>
        <w:r w:rsidR="000A08A2">
          <w:rPr>
            <w:rFonts w:asciiTheme="minorHAnsi" w:eastAsiaTheme="minorEastAsia" w:hAnsiTheme="minorHAnsi" w:cstheme="minorBidi"/>
            <w:noProof/>
            <w:szCs w:val="22"/>
          </w:rPr>
          <w:tab/>
        </w:r>
        <w:r w:rsidR="000A08A2" w:rsidRPr="001864F7">
          <w:rPr>
            <w:rStyle w:val="Hypertextovodkaz"/>
            <w:noProof/>
          </w:rPr>
          <w:t>Assessment of experience gained in the past</w:t>
        </w:r>
        <w:r w:rsidR="000A08A2">
          <w:rPr>
            <w:noProof/>
            <w:webHidden/>
          </w:rPr>
          <w:tab/>
        </w:r>
        <w:r w:rsidR="000A08A2">
          <w:rPr>
            <w:noProof/>
            <w:webHidden/>
          </w:rPr>
          <w:fldChar w:fldCharType="begin"/>
        </w:r>
        <w:r w:rsidR="000A08A2">
          <w:rPr>
            <w:noProof/>
            <w:webHidden/>
          </w:rPr>
          <w:instrText xml:space="preserve"> PAGEREF _Toc422312136 \h </w:instrText>
        </w:r>
        <w:r w:rsidR="000A08A2">
          <w:rPr>
            <w:noProof/>
            <w:webHidden/>
          </w:rPr>
        </w:r>
        <w:r w:rsidR="000A08A2">
          <w:rPr>
            <w:noProof/>
            <w:webHidden/>
          </w:rPr>
          <w:fldChar w:fldCharType="separate"/>
        </w:r>
        <w:r w:rsidR="000A08A2">
          <w:rPr>
            <w:noProof/>
            <w:webHidden/>
          </w:rPr>
          <w:t>156</w:t>
        </w:r>
        <w:r w:rsidR="000A08A2">
          <w:rPr>
            <w:noProof/>
            <w:webHidden/>
          </w:rPr>
          <w:fldChar w:fldCharType="end"/>
        </w:r>
      </w:hyperlink>
    </w:p>
    <w:p w14:paraId="436F31E4"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7" w:history="1">
        <w:r w:rsidR="000A08A2" w:rsidRPr="001864F7">
          <w:rPr>
            <w:rStyle w:val="Hypertextovodkaz"/>
            <w:noProof/>
          </w:rPr>
          <w:t>6.1.1</w:t>
        </w:r>
        <w:r w:rsidR="000A08A2">
          <w:rPr>
            <w:rFonts w:asciiTheme="minorHAnsi" w:eastAsiaTheme="minorEastAsia" w:hAnsiTheme="minorHAnsi" w:cstheme="minorBidi"/>
            <w:noProof/>
            <w:szCs w:val="22"/>
          </w:rPr>
          <w:tab/>
        </w:r>
        <w:r w:rsidR="000A08A2" w:rsidRPr="001864F7">
          <w:rPr>
            <w:rStyle w:val="Hypertextovodkaz"/>
            <w:noProof/>
          </w:rPr>
          <w:t>Specific objective 1.1</w:t>
        </w:r>
        <w:r w:rsidR="000A08A2">
          <w:rPr>
            <w:noProof/>
            <w:webHidden/>
          </w:rPr>
          <w:tab/>
        </w:r>
        <w:r w:rsidR="000A08A2">
          <w:rPr>
            <w:noProof/>
            <w:webHidden/>
          </w:rPr>
          <w:fldChar w:fldCharType="begin"/>
        </w:r>
        <w:r w:rsidR="000A08A2">
          <w:rPr>
            <w:noProof/>
            <w:webHidden/>
          </w:rPr>
          <w:instrText xml:space="preserve"> PAGEREF _Toc422312137 \h </w:instrText>
        </w:r>
        <w:r w:rsidR="000A08A2">
          <w:rPr>
            <w:noProof/>
            <w:webHidden/>
          </w:rPr>
        </w:r>
        <w:r w:rsidR="000A08A2">
          <w:rPr>
            <w:noProof/>
            <w:webHidden/>
          </w:rPr>
          <w:fldChar w:fldCharType="separate"/>
        </w:r>
        <w:r w:rsidR="000A08A2">
          <w:rPr>
            <w:noProof/>
            <w:webHidden/>
          </w:rPr>
          <w:t>156</w:t>
        </w:r>
        <w:r w:rsidR="000A08A2">
          <w:rPr>
            <w:noProof/>
            <w:webHidden/>
          </w:rPr>
          <w:fldChar w:fldCharType="end"/>
        </w:r>
      </w:hyperlink>
    </w:p>
    <w:p w14:paraId="1BD9BD5D"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8" w:history="1">
        <w:r w:rsidR="000A08A2" w:rsidRPr="001864F7">
          <w:rPr>
            <w:rStyle w:val="Hypertextovodkaz"/>
            <w:noProof/>
          </w:rPr>
          <w:t>6.1.2</w:t>
        </w:r>
        <w:r w:rsidR="000A08A2">
          <w:rPr>
            <w:rFonts w:asciiTheme="minorHAnsi" w:eastAsiaTheme="minorEastAsia" w:hAnsiTheme="minorHAnsi" w:cstheme="minorBidi"/>
            <w:noProof/>
            <w:szCs w:val="22"/>
          </w:rPr>
          <w:tab/>
        </w:r>
        <w:r w:rsidR="000A08A2" w:rsidRPr="001864F7">
          <w:rPr>
            <w:rStyle w:val="Hypertextovodkaz"/>
            <w:noProof/>
          </w:rPr>
          <w:t>Specific objective 1.2</w:t>
        </w:r>
        <w:r w:rsidR="000A08A2">
          <w:rPr>
            <w:noProof/>
            <w:webHidden/>
          </w:rPr>
          <w:tab/>
        </w:r>
        <w:r w:rsidR="000A08A2">
          <w:rPr>
            <w:noProof/>
            <w:webHidden/>
          </w:rPr>
          <w:fldChar w:fldCharType="begin"/>
        </w:r>
        <w:r w:rsidR="000A08A2">
          <w:rPr>
            <w:noProof/>
            <w:webHidden/>
          </w:rPr>
          <w:instrText xml:space="preserve"> PAGEREF _Toc422312138 \h </w:instrText>
        </w:r>
        <w:r w:rsidR="000A08A2">
          <w:rPr>
            <w:noProof/>
            <w:webHidden/>
          </w:rPr>
        </w:r>
        <w:r w:rsidR="000A08A2">
          <w:rPr>
            <w:noProof/>
            <w:webHidden/>
          </w:rPr>
          <w:fldChar w:fldCharType="separate"/>
        </w:r>
        <w:r w:rsidR="000A08A2">
          <w:rPr>
            <w:noProof/>
            <w:webHidden/>
          </w:rPr>
          <w:t>158</w:t>
        </w:r>
        <w:r w:rsidR="000A08A2">
          <w:rPr>
            <w:noProof/>
            <w:webHidden/>
          </w:rPr>
          <w:fldChar w:fldCharType="end"/>
        </w:r>
      </w:hyperlink>
    </w:p>
    <w:p w14:paraId="0B4261D8"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39" w:history="1">
        <w:r w:rsidR="000A08A2" w:rsidRPr="001864F7">
          <w:rPr>
            <w:rStyle w:val="Hypertextovodkaz"/>
            <w:noProof/>
          </w:rPr>
          <w:t>6.1.3</w:t>
        </w:r>
        <w:r w:rsidR="000A08A2">
          <w:rPr>
            <w:rFonts w:asciiTheme="minorHAnsi" w:eastAsiaTheme="minorEastAsia" w:hAnsiTheme="minorHAnsi" w:cstheme="minorBidi"/>
            <w:noProof/>
            <w:szCs w:val="22"/>
          </w:rPr>
          <w:tab/>
        </w:r>
        <w:r w:rsidR="000A08A2" w:rsidRPr="001864F7">
          <w:rPr>
            <w:rStyle w:val="Hypertextovodkaz"/>
            <w:noProof/>
          </w:rPr>
          <w:t>Specific objective 2.1</w:t>
        </w:r>
        <w:r w:rsidR="000A08A2">
          <w:rPr>
            <w:noProof/>
            <w:webHidden/>
          </w:rPr>
          <w:tab/>
        </w:r>
        <w:r w:rsidR="000A08A2">
          <w:rPr>
            <w:noProof/>
            <w:webHidden/>
          </w:rPr>
          <w:fldChar w:fldCharType="begin"/>
        </w:r>
        <w:r w:rsidR="000A08A2">
          <w:rPr>
            <w:noProof/>
            <w:webHidden/>
          </w:rPr>
          <w:instrText xml:space="preserve"> PAGEREF _Toc422312139 \h </w:instrText>
        </w:r>
        <w:r w:rsidR="000A08A2">
          <w:rPr>
            <w:noProof/>
            <w:webHidden/>
          </w:rPr>
        </w:r>
        <w:r w:rsidR="000A08A2">
          <w:rPr>
            <w:noProof/>
            <w:webHidden/>
          </w:rPr>
          <w:fldChar w:fldCharType="separate"/>
        </w:r>
        <w:r w:rsidR="000A08A2">
          <w:rPr>
            <w:noProof/>
            <w:webHidden/>
          </w:rPr>
          <w:t>161</w:t>
        </w:r>
        <w:r w:rsidR="000A08A2">
          <w:rPr>
            <w:noProof/>
            <w:webHidden/>
          </w:rPr>
          <w:fldChar w:fldCharType="end"/>
        </w:r>
      </w:hyperlink>
    </w:p>
    <w:p w14:paraId="0CB052C5"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0" w:history="1">
        <w:r w:rsidR="000A08A2" w:rsidRPr="001864F7">
          <w:rPr>
            <w:rStyle w:val="Hypertextovodkaz"/>
            <w:noProof/>
          </w:rPr>
          <w:t>6.1.4</w:t>
        </w:r>
        <w:r w:rsidR="000A08A2">
          <w:rPr>
            <w:rFonts w:asciiTheme="minorHAnsi" w:eastAsiaTheme="minorEastAsia" w:hAnsiTheme="minorHAnsi" w:cstheme="minorBidi"/>
            <w:noProof/>
            <w:szCs w:val="22"/>
          </w:rPr>
          <w:tab/>
        </w:r>
        <w:r w:rsidR="000A08A2" w:rsidRPr="001864F7">
          <w:rPr>
            <w:rStyle w:val="Hypertextovodkaz"/>
            <w:noProof/>
          </w:rPr>
          <w:t>Specific objective 2.3</w:t>
        </w:r>
        <w:r w:rsidR="000A08A2">
          <w:rPr>
            <w:noProof/>
            <w:webHidden/>
          </w:rPr>
          <w:tab/>
        </w:r>
        <w:r w:rsidR="000A08A2">
          <w:rPr>
            <w:noProof/>
            <w:webHidden/>
          </w:rPr>
          <w:fldChar w:fldCharType="begin"/>
        </w:r>
        <w:r w:rsidR="000A08A2">
          <w:rPr>
            <w:noProof/>
            <w:webHidden/>
          </w:rPr>
          <w:instrText xml:space="preserve"> PAGEREF _Toc422312140 \h </w:instrText>
        </w:r>
        <w:r w:rsidR="000A08A2">
          <w:rPr>
            <w:noProof/>
            <w:webHidden/>
          </w:rPr>
        </w:r>
        <w:r w:rsidR="000A08A2">
          <w:rPr>
            <w:noProof/>
            <w:webHidden/>
          </w:rPr>
          <w:fldChar w:fldCharType="separate"/>
        </w:r>
        <w:r w:rsidR="000A08A2">
          <w:rPr>
            <w:noProof/>
            <w:webHidden/>
          </w:rPr>
          <w:t>165</w:t>
        </w:r>
        <w:r w:rsidR="000A08A2">
          <w:rPr>
            <w:noProof/>
            <w:webHidden/>
          </w:rPr>
          <w:fldChar w:fldCharType="end"/>
        </w:r>
      </w:hyperlink>
    </w:p>
    <w:p w14:paraId="636404FD"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1" w:history="1">
        <w:r w:rsidR="000A08A2" w:rsidRPr="001864F7">
          <w:rPr>
            <w:rStyle w:val="Hypertextovodkaz"/>
            <w:noProof/>
          </w:rPr>
          <w:t>6.1.5</w:t>
        </w:r>
        <w:r w:rsidR="000A08A2">
          <w:rPr>
            <w:rFonts w:asciiTheme="minorHAnsi" w:eastAsiaTheme="minorEastAsia" w:hAnsiTheme="minorHAnsi" w:cstheme="minorBidi"/>
            <w:noProof/>
            <w:szCs w:val="22"/>
          </w:rPr>
          <w:tab/>
        </w:r>
        <w:r w:rsidR="000A08A2" w:rsidRPr="001864F7">
          <w:rPr>
            <w:rStyle w:val="Hypertextovodkaz"/>
            <w:noProof/>
          </w:rPr>
          <w:t>Specific objective 3.1</w:t>
        </w:r>
        <w:r w:rsidR="000A08A2">
          <w:rPr>
            <w:noProof/>
            <w:webHidden/>
          </w:rPr>
          <w:tab/>
        </w:r>
        <w:r w:rsidR="000A08A2">
          <w:rPr>
            <w:noProof/>
            <w:webHidden/>
          </w:rPr>
          <w:fldChar w:fldCharType="begin"/>
        </w:r>
        <w:r w:rsidR="000A08A2">
          <w:rPr>
            <w:noProof/>
            <w:webHidden/>
          </w:rPr>
          <w:instrText xml:space="preserve"> PAGEREF _Toc422312141 \h </w:instrText>
        </w:r>
        <w:r w:rsidR="000A08A2">
          <w:rPr>
            <w:noProof/>
            <w:webHidden/>
          </w:rPr>
        </w:r>
        <w:r w:rsidR="000A08A2">
          <w:rPr>
            <w:noProof/>
            <w:webHidden/>
          </w:rPr>
          <w:fldChar w:fldCharType="separate"/>
        </w:r>
        <w:r w:rsidR="000A08A2">
          <w:rPr>
            <w:noProof/>
            <w:webHidden/>
          </w:rPr>
          <w:t>170</w:t>
        </w:r>
        <w:r w:rsidR="000A08A2">
          <w:rPr>
            <w:noProof/>
            <w:webHidden/>
          </w:rPr>
          <w:fldChar w:fldCharType="end"/>
        </w:r>
      </w:hyperlink>
    </w:p>
    <w:p w14:paraId="0F204B4F"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2" w:history="1">
        <w:r w:rsidR="000A08A2" w:rsidRPr="001864F7">
          <w:rPr>
            <w:rStyle w:val="Hypertextovodkaz"/>
            <w:noProof/>
          </w:rPr>
          <w:t>6.1.6</w:t>
        </w:r>
        <w:r w:rsidR="000A08A2">
          <w:rPr>
            <w:rFonts w:asciiTheme="minorHAnsi" w:eastAsiaTheme="minorEastAsia" w:hAnsiTheme="minorHAnsi" w:cstheme="minorBidi"/>
            <w:noProof/>
            <w:szCs w:val="22"/>
          </w:rPr>
          <w:tab/>
        </w:r>
        <w:r w:rsidR="000A08A2" w:rsidRPr="001864F7">
          <w:rPr>
            <w:rStyle w:val="Hypertextovodkaz"/>
            <w:noProof/>
          </w:rPr>
          <w:t>Specific objective 3.2</w:t>
        </w:r>
        <w:r w:rsidR="000A08A2">
          <w:rPr>
            <w:noProof/>
            <w:webHidden/>
          </w:rPr>
          <w:tab/>
        </w:r>
        <w:r w:rsidR="000A08A2">
          <w:rPr>
            <w:noProof/>
            <w:webHidden/>
          </w:rPr>
          <w:fldChar w:fldCharType="begin"/>
        </w:r>
        <w:r w:rsidR="000A08A2">
          <w:rPr>
            <w:noProof/>
            <w:webHidden/>
          </w:rPr>
          <w:instrText xml:space="preserve"> PAGEREF _Toc422312142 \h </w:instrText>
        </w:r>
        <w:r w:rsidR="000A08A2">
          <w:rPr>
            <w:noProof/>
            <w:webHidden/>
          </w:rPr>
        </w:r>
        <w:r w:rsidR="000A08A2">
          <w:rPr>
            <w:noProof/>
            <w:webHidden/>
          </w:rPr>
          <w:fldChar w:fldCharType="separate"/>
        </w:r>
        <w:r w:rsidR="000A08A2">
          <w:rPr>
            <w:noProof/>
            <w:webHidden/>
          </w:rPr>
          <w:t>171</w:t>
        </w:r>
        <w:r w:rsidR="000A08A2">
          <w:rPr>
            <w:noProof/>
            <w:webHidden/>
          </w:rPr>
          <w:fldChar w:fldCharType="end"/>
        </w:r>
      </w:hyperlink>
    </w:p>
    <w:p w14:paraId="64F5D0AA"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3" w:history="1">
        <w:r w:rsidR="000A08A2" w:rsidRPr="001864F7">
          <w:rPr>
            <w:rStyle w:val="Hypertextovodkaz"/>
            <w:noProof/>
          </w:rPr>
          <w:t>6.1.7</w:t>
        </w:r>
        <w:r w:rsidR="000A08A2">
          <w:rPr>
            <w:rFonts w:asciiTheme="minorHAnsi" w:eastAsiaTheme="minorEastAsia" w:hAnsiTheme="minorHAnsi" w:cstheme="minorBidi"/>
            <w:noProof/>
            <w:szCs w:val="22"/>
          </w:rPr>
          <w:tab/>
        </w:r>
        <w:r w:rsidR="000A08A2" w:rsidRPr="001864F7">
          <w:rPr>
            <w:rStyle w:val="Hypertextovodkaz"/>
            <w:noProof/>
          </w:rPr>
          <w:t>Specific objective 3.5</w:t>
        </w:r>
        <w:r w:rsidR="000A08A2">
          <w:rPr>
            <w:noProof/>
            <w:webHidden/>
          </w:rPr>
          <w:tab/>
        </w:r>
        <w:r w:rsidR="000A08A2">
          <w:rPr>
            <w:noProof/>
            <w:webHidden/>
          </w:rPr>
          <w:fldChar w:fldCharType="begin"/>
        </w:r>
        <w:r w:rsidR="000A08A2">
          <w:rPr>
            <w:noProof/>
            <w:webHidden/>
          </w:rPr>
          <w:instrText xml:space="preserve"> PAGEREF _Toc422312143 \h </w:instrText>
        </w:r>
        <w:r w:rsidR="000A08A2">
          <w:rPr>
            <w:noProof/>
            <w:webHidden/>
          </w:rPr>
        </w:r>
        <w:r w:rsidR="000A08A2">
          <w:rPr>
            <w:noProof/>
            <w:webHidden/>
          </w:rPr>
          <w:fldChar w:fldCharType="separate"/>
        </w:r>
        <w:r w:rsidR="000A08A2">
          <w:rPr>
            <w:noProof/>
            <w:webHidden/>
          </w:rPr>
          <w:t>173</w:t>
        </w:r>
        <w:r w:rsidR="000A08A2">
          <w:rPr>
            <w:noProof/>
            <w:webHidden/>
          </w:rPr>
          <w:fldChar w:fldCharType="end"/>
        </w:r>
      </w:hyperlink>
    </w:p>
    <w:p w14:paraId="45530816"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4" w:history="1">
        <w:r w:rsidR="000A08A2" w:rsidRPr="001864F7">
          <w:rPr>
            <w:rStyle w:val="Hypertextovodkaz"/>
            <w:noProof/>
          </w:rPr>
          <w:t>6.1.8</w:t>
        </w:r>
        <w:r w:rsidR="000A08A2">
          <w:rPr>
            <w:rFonts w:asciiTheme="minorHAnsi" w:eastAsiaTheme="minorEastAsia" w:hAnsiTheme="minorHAnsi" w:cstheme="minorBidi"/>
            <w:noProof/>
            <w:szCs w:val="22"/>
          </w:rPr>
          <w:tab/>
        </w:r>
        <w:r w:rsidR="000A08A2" w:rsidRPr="001864F7">
          <w:rPr>
            <w:rStyle w:val="Hypertextovodkaz"/>
            <w:noProof/>
          </w:rPr>
          <w:t>Specific objective 4.1</w:t>
        </w:r>
        <w:r w:rsidR="000A08A2">
          <w:rPr>
            <w:noProof/>
            <w:webHidden/>
          </w:rPr>
          <w:tab/>
        </w:r>
        <w:r w:rsidR="000A08A2">
          <w:rPr>
            <w:noProof/>
            <w:webHidden/>
          </w:rPr>
          <w:fldChar w:fldCharType="begin"/>
        </w:r>
        <w:r w:rsidR="000A08A2">
          <w:rPr>
            <w:noProof/>
            <w:webHidden/>
          </w:rPr>
          <w:instrText xml:space="preserve"> PAGEREF _Toc422312144 \h </w:instrText>
        </w:r>
        <w:r w:rsidR="000A08A2">
          <w:rPr>
            <w:noProof/>
            <w:webHidden/>
          </w:rPr>
        </w:r>
        <w:r w:rsidR="000A08A2">
          <w:rPr>
            <w:noProof/>
            <w:webHidden/>
          </w:rPr>
          <w:fldChar w:fldCharType="separate"/>
        </w:r>
        <w:r w:rsidR="000A08A2">
          <w:rPr>
            <w:noProof/>
            <w:webHidden/>
          </w:rPr>
          <w:t>174</w:t>
        </w:r>
        <w:r w:rsidR="000A08A2">
          <w:rPr>
            <w:noProof/>
            <w:webHidden/>
          </w:rPr>
          <w:fldChar w:fldCharType="end"/>
        </w:r>
      </w:hyperlink>
    </w:p>
    <w:p w14:paraId="1D6A1746"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45" w:history="1">
        <w:r w:rsidR="000A08A2" w:rsidRPr="001864F7">
          <w:rPr>
            <w:rStyle w:val="Hypertextovodkaz"/>
            <w:noProof/>
          </w:rPr>
          <w:t>6.2</w:t>
        </w:r>
        <w:r w:rsidR="000A08A2">
          <w:rPr>
            <w:rFonts w:asciiTheme="minorHAnsi" w:eastAsiaTheme="minorEastAsia" w:hAnsiTheme="minorHAnsi" w:cstheme="minorBidi"/>
            <w:noProof/>
            <w:szCs w:val="22"/>
          </w:rPr>
          <w:tab/>
        </w:r>
        <w:r w:rsidR="000A08A2" w:rsidRPr="001864F7">
          <w:rPr>
            <w:rStyle w:val="Hypertextovodkaz"/>
            <w:noProof/>
          </w:rPr>
          <w:t>Proposed investment strategy and expected results</w:t>
        </w:r>
        <w:r w:rsidR="000A08A2">
          <w:rPr>
            <w:noProof/>
            <w:webHidden/>
          </w:rPr>
          <w:tab/>
        </w:r>
        <w:r w:rsidR="000A08A2">
          <w:rPr>
            <w:noProof/>
            <w:webHidden/>
          </w:rPr>
          <w:fldChar w:fldCharType="begin"/>
        </w:r>
        <w:r w:rsidR="000A08A2">
          <w:rPr>
            <w:noProof/>
            <w:webHidden/>
          </w:rPr>
          <w:instrText xml:space="preserve"> PAGEREF _Toc422312145 \h </w:instrText>
        </w:r>
        <w:r w:rsidR="000A08A2">
          <w:rPr>
            <w:noProof/>
            <w:webHidden/>
          </w:rPr>
        </w:r>
        <w:r w:rsidR="000A08A2">
          <w:rPr>
            <w:noProof/>
            <w:webHidden/>
          </w:rPr>
          <w:fldChar w:fldCharType="separate"/>
        </w:r>
        <w:r w:rsidR="000A08A2">
          <w:rPr>
            <w:noProof/>
            <w:webHidden/>
          </w:rPr>
          <w:t>176</w:t>
        </w:r>
        <w:r w:rsidR="000A08A2">
          <w:rPr>
            <w:noProof/>
            <w:webHidden/>
          </w:rPr>
          <w:fldChar w:fldCharType="end"/>
        </w:r>
      </w:hyperlink>
    </w:p>
    <w:p w14:paraId="0A0BA5C2"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6" w:history="1">
        <w:r w:rsidR="000A08A2" w:rsidRPr="001864F7">
          <w:rPr>
            <w:rStyle w:val="Hypertextovodkaz"/>
            <w:noProof/>
          </w:rPr>
          <w:t>6.2.1</w:t>
        </w:r>
        <w:r w:rsidR="000A08A2">
          <w:rPr>
            <w:rFonts w:asciiTheme="minorHAnsi" w:eastAsiaTheme="minorEastAsia" w:hAnsiTheme="minorHAnsi" w:cstheme="minorBidi"/>
            <w:noProof/>
            <w:szCs w:val="22"/>
          </w:rPr>
          <w:tab/>
        </w:r>
        <w:r w:rsidR="000A08A2" w:rsidRPr="001864F7">
          <w:rPr>
            <w:rStyle w:val="Hypertextovodkaz"/>
            <w:noProof/>
          </w:rPr>
          <w:t>Specific objective 1.1</w:t>
        </w:r>
        <w:r w:rsidR="000A08A2">
          <w:rPr>
            <w:noProof/>
            <w:webHidden/>
          </w:rPr>
          <w:tab/>
        </w:r>
        <w:r w:rsidR="000A08A2">
          <w:rPr>
            <w:noProof/>
            <w:webHidden/>
          </w:rPr>
          <w:fldChar w:fldCharType="begin"/>
        </w:r>
        <w:r w:rsidR="000A08A2">
          <w:rPr>
            <w:noProof/>
            <w:webHidden/>
          </w:rPr>
          <w:instrText xml:space="preserve"> PAGEREF _Toc422312146 \h </w:instrText>
        </w:r>
        <w:r w:rsidR="000A08A2">
          <w:rPr>
            <w:noProof/>
            <w:webHidden/>
          </w:rPr>
        </w:r>
        <w:r w:rsidR="000A08A2">
          <w:rPr>
            <w:noProof/>
            <w:webHidden/>
          </w:rPr>
          <w:fldChar w:fldCharType="separate"/>
        </w:r>
        <w:r w:rsidR="000A08A2">
          <w:rPr>
            <w:noProof/>
            <w:webHidden/>
          </w:rPr>
          <w:t>176</w:t>
        </w:r>
        <w:r w:rsidR="000A08A2">
          <w:rPr>
            <w:noProof/>
            <w:webHidden/>
          </w:rPr>
          <w:fldChar w:fldCharType="end"/>
        </w:r>
      </w:hyperlink>
    </w:p>
    <w:p w14:paraId="7BE2C855"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7" w:history="1">
        <w:r w:rsidR="000A08A2" w:rsidRPr="001864F7">
          <w:rPr>
            <w:rStyle w:val="Hypertextovodkaz"/>
            <w:noProof/>
          </w:rPr>
          <w:t>6.2.2</w:t>
        </w:r>
        <w:r w:rsidR="000A08A2">
          <w:rPr>
            <w:rFonts w:asciiTheme="minorHAnsi" w:eastAsiaTheme="minorEastAsia" w:hAnsiTheme="minorHAnsi" w:cstheme="minorBidi"/>
            <w:noProof/>
            <w:szCs w:val="22"/>
          </w:rPr>
          <w:tab/>
        </w:r>
        <w:r w:rsidR="000A08A2" w:rsidRPr="001864F7">
          <w:rPr>
            <w:rStyle w:val="Hypertextovodkaz"/>
            <w:noProof/>
          </w:rPr>
          <w:t>Specific objective 1.2</w:t>
        </w:r>
        <w:r w:rsidR="000A08A2">
          <w:rPr>
            <w:noProof/>
            <w:webHidden/>
          </w:rPr>
          <w:tab/>
        </w:r>
        <w:r w:rsidR="000A08A2">
          <w:rPr>
            <w:noProof/>
            <w:webHidden/>
          </w:rPr>
          <w:fldChar w:fldCharType="begin"/>
        </w:r>
        <w:r w:rsidR="000A08A2">
          <w:rPr>
            <w:noProof/>
            <w:webHidden/>
          </w:rPr>
          <w:instrText xml:space="preserve"> PAGEREF _Toc422312147 \h </w:instrText>
        </w:r>
        <w:r w:rsidR="000A08A2">
          <w:rPr>
            <w:noProof/>
            <w:webHidden/>
          </w:rPr>
        </w:r>
        <w:r w:rsidR="000A08A2">
          <w:rPr>
            <w:noProof/>
            <w:webHidden/>
          </w:rPr>
          <w:fldChar w:fldCharType="separate"/>
        </w:r>
        <w:r w:rsidR="000A08A2">
          <w:rPr>
            <w:noProof/>
            <w:webHidden/>
          </w:rPr>
          <w:t>180</w:t>
        </w:r>
        <w:r w:rsidR="000A08A2">
          <w:rPr>
            <w:noProof/>
            <w:webHidden/>
          </w:rPr>
          <w:fldChar w:fldCharType="end"/>
        </w:r>
      </w:hyperlink>
    </w:p>
    <w:p w14:paraId="462C624F"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8" w:history="1">
        <w:r w:rsidR="000A08A2" w:rsidRPr="001864F7">
          <w:rPr>
            <w:rStyle w:val="Hypertextovodkaz"/>
            <w:noProof/>
          </w:rPr>
          <w:t>6.2.3</w:t>
        </w:r>
        <w:r w:rsidR="000A08A2">
          <w:rPr>
            <w:rFonts w:asciiTheme="minorHAnsi" w:eastAsiaTheme="minorEastAsia" w:hAnsiTheme="minorHAnsi" w:cstheme="minorBidi"/>
            <w:noProof/>
            <w:szCs w:val="22"/>
          </w:rPr>
          <w:tab/>
        </w:r>
        <w:r w:rsidR="000A08A2" w:rsidRPr="001864F7">
          <w:rPr>
            <w:rStyle w:val="Hypertextovodkaz"/>
            <w:noProof/>
          </w:rPr>
          <w:t>Specific objective 2.1</w:t>
        </w:r>
        <w:r w:rsidR="000A08A2">
          <w:rPr>
            <w:noProof/>
            <w:webHidden/>
          </w:rPr>
          <w:tab/>
        </w:r>
        <w:r w:rsidR="000A08A2">
          <w:rPr>
            <w:noProof/>
            <w:webHidden/>
          </w:rPr>
          <w:fldChar w:fldCharType="begin"/>
        </w:r>
        <w:r w:rsidR="000A08A2">
          <w:rPr>
            <w:noProof/>
            <w:webHidden/>
          </w:rPr>
          <w:instrText xml:space="preserve"> PAGEREF _Toc422312148 \h </w:instrText>
        </w:r>
        <w:r w:rsidR="000A08A2">
          <w:rPr>
            <w:noProof/>
            <w:webHidden/>
          </w:rPr>
        </w:r>
        <w:r w:rsidR="000A08A2">
          <w:rPr>
            <w:noProof/>
            <w:webHidden/>
          </w:rPr>
          <w:fldChar w:fldCharType="separate"/>
        </w:r>
        <w:r w:rsidR="000A08A2">
          <w:rPr>
            <w:noProof/>
            <w:webHidden/>
          </w:rPr>
          <w:t>186</w:t>
        </w:r>
        <w:r w:rsidR="000A08A2">
          <w:rPr>
            <w:noProof/>
            <w:webHidden/>
          </w:rPr>
          <w:fldChar w:fldCharType="end"/>
        </w:r>
      </w:hyperlink>
    </w:p>
    <w:p w14:paraId="2FC44D3D"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49" w:history="1">
        <w:r w:rsidR="000A08A2" w:rsidRPr="001864F7">
          <w:rPr>
            <w:rStyle w:val="Hypertextovodkaz"/>
            <w:noProof/>
          </w:rPr>
          <w:t>6.2.4</w:t>
        </w:r>
        <w:r w:rsidR="000A08A2">
          <w:rPr>
            <w:rFonts w:asciiTheme="minorHAnsi" w:eastAsiaTheme="minorEastAsia" w:hAnsiTheme="minorHAnsi" w:cstheme="minorBidi"/>
            <w:noProof/>
            <w:szCs w:val="22"/>
          </w:rPr>
          <w:tab/>
        </w:r>
        <w:r w:rsidR="000A08A2" w:rsidRPr="001864F7">
          <w:rPr>
            <w:rStyle w:val="Hypertextovodkaz"/>
            <w:noProof/>
          </w:rPr>
          <w:t>Specific objective 2.3</w:t>
        </w:r>
        <w:r w:rsidR="000A08A2">
          <w:rPr>
            <w:noProof/>
            <w:webHidden/>
          </w:rPr>
          <w:tab/>
        </w:r>
        <w:r w:rsidR="000A08A2">
          <w:rPr>
            <w:noProof/>
            <w:webHidden/>
          </w:rPr>
          <w:fldChar w:fldCharType="begin"/>
        </w:r>
        <w:r w:rsidR="000A08A2">
          <w:rPr>
            <w:noProof/>
            <w:webHidden/>
          </w:rPr>
          <w:instrText xml:space="preserve"> PAGEREF _Toc422312149 \h </w:instrText>
        </w:r>
        <w:r w:rsidR="000A08A2">
          <w:rPr>
            <w:noProof/>
            <w:webHidden/>
          </w:rPr>
        </w:r>
        <w:r w:rsidR="000A08A2">
          <w:rPr>
            <w:noProof/>
            <w:webHidden/>
          </w:rPr>
          <w:fldChar w:fldCharType="separate"/>
        </w:r>
        <w:r w:rsidR="000A08A2">
          <w:rPr>
            <w:noProof/>
            <w:webHidden/>
          </w:rPr>
          <w:t>198</w:t>
        </w:r>
        <w:r w:rsidR="000A08A2">
          <w:rPr>
            <w:noProof/>
            <w:webHidden/>
          </w:rPr>
          <w:fldChar w:fldCharType="end"/>
        </w:r>
      </w:hyperlink>
    </w:p>
    <w:p w14:paraId="18D3DD2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0" w:history="1">
        <w:r w:rsidR="000A08A2" w:rsidRPr="001864F7">
          <w:rPr>
            <w:rStyle w:val="Hypertextovodkaz"/>
            <w:noProof/>
          </w:rPr>
          <w:t>6.2.5</w:t>
        </w:r>
        <w:r w:rsidR="000A08A2">
          <w:rPr>
            <w:rFonts w:asciiTheme="minorHAnsi" w:eastAsiaTheme="minorEastAsia" w:hAnsiTheme="minorHAnsi" w:cstheme="minorBidi"/>
            <w:noProof/>
            <w:szCs w:val="22"/>
          </w:rPr>
          <w:tab/>
        </w:r>
        <w:r w:rsidR="000A08A2" w:rsidRPr="001864F7">
          <w:rPr>
            <w:rStyle w:val="Hypertextovodkaz"/>
            <w:noProof/>
          </w:rPr>
          <w:t>Specific objective 3.1</w:t>
        </w:r>
        <w:r w:rsidR="000A08A2">
          <w:rPr>
            <w:noProof/>
            <w:webHidden/>
          </w:rPr>
          <w:tab/>
        </w:r>
        <w:r w:rsidR="000A08A2">
          <w:rPr>
            <w:noProof/>
            <w:webHidden/>
          </w:rPr>
          <w:fldChar w:fldCharType="begin"/>
        </w:r>
        <w:r w:rsidR="000A08A2">
          <w:rPr>
            <w:noProof/>
            <w:webHidden/>
          </w:rPr>
          <w:instrText xml:space="preserve"> PAGEREF _Toc422312150 \h </w:instrText>
        </w:r>
        <w:r w:rsidR="000A08A2">
          <w:rPr>
            <w:noProof/>
            <w:webHidden/>
          </w:rPr>
        </w:r>
        <w:r w:rsidR="000A08A2">
          <w:rPr>
            <w:noProof/>
            <w:webHidden/>
          </w:rPr>
          <w:fldChar w:fldCharType="separate"/>
        </w:r>
        <w:r w:rsidR="000A08A2">
          <w:rPr>
            <w:noProof/>
            <w:webHidden/>
          </w:rPr>
          <w:t>206</w:t>
        </w:r>
        <w:r w:rsidR="000A08A2">
          <w:rPr>
            <w:noProof/>
            <w:webHidden/>
          </w:rPr>
          <w:fldChar w:fldCharType="end"/>
        </w:r>
      </w:hyperlink>
    </w:p>
    <w:p w14:paraId="12D7D94B"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1" w:history="1">
        <w:r w:rsidR="000A08A2" w:rsidRPr="001864F7">
          <w:rPr>
            <w:rStyle w:val="Hypertextovodkaz"/>
            <w:noProof/>
          </w:rPr>
          <w:t>6.2.6</w:t>
        </w:r>
        <w:r w:rsidR="000A08A2">
          <w:rPr>
            <w:rFonts w:asciiTheme="minorHAnsi" w:eastAsiaTheme="minorEastAsia" w:hAnsiTheme="minorHAnsi" w:cstheme="minorBidi"/>
            <w:noProof/>
            <w:szCs w:val="22"/>
          </w:rPr>
          <w:tab/>
        </w:r>
        <w:r w:rsidR="000A08A2" w:rsidRPr="001864F7">
          <w:rPr>
            <w:rStyle w:val="Hypertextovodkaz"/>
            <w:noProof/>
          </w:rPr>
          <w:t>Specific objective 3.2</w:t>
        </w:r>
        <w:r w:rsidR="000A08A2">
          <w:rPr>
            <w:noProof/>
            <w:webHidden/>
          </w:rPr>
          <w:tab/>
        </w:r>
        <w:r w:rsidR="000A08A2">
          <w:rPr>
            <w:noProof/>
            <w:webHidden/>
          </w:rPr>
          <w:fldChar w:fldCharType="begin"/>
        </w:r>
        <w:r w:rsidR="000A08A2">
          <w:rPr>
            <w:noProof/>
            <w:webHidden/>
          </w:rPr>
          <w:instrText xml:space="preserve"> PAGEREF _Toc422312151 \h </w:instrText>
        </w:r>
        <w:r w:rsidR="000A08A2">
          <w:rPr>
            <w:noProof/>
            <w:webHidden/>
          </w:rPr>
        </w:r>
        <w:r w:rsidR="000A08A2">
          <w:rPr>
            <w:noProof/>
            <w:webHidden/>
          </w:rPr>
          <w:fldChar w:fldCharType="separate"/>
        </w:r>
        <w:r w:rsidR="000A08A2">
          <w:rPr>
            <w:noProof/>
            <w:webHidden/>
          </w:rPr>
          <w:t>211</w:t>
        </w:r>
        <w:r w:rsidR="000A08A2">
          <w:rPr>
            <w:noProof/>
            <w:webHidden/>
          </w:rPr>
          <w:fldChar w:fldCharType="end"/>
        </w:r>
      </w:hyperlink>
    </w:p>
    <w:p w14:paraId="7DB7C79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2" w:history="1">
        <w:r w:rsidR="000A08A2" w:rsidRPr="001864F7">
          <w:rPr>
            <w:rStyle w:val="Hypertextovodkaz"/>
            <w:noProof/>
          </w:rPr>
          <w:t>6.2.7</w:t>
        </w:r>
        <w:r w:rsidR="000A08A2">
          <w:rPr>
            <w:rFonts w:asciiTheme="minorHAnsi" w:eastAsiaTheme="minorEastAsia" w:hAnsiTheme="minorHAnsi" w:cstheme="minorBidi"/>
            <w:noProof/>
            <w:szCs w:val="22"/>
          </w:rPr>
          <w:tab/>
        </w:r>
        <w:r w:rsidR="000A08A2" w:rsidRPr="001864F7">
          <w:rPr>
            <w:rStyle w:val="Hypertextovodkaz"/>
            <w:noProof/>
          </w:rPr>
          <w:t>Specific objective 3.5</w:t>
        </w:r>
        <w:r w:rsidR="000A08A2">
          <w:rPr>
            <w:noProof/>
            <w:webHidden/>
          </w:rPr>
          <w:tab/>
        </w:r>
        <w:r w:rsidR="000A08A2">
          <w:rPr>
            <w:noProof/>
            <w:webHidden/>
          </w:rPr>
          <w:fldChar w:fldCharType="begin"/>
        </w:r>
        <w:r w:rsidR="000A08A2">
          <w:rPr>
            <w:noProof/>
            <w:webHidden/>
          </w:rPr>
          <w:instrText xml:space="preserve"> PAGEREF _Toc422312152 \h </w:instrText>
        </w:r>
        <w:r w:rsidR="000A08A2">
          <w:rPr>
            <w:noProof/>
            <w:webHidden/>
          </w:rPr>
        </w:r>
        <w:r w:rsidR="000A08A2">
          <w:rPr>
            <w:noProof/>
            <w:webHidden/>
          </w:rPr>
          <w:fldChar w:fldCharType="separate"/>
        </w:r>
        <w:r w:rsidR="000A08A2">
          <w:rPr>
            <w:noProof/>
            <w:webHidden/>
          </w:rPr>
          <w:t>218</w:t>
        </w:r>
        <w:r w:rsidR="000A08A2">
          <w:rPr>
            <w:noProof/>
            <w:webHidden/>
          </w:rPr>
          <w:fldChar w:fldCharType="end"/>
        </w:r>
      </w:hyperlink>
    </w:p>
    <w:p w14:paraId="0E70F8A6"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3" w:history="1">
        <w:r w:rsidR="000A08A2" w:rsidRPr="001864F7">
          <w:rPr>
            <w:rStyle w:val="Hypertextovodkaz"/>
            <w:noProof/>
          </w:rPr>
          <w:t>6.2.8</w:t>
        </w:r>
        <w:r w:rsidR="000A08A2">
          <w:rPr>
            <w:rFonts w:asciiTheme="minorHAnsi" w:eastAsiaTheme="minorEastAsia" w:hAnsiTheme="minorHAnsi" w:cstheme="minorBidi"/>
            <w:noProof/>
            <w:szCs w:val="22"/>
          </w:rPr>
          <w:tab/>
        </w:r>
        <w:r w:rsidR="000A08A2" w:rsidRPr="001864F7">
          <w:rPr>
            <w:rStyle w:val="Hypertextovodkaz"/>
            <w:noProof/>
          </w:rPr>
          <w:t>Specific objective 4.1</w:t>
        </w:r>
        <w:r w:rsidR="000A08A2">
          <w:rPr>
            <w:noProof/>
            <w:webHidden/>
          </w:rPr>
          <w:tab/>
        </w:r>
        <w:r w:rsidR="000A08A2">
          <w:rPr>
            <w:noProof/>
            <w:webHidden/>
          </w:rPr>
          <w:fldChar w:fldCharType="begin"/>
        </w:r>
        <w:r w:rsidR="000A08A2">
          <w:rPr>
            <w:noProof/>
            <w:webHidden/>
          </w:rPr>
          <w:instrText xml:space="preserve"> PAGEREF _Toc422312153 \h </w:instrText>
        </w:r>
        <w:r w:rsidR="000A08A2">
          <w:rPr>
            <w:noProof/>
            <w:webHidden/>
          </w:rPr>
        </w:r>
        <w:r w:rsidR="000A08A2">
          <w:rPr>
            <w:noProof/>
            <w:webHidden/>
          </w:rPr>
          <w:fldChar w:fldCharType="separate"/>
        </w:r>
        <w:r w:rsidR="000A08A2">
          <w:rPr>
            <w:noProof/>
            <w:webHidden/>
          </w:rPr>
          <w:t>223</w:t>
        </w:r>
        <w:r w:rsidR="000A08A2">
          <w:rPr>
            <w:noProof/>
            <w:webHidden/>
          </w:rPr>
          <w:fldChar w:fldCharType="end"/>
        </w:r>
      </w:hyperlink>
    </w:p>
    <w:p w14:paraId="1EFFB779"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54" w:history="1">
        <w:r w:rsidR="000A08A2" w:rsidRPr="001864F7">
          <w:rPr>
            <w:rStyle w:val="Hypertextovodkaz"/>
            <w:noProof/>
          </w:rPr>
          <w:t>6.3</w:t>
        </w:r>
        <w:r w:rsidR="000A08A2">
          <w:rPr>
            <w:rFonts w:asciiTheme="minorHAnsi" w:eastAsiaTheme="minorEastAsia" w:hAnsiTheme="minorHAnsi" w:cstheme="minorBidi"/>
            <w:noProof/>
            <w:szCs w:val="22"/>
          </w:rPr>
          <w:tab/>
        </w:r>
        <w:r w:rsidR="000A08A2" w:rsidRPr="001864F7">
          <w:rPr>
            <w:rStyle w:val="Hypertextovodkaz"/>
            <w:noProof/>
          </w:rPr>
          <w:t>Implementation of financial instruments</w:t>
        </w:r>
        <w:r w:rsidR="000A08A2">
          <w:rPr>
            <w:noProof/>
            <w:webHidden/>
          </w:rPr>
          <w:tab/>
        </w:r>
        <w:r w:rsidR="000A08A2">
          <w:rPr>
            <w:noProof/>
            <w:webHidden/>
          </w:rPr>
          <w:fldChar w:fldCharType="begin"/>
        </w:r>
        <w:r w:rsidR="000A08A2">
          <w:rPr>
            <w:noProof/>
            <w:webHidden/>
          </w:rPr>
          <w:instrText xml:space="preserve"> PAGEREF _Toc422312154 \h </w:instrText>
        </w:r>
        <w:r w:rsidR="000A08A2">
          <w:rPr>
            <w:noProof/>
            <w:webHidden/>
          </w:rPr>
        </w:r>
        <w:r w:rsidR="000A08A2">
          <w:rPr>
            <w:noProof/>
            <w:webHidden/>
          </w:rPr>
          <w:fldChar w:fldCharType="separate"/>
        </w:r>
        <w:r w:rsidR="000A08A2">
          <w:rPr>
            <w:noProof/>
            <w:webHidden/>
          </w:rPr>
          <w:t>225</w:t>
        </w:r>
        <w:r w:rsidR="000A08A2">
          <w:rPr>
            <w:noProof/>
            <w:webHidden/>
          </w:rPr>
          <w:fldChar w:fldCharType="end"/>
        </w:r>
      </w:hyperlink>
    </w:p>
    <w:p w14:paraId="532E552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5" w:history="1">
        <w:r w:rsidR="000A08A2" w:rsidRPr="001864F7">
          <w:rPr>
            <w:rStyle w:val="Hypertextovodkaz"/>
            <w:noProof/>
          </w:rPr>
          <w:t>6.3.1</w:t>
        </w:r>
        <w:r w:rsidR="000A08A2">
          <w:rPr>
            <w:rFonts w:asciiTheme="minorHAnsi" w:eastAsiaTheme="minorEastAsia" w:hAnsiTheme="minorHAnsi" w:cstheme="minorBidi"/>
            <w:noProof/>
            <w:szCs w:val="22"/>
          </w:rPr>
          <w:tab/>
        </w:r>
        <w:r w:rsidR="000A08A2" w:rsidRPr="001864F7">
          <w:rPr>
            <w:rStyle w:val="Hypertextovodkaz"/>
            <w:noProof/>
          </w:rPr>
          <w:t>Selection of implementation structure</w:t>
        </w:r>
        <w:r w:rsidR="000A08A2">
          <w:rPr>
            <w:noProof/>
            <w:webHidden/>
          </w:rPr>
          <w:tab/>
        </w:r>
        <w:r w:rsidR="000A08A2">
          <w:rPr>
            <w:noProof/>
            <w:webHidden/>
          </w:rPr>
          <w:fldChar w:fldCharType="begin"/>
        </w:r>
        <w:r w:rsidR="000A08A2">
          <w:rPr>
            <w:noProof/>
            <w:webHidden/>
          </w:rPr>
          <w:instrText xml:space="preserve"> PAGEREF _Toc422312155 \h </w:instrText>
        </w:r>
        <w:r w:rsidR="000A08A2">
          <w:rPr>
            <w:noProof/>
            <w:webHidden/>
          </w:rPr>
        </w:r>
        <w:r w:rsidR="000A08A2">
          <w:rPr>
            <w:noProof/>
            <w:webHidden/>
          </w:rPr>
          <w:fldChar w:fldCharType="separate"/>
        </w:r>
        <w:r w:rsidR="000A08A2">
          <w:rPr>
            <w:noProof/>
            <w:webHidden/>
          </w:rPr>
          <w:t>225</w:t>
        </w:r>
        <w:r w:rsidR="000A08A2">
          <w:rPr>
            <w:noProof/>
            <w:webHidden/>
          </w:rPr>
          <w:fldChar w:fldCharType="end"/>
        </w:r>
      </w:hyperlink>
    </w:p>
    <w:p w14:paraId="33859BDA"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6" w:history="1">
        <w:r w:rsidR="000A08A2" w:rsidRPr="001864F7">
          <w:rPr>
            <w:rStyle w:val="Hypertextovodkaz"/>
            <w:noProof/>
          </w:rPr>
          <w:t>6.3.2</w:t>
        </w:r>
        <w:r w:rsidR="000A08A2">
          <w:rPr>
            <w:rFonts w:asciiTheme="minorHAnsi" w:eastAsiaTheme="minorEastAsia" w:hAnsiTheme="minorHAnsi" w:cstheme="minorBidi"/>
            <w:noProof/>
            <w:szCs w:val="22"/>
          </w:rPr>
          <w:tab/>
        </w:r>
        <w:r w:rsidR="000A08A2" w:rsidRPr="001864F7">
          <w:rPr>
            <w:rStyle w:val="Hypertextovodkaz"/>
            <w:noProof/>
          </w:rPr>
          <w:t>Method of securing financial and subject monitoring of financial instruments implementation</w:t>
        </w:r>
        <w:r w:rsidR="000A08A2">
          <w:rPr>
            <w:noProof/>
            <w:webHidden/>
          </w:rPr>
          <w:tab/>
        </w:r>
        <w:r w:rsidR="000A08A2">
          <w:rPr>
            <w:noProof/>
            <w:webHidden/>
          </w:rPr>
          <w:fldChar w:fldCharType="begin"/>
        </w:r>
        <w:r w:rsidR="000A08A2">
          <w:rPr>
            <w:noProof/>
            <w:webHidden/>
          </w:rPr>
          <w:instrText xml:space="preserve"> PAGEREF _Toc422312156 \h </w:instrText>
        </w:r>
        <w:r w:rsidR="000A08A2">
          <w:rPr>
            <w:noProof/>
            <w:webHidden/>
          </w:rPr>
        </w:r>
        <w:r w:rsidR="000A08A2">
          <w:rPr>
            <w:noProof/>
            <w:webHidden/>
          </w:rPr>
          <w:fldChar w:fldCharType="separate"/>
        </w:r>
        <w:r w:rsidR="000A08A2">
          <w:rPr>
            <w:noProof/>
            <w:webHidden/>
          </w:rPr>
          <w:t>231</w:t>
        </w:r>
        <w:r w:rsidR="000A08A2">
          <w:rPr>
            <w:noProof/>
            <w:webHidden/>
          </w:rPr>
          <w:fldChar w:fldCharType="end"/>
        </w:r>
      </w:hyperlink>
    </w:p>
    <w:p w14:paraId="27B8B624"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57" w:history="1">
        <w:r w:rsidR="000A08A2" w:rsidRPr="001864F7">
          <w:rPr>
            <w:rStyle w:val="Hypertextovodkaz"/>
            <w:noProof/>
          </w:rPr>
          <w:t>6.4</w:t>
        </w:r>
        <w:r w:rsidR="000A08A2">
          <w:rPr>
            <w:rFonts w:asciiTheme="minorHAnsi" w:eastAsiaTheme="minorEastAsia" w:hAnsiTheme="minorHAnsi" w:cstheme="minorBidi"/>
            <w:noProof/>
            <w:szCs w:val="22"/>
          </w:rPr>
          <w:tab/>
        </w:r>
        <w:r w:rsidR="000A08A2" w:rsidRPr="001864F7">
          <w:rPr>
            <w:rStyle w:val="Hypertextovodkaz"/>
            <w:noProof/>
          </w:rPr>
          <w:t>Summarizing conclusions of the investment strategy proposal</w:t>
        </w:r>
        <w:r w:rsidR="000A08A2">
          <w:rPr>
            <w:noProof/>
            <w:webHidden/>
          </w:rPr>
          <w:tab/>
        </w:r>
        <w:r w:rsidR="000A08A2">
          <w:rPr>
            <w:noProof/>
            <w:webHidden/>
          </w:rPr>
          <w:fldChar w:fldCharType="begin"/>
        </w:r>
        <w:r w:rsidR="000A08A2">
          <w:rPr>
            <w:noProof/>
            <w:webHidden/>
          </w:rPr>
          <w:instrText xml:space="preserve"> PAGEREF _Toc422312157 \h </w:instrText>
        </w:r>
        <w:r w:rsidR="000A08A2">
          <w:rPr>
            <w:noProof/>
            <w:webHidden/>
          </w:rPr>
        </w:r>
        <w:r w:rsidR="000A08A2">
          <w:rPr>
            <w:noProof/>
            <w:webHidden/>
          </w:rPr>
          <w:fldChar w:fldCharType="separate"/>
        </w:r>
        <w:r w:rsidR="000A08A2">
          <w:rPr>
            <w:noProof/>
            <w:webHidden/>
          </w:rPr>
          <w:t>231</w:t>
        </w:r>
        <w:r w:rsidR="000A08A2">
          <w:rPr>
            <w:noProof/>
            <w:webHidden/>
          </w:rPr>
          <w:fldChar w:fldCharType="end"/>
        </w:r>
      </w:hyperlink>
    </w:p>
    <w:p w14:paraId="7430428A"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8" w:history="1">
        <w:r w:rsidR="000A08A2" w:rsidRPr="001864F7">
          <w:rPr>
            <w:rStyle w:val="Hypertextovodkaz"/>
            <w:noProof/>
          </w:rPr>
          <w:t>6.4.1</w:t>
        </w:r>
        <w:r w:rsidR="000A08A2">
          <w:rPr>
            <w:rFonts w:asciiTheme="minorHAnsi" w:eastAsiaTheme="minorEastAsia" w:hAnsiTheme="minorHAnsi" w:cstheme="minorBidi"/>
            <w:noProof/>
            <w:szCs w:val="22"/>
          </w:rPr>
          <w:tab/>
        </w:r>
        <w:r w:rsidR="000A08A2" w:rsidRPr="001864F7">
          <w:rPr>
            <w:rStyle w:val="Hypertextovodkaz"/>
            <w:noProof/>
          </w:rPr>
          <w:t>Combination of financial instruments with other forms of support</w:t>
        </w:r>
        <w:r w:rsidR="000A08A2">
          <w:rPr>
            <w:noProof/>
            <w:webHidden/>
          </w:rPr>
          <w:tab/>
        </w:r>
        <w:r w:rsidR="000A08A2">
          <w:rPr>
            <w:noProof/>
            <w:webHidden/>
          </w:rPr>
          <w:fldChar w:fldCharType="begin"/>
        </w:r>
        <w:r w:rsidR="000A08A2">
          <w:rPr>
            <w:noProof/>
            <w:webHidden/>
          </w:rPr>
          <w:instrText xml:space="preserve"> PAGEREF _Toc422312158 \h </w:instrText>
        </w:r>
        <w:r w:rsidR="000A08A2">
          <w:rPr>
            <w:noProof/>
            <w:webHidden/>
          </w:rPr>
        </w:r>
        <w:r w:rsidR="000A08A2">
          <w:rPr>
            <w:noProof/>
            <w:webHidden/>
          </w:rPr>
          <w:fldChar w:fldCharType="separate"/>
        </w:r>
        <w:r w:rsidR="000A08A2">
          <w:rPr>
            <w:noProof/>
            <w:webHidden/>
          </w:rPr>
          <w:t>231</w:t>
        </w:r>
        <w:r w:rsidR="000A08A2">
          <w:rPr>
            <w:noProof/>
            <w:webHidden/>
          </w:rPr>
          <w:fldChar w:fldCharType="end"/>
        </w:r>
      </w:hyperlink>
    </w:p>
    <w:p w14:paraId="7A75A290"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59" w:history="1">
        <w:r w:rsidR="000A08A2" w:rsidRPr="001864F7">
          <w:rPr>
            <w:rStyle w:val="Hypertextovodkaz"/>
            <w:noProof/>
          </w:rPr>
          <w:t>6.4.2</w:t>
        </w:r>
        <w:r w:rsidR="000A08A2">
          <w:rPr>
            <w:rFonts w:asciiTheme="minorHAnsi" w:eastAsiaTheme="minorEastAsia" w:hAnsiTheme="minorHAnsi" w:cstheme="minorBidi"/>
            <w:noProof/>
            <w:szCs w:val="22"/>
          </w:rPr>
          <w:tab/>
        </w:r>
        <w:r w:rsidR="000A08A2" w:rsidRPr="001864F7">
          <w:rPr>
            <w:rStyle w:val="Hypertextovodkaz"/>
            <w:noProof/>
          </w:rPr>
          <w:t>Regional dimensions and integrated approaches</w:t>
        </w:r>
        <w:r w:rsidR="000A08A2">
          <w:rPr>
            <w:noProof/>
            <w:webHidden/>
          </w:rPr>
          <w:tab/>
        </w:r>
        <w:r w:rsidR="000A08A2">
          <w:rPr>
            <w:noProof/>
            <w:webHidden/>
          </w:rPr>
          <w:fldChar w:fldCharType="begin"/>
        </w:r>
        <w:r w:rsidR="000A08A2">
          <w:rPr>
            <w:noProof/>
            <w:webHidden/>
          </w:rPr>
          <w:instrText xml:space="preserve"> PAGEREF _Toc422312159 \h </w:instrText>
        </w:r>
        <w:r w:rsidR="000A08A2">
          <w:rPr>
            <w:noProof/>
            <w:webHidden/>
          </w:rPr>
        </w:r>
        <w:r w:rsidR="000A08A2">
          <w:rPr>
            <w:noProof/>
            <w:webHidden/>
          </w:rPr>
          <w:fldChar w:fldCharType="separate"/>
        </w:r>
        <w:r w:rsidR="000A08A2">
          <w:rPr>
            <w:noProof/>
            <w:webHidden/>
          </w:rPr>
          <w:t>235</w:t>
        </w:r>
        <w:r w:rsidR="000A08A2">
          <w:rPr>
            <w:noProof/>
            <w:webHidden/>
          </w:rPr>
          <w:fldChar w:fldCharType="end"/>
        </w:r>
      </w:hyperlink>
    </w:p>
    <w:p w14:paraId="0DEA6706"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60" w:history="1">
        <w:r w:rsidR="000A08A2" w:rsidRPr="001864F7">
          <w:rPr>
            <w:rStyle w:val="Hypertextovodkaz"/>
            <w:noProof/>
          </w:rPr>
          <w:t>6.4.3</w:t>
        </w:r>
        <w:r w:rsidR="000A08A2">
          <w:rPr>
            <w:rFonts w:asciiTheme="minorHAnsi" w:eastAsiaTheme="minorEastAsia" w:hAnsiTheme="minorHAnsi" w:cstheme="minorBidi"/>
            <w:noProof/>
            <w:szCs w:val="22"/>
          </w:rPr>
          <w:tab/>
        </w:r>
        <w:r w:rsidR="000A08A2" w:rsidRPr="001864F7">
          <w:rPr>
            <w:rStyle w:val="Hypertextovodkaz"/>
            <w:noProof/>
          </w:rPr>
          <w:t>Horizontal principles</w:t>
        </w:r>
        <w:r w:rsidR="000A08A2">
          <w:rPr>
            <w:noProof/>
            <w:webHidden/>
          </w:rPr>
          <w:tab/>
        </w:r>
        <w:r w:rsidR="000A08A2">
          <w:rPr>
            <w:noProof/>
            <w:webHidden/>
          </w:rPr>
          <w:fldChar w:fldCharType="begin"/>
        </w:r>
        <w:r w:rsidR="000A08A2">
          <w:rPr>
            <w:noProof/>
            <w:webHidden/>
          </w:rPr>
          <w:instrText xml:space="preserve"> PAGEREF _Toc422312160 \h </w:instrText>
        </w:r>
        <w:r w:rsidR="000A08A2">
          <w:rPr>
            <w:noProof/>
            <w:webHidden/>
          </w:rPr>
        </w:r>
        <w:r w:rsidR="000A08A2">
          <w:rPr>
            <w:noProof/>
            <w:webHidden/>
          </w:rPr>
          <w:fldChar w:fldCharType="separate"/>
        </w:r>
        <w:r w:rsidR="000A08A2">
          <w:rPr>
            <w:noProof/>
            <w:webHidden/>
          </w:rPr>
          <w:t>235</w:t>
        </w:r>
        <w:r w:rsidR="000A08A2">
          <w:rPr>
            <w:noProof/>
            <w:webHidden/>
          </w:rPr>
          <w:fldChar w:fldCharType="end"/>
        </w:r>
      </w:hyperlink>
    </w:p>
    <w:p w14:paraId="747F1CA1"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61" w:history="1">
        <w:r w:rsidR="000A08A2" w:rsidRPr="001864F7">
          <w:rPr>
            <w:rStyle w:val="Hypertextovodkaz"/>
            <w:noProof/>
          </w:rPr>
          <w:t>6.5</w:t>
        </w:r>
        <w:r w:rsidR="000A08A2">
          <w:rPr>
            <w:rFonts w:asciiTheme="minorHAnsi" w:eastAsiaTheme="minorEastAsia" w:hAnsiTheme="minorHAnsi" w:cstheme="minorBidi"/>
            <w:noProof/>
            <w:szCs w:val="22"/>
          </w:rPr>
          <w:tab/>
        </w:r>
        <w:r w:rsidR="000A08A2" w:rsidRPr="001864F7">
          <w:rPr>
            <w:rStyle w:val="Hypertextovodkaz"/>
            <w:noProof/>
          </w:rPr>
          <w:t>Verifiability of the preliminary evaluation conclusions</w:t>
        </w:r>
        <w:r w:rsidR="000A08A2">
          <w:rPr>
            <w:noProof/>
            <w:webHidden/>
          </w:rPr>
          <w:tab/>
        </w:r>
        <w:r w:rsidR="000A08A2">
          <w:rPr>
            <w:noProof/>
            <w:webHidden/>
          </w:rPr>
          <w:fldChar w:fldCharType="begin"/>
        </w:r>
        <w:r w:rsidR="000A08A2">
          <w:rPr>
            <w:noProof/>
            <w:webHidden/>
          </w:rPr>
          <w:instrText xml:space="preserve"> PAGEREF _Toc422312161 \h </w:instrText>
        </w:r>
        <w:r w:rsidR="000A08A2">
          <w:rPr>
            <w:noProof/>
            <w:webHidden/>
          </w:rPr>
        </w:r>
        <w:r w:rsidR="000A08A2">
          <w:rPr>
            <w:noProof/>
            <w:webHidden/>
          </w:rPr>
          <w:fldChar w:fldCharType="separate"/>
        </w:r>
        <w:r w:rsidR="000A08A2">
          <w:rPr>
            <w:noProof/>
            <w:webHidden/>
          </w:rPr>
          <w:t>236</w:t>
        </w:r>
        <w:r w:rsidR="000A08A2">
          <w:rPr>
            <w:noProof/>
            <w:webHidden/>
          </w:rPr>
          <w:fldChar w:fldCharType="end"/>
        </w:r>
      </w:hyperlink>
    </w:p>
    <w:p w14:paraId="4B7A4952" w14:textId="77777777" w:rsidR="000A08A2" w:rsidRDefault="0012136C">
      <w:pPr>
        <w:pStyle w:val="Obsah1"/>
        <w:rPr>
          <w:rFonts w:asciiTheme="minorHAnsi" w:eastAsiaTheme="minorEastAsia" w:hAnsiTheme="minorHAnsi" w:cstheme="minorBidi"/>
          <w:noProof/>
          <w:szCs w:val="22"/>
        </w:rPr>
      </w:pPr>
      <w:hyperlink w:anchor="_Toc422312162" w:history="1">
        <w:r w:rsidR="000A08A2" w:rsidRPr="001864F7">
          <w:rPr>
            <w:rStyle w:val="Hypertextovodkaz"/>
            <w:noProof/>
          </w:rPr>
          <w:t>7</w:t>
        </w:r>
        <w:r w:rsidR="000A08A2">
          <w:rPr>
            <w:rFonts w:asciiTheme="minorHAnsi" w:eastAsiaTheme="minorEastAsia" w:hAnsiTheme="minorHAnsi" w:cstheme="minorBidi"/>
            <w:noProof/>
            <w:szCs w:val="22"/>
          </w:rPr>
          <w:tab/>
        </w:r>
        <w:r w:rsidR="000A08A2" w:rsidRPr="001864F7">
          <w:rPr>
            <w:rStyle w:val="Hypertextovodkaz"/>
            <w:noProof/>
          </w:rPr>
          <w:t>Technical annex</w:t>
        </w:r>
        <w:r w:rsidR="000A08A2">
          <w:rPr>
            <w:noProof/>
            <w:webHidden/>
          </w:rPr>
          <w:tab/>
        </w:r>
        <w:r w:rsidR="000A08A2">
          <w:rPr>
            <w:noProof/>
            <w:webHidden/>
          </w:rPr>
          <w:fldChar w:fldCharType="begin"/>
        </w:r>
        <w:r w:rsidR="000A08A2">
          <w:rPr>
            <w:noProof/>
            <w:webHidden/>
          </w:rPr>
          <w:instrText xml:space="preserve"> PAGEREF _Toc422312162 \h </w:instrText>
        </w:r>
        <w:r w:rsidR="000A08A2">
          <w:rPr>
            <w:noProof/>
            <w:webHidden/>
          </w:rPr>
        </w:r>
        <w:r w:rsidR="000A08A2">
          <w:rPr>
            <w:noProof/>
            <w:webHidden/>
          </w:rPr>
          <w:fldChar w:fldCharType="separate"/>
        </w:r>
        <w:r w:rsidR="000A08A2">
          <w:rPr>
            <w:noProof/>
            <w:webHidden/>
          </w:rPr>
          <w:t>237</w:t>
        </w:r>
        <w:r w:rsidR="000A08A2">
          <w:rPr>
            <w:noProof/>
            <w:webHidden/>
          </w:rPr>
          <w:fldChar w:fldCharType="end"/>
        </w:r>
      </w:hyperlink>
    </w:p>
    <w:p w14:paraId="2D5B99F2"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63" w:history="1">
        <w:r w:rsidR="000A08A2" w:rsidRPr="001864F7">
          <w:rPr>
            <w:rStyle w:val="Hypertextovodkaz"/>
            <w:noProof/>
          </w:rPr>
          <w:t>7.1</w:t>
        </w:r>
        <w:r w:rsidR="000A08A2">
          <w:rPr>
            <w:rFonts w:asciiTheme="minorHAnsi" w:eastAsiaTheme="minorEastAsia" w:hAnsiTheme="minorHAnsi" w:cstheme="minorBidi"/>
            <w:noProof/>
            <w:szCs w:val="22"/>
          </w:rPr>
          <w:tab/>
        </w:r>
        <w:r w:rsidR="000A08A2" w:rsidRPr="001864F7">
          <w:rPr>
            <w:rStyle w:val="Hypertextovodkaz"/>
            <w:noProof/>
          </w:rPr>
          <w:t>Questionnaire surveys</w:t>
        </w:r>
        <w:r w:rsidR="000A08A2">
          <w:rPr>
            <w:noProof/>
            <w:webHidden/>
          </w:rPr>
          <w:tab/>
        </w:r>
        <w:r w:rsidR="000A08A2">
          <w:rPr>
            <w:noProof/>
            <w:webHidden/>
          </w:rPr>
          <w:fldChar w:fldCharType="begin"/>
        </w:r>
        <w:r w:rsidR="000A08A2">
          <w:rPr>
            <w:noProof/>
            <w:webHidden/>
          </w:rPr>
          <w:instrText xml:space="preserve"> PAGEREF _Toc422312163 \h </w:instrText>
        </w:r>
        <w:r w:rsidR="000A08A2">
          <w:rPr>
            <w:noProof/>
            <w:webHidden/>
          </w:rPr>
        </w:r>
        <w:r w:rsidR="000A08A2">
          <w:rPr>
            <w:noProof/>
            <w:webHidden/>
          </w:rPr>
          <w:fldChar w:fldCharType="separate"/>
        </w:r>
        <w:r w:rsidR="000A08A2">
          <w:rPr>
            <w:noProof/>
            <w:webHidden/>
          </w:rPr>
          <w:t>237</w:t>
        </w:r>
        <w:r w:rsidR="000A08A2">
          <w:rPr>
            <w:noProof/>
            <w:webHidden/>
          </w:rPr>
          <w:fldChar w:fldCharType="end"/>
        </w:r>
      </w:hyperlink>
    </w:p>
    <w:p w14:paraId="2E2D9382"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64" w:history="1">
        <w:r w:rsidR="000A08A2" w:rsidRPr="001864F7">
          <w:rPr>
            <w:rStyle w:val="Hypertextovodkaz"/>
            <w:noProof/>
          </w:rPr>
          <w:t>7.1.1</w:t>
        </w:r>
        <w:r w:rsidR="000A08A2">
          <w:rPr>
            <w:rFonts w:asciiTheme="minorHAnsi" w:eastAsiaTheme="minorEastAsia" w:hAnsiTheme="minorHAnsi" w:cstheme="minorBidi"/>
            <w:noProof/>
            <w:szCs w:val="22"/>
          </w:rPr>
          <w:tab/>
        </w:r>
        <w:r w:rsidR="000A08A2" w:rsidRPr="001864F7">
          <w:rPr>
            <w:rStyle w:val="Hypertextovodkaz"/>
            <w:noProof/>
          </w:rPr>
          <w:t>Basic information on surveys</w:t>
        </w:r>
        <w:r w:rsidR="000A08A2">
          <w:rPr>
            <w:noProof/>
            <w:webHidden/>
          </w:rPr>
          <w:tab/>
        </w:r>
        <w:r w:rsidR="000A08A2">
          <w:rPr>
            <w:noProof/>
            <w:webHidden/>
          </w:rPr>
          <w:fldChar w:fldCharType="begin"/>
        </w:r>
        <w:r w:rsidR="000A08A2">
          <w:rPr>
            <w:noProof/>
            <w:webHidden/>
          </w:rPr>
          <w:instrText xml:space="preserve"> PAGEREF _Toc422312164 \h </w:instrText>
        </w:r>
        <w:r w:rsidR="000A08A2">
          <w:rPr>
            <w:noProof/>
            <w:webHidden/>
          </w:rPr>
        </w:r>
        <w:r w:rsidR="000A08A2">
          <w:rPr>
            <w:noProof/>
            <w:webHidden/>
          </w:rPr>
          <w:fldChar w:fldCharType="separate"/>
        </w:r>
        <w:r w:rsidR="000A08A2">
          <w:rPr>
            <w:noProof/>
            <w:webHidden/>
          </w:rPr>
          <w:t>237</w:t>
        </w:r>
        <w:r w:rsidR="000A08A2">
          <w:rPr>
            <w:noProof/>
            <w:webHidden/>
          </w:rPr>
          <w:fldChar w:fldCharType="end"/>
        </w:r>
      </w:hyperlink>
    </w:p>
    <w:p w14:paraId="2580BDB7"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65" w:history="1">
        <w:r w:rsidR="000A08A2" w:rsidRPr="001864F7">
          <w:rPr>
            <w:rStyle w:val="Hypertextovodkaz"/>
            <w:noProof/>
          </w:rPr>
          <w:t>7.1.2</w:t>
        </w:r>
        <w:r w:rsidR="000A08A2">
          <w:rPr>
            <w:rFonts w:asciiTheme="minorHAnsi" w:eastAsiaTheme="minorEastAsia" w:hAnsiTheme="minorHAnsi" w:cstheme="minorBidi"/>
            <w:noProof/>
            <w:szCs w:val="22"/>
          </w:rPr>
          <w:tab/>
        </w:r>
        <w:r w:rsidR="000A08A2" w:rsidRPr="001864F7">
          <w:rPr>
            <w:rStyle w:val="Hypertextovodkaz"/>
            <w:noProof/>
          </w:rPr>
          <w:t>Conclusions from the survey</w:t>
        </w:r>
        <w:r w:rsidR="000A08A2">
          <w:rPr>
            <w:noProof/>
            <w:webHidden/>
          </w:rPr>
          <w:tab/>
        </w:r>
        <w:r w:rsidR="000A08A2">
          <w:rPr>
            <w:noProof/>
            <w:webHidden/>
          </w:rPr>
          <w:fldChar w:fldCharType="begin"/>
        </w:r>
        <w:r w:rsidR="000A08A2">
          <w:rPr>
            <w:noProof/>
            <w:webHidden/>
          </w:rPr>
          <w:instrText xml:space="preserve"> PAGEREF _Toc422312165 \h </w:instrText>
        </w:r>
        <w:r w:rsidR="000A08A2">
          <w:rPr>
            <w:noProof/>
            <w:webHidden/>
          </w:rPr>
        </w:r>
        <w:r w:rsidR="000A08A2">
          <w:rPr>
            <w:noProof/>
            <w:webHidden/>
          </w:rPr>
          <w:fldChar w:fldCharType="separate"/>
        </w:r>
        <w:r w:rsidR="000A08A2">
          <w:rPr>
            <w:noProof/>
            <w:webHidden/>
          </w:rPr>
          <w:t>238</w:t>
        </w:r>
        <w:r w:rsidR="000A08A2">
          <w:rPr>
            <w:noProof/>
            <w:webHidden/>
          </w:rPr>
          <w:fldChar w:fldCharType="end"/>
        </w:r>
      </w:hyperlink>
    </w:p>
    <w:p w14:paraId="56FAE700"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66" w:history="1">
        <w:r w:rsidR="000A08A2" w:rsidRPr="001864F7">
          <w:rPr>
            <w:rStyle w:val="Hypertextovodkaz"/>
            <w:noProof/>
          </w:rPr>
          <w:t>7.2</w:t>
        </w:r>
        <w:r w:rsidR="000A08A2">
          <w:rPr>
            <w:rFonts w:asciiTheme="minorHAnsi" w:eastAsiaTheme="minorEastAsia" w:hAnsiTheme="minorHAnsi" w:cstheme="minorBidi"/>
            <w:noProof/>
            <w:szCs w:val="22"/>
          </w:rPr>
          <w:tab/>
        </w:r>
        <w:r w:rsidR="000A08A2" w:rsidRPr="001864F7">
          <w:rPr>
            <w:rStyle w:val="Hypertextovodkaz"/>
            <w:noProof/>
          </w:rPr>
          <w:t>Controlled discussions</w:t>
        </w:r>
        <w:r w:rsidR="000A08A2">
          <w:rPr>
            <w:noProof/>
            <w:webHidden/>
          </w:rPr>
          <w:tab/>
        </w:r>
        <w:r w:rsidR="000A08A2">
          <w:rPr>
            <w:noProof/>
            <w:webHidden/>
          </w:rPr>
          <w:fldChar w:fldCharType="begin"/>
        </w:r>
        <w:r w:rsidR="000A08A2">
          <w:rPr>
            <w:noProof/>
            <w:webHidden/>
          </w:rPr>
          <w:instrText xml:space="preserve"> PAGEREF _Toc422312166 \h </w:instrText>
        </w:r>
        <w:r w:rsidR="000A08A2">
          <w:rPr>
            <w:noProof/>
            <w:webHidden/>
          </w:rPr>
        </w:r>
        <w:r w:rsidR="000A08A2">
          <w:rPr>
            <w:noProof/>
            <w:webHidden/>
          </w:rPr>
          <w:fldChar w:fldCharType="separate"/>
        </w:r>
        <w:r w:rsidR="000A08A2">
          <w:rPr>
            <w:noProof/>
            <w:webHidden/>
          </w:rPr>
          <w:t>238</w:t>
        </w:r>
        <w:r w:rsidR="000A08A2">
          <w:rPr>
            <w:noProof/>
            <w:webHidden/>
          </w:rPr>
          <w:fldChar w:fldCharType="end"/>
        </w:r>
      </w:hyperlink>
    </w:p>
    <w:p w14:paraId="727CDCD0" w14:textId="77777777" w:rsidR="000A08A2" w:rsidRDefault="0012136C">
      <w:pPr>
        <w:pStyle w:val="Obsah3"/>
        <w:tabs>
          <w:tab w:val="left" w:pos="1320"/>
          <w:tab w:val="right" w:leader="dot" w:pos="9062"/>
        </w:tabs>
        <w:rPr>
          <w:rFonts w:asciiTheme="minorHAnsi" w:eastAsiaTheme="minorEastAsia" w:hAnsiTheme="minorHAnsi" w:cstheme="minorBidi"/>
          <w:noProof/>
          <w:szCs w:val="22"/>
        </w:rPr>
      </w:pPr>
      <w:hyperlink w:anchor="_Toc422312167" w:history="1">
        <w:r w:rsidR="000A08A2" w:rsidRPr="001864F7">
          <w:rPr>
            <w:rStyle w:val="Hypertextovodkaz"/>
            <w:noProof/>
          </w:rPr>
          <w:t>7.2.1</w:t>
        </w:r>
        <w:r w:rsidR="000A08A2">
          <w:rPr>
            <w:rFonts w:asciiTheme="minorHAnsi" w:eastAsiaTheme="minorEastAsia" w:hAnsiTheme="minorHAnsi" w:cstheme="minorBidi"/>
            <w:noProof/>
            <w:szCs w:val="22"/>
          </w:rPr>
          <w:tab/>
        </w:r>
        <w:r w:rsidR="000A08A2" w:rsidRPr="001864F7">
          <w:rPr>
            <w:rStyle w:val="Hypertextovodkaz"/>
            <w:noProof/>
          </w:rPr>
          <w:t>List of consulted subjects</w:t>
        </w:r>
        <w:r w:rsidR="000A08A2">
          <w:rPr>
            <w:noProof/>
            <w:webHidden/>
          </w:rPr>
          <w:tab/>
        </w:r>
        <w:r w:rsidR="000A08A2">
          <w:rPr>
            <w:noProof/>
            <w:webHidden/>
          </w:rPr>
          <w:fldChar w:fldCharType="begin"/>
        </w:r>
        <w:r w:rsidR="000A08A2">
          <w:rPr>
            <w:noProof/>
            <w:webHidden/>
          </w:rPr>
          <w:instrText xml:space="preserve"> PAGEREF _Toc422312167 \h </w:instrText>
        </w:r>
        <w:r w:rsidR="000A08A2">
          <w:rPr>
            <w:noProof/>
            <w:webHidden/>
          </w:rPr>
        </w:r>
        <w:r w:rsidR="000A08A2">
          <w:rPr>
            <w:noProof/>
            <w:webHidden/>
          </w:rPr>
          <w:fldChar w:fldCharType="separate"/>
        </w:r>
        <w:r w:rsidR="000A08A2">
          <w:rPr>
            <w:noProof/>
            <w:webHidden/>
          </w:rPr>
          <w:t>238</w:t>
        </w:r>
        <w:r w:rsidR="000A08A2">
          <w:rPr>
            <w:noProof/>
            <w:webHidden/>
          </w:rPr>
          <w:fldChar w:fldCharType="end"/>
        </w:r>
      </w:hyperlink>
    </w:p>
    <w:p w14:paraId="3B301465" w14:textId="77777777" w:rsidR="000A08A2" w:rsidRDefault="0012136C">
      <w:pPr>
        <w:pStyle w:val="Obsah1"/>
        <w:rPr>
          <w:rFonts w:asciiTheme="minorHAnsi" w:eastAsiaTheme="minorEastAsia" w:hAnsiTheme="minorHAnsi" w:cstheme="minorBidi"/>
          <w:noProof/>
          <w:szCs w:val="22"/>
        </w:rPr>
      </w:pPr>
      <w:hyperlink w:anchor="_Toc422312168" w:history="1">
        <w:r w:rsidR="000A08A2" w:rsidRPr="001864F7">
          <w:rPr>
            <w:rStyle w:val="Hypertextovodkaz"/>
            <w:noProof/>
          </w:rPr>
          <w:t>8</w:t>
        </w:r>
        <w:r w:rsidR="000A08A2">
          <w:rPr>
            <w:rFonts w:asciiTheme="minorHAnsi" w:eastAsiaTheme="minorEastAsia" w:hAnsiTheme="minorHAnsi" w:cstheme="minorBidi"/>
            <w:noProof/>
            <w:szCs w:val="22"/>
          </w:rPr>
          <w:tab/>
        </w:r>
        <w:r w:rsidR="000A08A2" w:rsidRPr="001864F7">
          <w:rPr>
            <w:rStyle w:val="Hypertextovodkaz"/>
            <w:noProof/>
          </w:rPr>
          <w:t>Sources used</w:t>
        </w:r>
        <w:r w:rsidR="000A08A2">
          <w:rPr>
            <w:noProof/>
            <w:webHidden/>
          </w:rPr>
          <w:tab/>
        </w:r>
        <w:r w:rsidR="000A08A2">
          <w:rPr>
            <w:noProof/>
            <w:webHidden/>
          </w:rPr>
          <w:fldChar w:fldCharType="begin"/>
        </w:r>
        <w:r w:rsidR="000A08A2">
          <w:rPr>
            <w:noProof/>
            <w:webHidden/>
          </w:rPr>
          <w:instrText xml:space="preserve"> PAGEREF _Toc422312168 \h </w:instrText>
        </w:r>
        <w:r w:rsidR="000A08A2">
          <w:rPr>
            <w:noProof/>
            <w:webHidden/>
          </w:rPr>
        </w:r>
        <w:r w:rsidR="000A08A2">
          <w:rPr>
            <w:noProof/>
            <w:webHidden/>
          </w:rPr>
          <w:fldChar w:fldCharType="separate"/>
        </w:r>
        <w:r w:rsidR="000A08A2">
          <w:rPr>
            <w:noProof/>
            <w:webHidden/>
          </w:rPr>
          <w:t>240</w:t>
        </w:r>
        <w:r w:rsidR="000A08A2">
          <w:rPr>
            <w:noProof/>
            <w:webHidden/>
          </w:rPr>
          <w:fldChar w:fldCharType="end"/>
        </w:r>
      </w:hyperlink>
    </w:p>
    <w:p w14:paraId="3E8B31D8"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69" w:history="1">
        <w:r w:rsidR="000A08A2" w:rsidRPr="001864F7">
          <w:rPr>
            <w:rStyle w:val="Hypertextovodkaz"/>
            <w:noProof/>
          </w:rPr>
          <w:t>8.1</w:t>
        </w:r>
        <w:r w:rsidR="000A08A2">
          <w:rPr>
            <w:rFonts w:asciiTheme="minorHAnsi" w:eastAsiaTheme="minorEastAsia" w:hAnsiTheme="minorHAnsi" w:cstheme="minorBidi"/>
            <w:noProof/>
            <w:szCs w:val="22"/>
          </w:rPr>
          <w:tab/>
        </w:r>
        <w:r w:rsidR="000A08A2" w:rsidRPr="001864F7">
          <w:rPr>
            <w:rStyle w:val="Hypertextovodkaz"/>
            <w:noProof/>
          </w:rPr>
          <w:t>Legislation base</w:t>
        </w:r>
        <w:r w:rsidR="000A08A2">
          <w:rPr>
            <w:noProof/>
            <w:webHidden/>
          </w:rPr>
          <w:tab/>
        </w:r>
        <w:r w:rsidR="000A08A2">
          <w:rPr>
            <w:noProof/>
            <w:webHidden/>
          </w:rPr>
          <w:fldChar w:fldCharType="begin"/>
        </w:r>
        <w:r w:rsidR="000A08A2">
          <w:rPr>
            <w:noProof/>
            <w:webHidden/>
          </w:rPr>
          <w:instrText xml:space="preserve"> PAGEREF _Toc422312169 \h </w:instrText>
        </w:r>
        <w:r w:rsidR="000A08A2">
          <w:rPr>
            <w:noProof/>
            <w:webHidden/>
          </w:rPr>
        </w:r>
        <w:r w:rsidR="000A08A2">
          <w:rPr>
            <w:noProof/>
            <w:webHidden/>
          </w:rPr>
          <w:fldChar w:fldCharType="separate"/>
        </w:r>
        <w:r w:rsidR="000A08A2">
          <w:rPr>
            <w:noProof/>
            <w:webHidden/>
          </w:rPr>
          <w:t>240</w:t>
        </w:r>
        <w:r w:rsidR="000A08A2">
          <w:rPr>
            <w:noProof/>
            <w:webHidden/>
          </w:rPr>
          <w:fldChar w:fldCharType="end"/>
        </w:r>
      </w:hyperlink>
    </w:p>
    <w:p w14:paraId="7D040C6C" w14:textId="77777777" w:rsidR="000A08A2" w:rsidRDefault="0012136C">
      <w:pPr>
        <w:pStyle w:val="Obsah2"/>
        <w:tabs>
          <w:tab w:val="left" w:pos="720"/>
          <w:tab w:val="right" w:leader="dot" w:pos="9062"/>
        </w:tabs>
        <w:rPr>
          <w:rFonts w:asciiTheme="minorHAnsi" w:eastAsiaTheme="minorEastAsia" w:hAnsiTheme="minorHAnsi" w:cstheme="minorBidi"/>
          <w:noProof/>
          <w:szCs w:val="22"/>
        </w:rPr>
      </w:pPr>
      <w:hyperlink w:anchor="_Toc422312170" w:history="1">
        <w:r w:rsidR="000A08A2" w:rsidRPr="001864F7">
          <w:rPr>
            <w:rStyle w:val="Hypertextovodkaz"/>
            <w:noProof/>
          </w:rPr>
          <w:t>8.2</w:t>
        </w:r>
        <w:r w:rsidR="000A08A2">
          <w:rPr>
            <w:rFonts w:asciiTheme="minorHAnsi" w:eastAsiaTheme="minorEastAsia" w:hAnsiTheme="minorHAnsi" w:cstheme="minorBidi"/>
            <w:noProof/>
            <w:szCs w:val="22"/>
          </w:rPr>
          <w:tab/>
        </w:r>
        <w:r w:rsidR="000A08A2" w:rsidRPr="001864F7">
          <w:rPr>
            <w:rStyle w:val="Hypertextovodkaz"/>
            <w:noProof/>
          </w:rPr>
          <w:t>Other base materials</w:t>
        </w:r>
        <w:r w:rsidR="000A08A2">
          <w:rPr>
            <w:noProof/>
            <w:webHidden/>
          </w:rPr>
          <w:tab/>
        </w:r>
        <w:r w:rsidR="000A08A2">
          <w:rPr>
            <w:noProof/>
            <w:webHidden/>
          </w:rPr>
          <w:fldChar w:fldCharType="begin"/>
        </w:r>
        <w:r w:rsidR="000A08A2">
          <w:rPr>
            <w:noProof/>
            <w:webHidden/>
          </w:rPr>
          <w:instrText xml:space="preserve"> PAGEREF _Toc422312170 \h </w:instrText>
        </w:r>
        <w:r w:rsidR="000A08A2">
          <w:rPr>
            <w:noProof/>
            <w:webHidden/>
          </w:rPr>
        </w:r>
        <w:r w:rsidR="000A08A2">
          <w:rPr>
            <w:noProof/>
            <w:webHidden/>
          </w:rPr>
          <w:fldChar w:fldCharType="separate"/>
        </w:r>
        <w:r w:rsidR="000A08A2">
          <w:rPr>
            <w:noProof/>
            <w:webHidden/>
          </w:rPr>
          <w:t>241</w:t>
        </w:r>
        <w:r w:rsidR="000A08A2">
          <w:rPr>
            <w:noProof/>
            <w:webHidden/>
          </w:rPr>
          <w:fldChar w:fldCharType="end"/>
        </w:r>
      </w:hyperlink>
    </w:p>
    <w:p w14:paraId="1F5D8D16" w14:textId="77777777" w:rsidR="000A08A2" w:rsidRDefault="0012136C">
      <w:pPr>
        <w:pStyle w:val="Obsah1"/>
        <w:rPr>
          <w:rFonts w:asciiTheme="minorHAnsi" w:eastAsiaTheme="minorEastAsia" w:hAnsiTheme="minorHAnsi" w:cstheme="minorBidi"/>
          <w:noProof/>
          <w:szCs w:val="22"/>
        </w:rPr>
      </w:pPr>
      <w:hyperlink w:anchor="_Toc422312171" w:history="1">
        <w:r w:rsidR="000A08A2" w:rsidRPr="001864F7">
          <w:rPr>
            <w:rStyle w:val="Hypertextovodkaz"/>
            <w:noProof/>
          </w:rPr>
          <w:t>9</w:t>
        </w:r>
        <w:r w:rsidR="000A08A2">
          <w:rPr>
            <w:rFonts w:asciiTheme="minorHAnsi" w:eastAsiaTheme="minorEastAsia" w:hAnsiTheme="minorHAnsi" w:cstheme="minorBidi"/>
            <w:noProof/>
            <w:szCs w:val="22"/>
          </w:rPr>
          <w:tab/>
        </w:r>
        <w:r w:rsidR="000A08A2" w:rsidRPr="001864F7">
          <w:rPr>
            <w:rStyle w:val="Hypertextovodkaz"/>
            <w:noProof/>
          </w:rPr>
          <w:t>List of abbreviations</w:t>
        </w:r>
        <w:r w:rsidR="000A08A2">
          <w:rPr>
            <w:noProof/>
            <w:webHidden/>
          </w:rPr>
          <w:tab/>
        </w:r>
        <w:r w:rsidR="000A08A2">
          <w:rPr>
            <w:noProof/>
            <w:webHidden/>
          </w:rPr>
          <w:fldChar w:fldCharType="begin"/>
        </w:r>
        <w:r w:rsidR="000A08A2">
          <w:rPr>
            <w:noProof/>
            <w:webHidden/>
          </w:rPr>
          <w:instrText xml:space="preserve"> PAGEREF _Toc422312171 \h </w:instrText>
        </w:r>
        <w:r w:rsidR="000A08A2">
          <w:rPr>
            <w:noProof/>
            <w:webHidden/>
          </w:rPr>
        </w:r>
        <w:r w:rsidR="000A08A2">
          <w:rPr>
            <w:noProof/>
            <w:webHidden/>
          </w:rPr>
          <w:fldChar w:fldCharType="separate"/>
        </w:r>
        <w:r w:rsidR="000A08A2">
          <w:rPr>
            <w:noProof/>
            <w:webHidden/>
          </w:rPr>
          <w:t>243</w:t>
        </w:r>
        <w:r w:rsidR="000A08A2">
          <w:rPr>
            <w:noProof/>
            <w:webHidden/>
          </w:rPr>
          <w:fldChar w:fldCharType="end"/>
        </w:r>
      </w:hyperlink>
    </w:p>
    <w:p w14:paraId="52026D16" w14:textId="77777777" w:rsidR="006D67F1" w:rsidRPr="002C224A" w:rsidRDefault="009333CC" w:rsidP="008074B1">
      <w:r w:rsidRPr="002C224A">
        <w:fldChar w:fldCharType="end"/>
      </w:r>
    </w:p>
    <w:p w14:paraId="421FC760" w14:textId="77777777" w:rsidR="006D67F1" w:rsidRPr="002C224A" w:rsidRDefault="006D67F1" w:rsidP="008074B1">
      <w:pPr>
        <w:pStyle w:val="Nadpis1"/>
        <w:rPr>
          <w:rFonts w:ascii="Calibri" w:hAnsi="Calibri"/>
        </w:rPr>
      </w:pPr>
      <w:r w:rsidRPr="002C224A">
        <w:rPr>
          <w:rFonts w:ascii="Calibri" w:hAnsi="Calibri" w:cs="Calibri"/>
          <w:szCs w:val="24"/>
        </w:rPr>
        <w:br w:type="page"/>
      </w:r>
      <w:bookmarkStart w:id="3" w:name="_Toc420870657"/>
      <w:bookmarkStart w:id="4" w:name="_Toc422312083"/>
      <w:r w:rsidR="00790B17" w:rsidRPr="00B91A82">
        <w:rPr>
          <w:rFonts w:ascii="Calibri" w:hAnsi="Calibri"/>
        </w:rPr>
        <w:lastRenderedPageBreak/>
        <w:t>Definitions of key terms</w:t>
      </w:r>
      <w:bookmarkEnd w:id="3"/>
      <w:bookmarkEnd w:id="4"/>
    </w:p>
    <w:p w14:paraId="5830744E" w14:textId="77777777" w:rsidR="006D67F1" w:rsidRPr="00A50943" w:rsidRDefault="006D67F1" w:rsidP="008074B1"/>
    <w:p w14:paraId="55EACAA6" w14:textId="77777777" w:rsidR="00790B17" w:rsidRPr="00B91A82" w:rsidRDefault="00790B17" w:rsidP="00790B17">
      <w:r w:rsidRPr="00B91A82">
        <w:t>For the purposes of this ex ante assessment of financial instruments and in accordance with the General Regulation</w:t>
      </w:r>
      <w:r w:rsidRPr="00B91A82">
        <w:rPr>
          <w:rStyle w:val="Znakapoznpodarou"/>
          <w:rFonts w:ascii="Calibri" w:hAnsi="Calibri"/>
        </w:rPr>
        <w:footnoteReference w:id="1"/>
      </w:r>
      <w:r w:rsidRPr="00B91A82">
        <w:t>, Financial Regulation</w:t>
      </w:r>
      <w:r w:rsidRPr="00B91A82">
        <w:rPr>
          <w:rStyle w:val="Znakapoznpodarou"/>
          <w:rFonts w:ascii="Calibri" w:hAnsi="Calibri"/>
          <w:color w:val="222222"/>
        </w:rPr>
        <w:footnoteReference w:id="2"/>
      </w:r>
      <w:r w:rsidRPr="00B91A82">
        <w:t xml:space="preserve"> and Guidance on Financial Flows</w:t>
      </w:r>
      <w:r w:rsidRPr="00B91A82">
        <w:rPr>
          <w:rStyle w:val="Znakapoznpodarou"/>
          <w:rFonts w:ascii="Calibri" w:hAnsi="Calibri"/>
        </w:rPr>
        <w:footnoteReference w:id="3"/>
      </w:r>
      <w:r w:rsidRPr="00B91A82">
        <w:t>:</w:t>
      </w:r>
    </w:p>
    <w:p w14:paraId="2B6D14E1" w14:textId="77777777" w:rsidR="00790B17" w:rsidRPr="00B91A82" w:rsidRDefault="00790B17" w:rsidP="00790B17"/>
    <w:p w14:paraId="12C6B5A9" w14:textId="77777777" w:rsidR="00790B17" w:rsidRPr="00B91A82" w:rsidRDefault="00790B17" w:rsidP="00790B17">
      <w:r w:rsidRPr="00B91A82">
        <w:t>(a)</w:t>
      </w:r>
      <w:r w:rsidRPr="00B91A82">
        <w:tab/>
        <w:t>"financial instrument" shall mean a measure of financial support in a form of equity or quasi-equity investments, loans or guarantees, or other risk-sharing instruments, which, where appropriate, may be combined with grants, unless the General Regulation specified otherwise;</w:t>
      </w:r>
    </w:p>
    <w:p w14:paraId="6C33D787" w14:textId="77777777" w:rsidR="00790B17" w:rsidRPr="00B91A82" w:rsidRDefault="00790B17" w:rsidP="00790B17">
      <w:pPr>
        <w:rPr>
          <w:rFonts w:cs="Calibri"/>
          <w:szCs w:val="24"/>
        </w:rPr>
      </w:pPr>
      <w:r w:rsidRPr="00B91A82">
        <w:t>(b)</w:t>
      </w:r>
      <w:r w:rsidRPr="00B91A82">
        <w:tab/>
        <w:t>"fund of funds" shall mean a fund, which invests in more financial instruments, typically using financial intermediaries for its operations;</w:t>
      </w:r>
    </w:p>
    <w:p w14:paraId="1BE04CA8" w14:textId="4069EF2D" w:rsidR="00790B17" w:rsidRPr="00B91A82" w:rsidRDefault="00790B17" w:rsidP="00790B17">
      <w:pPr>
        <w:rPr>
          <w:rFonts w:cs="Calibri"/>
          <w:szCs w:val="24"/>
        </w:rPr>
      </w:pPr>
      <w:r w:rsidRPr="00B91A82">
        <w:t>(c)</w:t>
      </w:r>
      <w:r w:rsidRPr="00B91A82">
        <w:tab/>
        <w:t>"</w:t>
      </w:r>
      <w:r w:rsidR="003213A1">
        <w:t>recipient</w:t>
      </w:r>
      <w:r w:rsidRPr="00B91A82">
        <w:t xml:space="preserve">" shall mean a body that implements the financial instrument or the fund of funds as appropriate. In the event that the Managing Authority creates an SPV to implement the financial instrument or the fund of funds as a recipient of state funds managed by the </w:t>
      </w:r>
      <w:r w:rsidR="003213A1">
        <w:t>recipient</w:t>
      </w:r>
      <w:r w:rsidRPr="00B91A82">
        <w:t xml:space="preserve">, contracts with the final recipients and private co-investors may be signed on behalf of the recipient of state funds by the </w:t>
      </w:r>
      <w:r w:rsidR="003213A1">
        <w:t>recipient</w:t>
      </w:r>
      <w:r w:rsidRPr="00B91A82">
        <w:t>, in accordance with generally binding legislation;</w:t>
      </w:r>
    </w:p>
    <w:p w14:paraId="06E99131" w14:textId="77777777" w:rsidR="00790B17" w:rsidRPr="00B91A82" w:rsidRDefault="00790B17" w:rsidP="00790B17">
      <w:pPr>
        <w:rPr>
          <w:rFonts w:cs="Calibri"/>
          <w:szCs w:val="24"/>
        </w:rPr>
      </w:pPr>
      <w:r w:rsidRPr="00B91A82">
        <w:t>(d)</w:t>
      </w:r>
      <w:r w:rsidRPr="00B91A82">
        <w:tab/>
        <w:t>" funding agreement" shall mean a funding agreement specified in Article 38(7) of the General Regulation;</w:t>
      </w:r>
    </w:p>
    <w:p w14:paraId="4973B534" w14:textId="77777777" w:rsidR="00790B17" w:rsidRPr="00B91A82" w:rsidRDefault="00790B17" w:rsidP="00790B17">
      <w:pPr>
        <w:rPr>
          <w:rFonts w:cs="Calibri"/>
          <w:szCs w:val="24"/>
        </w:rPr>
      </w:pPr>
      <w:r w:rsidRPr="00B91A82">
        <w:t>(e)</w:t>
      </w:r>
      <w:r w:rsidRPr="00B91A82">
        <w:tab/>
        <w:t>"financial intermediary" shall mean a body entrusted with implementations tasks by the body specified in the first subparagraph of Article 38(4)(a) and (b) of the General Regulation upon implementing the fund of funds, provided that this body shall be responsible to ensure the compliance of the financial intermediary with the criteria set by Article 140(1), (2) and (4) of the Financial Regulation. Financial intermediaries shall be selected on the basis of open, transparent, proportionate and non-discriminatory procedures, avoiding conflicts of interest;</w:t>
      </w:r>
    </w:p>
    <w:p w14:paraId="76FB72C4" w14:textId="77777777" w:rsidR="00790B17" w:rsidRPr="00B91A82" w:rsidRDefault="00790B17" w:rsidP="00790B17">
      <w:pPr>
        <w:rPr>
          <w:rFonts w:cs="Calibri"/>
          <w:szCs w:val="24"/>
        </w:rPr>
      </w:pPr>
      <w:r w:rsidRPr="00B91A82">
        <w:t>(f)</w:t>
      </w:r>
      <w:r w:rsidRPr="00B91A82">
        <w:tab/>
        <w:t>“final recipient” shall mean a legal or natural person receiving financial support from a financial instrument;</w:t>
      </w:r>
    </w:p>
    <w:p w14:paraId="276EB21B" w14:textId="77777777" w:rsidR="00790B17" w:rsidRPr="00B91A82" w:rsidRDefault="00790B17" w:rsidP="00790B17">
      <w:pPr>
        <w:rPr>
          <w:rFonts w:cs="Calibri"/>
          <w:szCs w:val="24"/>
        </w:rPr>
      </w:pPr>
      <w:r w:rsidRPr="00B91A82">
        <w:t>(g)</w:t>
      </w:r>
      <w:r w:rsidRPr="00B91A82">
        <w:tab/>
        <w:t>“operation” shall mean financial contributions from a programme to financial instruments and the subsequent financial support provided by those financial instruments;</w:t>
      </w:r>
    </w:p>
    <w:p w14:paraId="5CB374AC" w14:textId="77777777" w:rsidR="00790B17" w:rsidRPr="00B91A82" w:rsidRDefault="00790B17" w:rsidP="00790B17">
      <w:pPr>
        <w:rPr>
          <w:rFonts w:cs="Calibri"/>
          <w:szCs w:val="24"/>
        </w:rPr>
      </w:pPr>
      <w:r w:rsidRPr="00B91A82">
        <w:t>(h)</w:t>
      </w:r>
      <w:r w:rsidRPr="00B91A82">
        <w:tab/>
        <w:t>"final recipient's project" shall mean a financial, time and material plan of operations forming a logical unit, elaborated in writing, for which support may be received from a financial instrument subject to the expenditure eligibility rules;</w:t>
      </w:r>
    </w:p>
    <w:p w14:paraId="6B8FD388" w14:textId="77777777" w:rsidR="00790B17" w:rsidRPr="00B91A82" w:rsidRDefault="00790B17" w:rsidP="00790B17">
      <w:pPr>
        <w:rPr>
          <w:rFonts w:cs="Calibri"/>
          <w:szCs w:val="24"/>
        </w:rPr>
      </w:pPr>
      <w:r w:rsidRPr="00B91A82">
        <w:t>(i)</w:t>
      </w:r>
      <w:r w:rsidRPr="00B91A82">
        <w:tab/>
        <w:t xml:space="preserve">"loan/credit" shall mean an agreement which obliges the lender to make available to the borrower an agreed sum of money for an agreed period of time and under which the borrower is obliged to repay that amount within the agreed time; </w:t>
      </w:r>
    </w:p>
    <w:p w14:paraId="07B2FB93" w14:textId="77777777" w:rsidR="00790B17" w:rsidRPr="00B91A82" w:rsidRDefault="00790B17" w:rsidP="00790B17">
      <w:pPr>
        <w:rPr>
          <w:rFonts w:cs="Calibri"/>
          <w:szCs w:val="24"/>
        </w:rPr>
      </w:pPr>
      <w:r w:rsidRPr="00B91A82">
        <w:t>(j)</w:t>
      </w:r>
      <w:r w:rsidRPr="00B91A82">
        <w:tab/>
        <w:t xml:space="preserve">"guarantee" means a written commitment to assume responsibility for all or part of a third party's debt or obligation or for the successful performance by that third party of its obligations if an event occurs which triggers such guarantee, such as a loan default; </w:t>
      </w:r>
    </w:p>
    <w:p w14:paraId="7869F0EB" w14:textId="77777777" w:rsidR="00790B17" w:rsidRPr="00B91A82" w:rsidRDefault="00790B17" w:rsidP="00790B17">
      <w:pPr>
        <w:rPr>
          <w:rFonts w:cs="Calibri"/>
          <w:szCs w:val="24"/>
        </w:rPr>
      </w:pPr>
      <w:r w:rsidRPr="00B91A82">
        <w:t>(k)</w:t>
      </w:r>
      <w:r w:rsidRPr="00B91A82">
        <w:tab/>
        <w:t xml:space="preserve">"equity investment" means the provision of capital to a firm, invested directly or indirectly in return for total or partial ownership of that firm and where the equity investor may assume some management control of the firm and may share the firm's profits; </w:t>
      </w:r>
    </w:p>
    <w:p w14:paraId="134C6242" w14:textId="77777777" w:rsidR="00790B17" w:rsidRPr="00B91A82" w:rsidRDefault="00790B17" w:rsidP="00790B17">
      <w:pPr>
        <w:rPr>
          <w:rFonts w:cs="Calibri"/>
          <w:szCs w:val="24"/>
        </w:rPr>
      </w:pPr>
      <w:r w:rsidRPr="00B91A82">
        <w:t>(l)</w:t>
      </w:r>
      <w:r w:rsidRPr="00B91A82">
        <w:tab/>
        <w:t>"quasi-equity investment" means a type of financing that ranks between equity and debt, having a higher risk than senior debt and a lower risk than common equity. Quasi-equity investments can be structured as debt, typically unsecured and subordinated and in some cases convertible into equity, or as preferred equity;</w:t>
      </w:r>
    </w:p>
    <w:p w14:paraId="74622D41" w14:textId="77777777" w:rsidR="00790B17" w:rsidRPr="00B91A82" w:rsidRDefault="00790B17" w:rsidP="00790B17">
      <w:pPr>
        <w:rPr>
          <w:rFonts w:cs="Calibri"/>
          <w:szCs w:val="24"/>
        </w:rPr>
      </w:pPr>
      <w:r w:rsidRPr="00B91A82">
        <w:lastRenderedPageBreak/>
        <w:t>(m)</w:t>
      </w:r>
      <w:r w:rsidRPr="00B91A82">
        <w:tab/>
        <w:t>"risk-sharing instrument" means a financial instrument which allows for the sharing of a defined risk between two or more entities, where appropriate in exchange for an agreed remuneration;</w:t>
      </w:r>
    </w:p>
    <w:p w14:paraId="756F080D" w14:textId="77777777" w:rsidR="006D67F1" w:rsidRDefault="00790B17" w:rsidP="00790B17">
      <w:r w:rsidRPr="00B91A82">
        <w:t xml:space="preserve">(n) </w:t>
      </w:r>
      <w:r w:rsidRPr="00B91A82">
        <w:tab/>
        <w:t>“EIB” means the European Investment Bank, the European Investment Fund or any subsidiary of the European Investment Bank.</w:t>
      </w:r>
    </w:p>
    <w:p w14:paraId="2003D7D7" w14:textId="6CFC0977" w:rsidR="00BB0D0D" w:rsidRDefault="0081084F" w:rsidP="00BB0D0D">
      <w:r>
        <w:t>(o</w:t>
      </w:r>
      <w:r w:rsidR="00BB0D0D">
        <w:t>)</w:t>
      </w:r>
      <w:r w:rsidR="00BB0D0D">
        <w:tab/>
        <w:t>„first piece loss“ – covering the fixed first losses of portfolio</w:t>
      </w:r>
    </w:p>
    <w:p w14:paraId="5A0B8C9B" w14:textId="64180A69" w:rsidR="00BB0D0D" w:rsidRPr="002C224A" w:rsidRDefault="0081084F" w:rsidP="00BB0D0D">
      <w:r>
        <w:t>(p</w:t>
      </w:r>
      <w:r w:rsidR="00BB0D0D">
        <w:t>)</w:t>
      </w:r>
      <w:r w:rsidR="00BB0D0D">
        <w:tab/>
        <w:t>„second piece loss“ – covering the further losses of portfolio</w:t>
      </w:r>
    </w:p>
    <w:p w14:paraId="3F94DB3A" w14:textId="77777777" w:rsidR="006D67F1" w:rsidRPr="002C224A" w:rsidRDefault="006D67F1" w:rsidP="008074B1">
      <w:pPr>
        <w:pStyle w:val="Nadpis1"/>
        <w:rPr>
          <w:rFonts w:ascii="Calibri" w:hAnsi="Calibri"/>
        </w:rPr>
      </w:pPr>
      <w:r w:rsidRPr="002C224A">
        <w:rPr>
          <w:rFonts w:ascii="Calibri" w:hAnsi="Calibri"/>
        </w:rPr>
        <w:br w:type="page"/>
      </w:r>
      <w:bookmarkStart w:id="5" w:name="_Toc420870658"/>
      <w:bookmarkStart w:id="6" w:name="_Toc422312084"/>
      <w:r w:rsidR="00790B17" w:rsidRPr="00B91A82">
        <w:rPr>
          <w:rFonts w:ascii="Calibri" w:hAnsi="Calibri"/>
        </w:rPr>
        <w:lastRenderedPageBreak/>
        <w:t>Executive Summary</w:t>
      </w:r>
      <w:bookmarkEnd w:id="5"/>
      <w:bookmarkEnd w:id="6"/>
    </w:p>
    <w:p w14:paraId="4CAB0754" w14:textId="77777777" w:rsidR="006D67F1" w:rsidRPr="00A50943" w:rsidRDefault="006D67F1" w:rsidP="004D17FB"/>
    <w:p w14:paraId="5844F163" w14:textId="77777777" w:rsidR="00790B17" w:rsidRPr="00B91A82" w:rsidRDefault="00790B17" w:rsidP="00790B17">
      <w:r w:rsidRPr="00B91A82">
        <w:t>The submitted document presents the ex ante assessment of financial instruments of the Operational Programme Enterprise and Innovation (OP EIC) according to Article 37(2) of the General Regulation, which forms the first step to the implementation of financial instruments in the new programming period 2014–2020 covered by the operational programme of the Ministry of Industry and Trade (MIT).</w:t>
      </w:r>
    </w:p>
    <w:p w14:paraId="67ED54EE" w14:textId="77777777" w:rsidR="00790B17" w:rsidRPr="00B91A82" w:rsidRDefault="00790B17" w:rsidP="00790B17"/>
    <w:p w14:paraId="16E012DE" w14:textId="77777777" w:rsidR="00790B17" w:rsidRPr="00B91A82" w:rsidRDefault="00790B17" w:rsidP="00790B17">
      <w:r w:rsidRPr="00B91A82">
        <w:t xml:space="preserve">The European Commission has repeatedly declared that it considers financial instruments (hereinafter also referred to as "FIs") to be one of the crucial topics of the new financial framework. The Europe 2020 strategy in this sense mentions "mobilising financial instruments" several times. Already in the 2007–2013 programming period a significant progress was made in the use of financial instruments, both in the context of the cohesion policy and initiatives of the Commission, in the programming period 2014–2020 their role should be strengthened further. The Czech Republic is aware of this opportunity – the significance of financial instruments has been emphasised in particular by the current government efforts to activate the Czech-Moravian Guarantee and Development Bank (CMGDB). </w:t>
      </w:r>
    </w:p>
    <w:p w14:paraId="2D409169" w14:textId="77777777" w:rsidR="00790B17" w:rsidRPr="00B91A82" w:rsidRDefault="00790B17" w:rsidP="00790B17"/>
    <w:p w14:paraId="21173CEB" w14:textId="77777777" w:rsidR="00790B17" w:rsidRPr="00B91A82" w:rsidRDefault="00790B17" w:rsidP="00790B17">
      <w:r w:rsidRPr="00B91A82">
        <w:t>According to MIT financial instruments constitute an efficient form of implementation of the policy targeted at promotion of entrepreneurship and innovation with a huge potential in numerous areas. But they constitute a means of achieving the set objectives of these policies, not the goal itself. Therefore, this analysis in its first stage addresses in particular the strategic procedure for selection of suitable measures / strategic objectives of the OP EIC to apply the financial instruments. Conclusions of the ex ante assessment of the OP EIC financial instruments are in compliance with conclusions of the ex ante evaluation of the OP EIC.</w:t>
      </w:r>
    </w:p>
    <w:p w14:paraId="1388B9B2" w14:textId="77777777" w:rsidR="00790B17" w:rsidRPr="00B91A82" w:rsidRDefault="00790B17" w:rsidP="00790B17"/>
    <w:p w14:paraId="7F48AF96" w14:textId="77777777" w:rsidR="00790B17" w:rsidRPr="00B91A82" w:rsidRDefault="00790B17" w:rsidP="00790B17">
      <w:pPr>
        <w:rPr>
          <w:b/>
        </w:rPr>
      </w:pPr>
      <w:r w:rsidRPr="00B91A82">
        <w:rPr>
          <w:b/>
        </w:rPr>
        <w:t>The ex ante assessment of the financial instruments of the OP EIC has been prepared in accordance with the focus of the operational programme, provided that the proposed financial instruments are in addition to the OP EIC and the Partnership Agreement also linked to and comply with the below stated strategic government documents:</w:t>
      </w:r>
    </w:p>
    <w:p w14:paraId="22850A1A" w14:textId="77777777" w:rsidR="00790B17" w:rsidRPr="00B91A82" w:rsidRDefault="00790B17" w:rsidP="00790B17"/>
    <w:p w14:paraId="64E13D9E" w14:textId="77777777" w:rsidR="00790B17" w:rsidRPr="00B91A82" w:rsidRDefault="00790B17" w:rsidP="00790B17">
      <w:pPr>
        <w:numPr>
          <w:ilvl w:val="0"/>
          <w:numId w:val="49"/>
        </w:numPr>
      </w:pPr>
      <w:r w:rsidRPr="00B91A82">
        <w:t>National Research and Innovation Strategy for Smart Specialization of the Czech Republic (National RIS3 Strategy)</w:t>
      </w:r>
    </w:p>
    <w:p w14:paraId="3005BCC0" w14:textId="77777777" w:rsidR="00790B17" w:rsidRPr="00B91A82" w:rsidRDefault="00790B17" w:rsidP="00790B17">
      <w:pPr>
        <w:numPr>
          <w:ilvl w:val="0"/>
          <w:numId w:val="49"/>
        </w:numPr>
      </w:pPr>
      <w:r w:rsidRPr="00B91A82">
        <w:t>National Reform Programme</w:t>
      </w:r>
    </w:p>
    <w:p w14:paraId="6726F03C" w14:textId="77777777" w:rsidR="00790B17" w:rsidRPr="00B91A82" w:rsidRDefault="00790B17" w:rsidP="00790B17">
      <w:pPr>
        <w:numPr>
          <w:ilvl w:val="0"/>
          <w:numId w:val="49"/>
        </w:numPr>
      </w:pPr>
      <w:r w:rsidRPr="00B91A82">
        <w:t>Concept of Support for Small and Medium-Sized Enterprises for the 2014-2020 period</w:t>
      </w:r>
    </w:p>
    <w:p w14:paraId="5BDB0982" w14:textId="77777777" w:rsidR="00790B17" w:rsidRPr="00B91A82" w:rsidRDefault="00790B17" w:rsidP="00790B17">
      <w:pPr>
        <w:numPr>
          <w:ilvl w:val="0"/>
          <w:numId w:val="49"/>
        </w:numPr>
      </w:pPr>
      <w:r w:rsidRPr="00B91A82">
        <w:t>International Competitiveness Strategy of the Czech Republic 2012–2020</w:t>
      </w:r>
    </w:p>
    <w:p w14:paraId="7D08A6A6" w14:textId="77777777" w:rsidR="006D67F1" w:rsidRPr="002C224A" w:rsidRDefault="00790B17" w:rsidP="00790B17">
      <w:pPr>
        <w:numPr>
          <w:ilvl w:val="0"/>
          <w:numId w:val="49"/>
        </w:numPr>
      </w:pPr>
      <w:r w:rsidRPr="00B91A82">
        <w:t>Regional Development Strategy 2014-2020</w:t>
      </w:r>
    </w:p>
    <w:p w14:paraId="4FEE3A1F" w14:textId="77777777" w:rsidR="006D67F1" w:rsidRPr="002C224A" w:rsidRDefault="006D67F1" w:rsidP="000672FF"/>
    <w:p w14:paraId="01388F02" w14:textId="77777777" w:rsidR="00790B17" w:rsidRPr="00B91A82" w:rsidRDefault="00790B17" w:rsidP="00790B17">
      <w:pPr>
        <w:rPr>
          <w:b/>
        </w:rPr>
      </w:pPr>
      <w:r w:rsidRPr="00B91A82">
        <w:rPr>
          <w:b/>
        </w:rPr>
        <w:t>The ex ante assessment has been elaborated mainly by the MIT 's department of FIs and project management and by Deloitte Advisory, s.r.o as a supplier of external documentation and an independent opponent.</w:t>
      </w:r>
    </w:p>
    <w:p w14:paraId="71D2E7BC" w14:textId="77777777" w:rsidR="00790B17" w:rsidRPr="00B91A82" w:rsidRDefault="00790B17" w:rsidP="00790B17"/>
    <w:p w14:paraId="4311175A" w14:textId="77777777" w:rsidR="00790B17" w:rsidRPr="00B91A82" w:rsidRDefault="00790B17" w:rsidP="00790B17">
      <w:r w:rsidRPr="00B91A82">
        <w:rPr>
          <w:b/>
        </w:rPr>
        <w:t>Two questionnaire surveys were made in scope of the ex ante assessment.</w:t>
      </w:r>
      <w:r w:rsidRPr="00B91A82">
        <w:t xml:space="preserve"> The first one was targeted at all potential beneficiaries under the OP EIC (small, medium-sized and large enterprises), who were asked about the conditions of their financing and investment plans for the upcoming years. </w:t>
      </w:r>
      <w:r w:rsidRPr="00B91A82">
        <w:rPr>
          <w:b/>
        </w:rPr>
        <w:t xml:space="preserve">The survey addressed directly over 15 000 enterprises, of which 1 077 replied. </w:t>
      </w:r>
      <w:r w:rsidRPr="00B91A82">
        <w:t xml:space="preserve">The second questionnaire survey focused specifically on technological start-ups. This survey addressed 55 organisations from the start-up sphere: business incubators, accelerators, universities etc., which distributed the questionnaires to other entities. </w:t>
      </w:r>
      <w:r w:rsidRPr="00B91A82">
        <w:rPr>
          <w:b/>
        </w:rPr>
        <w:t xml:space="preserve">The survey managed to receive almost 80 replies from start-ups and spin-offs. </w:t>
      </w:r>
    </w:p>
    <w:p w14:paraId="01B9A70C" w14:textId="77777777" w:rsidR="00790B17" w:rsidRPr="00B91A82" w:rsidRDefault="00790B17" w:rsidP="00790B17"/>
    <w:p w14:paraId="4A4A388C" w14:textId="77777777" w:rsidR="00790B17" w:rsidRPr="00B91A82" w:rsidRDefault="00790B17" w:rsidP="00790B17">
      <w:pPr>
        <w:rPr>
          <w:b/>
        </w:rPr>
      </w:pPr>
      <w:r w:rsidRPr="00B91A82">
        <w:rPr>
          <w:b/>
        </w:rPr>
        <w:t>Key conclusions of these surveys included findings of a strong need of preferential financial terms as an incentive for investing and increasing the competitiveness, mostly in case of SMEs.</w:t>
      </w:r>
    </w:p>
    <w:p w14:paraId="1C682DC1" w14:textId="77777777" w:rsidR="00790B17" w:rsidRPr="00B91A82" w:rsidRDefault="00790B17" w:rsidP="00790B17"/>
    <w:p w14:paraId="63AFF5E4" w14:textId="77777777" w:rsidR="00790B17" w:rsidRPr="00B91A82" w:rsidRDefault="00790B17" w:rsidP="00790B17">
      <w:r w:rsidRPr="00B91A82">
        <w:rPr>
          <w:b/>
        </w:rPr>
        <w:lastRenderedPageBreak/>
        <w:t>The survey also included 35 interviews with representatives of the financing supply and demand</w:t>
      </w:r>
      <w:r w:rsidRPr="00B91A82">
        <w:t>. Based on the partnership principle working versions of conclusions of this ex ante assessment have been discussed several times with representatives of the mentioned entities.</w:t>
      </w:r>
    </w:p>
    <w:p w14:paraId="70790F2E" w14:textId="77777777" w:rsidR="00790B17" w:rsidRPr="00B91A82" w:rsidRDefault="00790B17" w:rsidP="00790B17"/>
    <w:p w14:paraId="6F48525E" w14:textId="77777777" w:rsidR="00790B17" w:rsidRPr="00B91A82" w:rsidRDefault="00790B17" w:rsidP="00790B17">
      <w:pPr>
        <w:rPr>
          <w:b/>
        </w:rPr>
      </w:pPr>
      <w:r w:rsidRPr="00B91A82">
        <w:rPr>
          <w:b/>
        </w:rPr>
        <w:t>Two workshops were organised, each attended by 50 participants representing the financial sector, professional associations,  groups of final recipients and sectoral experts.</w:t>
      </w:r>
    </w:p>
    <w:p w14:paraId="448CC753" w14:textId="77777777" w:rsidR="00790B17" w:rsidRPr="00B91A82" w:rsidRDefault="00790B17" w:rsidP="00790B17"/>
    <w:p w14:paraId="67C799A3" w14:textId="77777777" w:rsidR="006D67F1" w:rsidRPr="002C224A" w:rsidRDefault="00790B17" w:rsidP="00790B17">
      <w:r w:rsidRPr="00B91A82">
        <w:rPr>
          <w:b/>
        </w:rPr>
        <w:t>Based on a prior screening a detailed ex ante assessment was made for all the material priority axes of the OP EIC, covering thematic objectives TC 1 (RDI), TC 2 (ICT), TC 3 (SMEs) and TC 4 (low-carbon economy). The analysis has not included TC 7 (high-voltage grids).</w:t>
      </w:r>
      <w:r w:rsidRPr="00B91A82">
        <w:t xml:space="preserve"> Specifically, the potential of financial instruments identification was found in the below stated specific targets, which have been subject to a detailed analysis:</w:t>
      </w:r>
    </w:p>
    <w:p w14:paraId="6F5DDDED" w14:textId="77777777" w:rsidR="00790B17" w:rsidRPr="00B91A82" w:rsidRDefault="00790B17" w:rsidP="00790B17"/>
    <w:p w14:paraId="7F17B385" w14:textId="77777777" w:rsidR="00790B17" w:rsidRPr="00B91A82" w:rsidRDefault="00790B17" w:rsidP="00790B17">
      <w:r w:rsidRPr="00B91A82">
        <w:t>1.1 – Increasing innovation performance of enterprises</w:t>
      </w:r>
    </w:p>
    <w:p w14:paraId="4B4F0135" w14:textId="77777777" w:rsidR="00790B17" w:rsidRPr="00B91A82" w:rsidRDefault="00790B17" w:rsidP="00790B17">
      <w:r w:rsidRPr="00B91A82">
        <w:t>1.2 – Improving the intensity and efficiency of cooperation in research, development and innovation</w:t>
      </w:r>
    </w:p>
    <w:p w14:paraId="30EE2CE4" w14:textId="77777777" w:rsidR="00790B17" w:rsidRPr="00B91A82" w:rsidRDefault="00790B17" w:rsidP="00790B17">
      <w:r w:rsidRPr="00B91A82">
        <w:t>2.1 – Enhancing competitiveness of start-ups and developing SMEs</w:t>
      </w:r>
    </w:p>
    <w:p w14:paraId="3C3CEA1D" w14:textId="77777777" w:rsidR="00790B17" w:rsidRPr="00B91A82" w:rsidRDefault="00790B17" w:rsidP="00790B17">
      <w:r w:rsidRPr="00B91A82">
        <w:t xml:space="preserve">2.3 – Increasing business usability of the infrastructure </w:t>
      </w:r>
    </w:p>
    <w:p w14:paraId="07EE38B9" w14:textId="77777777" w:rsidR="00790B17" w:rsidRPr="00B91A82" w:rsidRDefault="00790B17" w:rsidP="00790B17">
      <w:r w:rsidRPr="00B91A82">
        <w:t>3.1 – Increasing share of energy from renewables in gross final consumption of the Czech Republic</w:t>
      </w:r>
    </w:p>
    <w:p w14:paraId="5902D10B" w14:textId="77777777" w:rsidR="00790B17" w:rsidRPr="00B91A82" w:rsidRDefault="00790B17" w:rsidP="00790B17">
      <w:r w:rsidRPr="00B91A82">
        <w:t xml:space="preserve">3.2 – Improving the energy efficiency of the business sector </w:t>
      </w:r>
    </w:p>
    <w:p w14:paraId="5C1A89E8" w14:textId="77777777" w:rsidR="00790B17" w:rsidRPr="00B91A82" w:rsidRDefault="00790B17" w:rsidP="00790B17">
      <w:r w:rsidRPr="00B91A82">
        <w:t>3.5 – Improving the efficiency of the systems for heat supply</w:t>
      </w:r>
    </w:p>
    <w:p w14:paraId="01296D3D" w14:textId="77777777" w:rsidR="00790B17" w:rsidRPr="00B91A82" w:rsidRDefault="00790B17" w:rsidP="00790B17">
      <w:r w:rsidRPr="00B91A82">
        <w:t>4.1 – Increasing the coverage by the high-speed Internet</w:t>
      </w:r>
    </w:p>
    <w:p w14:paraId="2D507C7A" w14:textId="77777777" w:rsidR="00790B17" w:rsidRPr="00B91A82" w:rsidRDefault="00790B17" w:rsidP="00790B17"/>
    <w:p w14:paraId="03C41A75" w14:textId="77777777" w:rsidR="00790B17" w:rsidRPr="00B91A82" w:rsidRDefault="00790B17" w:rsidP="00790B17">
      <w:pPr>
        <w:spacing w:after="240"/>
        <w:rPr>
          <w:rFonts w:cs="Calibri"/>
          <w:color w:val="222222"/>
          <w:szCs w:val="22"/>
        </w:rPr>
      </w:pPr>
      <w:r w:rsidRPr="00B91A82">
        <w:rPr>
          <w:color w:val="222222"/>
        </w:rPr>
        <w:t>The ex ante assessment for the mentioned specific objectives was distributed into two blocks, each further structured according to individual points of Article 37(2) of the General Regulation:</w:t>
      </w:r>
    </w:p>
    <w:p w14:paraId="1537BA15" w14:textId="77777777" w:rsidR="00790B17" w:rsidRPr="00B91A82" w:rsidRDefault="00790B17" w:rsidP="00790B17">
      <w:pPr>
        <w:spacing w:after="240"/>
        <w:rPr>
          <w:rFonts w:cs="Calibri"/>
          <w:b/>
          <w:color w:val="222222"/>
          <w:szCs w:val="22"/>
        </w:rPr>
      </w:pPr>
      <w:r w:rsidRPr="00B91A82">
        <w:rPr>
          <w:b/>
          <w:color w:val="222222"/>
        </w:rPr>
        <w:t>Block I: Market situation analysis</w:t>
      </w:r>
    </w:p>
    <w:p w14:paraId="15EA82F9" w14:textId="77777777" w:rsidR="00790B17" w:rsidRPr="00B91A82" w:rsidRDefault="00790B17" w:rsidP="00790B17">
      <w:pPr>
        <w:spacing w:after="240"/>
        <w:rPr>
          <w:rFonts w:cs="Calibri"/>
          <w:color w:val="222222"/>
          <w:szCs w:val="22"/>
        </w:rPr>
      </w:pPr>
      <w:r w:rsidRPr="00B91A82">
        <w:rPr>
          <w:color w:val="222222"/>
        </w:rPr>
        <w:t>a) analysis of market failures,</w:t>
      </w:r>
    </w:p>
    <w:p w14:paraId="60AF434A" w14:textId="77777777" w:rsidR="00790B17" w:rsidRPr="00B91A82" w:rsidRDefault="00790B17" w:rsidP="00790B17">
      <w:pPr>
        <w:spacing w:after="240"/>
        <w:rPr>
          <w:rFonts w:cs="Calibri"/>
          <w:color w:val="222222"/>
          <w:szCs w:val="22"/>
        </w:rPr>
      </w:pPr>
      <w:r w:rsidRPr="00B91A82">
        <w:rPr>
          <w:color w:val="222222"/>
        </w:rPr>
        <w:t>b) assessment of the added value of the financial instruments,</w:t>
      </w:r>
    </w:p>
    <w:p w14:paraId="3EB55240" w14:textId="77777777" w:rsidR="00790B17" w:rsidRPr="00B91A82" w:rsidRDefault="00790B17" w:rsidP="00790B17">
      <w:pPr>
        <w:spacing w:after="240"/>
        <w:rPr>
          <w:rFonts w:cs="Calibri"/>
          <w:color w:val="222222"/>
          <w:szCs w:val="22"/>
        </w:rPr>
      </w:pPr>
      <w:r w:rsidRPr="00B91A82">
        <w:rPr>
          <w:color w:val="222222"/>
        </w:rPr>
        <w:t>c) estimate of additional public and private resources.</w:t>
      </w:r>
    </w:p>
    <w:p w14:paraId="4D2133AC" w14:textId="77777777" w:rsidR="00790B17" w:rsidRPr="00B91A82" w:rsidRDefault="00790B17" w:rsidP="00790B17">
      <w:pPr>
        <w:spacing w:after="240"/>
        <w:rPr>
          <w:rFonts w:cs="Calibri"/>
          <w:b/>
          <w:color w:val="222222"/>
          <w:szCs w:val="22"/>
        </w:rPr>
      </w:pPr>
    </w:p>
    <w:p w14:paraId="0DC81FD5" w14:textId="77777777" w:rsidR="00790B17" w:rsidRPr="00B91A82" w:rsidRDefault="00790B17" w:rsidP="00790B17">
      <w:pPr>
        <w:spacing w:after="240"/>
        <w:rPr>
          <w:rFonts w:cs="Calibri"/>
          <w:b/>
          <w:color w:val="222222"/>
          <w:szCs w:val="22"/>
        </w:rPr>
      </w:pPr>
      <w:r w:rsidRPr="00B91A82">
        <w:rPr>
          <w:b/>
          <w:color w:val="222222"/>
        </w:rPr>
        <w:t>Block II: Proposed appropriate strategy</w:t>
      </w:r>
    </w:p>
    <w:p w14:paraId="5179F9C2" w14:textId="77777777" w:rsidR="00790B17" w:rsidRPr="00B91A82" w:rsidRDefault="00790B17" w:rsidP="00790B17">
      <w:pPr>
        <w:spacing w:after="240"/>
        <w:rPr>
          <w:rFonts w:cs="Calibri"/>
          <w:color w:val="222222"/>
          <w:szCs w:val="22"/>
        </w:rPr>
      </w:pPr>
      <w:r w:rsidRPr="00B91A82">
        <w:rPr>
          <w:color w:val="222222"/>
        </w:rPr>
        <w:t>a) assessment of lessons learnt in the past,</w:t>
      </w:r>
    </w:p>
    <w:p w14:paraId="4F6F56FA" w14:textId="77777777" w:rsidR="00790B17" w:rsidRPr="00B91A82" w:rsidRDefault="00790B17" w:rsidP="00790B17">
      <w:pPr>
        <w:spacing w:after="240"/>
        <w:rPr>
          <w:rFonts w:cs="Calibri"/>
          <w:color w:val="222222"/>
          <w:szCs w:val="22"/>
        </w:rPr>
      </w:pPr>
      <w:r w:rsidRPr="00B91A82">
        <w:rPr>
          <w:color w:val="222222"/>
        </w:rPr>
        <w:t>b) proposed investment strategy</w:t>
      </w:r>
    </w:p>
    <w:p w14:paraId="7D6883F1" w14:textId="77777777" w:rsidR="00790B17" w:rsidRPr="00B91A82" w:rsidRDefault="00790B17" w:rsidP="00790B17">
      <w:pPr>
        <w:spacing w:after="240"/>
        <w:rPr>
          <w:rFonts w:cs="Calibri"/>
          <w:color w:val="222222"/>
          <w:szCs w:val="22"/>
        </w:rPr>
      </w:pPr>
      <w:r w:rsidRPr="00B91A82">
        <w:rPr>
          <w:color w:val="222222"/>
        </w:rPr>
        <w:t>c) expected results,</w:t>
      </w:r>
    </w:p>
    <w:p w14:paraId="2D9AAD90" w14:textId="77777777" w:rsidR="00790B17" w:rsidRPr="00B91A82" w:rsidRDefault="00790B17" w:rsidP="00790B17">
      <w:pPr>
        <w:spacing w:after="240"/>
        <w:rPr>
          <w:rFonts w:cs="Calibri"/>
          <w:color w:val="222222"/>
          <w:szCs w:val="22"/>
        </w:rPr>
      </w:pPr>
      <w:r w:rsidRPr="00B91A82">
        <w:rPr>
          <w:color w:val="222222"/>
        </w:rPr>
        <w:t>d) reviewability of the evaluation conclusion.</w:t>
      </w:r>
    </w:p>
    <w:p w14:paraId="22012E47" w14:textId="77777777" w:rsidR="00790B17" w:rsidRPr="00B91A82" w:rsidRDefault="00790B17" w:rsidP="00790B17"/>
    <w:p w14:paraId="22591FC7" w14:textId="77777777" w:rsidR="00790B17" w:rsidRPr="00B91A82" w:rsidRDefault="00790B17" w:rsidP="00790B17">
      <w:r w:rsidRPr="00B91A82">
        <w:rPr>
          <w:b/>
        </w:rPr>
        <w:t xml:space="preserve">The analytic section of the document (Block I) </w:t>
      </w:r>
      <w:r w:rsidRPr="00B91A82">
        <w:t>uses conclusions from questionnaire surveys, structured interviews with experts, workshops, as well as data provided by OECD, Eurostat, ECB, CNB, EVCA and other sources. The market situation analysis</w:t>
      </w:r>
      <w:r w:rsidRPr="00B91A82">
        <w:rPr>
          <w:b/>
        </w:rPr>
        <w:t xml:space="preserve"> confirmed the possibility of use of financial instruments in all the analysed specific objectives of the OP EIC except for SO 4.1, where the potential was found insufficient.</w:t>
      </w:r>
    </w:p>
    <w:p w14:paraId="5024E1CB" w14:textId="77777777" w:rsidR="00790B17" w:rsidRPr="00B91A82" w:rsidRDefault="00790B17" w:rsidP="00790B17"/>
    <w:p w14:paraId="31F7140B" w14:textId="77777777" w:rsidR="00790B17" w:rsidRPr="00B91A82" w:rsidRDefault="00790B17" w:rsidP="00790B17">
      <w:pPr>
        <w:rPr>
          <w:b/>
        </w:rPr>
      </w:pPr>
      <w:r w:rsidRPr="00B91A82">
        <w:rPr>
          <w:b/>
        </w:rPr>
        <w:lastRenderedPageBreak/>
        <w:t>The suggestion section of the document (Block II) submits for the identified financial instruments a proposal of functioning and basic parameters thereof, implementation set-up and allocations based, inter alia, on the experience from implementation of similar aid measures in the Czech Republic and in other countries.</w:t>
      </w:r>
    </w:p>
    <w:p w14:paraId="6EC8C807" w14:textId="77777777" w:rsidR="00790B17" w:rsidRPr="00B91A82" w:rsidRDefault="00790B17" w:rsidP="00790B17"/>
    <w:p w14:paraId="27AEB32C" w14:textId="77777777" w:rsidR="00790B17" w:rsidRPr="00B91A82" w:rsidRDefault="00790B17" w:rsidP="00790B17">
      <w:r w:rsidRPr="00B91A82">
        <w:t xml:space="preserve">For easier reference the identified financial instruments may be divided into two groups, </w:t>
      </w:r>
      <w:r w:rsidRPr="00B91A82">
        <w:rPr>
          <w:b/>
        </w:rPr>
        <w:t>so-called first-generation financial instruments, namely the modified existing loan and guarantee schemes of the Czech-Moravian Guarantee and Development Bank and second-generation financial instruments, which include new instruments to support equity investments in SOs 1.2 and 2.1 and subordinated loans for brownfield regeneration in SO 2.3.</w:t>
      </w:r>
      <w:r w:rsidRPr="00B91A82">
        <w:t xml:space="preserve"> </w:t>
      </w:r>
    </w:p>
    <w:p w14:paraId="741C77EC" w14:textId="77777777" w:rsidR="00790B17" w:rsidRPr="00B91A82" w:rsidRDefault="00790B17" w:rsidP="00790B17"/>
    <w:p w14:paraId="033189E1" w14:textId="77777777" w:rsidR="00DA7214" w:rsidRPr="002C224A" w:rsidRDefault="00790B17" w:rsidP="00790B17">
      <w:r w:rsidRPr="00B91A82">
        <w:t>The suggestion section of the document contains also a proposed FI for the broadband field (4.1), however, we do not recommends its application under SO 4.1 due to a weak coverage of defined targets and supported activities of the Operational Programme. Nevertheless, the Managing Authority has been recommended to submit this proposal in scope of the Investment Plan for Europe, where it might supplement the OP EIC activities appropriately.</w:t>
      </w:r>
    </w:p>
    <w:p w14:paraId="1E833B02" w14:textId="77777777" w:rsidR="006D67F1" w:rsidRPr="002C224A" w:rsidRDefault="006D67F1" w:rsidP="004D17FB"/>
    <w:p w14:paraId="2B7B6D09" w14:textId="77777777" w:rsidR="006D67F1" w:rsidRPr="002C224A" w:rsidRDefault="00790B17" w:rsidP="00BD7C52">
      <w:pPr>
        <w:pStyle w:val="Titulek"/>
      </w:pPr>
      <w:r w:rsidRPr="00B91A82">
        <w:t>Table 1: Proposed financial instruments based on ex ante assessment conclusion</w:t>
      </w:r>
    </w:p>
    <w:tbl>
      <w:tblPr>
        <w:tblW w:w="9771" w:type="dxa"/>
        <w:tblInd w:w="80" w:type="dxa"/>
        <w:tblLayout w:type="fixed"/>
        <w:tblCellMar>
          <w:left w:w="70" w:type="dxa"/>
          <w:right w:w="70" w:type="dxa"/>
        </w:tblCellMar>
        <w:tblLook w:val="0600" w:firstRow="0" w:lastRow="0" w:firstColumn="0" w:lastColumn="0" w:noHBand="1" w:noVBand="1"/>
      </w:tblPr>
      <w:tblGrid>
        <w:gridCol w:w="1691"/>
        <w:gridCol w:w="1276"/>
        <w:gridCol w:w="1276"/>
        <w:gridCol w:w="1134"/>
        <w:gridCol w:w="1417"/>
        <w:gridCol w:w="1701"/>
        <w:gridCol w:w="1276"/>
      </w:tblGrid>
      <w:tr w:rsidR="00790B17" w:rsidRPr="002C224A" w14:paraId="22D9EB63" w14:textId="77777777" w:rsidTr="002C224A">
        <w:trPr>
          <w:trHeight w:val="1035"/>
        </w:trPr>
        <w:tc>
          <w:tcPr>
            <w:tcW w:w="1691" w:type="dxa"/>
            <w:tcBorders>
              <w:top w:val="single" w:sz="8" w:space="0" w:color="auto"/>
              <w:left w:val="single" w:sz="8" w:space="0" w:color="auto"/>
              <w:bottom w:val="single" w:sz="8" w:space="0" w:color="auto"/>
              <w:right w:val="single" w:sz="8" w:space="0" w:color="auto"/>
            </w:tcBorders>
            <w:shd w:val="clear" w:color="000000" w:fill="C0504D"/>
            <w:vAlign w:val="center"/>
          </w:tcPr>
          <w:p w14:paraId="3912AA51"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Specific objective/PA</w:t>
            </w:r>
          </w:p>
        </w:tc>
        <w:tc>
          <w:tcPr>
            <w:tcW w:w="1276" w:type="dxa"/>
            <w:tcBorders>
              <w:top w:val="single" w:sz="8" w:space="0" w:color="auto"/>
              <w:left w:val="nil"/>
              <w:bottom w:val="single" w:sz="8" w:space="0" w:color="auto"/>
              <w:right w:val="single" w:sz="4" w:space="0" w:color="000000"/>
            </w:tcBorders>
            <w:shd w:val="clear" w:color="000000" w:fill="C0504D"/>
            <w:vAlign w:val="center"/>
          </w:tcPr>
          <w:p w14:paraId="1C1CBA2C"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Support programme</w:t>
            </w:r>
          </w:p>
        </w:tc>
        <w:tc>
          <w:tcPr>
            <w:tcW w:w="1276" w:type="dxa"/>
            <w:tcBorders>
              <w:top w:val="single" w:sz="8" w:space="0" w:color="auto"/>
              <w:left w:val="nil"/>
              <w:bottom w:val="single" w:sz="8" w:space="0" w:color="auto"/>
              <w:right w:val="single" w:sz="4" w:space="0" w:color="000000"/>
            </w:tcBorders>
            <w:shd w:val="clear" w:color="000000" w:fill="C0504D"/>
            <w:vAlign w:val="center"/>
          </w:tcPr>
          <w:p w14:paraId="151EEE2C"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FI 1. generation</w:t>
            </w:r>
          </w:p>
        </w:tc>
        <w:tc>
          <w:tcPr>
            <w:tcW w:w="1134" w:type="dxa"/>
            <w:tcBorders>
              <w:top w:val="single" w:sz="8" w:space="0" w:color="auto"/>
              <w:left w:val="nil"/>
              <w:bottom w:val="single" w:sz="8" w:space="0" w:color="auto"/>
              <w:right w:val="single" w:sz="4" w:space="0" w:color="000000"/>
            </w:tcBorders>
            <w:shd w:val="clear" w:color="000000" w:fill="C0504D"/>
            <w:vAlign w:val="center"/>
          </w:tcPr>
          <w:p w14:paraId="5EA3CCB3"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FI 2. generation</w:t>
            </w:r>
          </w:p>
        </w:tc>
        <w:tc>
          <w:tcPr>
            <w:tcW w:w="1417" w:type="dxa"/>
            <w:tcBorders>
              <w:top w:val="single" w:sz="8" w:space="0" w:color="auto"/>
              <w:left w:val="nil"/>
              <w:bottom w:val="single" w:sz="8" w:space="0" w:color="auto"/>
              <w:right w:val="single" w:sz="4" w:space="0" w:color="auto"/>
            </w:tcBorders>
            <w:shd w:val="clear" w:color="000000" w:fill="C0504D"/>
            <w:vAlign w:val="center"/>
          </w:tcPr>
          <w:p w14:paraId="4CF0CA24"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Proposed margin of FI allocation (millions of CZK)</w:t>
            </w:r>
          </w:p>
        </w:tc>
        <w:tc>
          <w:tcPr>
            <w:tcW w:w="1701" w:type="dxa"/>
            <w:tcBorders>
              <w:top w:val="single" w:sz="4" w:space="0" w:color="auto"/>
              <w:left w:val="single" w:sz="4" w:space="0" w:color="auto"/>
              <w:bottom w:val="single" w:sz="4" w:space="0" w:color="auto"/>
              <w:right w:val="single" w:sz="4" w:space="0" w:color="auto"/>
            </w:tcBorders>
            <w:shd w:val="clear" w:color="000000" w:fill="C0504D"/>
            <w:vAlign w:val="center"/>
          </w:tcPr>
          <w:p w14:paraId="4C879C1F"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MA’s allocation for pilot FIs implementation (mil. CZK)</w:t>
            </w:r>
          </w:p>
        </w:tc>
        <w:tc>
          <w:tcPr>
            <w:tcW w:w="1276" w:type="dxa"/>
            <w:tcBorders>
              <w:top w:val="single" w:sz="8" w:space="0" w:color="auto"/>
              <w:left w:val="single" w:sz="4" w:space="0" w:color="auto"/>
              <w:bottom w:val="single" w:sz="8" w:space="0" w:color="auto"/>
              <w:right w:val="single" w:sz="8" w:space="0" w:color="auto"/>
            </w:tcBorders>
            <w:shd w:val="clear" w:color="000000" w:fill="C0504D"/>
            <w:vAlign w:val="center"/>
          </w:tcPr>
          <w:p w14:paraId="097D3153" w14:textId="77777777" w:rsidR="00790B17" w:rsidRPr="00B91A82" w:rsidRDefault="00790B17" w:rsidP="00443B8F">
            <w:pPr>
              <w:overflowPunct/>
              <w:autoSpaceDE/>
              <w:autoSpaceDN/>
              <w:adjustRightInd/>
              <w:jc w:val="center"/>
              <w:textAlignment w:val="auto"/>
              <w:rPr>
                <w:b/>
                <w:bCs/>
                <w:color w:val="FFFFFF"/>
                <w:sz w:val="20"/>
              </w:rPr>
            </w:pPr>
            <w:r w:rsidRPr="00B91A82">
              <w:rPr>
                <w:b/>
                <w:color w:val="FFFFFF"/>
                <w:sz w:val="20"/>
              </w:rPr>
              <w:t>Allocation for OP EIC specific target (mil. CZK)</w:t>
            </w:r>
            <w:r w:rsidRPr="00B91A82">
              <w:rPr>
                <w:rStyle w:val="Znakapoznpodarou"/>
                <w:rFonts w:ascii="Calibri" w:hAnsi="Calibri"/>
                <w:b/>
                <w:color w:val="FFFFFF"/>
              </w:rPr>
              <w:footnoteReference w:id="4"/>
            </w:r>
          </w:p>
        </w:tc>
      </w:tr>
      <w:tr w:rsidR="00790B17" w:rsidRPr="002C224A" w14:paraId="45FD7971" w14:textId="77777777" w:rsidTr="002C224A">
        <w:trPr>
          <w:trHeight w:val="1050"/>
        </w:trPr>
        <w:tc>
          <w:tcPr>
            <w:tcW w:w="1691" w:type="dxa"/>
            <w:tcBorders>
              <w:top w:val="nil"/>
              <w:left w:val="single" w:sz="8" w:space="0" w:color="auto"/>
              <w:bottom w:val="single" w:sz="8" w:space="0" w:color="000000"/>
              <w:right w:val="single" w:sz="8" w:space="0" w:color="auto"/>
            </w:tcBorders>
            <w:shd w:val="clear" w:color="000000" w:fill="E7F7FF"/>
            <w:vAlign w:val="center"/>
          </w:tcPr>
          <w:p w14:paraId="1D27EB3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1.1 – Increasing innovation performance of enterprises</w:t>
            </w:r>
          </w:p>
        </w:tc>
        <w:tc>
          <w:tcPr>
            <w:tcW w:w="1276" w:type="dxa"/>
            <w:tcBorders>
              <w:top w:val="nil"/>
              <w:left w:val="nil"/>
              <w:bottom w:val="single" w:sz="8" w:space="0" w:color="000000"/>
              <w:right w:val="single" w:sz="4" w:space="0" w:color="000000"/>
            </w:tcBorders>
            <w:shd w:val="clear" w:color="000000" w:fill="E7F7FF"/>
            <w:vAlign w:val="center"/>
          </w:tcPr>
          <w:p w14:paraId="1F7763F1" w14:textId="77777777" w:rsidR="00790B17" w:rsidRPr="00B91A82" w:rsidRDefault="00790B17" w:rsidP="00443B8F">
            <w:pPr>
              <w:overflowPunct/>
              <w:autoSpaceDE/>
              <w:autoSpaceDN/>
              <w:adjustRightInd/>
              <w:jc w:val="center"/>
              <w:textAlignment w:val="auto"/>
              <w:rPr>
                <w:b/>
                <w:bCs/>
                <w:sz w:val="20"/>
              </w:rPr>
            </w:pPr>
            <w:r w:rsidRPr="00B91A82">
              <w:rPr>
                <w:b/>
                <w:sz w:val="20"/>
              </w:rPr>
              <w:t>Innovation</w:t>
            </w:r>
          </w:p>
        </w:tc>
        <w:tc>
          <w:tcPr>
            <w:tcW w:w="1276" w:type="dxa"/>
            <w:tcBorders>
              <w:top w:val="nil"/>
              <w:left w:val="nil"/>
              <w:bottom w:val="single" w:sz="8" w:space="0" w:color="000000"/>
              <w:right w:val="single" w:sz="4" w:space="0" w:color="000000"/>
            </w:tcBorders>
            <w:shd w:val="clear" w:color="000000" w:fill="FCE4D6"/>
            <w:vAlign w:val="center"/>
          </w:tcPr>
          <w:p w14:paraId="4241C88D"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Guarantees</w:t>
            </w:r>
          </w:p>
        </w:tc>
        <w:tc>
          <w:tcPr>
            <w:tcW w:w="1134" w:type="dxa"/>
            <w:tcBorders>
              <w:top w:val="nil"/>
              <w:left w:val="nil"/>
              <w:bottom w:val="single" w:sz="8" w:space="0" w:color="000000"/>
              <w:right w:val="single" w:sz="4" w:space="0" w:color="000000"/>
            </w:tcBorders>
            <w:shd w:val="clear" w:color="000000" w:fill="E7F7FF"/>
            <w:vAlign w:val="center"/>
          </w:tcPr>
          <w:p w14:paraId="70B7A54F" w14:textId="77777777" w:rsidR="00790B17" w:rsidRPr="00B91A82" w:rsidRDefault="00790B17" w:rsidP="00443B8F">
            <w:pPr>
              <w:overflowPunct/>
              <w:autoSpaceDE/>
              <w:autoSpaceDN/>
              <w:adjustRightInd/>
              <w:jc w:val="center"/>
              <w:textAlignment w:val="auto"/>
              <w:rPr>
                <w:b/>
                <w:bCs/>
                <w:color w:val="000000"/>
                <w:sz w:val="20"/>
              </w:rPr>
            </w:pPr>
          </w:p>
        </w:tc>
        <w:tc>
          <w:tcPr>
            <w:tcW w:w="1417" w:type="dxa"/>
            <w:tcBorders>
              <w:top w:val="nil"/>
              <w:left w:val="nil"/>
              <w:bottom w:val="single" w:sz="8" w:space="0" w:color="000000"/>
              <w:right w:val="single" w:sz="4" w:space="0" w:color="auto"/>
            </w:tcBorders>
            <w:shd w:val="clear" w:color="000000" w:fill="E7F7FF"/>
            <w:vAlign w:val="center"/>
          </w:tcPr>
          <w:p w14:paraId="504DAA9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1,400-1,800</w:t>
            </w:r>
          </w:p>
          <w:p w14:paraId="4E96CD28" w14:textId="77777777" w:rsidR="00790B17" w:rsidRPr="00B91A82" w:rsidRDefault="00790B17" w:rsidP="00443B8F">
            <w:pPr>
              <w:overflowPunct/>
              <w:autoSpaceDE/>
              <w:autoSpaceDN/>
              <w:adjustRightInd/>
              <w:jc w:val="center"/>
              <w:textAlignment w:val="auto"/>
              <w:rPr>
                <w:b/>
                <w:bCs/>
                <w:color w:val="000000"/>
                <w:sz w:val="20"/>
              </w:rPr>
            </w:pP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0A495100"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0</w:t>
            </w:r>
            <w:r w:rsidRPr="00B91A82">
              <w:rPr>
                <w:rStyle w:val="Znakapoznpodarou"/>
                <w:rFonts w:ascii="Calibri" w:hAnsi="Calibri"/>
                <w:b/>
                <w:color w:val="000000"/>
              </w:rPr>
              <w:footnoteReference w:id="5"/>
            </w:r>
          </w:p>
          <w:p w14:paraId="39B51BD5" w14:textId="77777777" w:rsidR="00790B17" w:rsidRPr="00B91A82" w:rsidRDefault="00790B17" w:rsidP="00443B8F">
            <w:pPr>
              <w:overflowPunct/>
              <w:autoSpaceDE/>
              <w:autoSpaceDN/>
              <w:adjustRightInd/>
              <w:jc w:val="center"/>
              <w:textAlignment w:val="auto"/>
              <w:rPr>
                <w:b/>
                <w:bCs/>
                <w:color w:val="000000"/>
                <w:sz w:val="20"/>
              </w:rPr>
            </w:pPr>
          </w:p>
        </w:tc>
        <w:tc>
          <w:tcPr>
            <w:tcW w:w="1276" w:type="dxa"/>
            <w:tcBorders>
              <w:top w:val="nil"/>
              <w:left w:val="single" w:sz="4" w:space="0" w:color="auto"/>
              <w:bottom w:val="single" w:sz="8" w:space="0" w:color="000000"/>
              <w:right w:val="single" w:sz="8" w:space="0" w:color="auto"/>
            </w:tcBorders>
            <w:shd w:val="clear" w:color="000000" w:fill="E7F7FF"/>
            <w:vAlign w:val="center"/>
          </w:tcPr>
          <w:p w14:paraId="73F98202"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26,800</w:t>
            </w:r>
          </w:p>
        </w:tc>
      </w:tr>
      <w:tr w:rsidR="00790B17" w:rsidRPr="002C224A" w14:paraId="40D1897E" w14:textId="77777777" w:rsidTr="002C224A">
        <w:trPr>
          <w:trHeight w:val="2295"/>
        </w:trPr>
        <w:tc>
          <w:tcPr>
            <w:tcW w:w="1691" w:type="dxa"/>
            <w:tcBorders>
              <w:top w:val="nil"/>
              <w:left w:val="single" w:sz="8" w:space="0" w:color="auto"/>
              <w:bottom w:val="single" w:sz="4" w:space="0" w:color="000000"/>
              <w:right w:val="single" w:sz="8" w:space="0" w:color="auto"/>
            </w:tcBorders>
            <w:shd w:val="clear" w:color="000000" w:fill="E7F7FF"/>
            <w:vAlign w:val="center"/>
          </w:tcPr>
          <w:p w14:paraId="2828C17D"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1.2 – Improving the intensity and efficiency of cooperation in research, development and innovation</w:t>
            </w:r>
          </w:p>
        </w:tc>
        <w:tc>
          <w:tcPr>
            <w:tcW w:w="1276" w:type="dxa"/>
            <w:tcBorders>
              <w:top w:val="nil"/>
              <w:left w:val="nil"/>
              <w:bottom w:val="single" w:sz="4" w:space="0" w:color="000000"/>
              <w:right w:val="single" w:sz="4" w:space="0" w:color="000000"/>
            </w:tcBorders>
            <w:shd w:val="clear" w:color="000000" w:fill="E7F7FF"/>
            <w:vAlign w:val="center"/>
          </w:tcPr>
          <w:p w14:paraId="3E939F4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Proof of Concept</w:t>
            </w:r>
          </w:p>
        </w:tc>
        <w:tc>
          <w:tcPr>
            <w:tcW w:w="1276" w:type="dxa"/>
            <w:tcBorders>
              <w:top w:val="nil"/>
              <w:left w:val="nil"/>
              <w:bottom w:val="single" w:sz="4" w:space="0" w:color="000000"/>
              <w:right w:val="single" w:sz="4" w:space="0" w:color="000000"/>
            </w:tcBorders>
            <w:shd w:val="clear" w:color="000000" w:fill="E7F7FF"/>
            <w:vAlign w:val="center"/>
          </w:tcPr>
          <w:p w14:paraId="4052D3A4" w14:textId="77777777" w:rsidR="00790B17" w:rsidRPr="00B91A82" w:rsidRDefault="00790B17" w:rsidP="00443B8F">
            <w:pPr>
              <w:overflowPunct/>
              <w:autoSpaceDE/>
              <w:autoSpaceDN/>
              <w:adjustRightInd/>
              <w:jc w:val="center"/>
              <w:textAlignment w:val="auto"/>
              <w:rPr>
                <w:b/>
                <w:bCs/>
                <w:color w:val="000000"/>
                <w:sz w:val="20"/>
              </w:rPr>
            </w:pPr>
          </w:p>
        </w:tc>
        <w:tc>
          <w:tcPr>
            <w:tcW w:w="1134" w:type="dxa"/>
            <w:tcBorders>
              <w:top w:val="nil"/>
              <w:left w:val="nil"/>
              <w:bottom w:val="single" w:sz="4" w:space="0" w:color="000000"/>
              <w:right w:val="single" w:sz="4" w:space="0" w:color="000000"/>
            </w:tcBorders>
            <w:shd w:val="clear" w:color="000000" w:fill="C6E0B4"/>
            <w:vAlign w:val="center"/>
          </w:tcPr>
          <w:p w14:paraId="448E1AC9"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Equity investment</w:t>
            </w:r>
          </w:p>
        </w:tc>
        <w:tc>
          <w:tcPr>
            <w:tcW w:w="1417" w:type="dxa"/>
            <w:tcBorders>
              <w:top w:val="nil"/>
              <w:left w:val="nil"/>
              <w:bottom w:val="single" w:sz="4" w:space="0" w:color="000000"/>
              <w:right w:val="single" w:sz="4" w:space="0" w:color="auto"/>
            </w:tcBorders>
            <w:shd w:val="clear" w:color="000000" w:fill="E7F7FF"/>
            <w:vAlign w:val="center"/>
          </w:tcPr>
          <w:p w14:paraId="1AA6738E"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550-1,100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7EABBC9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550</w:t>
            </w:r>
          </w:p>
        </w:tc>
        <w:tc>
          <w:tcPr>
            <w:tcW w:w="1276" w:type="dxa"/>
            <w:tcBorders>
              <w:top w:val="nil"/>
              <w:left w:val="single" w:sz="4" w:space="0" w:color="auto"/>
              <w:bottom w:val="single" w:sz="8" w:space="0" w:color="000000"/>
              <w:right w:val="single" w:sz="8" w:space="0" w:color="auto"/>
            </w:tcBorders>
            <w:shd w:val="clear" w:color="000000" w:fill="E7F7FF"/>
            <w:vAlign w:val="center"/>
          </w:tcPr>
          <w:p w14:paraId="1D6EDAED"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10,400</w:t>
            </w:r>
          </w:p>
        </w:tc>
      </w:tr>
      <w:tr w:rsidR="00790B17" w:rsidRPr="002C224A" w14:paraId="7BC5467C" w14:textId="77777777" w:rsidTr="002C224A">
        <w:trPr>
          <w:trHeight w:val="1325"/>
        </w:trPr>
        <w:tc>
          <w:tcPr>
            <w:tcW w:w="1691" w:type="dxa"/>
            <w:vMerge w:val="restart"/>
            <w:tcBorders>
              <w:top w:val="nil"/>
              <w:left w:val="single" w:sz="8" w:space="0" w:color="auto"/>
              <w:bottom w:val="single" w:sz="4" w:space="0" w:color="000000"/>
              <w:right w:val="single" w:sz="8" w:space="0" w:color="auto"/>
            </w:tcBorders>
            <w:shd w:val="clear" w:color="000000" w:fill="E7F7FF"/>
            <w:vAlign w:val="center"/>
          </w:tcPr>
          <w:p w14:paraId="419486F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2.1 – Enhancing competitiveness of start-ups and developing SMEs</w:t>
            </w:r>
          </w:p>
        </w:tc>
        <w:tc>
          <w:tcPr>
            <w:tcW w:w="1276" w:type="dxa"/>
            <w:tcBorders>
              <w:top w:val="nil"/>
              <w:left w:val="nil"/>
              <w:bottom w:val="single" w:sz="4" w:space="0" w:color="000000"/>
              <w:right w:val="single" w:sz="4" w:space="0" w:color="000000"/>
            </w:tcBorders>
            <w:shd w:val="clear" w:color="000000" w:fill="E7F7FF"/>
            <w:vAlign w:val="center"/>
          </w:tcPr>
          <w:p w14:paraId="7A0B2DB6"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Expansion</w:t>
            </w:r>
          </w:p>
        </w:tc>
        <w:tc>
          <w:tcPr>
            <w:tcW w:w="1276" w:type="dxa"/>
            <w:tcBorders>
              <w:top w:val="nil"/>
              <w:left w:val="single" w:sz="4" w:space="0" w:color="000000"/>
              <w:bottom w:val="single" w:sz="4" w:space="0" w:color="000000"/>
              <w:right w:val="single" w:sz="4" w:space="0" w:color="000000"/>
            </w:tcBorders>
            <w:shd w:val="clear" w:color="000000" w:fill="FCE4D6"/>
            <w:vAlign w:val="center"/>
          </w:tcPr>
          <w:p w14:paraId="19E599DA"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Soft loans and guarantees</w:t>
            </w:r>
          </w:p>
        </w:tc>
        <w:tc>
          <w:tcPr>
            <w:tcW w:w="1134" w:type="dxa"/>
            <w:tcBorders>
              <w:top w:val="nil"/>
              <w:left w:val="single" w:sz="4" w:space="0" w:color="000000"/>
              <w:bottom w:val="single" w:sz="4" w:space="0" w:color="000000"/>
              <w:right w:val="single" w:sz="4" w:space="0" w:color="000000"/>
            </w:tcBorders>
            <w:shd w:val="clear" w:color="000000" w:fill="E7F7FF"/>
            <w:vAlign w:val="center"/>
          </w:tcPr>
          <w:p w14:paraId="184C080E" w14:textId="77777777" w:rsidR="00790B17" w:rsidRPr="00B91A82" w:rsidRDefault="00790B17" w:rsidP="00443B8F">
            <w:pPr>
              <w:overflowPunct/>
              <w:autoSpaceDE/>
              <w:autoSpaceDN/>
              <w:adjustRightInd/>
              <w:jc w:val="center"/>
              <w:textAlignment w:val="auto"/>
              <w:rPr>
                <w:b/>
                <w:bCs/>
                <w:color w:val="000000"/>
                <w:sz w:val="20"/>
              </w:rPr>
            </w:pPr>
          </w:p>
        </w:tc>
        <w:tc>
          <w:tcPr>
            <w:tcW w:w="1417" w:type="dxa"/>
            <w:tcBorders>
              <w:top w:val="nil"/>
              <w:left w:val="single" w:sz="4" w:space="0" w:color="000000"/>
              <w:bottom w:val="single" w:sz="4" w:space="0" w:color="000000"/>
              <w:right w:val="single" w:sz="4" w:space="0" w:color="auto"/>
            </w:tcBorders>
            <w:shd w:val="clear" w:color="000000" w:fill="E7F7FF"/>
            <w:vAlign w:val="center"/>
          </w:tcPr>
          <w:p w14:paraId="37DDBBF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8,850-12,000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50815D2E"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9,625</w:t>
            </w:r>
          </w:p>
        </w:tc>
        <w:tc>
          <w:tcPr>
            <w:tcW w:w="1276" w:type="dxa"/>
            <w:vMerge w:val="restart"/>
            <w:tcBorders>
              <w:top w:val="nil"/>
              <w:left w:val="single" w:sz="4" w:space="0" w:color="auto"/>
              <w:bottom w:val="single" w:sz="8" w:space="0" w:color="000000"/>
              <w:right w:val="single" w:sz="8" w:space="0" w:color="auto"/>
            </w:tcBorders>
            <w:shd w:val="clear" w:color="000000" w:fill="E7F7FF"/>
            <w:vAlign w:val="center"/>
          </w:tcPr>
          <w:p w14:paraId="0DE0951E"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16,800</w:t>
            </w:r>
          </w:p>
        </w:tc>
      </w:tr>
      <w:tr w:rsidR="00790B17" w:rsidRPr="002C224A" w14:paraId="7AE89F15" w14:textId="77777777" w:rsidTr="00EA43CE">
        <w:trPr>
          <w:trHeight w:val="645"/>
        </w:trPr>
        <w:tc>
          <w:tcPr>
            <w:tcW w:w="1691" w:type="dxa"/>
            <w:vMerge/>
            <w:tcBorders>
              <w:top w:val="nil"/>
              <w:left w:val="single" w:sz="8" w:space="0" w:color="auto"/>
              <w:bottom w:val="single" w:sz="4" w:space="0" w:color="000000"/>
              <w:right w:val="single" w:sz="8" w:space="0" w:color="auto"/>
            </w:tcBorders>
            <w:vAlign w:val="center"/>
          </w:tcPr>
          <w:p w14:paraId="5A2DF1CA" w14:textId="77777777" w:rsidR="00790B17" w:rsidRPr="002C224A" w:rsidRDefault="00790B17" w:rsidP="0061019B">
            <w:pPr>
              <w:overflowPunct/>
              <w:autoSpaceDE/>
              <w:autoSpaceDN/>
              <w:adjustRightInd/>
              <w:jc w:val="left"/>
              <w:textAlignment w:val="auto"/>
              <w:rPr>
                <w:b/>
                <w:bCs/>
                <w:color w:val="000000"/>
                <w:sz w:val="20"/>
              </w:rPr>
            </w:pPr>
          </w:p>
        </w:tc>
        <w:tc>
          <w:tcPr>
            <w:tcW w:w="1276" w:type="dxa"/>
            <w:tcBorders>
              <w:top w:val="nil"/>
              <w:left w:val="nil"/>
              <w:bottom w:val="single" w:sz="4" w:space="0" w:color="000000"/>
              <w:right w:val="single" w:sz="4" w:space="0" w:color="000000"/>
            </w:tcBorders>
            <w:shd w:val="clear" w:color="000000" w:fill="E7F7FF"/>
            <w:vAlign w:val="center"/>
          </w:tcPr>
          <w:p w14:paraId="2FA1BE35" w14:textId="77777777" w:rsidR="00790B17" w:rsidRPr="002C224A" w:rsidRDefault="00790B17" w:rsidP="0008236A">
            <w:pPr>
              <w:overflowPunct/>
              <w:autoSpaceDE/>
              <w:autoSpaceDN/>
              <w:adjustRightInd/>
              <w:jc w:val="center"/>
              <w:textAlignment w:val="auto"/>
              <w:rPr>
                <w:b/>
                <w:bCs/>
                <w:color w:val="000000"/>
                <w:sz w:val="20"/>
              </w:rPr>
            </w:pPr>
            <w:r w:rsidRPr="00B91A82">
              <w:rPr>
                <w:b/>
                <w:color w:val="000000"/>
                <w:sz w:val="20"/>
              </w:rPr>
              <w:t>Venture capital</w:t>
            </w:r>
          </w:p>
        </w:tc>
        <w:tc>
          <w:tcPr>
            <w:tcW w:w="1276" w:type="dxa"/>
            <w:tcBorders>
              <w:top w:val="nil"/>
              <w:left w:val="nil"/>
              <w:bottom w:val="single" w:sz="4" w:space="0" w:color="000000"/>
              <w:right w:val="single" w:sz="4" w:space="0" w:color="000000"/>
            </w:tcBorders>
            <w:shd w:val="clear" w:color="000000" w:fill="E7F7FF"/>
            <w:vAlign w:val="center"/>
          </w:tcPr>
          <w:p w14:paraId="6B0AB957" w14:textId="77777777" w:rsidR="00790B17" w:rsidRPr="002C224A" w:rsidRDefault="00790B17" w:rsidP="0074622E">
            <w:pPr>
              <w:overflowPunct/>
              <w:autoSpaceDE/>
              <w:autoSpaceDN/>
              <w:adjustRightInd/>
              <w:jc w:val="center"/>
              <w:textAlignment w:val="auto"/>
              <w:rPr>
                <w:b/>
                <w:bCs/>
                <w:color w:val="000000"/>
                <w:sz w:val="20"/>
              </w:rPr>
            </w:pPr>
          </w:p>
        </w:tc>
        <w:tc>
          <w:tcPr>
            <w:tcW w:w="1134" w:type="dxa"/>
            <w:tcBorders>
              <w:top w:val="nil"/>
              <w:left w:val="nil"/>
              <w:bottom w:val="single" w:sz="4" w:space="0" w:color="000000"/>
              <w:right w:val="single" w:sz="4" w:space="0" w:color="000000"/>
            </w:tcBorders>
            <w:shd w:val="clear" w:color="000000" w:fill="C6E0B4"/>
            <w:vAlign w:val="center"/>
          </w:tcPr>
          <w:p w14:paraId="15752064" w14:textId="77777777" w:rsidR="00790B17" w:rsidRPr="002C224A" w:rsidRDefault="00790B17" w:rsidP="0074622E">
            <w:pPr>
              <w:overflowPunct/>
              <w:autoSpaceDE/>
              <w:autoSpaceDN/>
              <w:adjustRightInd/>
              <w:jc w:val="center"/>
              <w:textAlignment w:val="auto"/>
              <w:rPr>
                <w:b/>
                <w:bCs/>
                <w:color w:val="000000"/>
                <w:sz w:val="20"/>
              </w:rPr>
            </w:pPr>
            <w:r w:rsidRPr="00B91A82">
              <w:rPr>
                <w:b/>
                <w:color w:val="000000"/>
                <w:sz w:val="20"/>
              </w:rPr>
              <w:t>Equity investment</w:t>
            </w:r>
          </w:p>
        </w:tc>
        <w:tc>
          <w:tcPr>
            <w:tcW w:w="1417" w:type="dxa"/>
            <w:tcBorders>
              <w:top w:val="nil"/>
              <w:left w:val="nil"/>
              <w:bottom w:val="single" w:sz="4" w:space="0" w:color="000000"/>
              <w:right w:val="single" w:sz="4" w:space="0" w:color="auto"/>
            </w:tcBorders>
            <w:shd w:val="clear" w:color="000000" w:fill="E7F7FF"/>
            <w:vAlign w:val="center"/>
          </w:tcPr>
          <w:p w14:paraId="49685174" w14:textId="77777777" w:rsidR="00790B17" w:rsidRPr="002C224A" w:rsidRDefault="00790B17" w:rsidP="00A50943">
            <w:pPr>
              <w:overflowPunct/>
              <w:autoSpaceDE/>
              <w:autoSpaceDN/>
              <w:adjustRightInd/>
              <w:jc w:val="center"/>
              <w:textAlignment w:val="auto"/>
              <w:rPr>
                <w:b/>
                <w:bCs/>
                <w:color w:val="000000"/>
                <w:sz w:val="20"/>
              </w:rPr>
            </w:pPr>
            <w:r w:rsidRPr="00B91A82">
              <w:rPr>
                <w:b/>
                <w:color w:val="000000"/>
                <w:sz w:val="20"/>
              </w:rPr>
              <w:t>800–1,600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4209A0AA" w14:textId="77777777" w:rsidR="00790B17" w:rsidRPr="002C224A" w:rsidRDefault="00790B17" w:rsidP="002C224A">
            <w:pPr>
              <w:overflowPunct/>
              <w:autoSpaceDE/>
              <w:autoSpaceDN/>
              <w:adjustRightInd/>
              <w:jc w:val="center"/>
              <w:textAlignment w:val="auto"/>
              <w:rPr>
                <w:b/>
                <w:bCs/>
                <w:color w:val="000000"/>
                <w:sz w:val="20"/>
              </w:rPr>
            </w:pPr>
            <w:r w:rsidRPr="00B91A82">
              <w:rPr>
                <w:b/>
                <w:color w:val="000000"/>
                <w:sz w:val="20"/>
              </w:rPr>
              <w:t>825</w:t>
            </w:r>
          </w:p>
        </w:tc>
        <w:tc>
          <w:tcPr>
            <w:tcW w:w="1276" w:type="dxa"/>
            <w:vMerge/>
            <w:tcBorders>
              <w:top w:val="nil"/>
              <w:left w:val="single" w:sz="4" w:space="0" w:color="auto"/>
              <w:bottom w:val="single" w:sz="8" w:space="0" w:color="000000"/>
              <w:right w:val="single" w:sz="8" w:space="0" w:color="auto"/>
            </w:tcBorders>
            <w:vAlign w:val="center"/>
          </w:tcPr>
          <w:p w14:paraId="06656537" w14:textId="77777777" w:rsidR="00790B17" w:rsidRPr="002C224A" w:rsidRDefault="00790B17" w:rsidP="002C224A">
            <w:pPr>
              <w:overflowPunct/>
              <w:autoSpaceDE/>
              <w:autoSpaceDN/>
              <w:adjustRightInd/>
              <w:jc w:val="center"/>
              <w:textAlignment w:val="auto"/>
              <w:rPr>
                <w:b/>
                <w:bCs/>
                <w:color w:val="000000"/>
                <w:sz w:val="20"/>
              </w:rPr>
            </w:pPr>
          </w:p>
        </w:tc>
      </w:tr>
      <w:tr w:rsidR="00790B17" w:rsidRPr="002C224A" w14:paraId="5BD90342" w14:textId="77777777" w:rsidTr="002C224A">
        <w:trPr>
          <w:trHeight w:val="1035"/>
        </w:trPr>
        <w:tc>
          <w:tcPr>
            <w:tcW w:w="1691" w:type="dxa"/>
            <w:tcBorders>
              <w:top w:val="nil"/>
              <w:left w:val="single" w:sz="8" w:space="0" w:color="auto"/>
              <w:bottom w:val="single" w:sz="4" w:space="0" w:color="000000"/>
              <w:right w:val="single" w:sz="8" w:space="0" w:color="auto"/>
            </w:tcBorders>
            <w:shd w:val="clear" w:color="000000" w:fill="E7F7FF"/>
            <w:vAlign w:val="center"/>
          </w:tcPr>
          <w:p w14:paraId="492BD9FF"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 xml:space="preserve">2.3 – Increasing business usability of the infrastructure </w:t>
            </w:r>
          </w:p>
        </w:tc>
        <w:tc>
          <w:tcPr>
            <w:tcW w:w="1276" w:type="dxa"/>
            <w:tcBorders>
              <w:top w:val="nil"/>
              <w:left w:val="nil"/>
              <w:bottom w:val="single" w:sz="4" w:space="0" w:color="000000"/>
              <w:right w:val="single" w:sz="4" w:space="0" w:color="000000"/>
            </w:tcBorders>
            <w:shd w:val="clear" w:color="000000" w:fill="E7F7FF"/>
            <w:vAlign w:val="center"/>
          </w:tcPr>
          <w:p w14:paraId="3256DEBC"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Real estate</w:t>
            </w:r>
          </w:p>
        </w:tc>
        <w:tc>
          <w:tcPr>
            <w:tcW w:w="1276" w:type="dxa"/>
            <w:tcBorders>
              <w:top w:val="nil"/>
              <w:left w:val="nil"/>
              <w:bottom w:val="single" w:sz="4" w:space="0" w:color="000000"/>
              <w:right w:val="single" w:sz="4" w:space="0" w:color="000000"/>
            </w:tcBorders>
            <w:shd w:val="clear" w:color="000000" w:fill="FCE4D6"/>
            <w:vAlign w:val="center"/>
          </w:tcPr>
          <w:p w14:paraId="49AB96A2"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Soft loans</w:t>
            </w:r>
          </w:p>
        </w:tc>
        <w:tc>
          <w:tcPr>
            <w:tcW w:w="1134" w:type="dxa"/>
            <w:tcBorders>
              <w:top w:val="nil"/>
              <w:left w:val="nil"/>
              <w:bottom w:val="single" w:sz="4" w:space="0" w:color="000000"/>
              <w:right w:val="single" w:sz="4" w:space="0" w:color="000000"/>
            </w:tcBorders>
            <w:shd w:val="clear" w:color="000000" w:fill="C6E0B4"/>
            <w:vAlign w:val="center"/>
          </w:tcPr>
          <w:p w14:paraId="56BE9181"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Subordinated loans</w:t>
            </w:r>
          </w:p>
        </w:tc>
        <w:tc>
          <w:tcPr>
            <w:tcW w:w="1417" w:type="dxa"/>
            <w:tcBorders>
              <w:top w:val="nil"/>
              <w:left w:val="nil"/>
              <w:bottom w:val="single" w:sz="4" w:space="0" w:color="000000"/>
              <w:right w:val="single" w:sz="4" w:space="0" w:color="auto"/>
            </w:tcBorders>
            <w:shd w:val="clear" w:color="000000" w:fill="E7F7FF"/>
            <w:vAlign w:val="center"/>
          </w:tcPr>
          <w:p w14:paraId="67E0D4B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0-550</w:t>
            </w:r>
            <w:r w:rsidRPr="00B91A82">
              <w:rPr>
                <w:rStyle w:val="Znakapoznpodarou"/>
                <w:b/>
                <w:color w:val="000000"/>
              </w:rPr>
              <w:footnoteReference w:id="6"/>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374E061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80-550</w:t>
            </w:r>
          </w:p>
        </w:tc>
        <w:tc>
          <w:tcPr>
            <w:tcW w:w="1276" w:type="dxa"/>
            <w:tcBorders>
              <w:top w:val="nil"/>
              <w:left w:val="single" w:sz="4" w:space="0" w:color="auto"/>
              <w:bottom w:val="single" w:sz="4" w:space="0" w:color="auto"/>
              <w:right w:val="single" w:sz="8" w:space="0" w:color="auto"/>
            </w:tcBorders>
            <w:shd w:val="clear" w:color="000000" w:fill="E7F7FF"/>
            <w:vAlign w:val="center"/>
          </w:tcPr>
          <w:p w14:paraId="474C795F"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3,100</w:t>
            </w:r>
          </w:p>
        </w:tc>
      </w:tr>
      <w:tr w:rsidR="00790B17" w:rsidRPr="002C224A" w14:paraId="6437E5DC" w14:textId="77777777" w:rsidTr="00AC6308">
        <w:trPr>
          <w:trHeight w:val="1545"/>
        </w:trPr>
        <w:tc>
          <w:tcPr>
            <w:tcW w:w="1691" w:type="dxa"/>
            <w:tcBorders>
              <w:top w:val="nil"/>
              <w:left w:val="single" w:sz="8" w:space="0" w:color="auto"/>
              <w:bottom w:val="single" w:sz="4" w:space="0" w:color="000000"/>
              <w:right w:val="single" w:sz="8" w:space="0" w:color="auto"/>
            </w:tcBorders>
            <w:shd w:val="clear" w:color="000000" w:fill="E7F7FF"/>
            <w:vAlign w:val="center"/>
          </w:tcPr>
          <w:p w14:paraId="2F5EDB56"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lastRenderedPageBreak/>
              <w:t>3.1 – Increasing share of energy from renewables in gross final consumption of the Czech Republic</w:t>
            </w:r>
          </w:p>
        </w:tc>
        <w:tc>
          <w:tcPr>
            <w:tcW w:w="1276" w:type="dxa"/>
            <w:tcBorders>
              <w:top w:val="nil"/>
              <w:left w:val="nil"/>
              <w:bottom w:val="single" w:sz="4" w:space="0" w:color="000000"/>
              <w:right w:val="single" w:sz="4" w:space="0" w:color="000000"/>
            </w:tcBorders>
            <w:shd w:val="clear" w:color="000000" w:fill="E7F7FF"/>
            <w:vAlign w:val="center"/>
          </w:tcPr>
          <w:p w14:paraId="65113C58"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Renewable energy sources</w:t>
            </w:r>
          </w:p>
        </w:tc>
        <w:tc>
          <w:tcPr>
            <w:tcW w:w="1276" w:type="dxa"/>
            <w:tcBorders>
              <w:top w:val="nil"/>
              <w:left w:val="nil"/>
              <w:bottom w:val="single" w:sz="4" w:space="0" w:color="000000"/>
              <w:right w:val="single" w:sz="4" w:space="0" w:color="000000"/>
            </w:tcBorders>
            <w:shd w:val="clear" w:color="000000" w:fill="FCE4D6"/>
            <w:vAlign w:val="center"/>
          </w:tcPr>
          <w:p w14:paraId="6144EE75"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Soft loans</w:t>
            </w:r>
          </w:p>
        </w:tc>
        <w:tc>
          <w:tcPr>
            <w:tcW w:w="1134" w:type="dxa"/>
            <w:tcBorders>
              <w:top w:val="nil"/>
              <w:left w:val="nil"/>
              <w:bottom w:val="single" w:sz="4" w:space="0" w:color="000000"/>
              <w:right w:val="single" w:sz="4" w:space="0" w:color="000000"/>
            </w:tcBorders>
            <w:shd w:val="clear" w:color="000000" w:fill="E7F7FF"/>
            <w:vAlign w:val="center"/>
          </w:tcPr>
          <w:p w14:paraId="2C7CED53" w14:textId="77777777" w:rsidR="00790B17" w:rsidRPr="00B91A82" w:rsidRDefault="00790B17" w:rsidP="00443B8F">
            <w:pPr>
              <w:overflowPunct/>
              <w:autoSpaceDE/>
              <w:autoSpaceDN/>
              <w:adjustRightInd/>
              <w:jc w:val="center"/>
              <w:textAlignment w:val="auto"/>
              <w:rPr>
                <w:b/>
                <w:bCs/>
                <w:color w:val="000000"/>
                <w:sz w:val="20"/>
              </w:rPr>
            </w:pPr>
          </w:p>
        </w:tc>
        <w:tc>
          <w:tcPr>
            <w:tcW w:w="1417" w:type="dxa"/>
            <w:tcBorders>
              <w:top w:val="nil"/>
              <w:left w:val="nil"/>
              <w:bottom w:val="single" w:sz="4" w:space="0" w:color="000000"/>
              <w:right w:val="single" w:sz="4" w:space="0" w:color="auto"/>
            </w:tcBorders>
            <w:shd w:val="clear" w:color="000000" w:fill="E7F7FF"/>
            <w:vAlign w:val="center"/>
          </w:tcPr>
          <w:p w14:paraId="4FA9556E"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400-600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2E3F335B"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0</w:t>
            </w:r>
            <w:r w:rsidRPr="00B91A82">
              <w:rPr>
                <w:rStyle w:val="Znakapoznpodarou"/>
                <w:rFonts w:ascii="Calibri" w:hAnsi="Calibri"/>
                <w:b/>
                <w:color w:val="000000"/>
              </w:rPr>
              <w:footnoteReference w:id="7"/>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14:paraId="49A1EE18"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1,400</w:t>
            </w:r>
          </w:p>
        </w:tc>
      </w:tr>
      <w:tr w:rsidR="00790B17" w:rsidRPr="002C224A" w14:paraId="5F135DA2" w14:textId="77777777" w:rsidTr="00AC6308">
        <w:trPr>
          <w:trHeight w:val="1290"/>
        </w:trPr>
        <w:tc>
          <w:tcPr>
            <w:tcW w:w="1691" w:type="dxa"/>
            <w:tcBorders>
              <w:top w:val="nil"/>
              <w:left w:val="single" w:sz="8" w:space="0" w:color="auto"/>
              <w:bottom w:val="single" w:sz="4" w:space="0" w:color="000000"/>
              <w:right w:val="single" w:sz="8" w:space="0" w:color="auto"/>
            </w:tcBorders>
            <w:shd w:val="clear" w:color="000000" w:fill="E7F7FF"/>
            <w:vAlign w:val="center"/>
          </w:tcPr>
          <w:p w14:paraId="4F7A0C4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 xml:space="preserve">3.2 – Improving the energy efficiency of the business sector </w:t>
            </w:r>
          </w:p>
        </w:tc>
        <w:tc>
          <w:tcPr>
            <w:tcW w:w="1276" w:type="dxa"/>
            <w:tcBorders>
              <w:top w:val="nil"/>
              <w:left w:val="nil"/>
              <w:bottom w:val="single" w:sz="4" w:space="0" w:color="000000"/>
              <w:right w:val="single" w:sz="4" w:space="0" w:color="000000"/>
            </w:tcBorders>
            <w:shd w:val="clear" w:color="000000" w:fill="E7F7FF"/>
            <w:vAlign w:val="center"/>
          </w:tcPr>
          <w:p w14:paraId="1835D41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Energy savings</w:t>
            </w:r>
          </w:p>
        </w:tc>
        <w:tc>
          <w:tcPr>
            <w:tcW w:w="1276" w:type="dxa"/>
            <w:tcBorders>
              <w:top w:val="nil"/>
              <w:left w:val="nil"/>
              <w:bottom w:val="single" w:sz="4" w:space="0" w:color="000000"/>
              <w:right w:val="single" w:sz="4" w:space="0" w:color="000000"/>
            </w:tcBorders>
            <w:shd w:val="clear" w:color="000000" w:fill="FCE4D6"/>
            <w:vAlign w:val="center"/>
          </w:tcPr>
          <w:p w14:paraId="6416371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Soft loans</w:t>
            </w:r>
          </w:p>
        </w:tc>
        <w:tc>
          <w:tcPr>
            <w:tcW w:w="1134" w:type="dxa"/>
            <w:tcBorders>
              <w:top w:val="nil"/>
              <w:left w:val="nil"/>
              <w:bottom w:val="single" w:sz="4" w:space="0" w:color="000000"/>
              <w:right w:val="single" w:sz="4" w:space="0" w:color="000000"/>
            </w:tcBorders>
            <w:shd w:val="clear" w:color="000000" w:fill="E7F7FF"/>
            <w:vAlign w:val="center"/>
          </w:tcPr>
          <w:p w14:paraId="434C6B29" w14:textId="77777777" w:rsidR="00790B17" w:rsidRPr="00B91A82" w:rsidRDefault="00790B17" w:rsidP="00443B8F">
            <w:pPr>
              <w:overflowPunct/>
              <w:autoSpaceDE/>
              <w:autoSpaceDN/>
              <w:adjustRightInd/>
              <w:jc w:val="center"/>
              <w:textAlignment w:val="auto"/>
              <w:rPr>
                <w:b/>
                <w:bCs/>
                <w:sz w:val="20"/>
              </w:rPr>
            </w:pPr>
          </w:p>
        </w:tc>
        <w:tc>
          <w:tcPr>
            <w:tcW w:w="1417" w:type="dxa"/>
            <w:tcBorders>
              <w:top w:val="nil"/>
              <w:left w:val="nil"/>
              <w:bottom w:val="single" w:sz="4" w:space="0" w:color="000000"/>
              <w:right w:val="single" w:sz="4" w:space="0" w:color="auto"/>
            </w:tcBorders>
            <w:shd w:val="clear" w:color="000000" w:fill="E7F7FF"/>
            <w:vAlign w:val="center"/>
          </w:tcPr>
          <w:p w14:paraId="65B7DCC2" w14:textId="77777777" w:rsidR="00790B17" w:rsidRPr="00B91A82" w:rsidRDefault="00790B17" w:rsidP="00443B8F">
            <w:pPr>
              <w:overflowPunct/>
              <w:autoSpaceDE/>
              <w:autoSpaceDN/>
              <w:adjustRightInd/>
              <w:jc w:val="center"/>
              <w:textAlignment w:val="auto"/>
              <w:rPr>
                <w:b/>
                <w:bCs/>
                <w:sz w:val="20"/>
              </w:rPr>
            </w:pPr>
            <w:r w:rsidRPr="00B91A82">
              <w:rPr>
                <w:b/>
                <w:sz w:val="20"/>
              </w:rPr>
              <w:t>550-2,000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599CE8A6"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550</w:t>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14:paraId="739610E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20,500</w:t>
            </w:r>
          </w:p>
        </w:tc>
      </w:tr>
      <w:tr w:rsidR="00790B17" w:rsidRPr="002C224A" w14:paraId="032E5F53" w14:textId="77777777" w:rsidTr="002C224A">
        <w:trPr>
          <w:trHeight w:val="1035"/>
        </w:trPr>
        <w:tc>
          <w:tcPr>
            <w:tcW w:w="1691" w:type="dxa"/>
            <w:tcBorders>
              <w:top w:val="nil"/>
              <w:left w:val="single" w:sz="8" w:space="0" w:color="auto"/>
              <w:bottom w:val="single" w:sz="4" w:space="0" w:color="auto"/>
              <w:right w:val="single" w:sz="8" w:space="0" w:color="auto"/>
            </w:tcBorders>
            <w:shd w:val="clear" w:color="000000" w:fill="E7F7FF"/>
            <w:vAlign w:val="center"/>
          </w:tcPr>
          <w:p w14:paraId="04FC0977"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3.5 – Improving the efficiency of the systems for heat supply</w:t>
            </w:r>
          </w:p>
        </w:tc>
        <w:tc>
          <w:tcPr>
            <w:tcW w:w="1276" w:type="dxa"/>
            <w:tcBorders>
              <w:top w:val="nil"/>
              <w:left w:val="nil"/>
              <w:bottom w:val="single" w:sz="4" w:space="0" w:color="auto"/>
              <w:right w:val="single" w:sz="4" w:space="0" w:color="000000"/>
            </w:tcBorders>
            <w:shd w:val="clear" w:color="000000" w:fill="E7F7FF"/>
            <w:vAlign w:val="center"/>
          </w:tcPr>
          <w:p w14:paraId="5403C623"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Energy savings in SHS</w:t>
            </w:r>
          </w:p>
        </w:tc>
        <w:tc>
          <w:tcPr>
            <w:tcW w:w="1276" w:type="dxa"/>
            <w:tcBorders>
              <w:top w:val="nil"/>
              <w:left w:val="nil"/>
              <w:bottom w:val="single" w:sz="4" w:space="0" w:color="auto"/>
              <w:right w:val="single" w:sz="4" w:space="0" w:color="000000"/>
            </w:tcBorders>
            <w:shd w:val="clear" w:color="000000" w:fill="FCE4D6"/>
            <w:vAlign w:val="center"/>
          </w:tcPr>
          <w:p w14:paraId="2FD5177D"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Soft loans</w:t>
            </w:r>
          </w:p>
        </w:tc>
        <w:tc>
          <w:tcPr>
            <w:tcW w:w="1134" w:type="dxa"/>
            <w:tcBorders>
              <w:top w:val="nil"/>
              <w:left w:val="nil"/>
              <w:bottom w:val="single" w:sz="4" w:space="0" w:color="auto"/>
              <w:right w:val="single" w:sz="4" w:space="0" w:color="000000"/>
            </w:tcBorders>
            <w:shd w:val="clear" w:color="000000" w:fill="E7F7FF"/>
            <w:vAlign w:val="center"/>
          </w:tcPr>
          <w:p w14:paraId="1CF2EA08" w14:textId="77777777" w:rsidR="00790B17" w:rsidRPr="00B91A82" w:rsidRDefault="00790B17" w:rsidP="00443B8F">
            <w:pPr>
              <w:overflowPunct/>
              <w:autoSpaceDE/>
              <w:autoSpaceDN/>
              <w:adjustRightInd/>
              <w:jc w:val="center"/>
              <w:textAlignment w:val="auto"/>
              <w:rPr>
                <w:b/>
                <w:bCs/>
                <w:sz w:val="20"/>
              </w:rPr>
            </w:pPr>
          </w:p>
        </w:tc>
        <w:tc>
          <w:tcPr>
            <w:tcW w:w="1417" w:type="dxa"/>
            <w:tcBorders>
              <w:top w:val="nil"/>
              <w:left w:val="nil"/>
              <w:bottom w:val="single" w:sz="4" w:space="0" w:color="auto"/>
              <w:right w:val="single" w:sz="4" w:space="0" w:color="auto"/>
            </w:tcBorders>
            <w:shd w:val="clear" w:color="000000" w:fill="E7F7FF"/>
            <w:vAlign w:val="center"/>
          </w:tcPr>
          <w:p w14:paraId="2E0903A8" w14:textId="77777777" w:rsidR="00790B17" w:rsidRPr="00B91A82" w:rsidRDefault="00790B17" w:rsidP="00443B8F">
            <w:pPr>
              <w:overflowPunct/>
              <w:autoSpaceDE/>
              <w:autoSpaceDN/>
              <w:adjustRightInd/>
              <w:jc w:val="center"/>
              <w:textAlignment w:val="auto"/>
              <w:rPr>
                <w:b/>
                <w:bCs/>
                <w:sz w:val="20"/>
              </w:rPr>
            </w:pPr>
            <w:r w:rsidRPr="00B91A82">
              <w:rPr>
                <w:b/>
                <w:sz w:val="20"/>
              </w:rPr>
              <w:t>300-700</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2ADE1A33"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300</w:t>
            </w:r>
          </w:p>
        </w:tc>
        <w:tc>
          <w:tcPr>
            <w:tcW w:w="1276" w:type="dxa"/>
            <w:tcBorders>
              <w:top w:val="single" w:sz="4" w:space="0" w:color="auto"/>
              <w:left w:val="single" w:sz="4" w:space="0" w:color="auto"/>
              <w:bottom w:val="single" w:sz="4" w:space="0" w:color="auto"/>
              <w:right w:val="single" w:sz="4" w:space="0" w:color="auto"/>
            </w:tcBorders>
            <w:shd w:val="clear" w:color="000000" w:fill="E7F7FF"/>
            <w:vAlign w:val="center"/>
          </w:tcPr>
          <w:p w14:paraId="259FEC06"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3,900</w:t>
            </w:r>
          </w:p>
        </w:tc>
      </w:tr>
      <w:tr w:rsidR="00790B17" w:rsidRPr="002C224A" w14:paraId="3BECA90B" w14:textId="77777777" w:rsidTr="002C224A">
        <w:trPr>
          <w:trHeight w:val="1035"/>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50BAF06"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4.1 – Increasing the coverage by the high-speed Internet</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4631AD" w14:textId="77777777" w:rsidR="00790B17" w:rsidRPr="00B91A82" w:rsidRDefault="00790B17" w:rsidP="00443B8F">
            <w:pPr>
              <w:overflowPunct/>
              <w:autoSpaceDE/>
              <w:autoSpaceDN/>
              <w:adjustRightInd/>
              <w:jc w:val="center"/>
              <w:textAlignment w:val="auto"/>
              <w:rPr>
                <w:b/>
                <w:bCs/>
                <w:color w:val="000000"/>
                <w:sz w:val="20"/>
              </w:rPr>
            </w:pPr>
            <w:r w:rsidRPr="00B91A82">
              <w:rPr>
                <w:b/>
                <w:color w:val="000000"/>
                <w:sz w:val="20"/>
              </w:rPr>
              <w:t>Implementation of the FI is not recommended under OP EIC.</w:t>
            </w:r>
          </w:p>
        </w:tc>
      </w:tr>
    </w:tbl>
    <w:p w14:paraId="011DD3C1" w14:textId="77777777" w:rsidR="00765000" w:rsidRPr="00A50943" w:rsidRDefault="00765000"/>
    <w:p w14:paraId="705154E6" w14:textId="77777777" w:rsidR="006D67F1" w:rsidRPr="00A50943" w:rsidRDefault="006D67F1" w:rsidP="004D17FB"/>
    <w:p w14:paraId="7B32E7D3" w14:textId="77777777" w:rsidR="00790B17" w:rsidRPr="00B91A82" w:rsidRDefault="00790B17" w:rsidP="00790B17">
      <w:r w:rsidRPr="00B91A82">
        <w:t xml:space="preserve">The ex ante assessment identified a wide range of applicable financial instruments, provided that indication of the suitability of their application and of the absorption and implementation risks differs. In particular, </w:t>
      </w:r>
      <w:r w:rsidRPr="00B91A82">
        <w:rPr>
          <w:b/>
        </w:rPr>
        <w:t xml:space="preserve">in case of involving new instruments in areas, where FIs have not been applied previously and where the aid in preceding years has been implemented through subsidies (PA1, PA3), an evolution approach is recommended for the implementation of a new aid form and the absorption capacity should be first verified by a minor pilot allocation. </w:t>
      </w:r>
    </w:p>
    <w:p w14:paraId="6AF48129" w14:textId="77777777" w:rsidR="00790B17" w:rsidRPr="00B91A82" w:rsidRDefault="00790B17" w:rsidP="00790B17"/>
    <w:p w14:paraId="410BF74F" w14:textId="77777777" w:rsidR="00790B17" w:rsidRPr="00B91A82" w:rsidRDefault="00790B17" w:rsidP="00790B17">
      <w:r w:rsidRPr="00B91A82">
        <w:rPr>
          <w:b/>
        </w:rPr>
        <w:t xml:space="preserve">In this sense the ex ante assessment considers the pilot use of approximately 10 % of allocated funds of the OP EIC for financial instruments to be a realistic target, also with respect </w:t>
      </w:r>
      <w:bookmarkStart w:id="7" w:name="_GoBack"/>
      <w:bookmarkEnd w:id="7"/>
      <w:r w:rsidRPr="00B91A82">
        <w:rPr>
          <w:b/>
        </w:rPr>
        <w:t>to the MA’s capacities</w:t>
      </w:r>
      <w:r w:rsidRPr="00B91A82">
        <w:t xml:space="preserve"> – the allocation shall mean an increase by several percentage points compared to 2007–2013, at the same time the share will not be so high to constitute a risk, for example for the compliance with the n+3 rule in case that all the prerequisites related to the absorption capacity are not fully met.</w:t>
      </w:r>
    </w:p>
    <w:p w14:paraId="031B5D75" w14:textId="77777777" w:rsidR="00790B17" w:rsidRPr="00B91A82" w:rsidRDefault="00790B17" w:rsidP="00790B17"/>
    <w:p w14:paraId="4BDCF71E" w14:textId="77777777" w:rsidR="00790B17" w:rsidRPr="00B91A82" w:rsidRDefault="00790B17" w:rsidP="00790B17">
      <w:r w:rsidRPr="00B91A82">
        <w:t xml:space="preserve">Due to the mentioned reasons the summary table indicates a recommended allocation margin for the individual financial instruments based on the identified absorption capacity and budgetary limits of the OP EIC and </w:t>
      </w:r>
      <w:r w:rsidRPr="00B91A82">
        <w:rPr>
          <w:b/>
        </w:rPr>
        <w:t>at the same time the report recommends to apply in first phase of the FIs allocation a pilot allocation stated in column 6</w:t>
      </w:r>
      <w:r w:rsidRPr="00B91A82">
        <w:t xml:space="preserve"> (also considering the need to further clarify FIs in certain SOs).</w:t>
      </w:r>
    </w:p>
    <w:p w14:paraId="77011AC8" w14:textId="77777777" w:rsidR="00790B17" w:rsidRPr="00B91A82" w:rsidRDefault="00790B17" w:rsidP="00790B17">
      <w:r w:rsidRPr="00B91A82">
        <w:t xml:space="preserve">  </w:t>
      </w:r>
    </w:p>
    <w:p w14:paraId="006D562F" w14:textId="77777777" w:rsidR="00790B17" w:rsidRPr="00B91A82" w:rsidRDefault="00790B17" w:rsidP="00790B17">
      <w:pPr>
        <w:rPr>
          <w:b/>
        </w:rPr>
      </w:pPr>
      <w:r w:rsidRPr="00B91A82">
        <w:rPr>
          <w:b/>
        </w:rPr>
        <w:t>However, the Managing Authority may during the programming period decide to increase the allocation of any financial instrument (or all of them) depending on the development of the implementation thereof, as proposed by the ex ante assessment.</w:t>
      </w:r>
    </w:p>
    <w:p w14:paraId="7D8FEF5C" w14:textId="77777777" w:rsidR="00790B17" w:rsidRPr="00B91A82" w:rsidRDefault="00790B17" w:rsidP="00790B17"/>
    <w:p w14:paraId="15DE95A9" w14:textId="77777777" w:rsidR="00790B17" w:rsidRPr="00B91A82" w:rsidRDefault="00790B17" w:rsidP="00790B17">
      <w:pPr>
        <w:rPr>
          <w:b/>
        </w:rPr>
      </w:pPr>
      <w:r w:rsidRPr="00B91A82">
        <w:rPr>
          <w:b/>
        </w:rPr>
        <w:t>In terms of management level financial instruments may be set up at Union level and managed directly or indirectly by the Commission, or set up at national, regional, transnational or cross-border level and managed by or under the responsibility of the Managing Authority.</w:t>
      </w:r>
    </w:p>
    <w:p w14:paraId="17202F5E" w14:textId="77777777" w:rsidR="00790B17" w:rsidRPr="00B91A82" w:rsidRDefault="00790B17" w:rsidP="00790B17"/>
    <w:p w14:paraId="48C5DAC0" w14:textId="77777777" w:rsidR="00790B17" w:rsidRPr="00B91A82" w:rsidRDefault="00790B17" w:rsidP="00790B17">
      <w:r w:rsidRPr="00B91A82">
        <w:rPr>
          <w:b/>
        </w:rPr>
        <w:t>The ex ante assessment does not propose to allocate funds into financial instruments set up at Union level.</w:t>
      </w:r>
      <w:r w:rsidRPr="00B91A82">
        <w:t xml:space="preserve"> This option is not included in the Partnership Agreement either. Therefore, considering the </w:t>
      </w:r>
      <w:r w:rsidRPr="00B91A82">
        <w:lastRenderedPageBreak/>
        <w:t>national scope of the OP EIC, financial instruments under this Operational Programme will be established at the national level (except for the territory of the Capital of Prague).</w:t>
      </w:r>
    </w:p>
    <w:p w14:paraId="6965DB07" w14:textId="77777777" w:rsidR="00790B17" w:rsidRPr="00B91A82" w:rsidRDefault="00790B17" w:rsidP="00790B17"/>
    <w:p w14:paraId="03908F3C" w14:textId="77777777" w:rsidR="00790B17" w:rsidRPr="00B91A82" w:rsidRDefault="00790B17" w:rsidP="00790B17">
      <w:r w:rsidRPr="00B91A82">
        <w:rPr>
          <w:b/>
        </w:rPr>
        <w:t>The Managing Authority of the OP EIC considers using a combination of the OP EIC financial instruments with the sources of the currently prepared European Fund for Strategic Investments (EFSI) in scope of the so-called Investment Plan for Europe.</w:t>
      </w:r>
      <w:r w:rsidRPr="00B91A82">
        <w:t xml:space="preserve"> If selected by the EFSI investment committee, the financial instruments under OP EIC for SMEs may apply, for example, for guarantees or counter-guarantees under EIF, secured by EFSI sources. The division of risk in the EFSI mechanism would in particular allow for an increase in the leverage effect of the OP EIC financial instruments and for financing portfolios with higher risks. The EFSI scheme may under the current draft Regulation involve also national development banks, i.e. Czech-Moravian Guarantee and Development Bank in the Czech Republic.</w:t>
      </w:r>
    </w:p>
    <w:p w14:paraId="5BD3B5A8" w14:textId="77777777" w:rsidR="00790B17" w:rsidRPr="00B91A82" w:rsidRDefault="00790B17" w:rsidP="00790B17"/>
    <w:p w14:paraId="63ECC519" w14:textId="77777777" w:rsidR="00790B17" w:rsidRPr="00B91A82" w:rsidRDefault="00790B17" w:rsidP="00790B17">
      <w:r w:rsidRPr="00B91A82">
        <w:t>For financial instruments set up at national level the managing authority may use:</w:t>
      </w:r>
    </w:p>
    <w:p w14:paraId="0D522C79" w14:textId="77777777" w:rsidR="00790B17" w:rsidRPr="00B91A82" w:rsidRDefault="00790B17" w:rsidP="00790B17">
      <w:pPr>
        <w:numPr>
          <w:ilvl w:val="0"/>
          <w:numId w:val="47"/>
        </w:numPr>
      </w:pPr>
      <w:r w:rsidRPr="00B91A82">
        <w:t>instruments complying with the standard terms and conditions laid down by the Commission (so-called off-the-shelf financial instruments) or</w:t>
      </w:r>
    </w:p>
    <w:p w14:paraId="2480D003" w14:textId="77777777" w:rsidR="00790B17" w:rsidRPr="00B91A82" w:rsidRDefault="00790B17" w:rsidP="00790B17">
      <w:pPr>
        <w:numPr>
          <w:ilvl w:val="0"/>
          <w:numId w:val="47"/>
        </w:numPr>
      </w:pPr>
      <w:r w:rsidRPr="00B91A82">
        <w:t>already existing or newly created financial instruments which are specifically designed to achieve the specific objectives set out under the relevant priority (so-called tailor-made financial instruments).</w:t>
      </w:r>
    </w:p>
    <w:p w14:paraId="7CB8C373" w14:textId="77777777" w:rsidR="00790B17" w:rsidRPr="00B91A82" w:rsidRDefault="00790B17" w:rsidP="00790B17"/>
    <w:p w14:paraId="572F141A" w14:textId="77777777" w:rsidR="00790B17" w:rsidRPr="00B91A82" w:rsidRDefault="00790B17" w:rsidP="00790B17">
      <w:pPr>
        <w:rPr>
          <w:b/>
        </w:rPr>
      </w:pPr>
      <w:r w:rsidRPr="00B91A82">
        <w:rPr>
          <w:b/>
        </w:rPr>
        <w:t>All the financial instruments proposed under this ex ante assessment are tailor-made instruments.</w:t>
      </w:r>
    </w:p>
    <w:p w14:paraId="44231711" w14:textId="77777777" w:rsidR="00790B17" w:rsidRPr="00B91A82" w:rsidRDefault="00790B17" w:rsidP="00790B17"/>
    <w:p w14:paraId="1138B70D" w14:textId="74397868" w:rsidR="00790B17" w:rsidRPr="00B91A82" w:rsidRDefault="00790B17" w:rsidP="00790B17">
      <w:pPr>
        <w:rPr>
          <w:b/>
        </w:rPr>
      </w:pPr>
      <w:r w:rsidRPr="00B91A82">
        <w:rPr>
          <w:b/>
        </w:rPr>
        <w:t xml:space="preserve">The General Regulation also states the following options of implementing the financial instruments in terms of their management (type of </w:t>
      </w:r>
      <w:r w:rsidR="003213A1">
        <w:rPr>
          <w:b/>
        </w:rPr>
        <w:t>recipient</w:t>
      </w:r>
      <w:r w:rsidRPr="00B91A82">
        <w:rPr>
          <w:b/>
        </w:rPr>
        <w:t>):</w:t>
      </w:r>
    </w:p>
    <w:p w14:paraId="47D33953" w14:textId="77777777" w:rsidR="00790B17" w:rsidRPr="00B91A82" w:rsidRDefault="00790B17" w:rsidP="00790B17">
      <w:pPr>
        <w:numPr>
          <w:ilvl w:val="0"/>
          <w:numId w:val="46"/>
        </w:numPr>
      </w:pPr>
      <w:r w:rsidRPr="00B91A82">
        <w:t>invest in the capital of existing or newly created legal entities, including those financed from other ESI Funds, dedicated to implementing financial instruments consistent with the objectives of the respective ESI Funds, which will undertake implementation tasks; the support to such entities shall be limited to the amounts necessary to implement new investments and in a manner that is consistent with the objectives of the General Regulation;</w:t>
      </w:r>
    </w:p>
    <w:p w14:paraId="0D4B098F" w14:textId="77777777" w:rsidR="00790B17" w:rsidRPr="00B91A82" w:rsidRDefault="00790B17" w:rsidP="00790B17">
      <w:pPr>
        <w:numPr>
          <w:ilvl w:val="0"/>
          <w:numId w:val="46"/>
        </w:numPr>
      </w:pPr>
      <w:r w:rsidRPr="00B91A82">
        <w:t>entrust implementation tasks to:</w:t>
      </w:r>
    </w:p>
    <w:p w14:paraId="12BA75B7" w14:textId="77777777" w:rsidR="00790B17" w:rsidRPr="00B91A82" w:rsidRDefault="00790B17" w:rsidP="00790B17">
      <w:pPr>
        <w:numPr>
          <w:ilvl w:val="1"/>
          <w:numId w:val="46"/>
        </w:numPr>
      </w:pPr>
      <w:r w:rsidRPr="00B91A82">
        <w:t>i) EIB;</w:t>
      </w:r>
    </w:p>
    <w:p w14:paraId="16429AE4" w14:textId="77777777" w:rsidR="00790B17" w:rsidRPr="00B91A82" w:rsidRDefault="00790B17" w:rsidP="00790B17">
      <w:pPr>
        <w:numPr>
          <w:ilvl w:val="1"/>
          <w:numId w:val="46"/>
        </w:numPr>
      </w:pPr>
      <w:r w:rsidRPr="00B91A82">
        <w:t>ii) international financial institutions in which a Member State is a shareholder, or financial institutions established in a Member State aiming at the achievement of public interest under the control of a public authority;</w:t>
      </w:r>
    </w:p>
    <w:p w14:paraId="143CD327" w14:textId="77777777" w:rsidR="00790B17" w:rsidRPr="00B91A82" w:rsidRDefault="00790B17" w:rsidP="00790B17">
      <w:pPr>
        <w:numPr>
          <w:ilvl w:val="1"/>
          <w:numId w:val="46"/>
        </w:numPr>
      </w:pPr>
      <w:r w:rsidRPr="00B91A82">
        <w:t>iii) a body governed by public or private law;</w:t>
      </w:r>
    </w:p>
    <w:p w14:paraId="7C7D4D17" w14:textId="77777777" w:rsidR="00790B17" w:rsidRPr="00B91A82" w:rsidRDefault="00790B17" w:rsidP="00790B17">
      <w:pPr>
        <w:numPr>
          <w:ilvl w:val="0"/>
          <w:numId w:val="46"/>
        </w:numPr>
      </w:pPr>
      <w:r w:rsidRPr="00B91A82">
        <w:t>in the case of financial instruments consisting solely of loans or guarantees the managing authority may undertake implementation tasks directly.</w:t>
      </w:r>
    </w:p>
    <w:p w14:paraId="6E0367F5" w14:textId="77777777" w:rsidR="00790B17" w:rsidRPr="00B91A82" w:rsidRDefault="00790B17" w:rsidP="00790B17"/>
    <w:p w14:paraId="13B824E8" w14:textId="77777777" w:rsidR="00790B17" w:rsidRPr="00B91A82" w:rsidRDefault="00790B17" w:rsidP="00790B17">
      <w:r w:rsidRPr="00B91A82">
        <w:t>Based on the findings of the SWOT analysis and past experience and in relation to the Czech Government Resolution No. 85 dated 9 February 2015, which plans a centralized management of financial instruments at the Czech-Moravian Guarantee and Development Bank, the ex ante assessment of the financial instruments recommends:</w:t>
      </w:r>
    </w:p>
    <w:p w14:paraId="1A6C9859" w14:textId="77777777" w:rsidR="00790B17" w:rsidRPr="00B91A82" w:rsidRDefault="00790B17" w:rsidP="00790B17"/>
    <w:p w14:paraId="531D4D6C" w14:textId="77777777" w:rsidR="00790B17" w:rsidRPr="00B91A82" w:rsidRDefault="00790B17" w:rsidP="00790B17">
      <w:pPr>
        <w:numPr>
          <w:ilvl w:val="0"/>
          <w:numId w:val="48"/>
        </w:numPr>
        <w:rPr>
          <w:b/>
        </w:rPr>
      </w:pPr>
      <w:r w:rsidRPr="00B91A82">
        <w:rPr>
          <w:b/>
        </w:rPr>
        <w:t>in the case of financial instruments involving soft loans and guarantees to entrust the Czech-Moravian Guarantee and Development Bank</w:t>
      </w:r>
      <w:r w:rsidRPr="00B91A82">
        <w:t xml:space="preserve"> with the implementation tasks in accordance with Article 38(4)(b)(ii) and in compliance with s. 18(1)(e) of Act No. 137/2006 Coll., on Public Procurement and s. 5(1)(b) of Act No. 47/2002 Coll., on Support to SMEs,</w:t>
      </w:r>
    </w:p>
    <w:p w14:paraId="262FFFD4" w14:textId="77777777" w:rsidR="00790B17" w:rsidRPr="00B91A82" w:rsidRDefault="00790B17" w:rsidP="00790B17">
      <w:pPr>
        <w:ind w:left="360"/>
        <w:rPr>
          <w:b/>
        </w:rPr>
      </w:pPr>
    </w:p>
    <w:p w14:paraId="4CE0DEC0" w14:textId="77777777" w:rsidR="003E17FD" w:rsidRPr="00B247B7" w:rsidRDefault="003E17FD" w:rsidP="003E17FD">
      <w:pPr>
        <w:numPr>
          <w:ilvl w:val="0"/>
          <w:numId w:val="48"/>
        </w:numPr>
      </w:pPr>
      <w:r w:rsidRPr="00B91A82">
        <w:rPr>
          <w:b/>
        </w:rPr>
        <w:t xml:space="preserve">in the case of financial instruments involving equity investments </w:t>
      </w:r>
      <w:r>
        <w:rPr>
          <w:b/>
        </w:rPr>
        <w:t>in SO 1.2 and 2.1</w:t>
      </w:r>
      <w:r w:rsidRPr="00B247B7">
        <w:rPr>
          <w:b/>
        </w:rPr>
        <w:t xml:space="preserve"> </w:t>
      </w:r>
      <w:r>
        <w:rPr>
          <w:b/>
        </w:rPr>
        <w:t xml:space="preserve">to </w:t>
      </w:r>
      <w:r w:rsidRPr="00B91A82">
        <w:rPr>
          <w:b/>
        </w:rPr>
        <w:t>invest in the capital of existing or newly created legal entities</w:t>
      </w:r>
      <w:r w:rsidRPr="00B91A82">
        <w:t xml:space="preserve"> in accordance with Article 38(4)(a) and in compliance with s. 18(1)(e) of Act No. 137/2006 Coll., on Public Procurement</w:t>
      </w:r>
      <w:r>
        <w:t xml:space="preserve"> or </w:t>
      </w:r>
      <w:r>
        <w:lastRenderedPageBreak/>
        <w:t>alternatively</w:t>
      </w:r>
      <w:r w:rsidRPr="00B247B7">
        <w:rPr>
          <w:b/>
        </w:rPr>
        <w:t xml:space="preserve"> </w:t>
      </w:r>
      <w:r w:rsidRPr="00B91A82">
        <w:rPr>
          <w:b/>
        </w:rPr>
        <w:t>to entrust EIB (EIF</w:t>
      </w:r>
      <w:r>
        <w:rPr>
          <w:b/>
        </w:rPr>
        <w:t>)</w:t>
      </w:r>
      <w:r w:rsidRPr="00B91A82">
        <w:rPr>
          <w:b/>
        </w:rPr>
        <w:t xml:space="preserve"> with the implementation tasks in acco</w:t>
      </w:r>
      <w:r>
        <w:rPr>
          <w:b/>
        </w:rPr>
        <w:t>rdance with Article 38(4)(b)(i).</w:t>
      </w:r>
      <w:r w:rsidRPr="00B247B7">
        <w:rPr>
          <w:b/>
        </w:rPr>
        <w:t xml:space="preserve"> </w:t>
      </w:r>
      <w:r>
        <w:rPr>
          <w:b/>
        </w:rPr>
        <w:t>T</w:t>
      </w:r>
      <w:r w:rsidRPr="00B91A82">
        <w:rPr>
          <w:b/>
        </w:rPr>
        <w:t>he ex ante assessment suggests</w:t>
      </w:r>
      <w:r>
        <w:rPr>
          <w:b/>
        </w:rPr>
        <w:t xml:space="preserve"> to</w:t>
      </w:r>
      <w:r w:rsidRPr="00B91A82">
        <w:rPr>
          <w:b/>
        </w:rPr>
        <w:t xml:space="preserve"> creat</w:t>
      </w:r>
      <w:r>
        <w:rPr>
          <w:b/>
        </w:rPr>
        <w:t>e</w:t>
      </w:r>
      <w:r w:rsidRPr="00B91A82">
        <w:rPr>
          <w:b/>
        </w:rPr>
        <w:t xml:space="preserve"> a new national entity</w:t>
      </w:r>
      <w:r>
        <w:rPr>
          <w:b/>
        </w:rPr>
        <w:t xml:space="preserve"> (</w:t>
      </w:r>
      <w:r w:rsidRPr="00437EFF">
        <w:rPr>
          <w:b/>
          <w:bCs/>
        </w:rPr>
        <w:t>Národní inovační fond, investiční společnost, a.s.</w:t>
      </w:r>
      <w:r>
        <w:rPr>
          <w:b/>
        </w:rPr>
        <w:t>)</w:t>
      </w:r>
      <w:r w:rsidRPr="00B91A82">
        <w:rPr>
          <w:b/>
        </w:rPr>
        <w:t xml:space="preserve">, but especially at the beginning of the implementation it recommends to cooperate with the EIF through </w:t>
      </w:r>
      <w:r>
        <w:rPr>
          <w:b/>
        </w:rPr>
        <w:t xml:space="preserve">direct time-limited </w:t>
      </w:r>
      <w:r w:rsidRPr="00B91A82">
        <w:rPr>
          <w:b/>
        </w:rPr>
        <w:t>management</w:t>
      </w:r>
      <w:r>
        <w:rPr>
          <w:b/>
        </w:rPr>
        <w:t xml:space="preserve"> of the established fund or through advisory (e.g. by setting of the selection proces and cooperation with financial intermediaries and co-investors) – depending on the specific conditions of the agreement with EIF.</w:t>
      </w:r>
    </w:p>
    <w:p w14:paraId="3A41B31E" w14:textId="77777777" w:rsidR="004071E2" w:rsidRPr="00B91A82" w:rsidRDefault="004071E2" w:rsidP="004071E2"/>
    <w:p w14:paraId="4D73B7E3" w14:textId="46BE5EA7" w:rsidR="00790B17" w:rsidRPr="00B91A82" w:rsidRDefault="00790B17" w:rsidP="00790B17">
      <w:r w:rsidRPr="00B91A82">
        <w:t xml:space="preserve">According to the General Regulation, financial instruments may be implemented separately or through a fund of funds. The Ministry of Industry and Trade has no experience with implementing financial instruments through a fund of funds, however, currently they are engaged in preparation works for a feasibility study on centralizing the implementation of financial instruments through a National Fund of Funds of the Czech-Moravian Guarantee and Development Bank, that would manage the fund of funds for all MAs of the operational programmes in the Czech Republic.  </w:t>
      </w:r>
      <w:r w:rsidRPr="00B91A82">
        <w:rPr>
          <w:b/>
        </w:rPr>
        <w:t>With regard to the conclusions of the draft investment strategy for the individual specific objectives the ex ante assessment indicatively recommends</w:t>
      </w:r>
      <w:r w:rsidRPr="00B91A82">
        <w:t>:</w:t>
      </w:r>
    </w:p>
    <w:p w14:paraId="6B626823" w14:textId="77777777" w:rsidR="00790B17" w:rsidRPr="00B91A82" w:rsidRDefault="00790B17" w:rsidP="00790B17"/>
    <w:p w14:paraId="3941FD67" w14:textId="14551483" w:rsidR="00790B17" w:rsidRPr="00B91A82" w:rsidRDefault="00790B17" w:rsidP="00790B17">
      <w:pPr>
        <w:numPr>
          <w:ilvl w:val="0"/>
          <w:numId w:val="48"/>
        </w:numPr>
      </w:pPr>
      <w:r w:rsidRPr="00B91A82">
        <w:rPr>
          <w:b/>
        </w:rPr>
        <w:t xml:space="preserve">in the case of loan financial instruments (typically combined with an interest rate subsidy or a grant for technical preparation of the project) to conclude a funding agreement for the creation of a loan fund with the </w:t>
      </w:r>
      <w:r w:rsidR="003213A1">
        <w:rPr>
          <w:b/>
        </w:rPr>
        <w:t>recipient</w:t>
      </w:r>
      <w:r w:rsidRPr="00B91A82">
        <w:t>. The loan fund will be internally divided according to individual priority axes and specific objectives. Due to the fact that cooperation with other financial institutions, based on the conclusions of the draft investment strategy, is not planned in terms of involvement of financial intermediaries, but as a framework coordination, the ex ante assessment concludes that this cooperation does not constitute a fund of funds, but an individual financial instrument. The scheme should allow for an integration into a centralized national fund of funds, if available during the programming period.</w:t>
      </w:r>
      <w:r w:rsidR="00957AAC">
        <w:t xml:space="preserve"> C</w:t>
      </w:r>
      <w:r w:rsidRPr="00B91A82">
        <w:t>onsidering the specific tailor-made implementation arrangements and conclusions of the audit by the EC in the period 2007–2013, the ex ante assessment recommends to discuss the structure of an OP EIC fund with the European Commission before the launch thereof.</w:t>
      </w:r>
    </w:p>
    <w:p w14:paraId="33A32778" w14:textId="1B2C29B1" w:rsidR="00790B17" w:rsidRPr="00B91A82" w:rsidRDefault="00790B17" w:rsidP="00790B17"/>
    <w:p w14:paraId="152DF246" w14:textId="08481B7C" w:rsidR="006D67F1" w:rsidRPr="002C224A" w:rsidRDefault="0053219E" w:rsidP="00790B17">
      <w:pPr>
        <w:pStyle w:val="Titulek"/>
        <w:keepNext/>
      </w:pPr>
      <w:r w:rsidRPr="008517EA">
        <w:rPr>
          <w:noProof/>
          <w:szCs w:val="22"/>
          <w:lang w:eastAsia="cs-CZ"/>
        </w:rPr>
        <w:drawing>
          <wp:anchor distT="0" distB="0" distL="114300" distR="114300" simplePos="0" relativeHeight="251661824" behindDoc="0" locked="0" layoutInCell="1" allowOverlap="1" wp14:anchorId="5BC553D9" wp14:editId="271C62A0">
            <wp:simplePos x="0" y="0"/>
            <wp:positionH relativeFrom="margin">
              <wp:posOffset>-4445</wp:posOffset>
            </wp:positionH>
            <wp:positionV relativeFrom="paragraph">
              <wp:posOffset>224155</wp:posOffset>
            </wp:positionV>
            <wp:extent cx="4598035" cy="3171825"/>
            <wp:effectExtent l="0" t="0" r="0" b="9525"/>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459803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B17" w:rsidRPr="00B91A82">
        <w:t xml:space="preserve">Figure </w:t>
      </w:r>
      <w:r w:rsidR="00AE65A1">
        <w:fldChar w:fldCharType="begin"/>
      </w:r>
      <w:r w:rsidR="00AE65A1">
        <w:instrText xml:space="preserve"> SEQ Obrázek \* ARABIC </w:instrText>
      </w:r>
      <w:r w:rsidR="00AE65A1">
        <w:fldChar w:fldCharType="separate"/>
      </w:r>
      <w:r w:rsidR="00790B17" w:rsidRPr="00B91A82">
        <w:rPr>
          <w:noProof/>
        </w:rPr>
        <w:t>1</w:t>
      </w:r>
      <w:r w:rsidR="00AE65A1">
        <w:rPr>
          <w:noProof/>
        </w:rPr>
        <w:fldChar w:fldCharType="end"/>
      </w:r>
      <w:r w:rsidR="00790B17" w:rsidRPr="00B91A82">
        <w:t>: Implementation scheme of the OP EIC Loan Fund (examples of loans to SMEs, PA 2)</w:t>
      </w:r>
    </w:p>
    <w:p w14:paraId="1EB42C71" w14:textId="70236C15" w:rsidR="006D67F1" w:rsidRPr="002C224A" w:rsidRDefault="00084A59" w:rsidP="008F27E3">
      <w:pPr>
        <w:rPr>
          <w:noProof/>
        </w:rPr>
      </w:pPr>
      <w:r w:rsidRPr="00A50943">
        <w:rPr>
          <w:noProof/>
        </w:rPr>
        <w:t xml:space="preserve"> </w:t>
      </w:r>
    </w:p>
    <w:p w14:paraId="0119A9B2" w14:textId="3B18D502" w:rsidR="005C5F7C" w:rsidRPr="00A50943" w:rsidRDefault="005C5F7C" w:rsidP="008F27E3">
      <w:pPr>
        <w:rPr>
          <w:b/>
          <w:noProof/>
          <w:color w:val="00A1DE"/>
          <w:sz w:val="24"/>
          <w:szCs w:val="22"/>
        </w:rPr>
      </w:pPr>
    </w:p>
    <w:p w14:paraId="35B05195" w14:textId="1F00A641" w:rsidR="006D67F1" w:rsidRPr="002C224A" w:rsidRDefault="00790B17" w:rsidP="0067117C">
      <w:pPr>
        <w:numPr>
          <w:ilvl w:val="0"/>
          <w:numId w:val="48"/>
        </w:numPr>
      </w:pPr>
      <w:r w:rsidRPr="00B91A82">
        <w:rPr>
          <w:b/>
        </w:rPr>
        <w:lastRenderedPageBreak/>
        <w:t xml:space="preserve">in the case of guarantee of financial instruments (typically combined with an interest rate subsidy) to conclude a funding agreement in order to create a guarantee fund with the </w:t>
      </w:r>
      <w:r w:rsidR="003213A1">
        <w:rPr>
          <w:b/>
        </w:rPr>
        <w:t>recipient</w:t>
      </w:r>
      <w:r w:rsidRPr="00B91A82">
        <w:t>. The guarantee fund will be internally divided according to individual priority axes and specific objectives. According to conclusions of this ex ante assessment it constitutes an individual financial instrument. The scheme should allow for an integration into a centralized national fund of funds, if available during the programming period.</w:t>
      </w:r>
      <w:r w:rsidR="00957AAC">
        <w:t>C</w:t>
      </w:r>
      <w:r w:rsidRPr="00B91A82">
        <w:t>onsidering the specific tailor-made implementation arrangements and conclusions of the audit by the EC in the period 2007–2013, the ex ante assessment recommends to discuss the structure of an OP EIC guarantee fund with the European Commission before the launch thereof.</w:t>
      </w:r>
      <w:r w:rsidR="00956F28" w:rsidRPr="002C224A">
        <w:t xml:space="preserve"> </w:t>
      </w:r>
    </w:p>
    <w:p w14:paraId="483685EA" w14:textId="77777777" w:rsidR="006D67F1" w:rsidRPr="002C224A" w:rsidRDefault="006D67F1" w:rsidP="008F27E3"/>
    <w:p w14:paraId="6EBC321B" w14:textId="6B4313A2" w:rsidR="006D67F1" w:rsidRPr="002C224A" w:rsidRDefault="00572535" w:rsidP="008F27E3">
      <w:pPr>
        <w:pStyle w:val="Titulek"/>
        <w:keepNext/>
      </w:pPr>
      <w:r w:rsidRPr="007456D1">
        <w:rPr>
          <w:noProof/>
          <w:szCs w:val="22"/>
          <w:lang w:eastAsia="cs-CZ"/>
        </w:rPr>
        <w:drawing>
          <wp:inline distT="0" distB="0" distL="0" distR="0" wp14:anchorId="4168BF5E" wp14:editId="3B9FA4E3">
            <wp:extent cx="5657850" cy="3756098"/>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r="-1041" b="10556"/>
                    <a:stretch/>
                  </pic:blipFill>
                  <pic:spPr bwMode="auto">
                    <a:xfrm>
                      <a:off x="0" y="0"/>
                      <a:ext cx="5664764" cy="3760688"/>
                    </a:xfrm>
                    <a:prstGeom prst="rect">
                      <a:avLst/>
                    </a:prstGeom>
                    <a:ln>
                      <a:noFill/>
                    </a:ln>
                    <a:extLst>
                      <a:ext uri="{53640926-AAD7-44D8-BBD7-CCE9431645EC}">
                        <a14:shadowObscured xmlns:a14="http://schemas.microsoft.com/office/drawing/2010/main"/>
                      </a:ext>
                    </a:extLst>
                  </pic:spPr>
                </pic:pic>
              </a:graphicData>
            </a:graphic>
          </wp:inline>
        </w:drawing>
      </w:r>
      <w:r w:rsidR="00790B17" w:rsidRPr="00B91A82">
        <w:t xml:space="preserve">Figure </w:t>
      </w:r>
      <w:r w:rsidR="00AE65A1">
        <w:fldChar w:fldCharType="begin"/>
      </w:r>
      <w:r w:rsidR="00AE65A1">
        <w:instrText xml:space="preserve"> SEQ Obrázek \* ARABIC </w:instrText>
      </w:r>
      <w:r w:rsidR="00AE65A1">
        <w:fldChar w:fldCharType="separate"/>
      </w:r>
      <w:r w:rsidR="00790B17" w:rsidRPr="00B91A82">
        <w:rPr>
          <w:noProof/>
        </w:rPr>
        <w:t>2</w:t>
      </w:r>
      <w:r w:rsidR="00AE65A1">
        <w:rPr>
          <w:noProof/>
        </w:rPr>
        <w:fldChar w:fldCharType="end"/>
      </w:r>
      <w:r w:rsidR="00790B17" w:rsidRPr="00B91A82">
        <w:t>: Implementation scheme of the OP EIC Guarantee Fund (examples of loans to SMEs, PA 2)</w:t>
      </w:r>
    </w:p>
    <w:p w14:paraId="26081BE4" w14:textId="395B9F9E" w:rsidR="00DA5277" w:rsidRPr="002C224A" w:rsidRDefault="00084A59" w:rsidP="00B33F22">
      <w:r w:rsidRPr="00A50943">
        <w:rPr>
          <w:noProof/>
        </w:rPr>
        <w:t xml:space="preserve"> </w:t>
      </w:r>
    </w:p>
    <w:p w14:paraId="4F063FAB" w14:textId="77777777" w:rsidR="003E17FD" w:rsidRDefault="003E17FD" w:rsidP="003E17FD">
      <w:pPr>
        <w:numPr>
          <w:ilvl w:val="0"/>
          <w:numId w:val="48"/>
        </w:numPr>
      </w:pPr>
      <w:r w:rsidRPr="00B33F22">
        <w:rPr>
          <w:b/>
        </w:rPr>
        <w:t xml:space="preserve">in the case of equity investment financial instruments, to conclude </w:t>
      </w:r>
      <w:r>
        <w:rPr>
          <w:b/>
        </w:rPr>
        <w:t xml:space="preserve">one or </w:t>
      </w:r>
      <w:r w:rsidRPr="00B33F22">
        <w:rPr>
          <w:b/>
        </w:rPr>
        <w:t xml:space="preserve">two funding agreements.  </w:t>
      </w:r>
      <w:r>
        <w:rPr>
          <w:b/>
        </w:rPr>
        <w:t>The first should be closed</w:t>
      </w:r>
      <w:r w:rsidRPr="00B33F22">
        <w:rPr>
          <w:b/>
        </w:rPr>
        <w:t xml:space="preserve"> with the EIF</w:t>
      </w:r>
      <w:r>
        <w:rPr>
          <w:b/>
        </w:rPr>
        <w:t xml:space="preserve"> in case of entrusting the management of the venture capital fund in the beginning of the programming period.</w:t>
      </w:r>
      <w:r w:rsidRPr="00B33F22">
        <w:rPr>
          <w:b/>
        </w:rPr>
        <w:t xml:space="preserve"> </w:t>
      </w:r>
      <w:r>
        <w:rPr>
          <w:b/>
        </w:rPr>
        <w:t>T</w:t>
      </w:r>
      <w:r w:rsidRPr="00B33F22">
        <w:rPr>
          <w:b/>
        </w:rPr>
        <w:t>he second</w:t>
      </w:r>
      <w:r>
        <w:rPr>
          <w:b/>
        </w:rPr>
        <w:t xml:space="preserve"> should be closed</w:t>
      </w:r>
      <w:r w:rsidRPr="00B33F22">
        <w:rPr>
          <w:b/>
        </w:rPr>
        <w:t xml:space="preserve"> with the newly established subject (</w:t>
      </w:r>
      <w:r w:rsidRPr="00B33F22">
        <w:rPr>
          <w:b/>
          <w:bCs/>
        </w:rPr>
        <w:t>Národní inovační fond, investiční společnost, a.s.</w:t>
      </w:r>
      <w:r w:rsidRPr="00B33F22">
        <w:rPr>
          <w:b/>
        </w:rPr>
        <w:t>)</w:t>
      </w:r>
      <w:r>
        <w:rPr>
          <w:b/>
        </w:rPr>
        <w:t>.</w:t>
      </w:r>
      <w:r w:rsidRPr="00B33F22">
        <w:rPr>
          <w:b/>
        </w:rPr>
        <w:t xml:space="preserve"> </w:t>
      </w:r>
      <w:r>
        <w:t>C</w:t>
      </w:r>
      <w:r w:rsidRPr="00B91A82">
        <w:t>onsidering the specific tailor-made implementation arrangements the ex ante assessment recommends to discuss the structure of an OP EIC equity investment fund with the European Commission before the launch thereof.</w:t>
      </w:r>
    </w:p>
    <w:p w14:paraId="2039883D" w14:textId="346B8005" w:rsidR="00B33F22" w:rsidRPr="002C224A" w:rsidRDefault="008E3610" w:rsidP="0053219E">
      <w:r>
        <w:rPr>
          <w:noProof/>
        </w:rPr>
        <w:lastRenderedPageBreak/>
        <w:drawing>
          <wp:inline distT="0" distB="0" distL="0" distR="0" wp14:anchorId="1B1AFC96" wp14:editId="66034D8D">
            <wp:extent cx="5760720" cy="4246245"/>
            <wp:effectExtent l="0" t="0" r="0" b="1905"/>
            <wp:docPr id="11" name="Obrázek 11" descr="cid:image001.jpg@01D0A8F2.D6BEE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jpg@01D0A8F2.D6BEE0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4246245"/>
                    </a:xfrm>
                    <a:prstGeom prst="rect">
                      <a:avLst/>
                    </a:prstGeom>
                    <a:noFill/>
                    <a:ln>
                      <a:noFill/>
                    </a:ln>
                  </pic:spPr>
                </pic:pic>
              </a:graphicData>
            </a:graphic>
          </wp:inline>
        </w:drawing>
      </w:r>
    </w:p>
    <w:p w14:paraId="15633D35" w14:textId="16A0CEE1" w:rsidR="006D67F1" w:rsidRPr="002C224A" w:rsidRDefault="00725C3C" w:rsidP="008F27E3">
      <w:pPr>
        <w:pStyle w:val="Titulek"/>
        <w:keepNext/>
      </w:pPr>
      <w:r>
        <w:t>Figure</w:t>
      </w:r>
      <w:r w:rsidRPr="002C224A">
        <w:t xml:space="preserve"> </w:t>
      </w:r>
      <w:r w:rsidR="00AE65A1">
        <w:fldChar w:fldCharType="begin"/>
      </w:r>
      <w:r w:rsidR="00AE65A1">
        <w:instrText xml:space="preserve"> SEQ Obrázek \* ARABIC </w:instrText>
      </w:r>
      <w:r w:rsidR="00AE65A1">
        <w:fldChar w:fldCharType="separate"/>
      </w:r>
      <w:r w:rsidR="005A25ED">
        <w:rPr>
          <w:noProof/>
        </w:rPr>
        <w:t>3</w:t>
      </w:r>
      <w:r w:rsidR="00AE65A1">
        <w:rPr>
          <w:noProof/>
        </w:rPr>
        <w:fldChar w:fldCharType="end"/>
      </w:r>
      <w:r w:rsidR="006D67F1" w:rsidRPr="002C224A">
        <w:t xml:space="preserve">: </w:t>
      </w:r>
      <w:r w:rsidRPr="00B91A82">
        <w:t xml:space="preserve">Implementation scheme of the </w:t>
      </w:r>
      <w:r w:rsidR="00B33F22">
        <w:t>National innovation fund</w:t>
      </w:r>
      <w:r w:rsidRPr="002C224A" w:rsidDel="00725C3C">
        <w:t xml:space="preserve"> </w:t>
      </w:r>
      <w:r>
        <w:t>(</w:t>
      </w:r>
      <w:r w:rsidR="00B33F22">
        <w:t>ekvity financial instruments in SO 1.2 and 2.1)</w:t>
      </w:r>
    </w:p>
    <w:p w14:paraId="0F13DF45" w14:textId="77777777" w:rsidR="0053219E" w:rsidRDefault="0053219E" w:rsidP="00703AD5">
      <w:pPr>
        <w:rPr>
          <w:b/>
        </w:rPr>
      </w:pPr>
    </w:p>
    <w:p w14:paraId="10F872D4" w14:textId="40964C62" w:rsidR="000B6179" w:rsidRPr="002C224A" w:rsidRDefault="00790B17" w:rsidP="00703AD5">
      <w:pPr>
        <w:rPr>
          <w:b/>
        </w:rPr>
      </w:pPr>
      <w:r w:rsidRPr="00B91A82">
        <w:rPr>
          <w:b/>
        </w:rPr>
        <w:t>The ex ante assessment recommends to further develop the various proposals for financial instruments upon the preparation of specific products and support programmes of the OP EIC, including a detailed assessment of their parameters.</w:t>
      </w:r>
    </w:p>
    <w:p w14:paraId="2659D9E0" w14:textId="27E6746F" w:rsidR="006D67F1" w:rsidRPr="002C224A" w:rsidRDefault="000B6179" w:rsidP="00165EB0">
      <w:pPr>
        <w:pStyle w:val="Nadpis1"/>
        <w:rPr>
          <w:rFonts w:ascii="Calibri" w:hAnsi="Calibri"/>
        </w:rPr>
      </w:pPr>
      <w:r w:rsidRPr="002C224A">
        <w:rPr>
          <w:rFonts w:ascii="Calibri" w:hAnsi="Calibri"/>
        </w:rPr>
        <w:br w:type="page"/>
      </w:r>
      <w:bookmarkStart w:id="8" w:name="_Toc420870659"/>
      <w:bookmarkStart w:id="9" w:name="_Toc422312085"/>
      <w:r w:rsidR="00790B17" w:rsidRPr="00B91A82">
        <w:rPr>
          <w:rFonts w:ascii="Calibri" w:hAnsi="Calibri"/>
        </w:rPr>
        <w:lastRenderedPageBreak/>
        <w:t>Introduction</w:t>
      </w:r>
      <w:bookmarkEnd w:id="8"/>
      <w:bookmarkEnd w:id="9"/>
    </w:p>
    <w:p w14:paraId="60083C51" w14:textId="77777777" w:rsidR="00790B17" w:rsidRPr="00B91A82" w:rsidRDefault="00790B17" w:rsidP="00790B17">
      <w:r w:rsidRPr="00B91A82">
        <w:t>The submitted document presents the ex ante assessment of financial instruments of the Operational Programme Enterprise and Innovation (OP EIC) according to Article 37(2) of the General Regulation, which forms the first step to the implementation of financial instruments in the new programming period 2014–2020 covered by the operational programme of the Ministry of Industry and Trade (MIT).</w:t>
      </w:r>
    </w:p>
    <w:p w14:paraId="36FED661" w14:textId="77777777" w:rsidR="00790B17" w:rsidRPr="00B91A82" w:rsidRDefault="00790B17" w:rsidP="00790B17"/>
    <w:p w14:paraId="697310BE" w14:textId="77777777" w:rsidR="00790B17" w:rsidRPr="00B91A82" w:rsidRDefault="00790B17" w:rsidP="00790B17">
      <w:r w:rsidRPr="00B91A82">
        <w:t xml:space="preserve">The European Commission has repeatedly declared that it considers financial instruments (hereinafter also referred to as "FIs") to be one of the crucial topics of the new financial framework. The Europe 2020 strategy in this sense mentions "mobilising financial instruments" several times. Already in the 2007–2013 programming period a significant progress was made in the use of financial instruments, both in the context of the cohesion policy and initiatives of the Commission, in the programming period 2014–2020 their role should be strengthened further. The Czech Republic is aware of this opportunity – the significance of financial instruments has been emphasised in particular by the current government efforts to activate the Czech-Moravian Guarantee and Development Bank </w:t>
      </w:r>
    </w:p>
    <w:p w14:paraId="7E562A21" w14:textId="77777777" w:rsidR="00790B17" w:rsidRPr="00B91A82" w:rsidRDefault="00790B17" w:rsidP="00790B17"/>
    <w:p w14:paraId="4A9B1D69" w14:textId="77777777" w:rsidR="00790B17" w:rsidRPr="00B91A82" w:rsidRDefault="00790B17" w:rsidP="00790B17">
      <w:r w:rsidRPr="00B91A82">
        <w:t>According to MIT financial instruments constitute an efficient form of implementation of the policy targeted at promotion of entrepreneurship and innovation with a huge potential in numerous areas. But they constitute a means of achieving the set objectives of these policies, not the goal itself. Therefore, this analysis in its first stage addresses in particular the strategic procedure for selection of suitable measures / strategic objectives of the OP EIC to apply the financial instruments.</w:t>
      </w:r>
    </w:p>
    <w:p w14:paraId="3BC434DD" w14:textId="77777777" w:rsidR="00790B17" w:rsidRPr="00B91A82" w:rsidRDefault="00790B17" w:rsidP="00790B17"/>
    <w:p w14:paraId="712CD574" w14:textId="77777777" w:rsidR="00790B17" w:rsidRPr="00B91A82" w:rsidRDefault="00790B17" w:rsidP="00790B17">
      <w:r w:rsidRPr="00B91A82">
        <w:t>The ex ante assessment of the financial instruments of the OP EIC has been prepared in accordance with the focus of the operational programme, provided that the proposed financial instruments are in addition to the OP EIC and the Partnership Agreement also linked to and comply with the below stated strategic government documents:</w:t>
      </w:r>
    </w:p>
    <w:p w14:paraId="6005B4CE" w14:textId="77777777" w:rsidR="00790B17" w:rsidRPr="00B91A82" w:rsidRDefault="00790B17" w:rsidP="00790B17"/>
    <w:p w14:paraId="55F631CE" w14:textId="77777777" w:rsidR="00790B17" w:rsidRPr="00B91A82" w:rsidRDefault="00790B17" w:rsidP="00790B17">
      <w:pPr>
        <w:numPr>
          <w:ilvl w:val="0"/>
          <w:numId w:val="49"/>
        </w:numPr>
      </w:pPr>
      <w:r w:rsidRPr="00B91A82">
        <w:t>National Research and Innovation Strategy for Smart Specialization of the Czech Republic (National RIS3 Strategy)</w:t>
      </w:r>
    </w:p>
    <w:p w14:paraId="60E1860C" w14:textId="77777777" w:rsidR="00790B17" w:rsidRPr="00B91A82" w:rsidRDefault="00790B17" w:rsidP="00790B17">
      <w:pPr>
        <w:numPr>
          <w:ilvl w:val="0"/>
          <w:numId w:val="49"/>
        </w:numPr>
      </w:pPr>
      <w:r w:rsidRPr="00B91A82">
        <w:t>National Reform Programme</w:t>
      </w:r>
    </w:p>
    <w:p w14:paraId="46E06EDF" w14:textId="77777777" w:rsidR="00790B17" w:rsidRPr="00B91A82" w:rsidRDefault="00790B17" w:rsidP="00790B17">
      <w:pPr>
        <w:numPr>
          <w:ilvl w:val="0"/>
          <w:numId w:val="49"/>
        </w:numPr>
      </w:pPr>
      <w:r w:rsidRPr="00B91A82">
        <w:t>Concept of Support for Small and Medium-Sized Enterprises for the 2014-2020 period</w:t>
      </w:r>
    </w:p>
    <w:p w14:paraId="2B0A4C29" w14:textId="77777777" w:rsidR="00790B17" w:rsidRPr="00B91A82" w:rsidRDefault="00790B17" w:rsidP="00790B17">
      <w:pPr>
        <w:numPr>
          <w:ilvl w:val="0"/>
          <w:numId w:val="49"/>
        </w:numPr>
      </w:pPr>
      <w:r w:rsidRPr="00B91A82">
        <w:t>International Competitiveness Strategy of the Czech Republic 2012–2020</w:t>
      </w:r>
    </w:p>
    <w:p w14:paraId="451890FE" w14:textId="77777777" w:rsidR="00790B17" w:rsidRPr="00B91A82" w:rsidRDefault="00790B17" w:rsidP="00790B17">
      <w:pPr>
        <w:numPr>
          <w:ilvl w:val="0"/>
          <w:numId w:val="49"/>
        </w:numPr>
      </w:pPr>
      <w:r w:rsidRPr="00B91A82">
        <w:t>Regional Development Strategy 2014-2020</w:t>
      </w:r>
    </w:p>
    <w:p w14:paraId="5A7F40C8" w14:textId="77777777" w:rsidR="00790B17" w:rsidRPr="00B91A82" w:rsidRDefault="00790B17" w:rsidP="00790B17"/>
    <w:p w14:paraId="5EE510B2" w14:textId="77777777" w:rsidR="00790B17" w:rsidRPr="00B91A82" w:rsidRDefault="00790B17" w:rsidP="00790B17"/>
    <w:p w14:paraId="14BE66EA" w14:textId="223FA4B2" w:rsidR="00790B17" w:rsidRPr="00B91A82" w:rsidRDefault="00790B17" w:rsidP="00790B17">
      <w:r w:rsidRPr="00B91A82">
        <w:t>The ex ante assessment has been elaborated mainly by MIT and Deloitte Advisory, s.r.o as a supplier of external documentation and an independent opponent. According to the partnership principle the preparation of this evaluation involved other partners, whose list is attached below, representing both the side of the demand for investment resources through financial instruments and the supply side. Two workshops were organized over the interim results of the analysis, attended by major stakeholders of the specific objectives. The ex ante assessment of financial instruments is also continuously being discussed with the Ministry for Regional Development (National Coordination Authority), the Ministry of Finance</w:t>
      </w:r>
      <w:r w:rsidR="00231D1A">
        <w:t>,</w:t>
      </w:r>
      <w:r w:rsidRPr="00B91A82">
        <w:t xml:space="preserve"> </w:t>
      </w:r>
      <w:r w:rsidR="00231D1A">
        <w:t xml:space="preserve"> the </w:t>
      </w:r>
      <w:r w:rsidR="00915883">
        <w:t>Ministry of Environment</w:t>
      </w:r>
      <w:r w:rsidR="00231D1A">
        <w:t xml:space="preserve"> and the </w:t>
      </w:r>
      <w:r w:rsidR="00231D1A" w:rsidRPr="00231D1A">
        <w:t xml:space="preserve">Magistrate of the Capital City of Prague </w:t>
      </w:r>
      <w:r w:rsidRPr="00B91A82">
        <w:t xml:space="preserve">. </w:t>
      </w:r>
    </w:p>
    <w:p w14:paraId="677EE836" w14:textId="77777777" w:rsidR="00790B17" w:rsidRPr="00B91A82" w:rsidRDefault="00790B17" w:rsidP="00790B17"/>
    <w:p w14:paraId="0A9F4B38" w14:textId="77777777" w:rsidR="006D67F1" w:rsidRPr="002C224A" w:rsidRDefault="00790B17" w:rsidP="00790B17">
      <w:r w:rsidRPr="00B91A82">
        <w:t>Referring to Article 37(2)(g) of the General Regulation, the Managing Authority shall review and update this ex ante assessment as required during the implementation of any financial instrument which has been implemented based upon such assessment, where during the implementation phase, the Managing Authority considers that the ex ante assessment may no longer accurately represent the market conditions existing at the time of implementation.</w:t>
      </w:r>
    </w:p>
    <w:p w14:paraId="1C155087" w14:textId="77777777" w:rsidR="009B0BB5" w:rsidRPr="002C224A" w:rsidRDefault="009B0BB5" w:rsidP="008074B1"/>
    <w:p w14:paraId="78BF12D2" w14:textId="77777777" w:rsidR="009B0BB5" w:rsidRPr="002C224A" w:rsidRDefault="009B0BB5" w:rsidP="008074B1"/>
    <w:p w14:paraId="554202F1" w14:textId="77777777" w:rsidR="006D67F1" w:rsidRPr="002C224A" w:rsidRDefault="00790B17" w:rsidP="008074B1">
      <w:pPr>
        <w:pStyle w:val="Nadpis1"/>
        <w:rPr>
          <w:rFonts w:ascii="Calibri" w:hAnsi="Calibri"/>
        </w:rPr>
      </w:pPr>
      <w:bookmarkStart w:id="10" w:name="_Toc420870660"/>
      <w:bookmarkStart w:id="11" w:name="_Toc422312086"/>
      <w:r w:rsidRPr="00B91A82">
        <w:rPr>
          <w:rFonts w:ascii="Calibri" w:hAnsi="Calibri"/>
        </w:rPr>
        <w:lastRenderedPageBreak/>
        <w:t>Background of the analysis</w:t>
      </w:r>
      <w:bookmarkEnd w:id="10"/>
      <w:bookmarkEnd w:id="11"/>
    </w:p>
    <w:p w14:paraId="6077ACBE" w14:textId="77777777" w:rsidR="00790B17" w:rsidRPr="00B91A82" w:rsidRDefault="00790B17" w:rsidP="00790B17">
      <w:r w:rsidRPr="00B91A82">
        <w:t>The Financial Regulation in Article 2(p) defines a financial instrument as a Union measure of financial support provided on a complementary basis from the budget in order to address one or more specific policy objectives of the Union. Such instruments may take the form of equity or quasi-equity investments, loans or guarantees, or other risk-sharing instruments, and may, where appropriate, be combined with grants.</w:t>
      </w:r>
    </w:p>
    <w:p w14:paraId="6A2AE304" w14:textId="77777777" w:rsidR="00790B17" w:rsidRPr="00B91A82" w:rsidRDefault="00790B17" w:rsidP="00790B17"/>
    <w:p w14:paraId="0A54032C" w14:textId="77777777" w:rsidR="00790B17" w:rsidRPr="00B91A82" w:rsidRDefault="00790B17" w:rsidP="00790B17">
      <w:r w:rsidRPr="00B91A82">
        <w:t xml:space="preserve">The European Commission (EC) assigns financial instruments </w:t>
      </w:r>
      <w:r w:rsidRPr="00B91A82">
        <w:rPr>
          <w:rStyle w:val="hps"/>
          <w:color w:val="222222"/>
        </w:rPr>
        <w:t>(FIs)</w:t>
      </w:r>
      <w:r w:rsidRPr="00B91A82">
        <w:t xml:space="preserve">an important role, </w:t>
      </w:r>
      <w:r w:rsidRPr="00B91A82">
        <w:rPr>
          <w:rStyle w:val="hps"/>
          <w:color w:val="222222"/>
        </w:rPr>
        <w:t>that they can play in the implementation of the Common Strategic Framework (CSF</w:t>
      </w:r>
      <w:r w:rsidRPr="00B91A82">
        <w:t xml:space="preserve">) for the policy of economic and social cohesion, thus </w:t>
      </w:r>
      <w:r w:rsidRPr="00B91A82">
        <w:rPr>
          <w:rStyle w:val="hps"/>
          <w:color w:val="222222"/>
        </w:rPr>
        <w:t xml:space="preserve">contributing to </w:t>
      </w:r>
      <w:r w:rsidRPr="00B91A82">
        <w:t>achievement of the Europe 2020 objectives. The EC therefore intends to encourage the development and expansion of the scope of use of FIs in the programming period 2014–2020 and sees the use of FIs as a valuable addition to the traditional grant funding. The regulatory framework 2014–2020 period allows the combination of FIs with grants and other forms of support in operational programmes (OPs) tailored to meet the specific needs of Member States and managing authorities (MAs), otherwise standard conditions for FIs may be used</w:t>
      </w:r>
      <w:r w:rsidRPr="00B91A82">
        <w:rPr>
          <w:rStyle w:val="Znakapoznpodarou"/>
          <w:rFonts w:ascii="Calibri" w:hAnsi="Calibri"/>
          <w:color w:val="222222"/>
        </w:rPr>
        <w:footnoteReference w:id="8"/>
      </w:r>
      <w:r w:rsidRPr="00B91A82">
        <w:t>. In our opinion it would be appropriate to allow also a combination of FIs with repayable support (repayable assistance), which may in some cases be an appropriate incentive for final recipients to carry out investments in accordance with the programme objectives.</w:t>
      </w:r>
    </w:p>
    <w:p w14:paraId="540A65FB" w14:textId="77777777" w:rsidR="00790B17" w:rsidRPr="00B91A82" w:rsidRDefault="00790B17" w:rsidP="00790B17"/>
    <w:p w14:paraId="2DF73476" w14:textId="77777777" w:rsidR="00790B17" w:rsidRPr="00B91A82" w:rsidRDefault="00790B17" w:rsidP="00790B17">
      <w:pPr>
        <w:spacing w:after="240"/>
        <w:rPr>
          <w:rFonts w:cs="Calibri"/>
          <w:b/>
          <w:color w:val="222222"/>
          <w:szCs w:val="22"/>
        </w:rPr>
      </w:pPr>
      <w:r w:rsidRPr="00B91A82">
        <w:t xml:space="preserve">Financial instruments have been applied under the EU Structural Funds since the 1994–1999 programming period. Their relative importance, especially during the 2007–2013 programming period, has been increasing significantly and FIs now account for about 5 % of the total resources of the European Regional Development Fund (ERDF). </w:t>
      </w:r>
      <w:r w:rsidRPr="00B91A82">
        <w:rPr>
          <w:b/>
        </w:rPr>
        <w:t xml:space="preserve">Given the current economic situation and the increasing scarcity of public resources, the Commission expects FIs to play an even more significant role in the cohesion policy in the new programming period 2014–2020. </w:t>
      </w:r>
      <w:r w:rsidRPr="00B91A82">
        <w:rPr>
          <w:color w:val="222222"/>
        </w:rPr>
        <w:t>The ESI Funds may be used to support financial instruments under one or more programmes, including when organised through funds of funds (FF).</w:t>
      </w:r>
    </w:p>
    <w:p w14:paraId="7FA46A61" w14:textId="77777777" w:rsidR="00790B17" w:rsidRPr="00B91A82" w:rsidRDefault="00790B17" w:rsidP="00790B17">
      <w:pPr>
        <w:spacing w:after="240"/>
        <w:rPr>
          <w:rFonts w:cs="Calibri"/>
          <w:color w:val="222222"/>
          <w:szCs w:val="22"/>
        </w:rPr>
      </w:pPr>
      <w:r w:rsidRPr="00B91A82">
        <w:rPr>
          <w:color w:val="222222"/>
        </w:rPr>
        <w:t xml:space="preserve">Title IV of the General Regulation </w:t>
      </w:r>
      <w:r w:rsidRPr="00B91A82">
        <w:rPr>
          <w:rStyle w:val="hps"/>
          <w:color w:val="222222"/>
        </w:rPr>
        <w:t>(Articles 37 to 46</w:t>
      </w:r>
      <w:r w:rsidRPr="00B91A82">
        <w:rPr>
          <w:color w:val="222222"/>
        </w:rPr>
        <w:t xml:space="preserve">) </w:t>
      </w:r>
      <w:r w:rsidRPr="00B91A82">
        <w:rPr>
          <w:rStyle w:val="hps"/>
          <w:color w:val="222222"/>
        </w:rPr>
        <w:t>contains specific provisions on financial instruments supported by the European Structural and Investment Funds (ESIF, ESI funds)</w:t>
      </w:r>
      <w:r w:rsidRPr="00B91A82">
        <w:rPr>
          <w:color w:val="222222"/>
        </w:rPr>
        <w:t xml:space="preserve">. </w:t>
      </w:r>
      <w:r w:rsidRPr="00B91A82">
        <w:rPr>
          <w:rStyle w:val="hps"/>
          <w:color w:val="222222"/>
        </w:rPr>
        <w:t>Member States and managing authorities may apply FIs in relation to all the thematic objectives (TOs) subject to the relevant OP</w:t>
      </w:r>
      <w:r w:rsidRPr="00B91A82">
        <w:rPr>
          <w:color w:val="222222"/>
        </w:rPr>
        <w:t xml:space="preserve">, </w:t>
      </w:r>
      <w:r w:rsidRPr="00B91A82">
        <w:rPr>
          <w:rStyle w:val="hps"/>
          <w:color w:val="222222"/>
        </w:rPr>
        <w:t>and to all ESI funds</w:t>
      </w:r>
      <w:r w:rsidRPr="00B91A82">
        <w:rPr>
          <w:color w:val="222222"/>
        </w:rPr>
        <w:t>. When applying financial instruments according to Title IV of the General Regulation, the managing authorities, the bodies implementing funds of funds, and the bodies implementing the financial instruments shall comply with applicable law, in particular with respect to state aid and public procurement. In addition, implementation details are set out in the related secondary legislation (Delegated Regulation and Implementing Regulation)</w:t>
      </w:r>
      <w:r w:rsidRPr="00B91A82">
        <w:rPr>
          <w:rStyle w:val="Znakapoznpodarou"/>
          <w:rFonts w:ascii="Calibri" w:hAnsi="Calibri"/>
          <w:color w:val="222222"/>
        </w:rPr>
        <w:footnoteReference w:id="9"/>
      </w:r>
      <w:r w:rsidRPr="00B91A82">
        <w:rPr>
          <w:color w:val="222222"/>
        </w:rPr>
        <w:t>.</w:t>
      </w:r>
    </w:p>
    <w:p w14:paraId="6192116F" w14:textId="77777777" w:rsidR="00790B17" w:rsidRPr="00B91A82" w:rsidRDefault="00790B17" w:rsidP="00790B17">
      <w:r w:rsidRPr="00B91A82">
        <w:t xml:space="preserve">Financial instruments represent a special category of ESIF expenditures and the successful design and implementation thereof depend on the correct evaluation of market gaps and needs. </w:t>
      </w:r>
      <w:r w:rsidRPr="00B91A82">
        <w:rPr>
          <w:b/>
        </w:rPr>
        <w:t>Therefore, the General Regulation contains, inter alia, a new provision, according to which financial instruments should be designed on the basis of an ex ante assessment</w:t>
      </w:r>
      <w:r w:rsidRPr="00B91A82">
        <w:t xml:space="preserve">. </w:t>
      </w:r>
      <w:r w:rsidRPr="00B91A82">
        <w:rPr>
          <w:b/>
        </w:rPr>
        <w:t>The obligation to carry out an ex ante assessment of FIs upon preparing an operational program results from Article 37 of the General Regulation.</w:t>
      </w:r>
      <w:r w:rsidRPr="00B91A82">
        <w:t xml:space="preserve"> The ex ante assessment thus becomes an essential part of the OP preparation works, which greatly contributes to improved implementation quality, greater co-ordination and above all to future successful implementation and effectiveness of the use of funds earmarked for financial instruments.</w:t>
      </w:r>
    </w:p>
    <w:p w14:paraId="3BB3B574" w14:textId="77777777" w:rsidR="00790B17" w:rsidRPr="00B91A82" w:rsidRDefault="00790B17" w:rsidP="00790B17"/>
    <w:p w14:paraId="7844ECB8" w14:textId="77777777" w:rsidR="00790B17" w:rsidRPr="00B91A82" w:rsidRDefault="00790B17" w:rsidP="00790B17">
      <w:pPr>
        <w:spacing w:line="280" w:lineRule="atLeast"/>
        <w:rPr>
          <w:rFonts w:cs="Calibri"/>
          <w:szCs w:val="24"/>
        </w:rPr>
      </w:pPr>
    </w:p>
    <w:p w14:paraId="073A36EC" w14:textId="77777777" w:rsidR="00790B17" w:rsidRPr="00B91A82" w:rsidRDefault="00790B17" w:rsidP="00790B17">
      <w:pPr>
        <w:pStyle w:val="Nadpis2"/>
        <w:rPr>
          <w:rFonts w:ascii="Calibri" w:hAnsi="Calibri"/>
        </w:rPr>
      </w:pPr>
      <w:bookmarkStart w:id="12" w:name="_Toc420870661"/>
      <w:bookmarkStart w:id="13" w:name="_Toc422312087"/>
      <w:r w:rsidRPr="00B91A82">
        <w:rPr>
          <w:rFonts w:ascii="Calibri" w:hAnsi="Calibri"/>
        </w:rPr>
        <w:t>The basic working principles of financial instruments</w:t>
      </w:r>
      <w:bookmarkEnd w:id="12"/>
      <w:bookmarkEnd w:id="13"/>
    </w:p>
    <w:p w14:paraId="5F59BABF" w14:textId="77777777" w:rsidR="00790B17" w:rsidRPr="00B91A82" w:rsidRDefault="00790B17" w:rsidP="00790B17">
      <w:r w:rsidRPr="00B91A82">
        <w:t xml:space="preserve">When deciding on the use of repayable forms of assistance through financial instruments under the OP EIC due consideration must be paid to whether this specific assistance form is suitable for the particular type of intervention or not. </w:t>
      </w:r>
    </w:p>
    <w:p w14:paraId="105E2860" w14:textId="77777777" w:rsidR="00790B17" w:rsidRPr="00B91A82" w:rsidRDefault="00790B17" w:rsidP="00790B17">
      <w:pPr>
        <w:rPr>
          <w:szCs w:val="24"/>
        </w:rPr>
      </w:pPr>
    </w:p>
    <w:p w14:paraId="073FAF70" w14:textId="77777777" w:rsidR="00790B17" w:rsidRPr="00B91A82" w:rsidRDefault="00790B17" w:rsidP="00790B17">
      <w:pPr>
        <w:pStyle w:val="Nadpis3"/>
        <w:rPr>
          <w:rFonts w:ascii="Calibri" w:hAnsi="Calibri"/>
        </w:rPr>
      </w:pPr>
      <w:bookmarkStart w:id="14" w:name="_Toc420870662"/>
      <w:bookmarkStart w:id="15" w:name="_Toc422312088"/>
      <w:r w:rsidRPr="00B91A82">
        <w:rPr>
          <w:rFonts w:ascii="Calibri" w:hAnsi="Calibri"/>
        </w:rPr>
        <w:t>Usability of financial instruments</w:t>
      </w:r>
      <w:bookmarkEnd w:id="14"/>
      <w:bookmarkEnd w:id="15"/>
    </w:p>
    <w:p w14:paraId="313A16E2" w14:textId="77777777" w:rsidR="00790B17" w:rsidRPr="00B91A82" w:rsidRDefault="00790B17" w:rsidP="00790B17">
      <w:r w:rsidRPr="00B91A82">
        <w:t>Financial instruments are suitable for the use of public funds in a manner providing for high repayability or high leverage. Measures  involving a public aid element may be expected to increase their productive activities that will generate income and thus potential sources for repaying the provided funds.</w:t>
      </w:r>
    </w:p>
    <w:p w14:paraId="1C8CA29D" w14:textId="77777777" w:rsidR="00790B17" w:rsidRPr="00B91A82" w:rsidRDefault="00790B17" w:rsidP="00790B17">
      <w:pPr>
        <w:spacing w:line="280" w:lineRule="atLeast"/>
        <w:rPr>
          <w:rFonts w:cs="Calibri"/>
          <w:szCs w:val="24"/>
        </w:rPr>
      </w:pPr>
    </w:p>
    <w:p w14:paraId="5A471196" w14:textId="77777777" w:rsidR="00790B17" w:rsidRPr="00B91A82" w:rsidRDefault="00790B17" w:rsidP="00790B17">
      <w:r w:rsidRPr="00B91A82">
        <w:t>The logical link between the problem, the solution of which requires a public intervention in the form of a financial instrument, and the objective must be understood well – a financial instrument is a means to solve a problem in the economy, not a solution itself.</w:t>
      </w:r>
    </w:p>
    <w:p w14:paraId="737A9C4D" w14:textId="77777777" w:rsidR="00790B17" w:rsidRPr="00B91A82" w:rsidRDefault="00790B17" w:rsidP="00790B17">
      <w:pPr>
        <w:pStyle w:val="Nadpis3"/>
        <w:rPr>
          <w:rFonts w:ascii="Calibri" w:hAnsi="Calibri"/>
        </w:rPr>
      </w:pPr>
      <w:bookmarkStart w:id="16" w:name="_Toc420870663"/>
      <w:bookmarkStart w:id="17" w:name="_Toc422312089"/>
      <w:r w:rsidRPr="00B91A82">
        <w:rPr>
          <w:rFonts w:ascii="Calibri" w:hAnsi="Calibri"/>
        </w:rPr>
        <w:t>Benefits for the use of public funds</w:t>
      </w:r>
      <w:bookmarkEnd w:id="16"/>
      <w:bookmarkEnd w:id="17"/>
    </w:p>
    <w:p w14:paraId="41CB3CFE" w14:textId="77777777" w:rsidR="00790B17" w:rsidRPr="00B91A82" w:rsidRDefault="00790B17" w:rsidP="00790B17">
      <w:r w:rsidRPr="00B91A82">
        <w:t xml:space="preserve">Upon preparing an implementation scheme of the Operational Programme the MA will assess whether the provision of repayable funds carries an added value or not. In general, repayable support funds motivate the supported entities more significantly to the selection and preparation of development projects, thus reducing radically the "moral hazard" associated with the grant distribution of the aid. Also the aid intensity may in this case be set more accurately (adequately to a specific project), which certainly contributes to the promotion of functional and sustainable market mechanisms. On the other hand, costs associated with the management of projects financed by repayable forms of support may be higher than costs associated with grant financing, mainly because of different durations of the resource management terms. </w:t>
      </w:r>
    </w:p>
    <w:p w14:paraId="2CEFC267" w14:textId="77777777" w:rsidR="00790B17" w:rsidRPr="00B91A82" w:rsidRDefault="00790B17" w:rsidP="00790B17">
      <w:pPr>
        <w:pStyle w:val="Nadpis3"/>
        <w:rPr>
          <w:rFonts w:ascii="Calibri" w:hAnsi="Calibri"/>
        </w:rPr>
      </w:pPr>
      <w:bookmarkStart w:id="18" w:name="_Toc420870664"/>
      <w:bookmarkStart w:id="19" w:name="_Toc422312090"/>
      <w:r w:rsidRPr="00B91A82">
        <w:rPr>
          <w:rFonts w:ascii="Calibri" w:hAnsi="Calibri"/>
        </w:rPr>
        <w:t>Added value and risks of financial instruments</w:t>
      </w:r>
      <w:bookmarkEnd w:id="18"/>
      <w:bookmarkEnd w:id="19"/>
    </w:p>
    <w:p w14:paraId="0501B300" w14:textId="77777777" w:rsidR="00790B17" w:rsidRPr="00B91A82" w:rsidRDefault="00790B17" w:rsidP="00790B17">
      <w:r w:rsidRPr="00B91A82">
        <w:t>If the governing body decides on repayable funding, it must weigh the benefits and costs brought by financial instruments compared to grants.</w:t>
      </w:r>
    </w:p>
    <w:p w14:paraId="2D3CC8B7" w14:textId="77777777" w:rsidR="00790B17" w:rsidRPr="00B91A82" w:rsidRDefault="00790B17" w:rsidP="00790B17"/>
    <w:p w14:paraId="0FECD36C" w14:textId="77777777" w:rsidR="00790B17" w:rsidRPr="00B91A82" w:rsidRDefault="00790B17" w:rsidP="00790B17">
      <w:r w:rsidRPr="00B91A82">
        <w:t>Significant benefits of financial instruments for the managing authorities include:</w:t>
      </w:r>
    </w:p>
    <w:p w14:paraId="0B779FE4" w14:textId="77777777" w:rsidR="00790B17" w:rsidRPr="00B91A82" w:rsidRDefault="00790B17" w:rsidP="00790B17">
      <w:pPr>
        <w:pStyle w:val="Odstavecseseznamem1"/>
        <w:numPr>
          <w:ilvl w:val="0"/>
          <w:numId w:val="17"/>
        </w:numPr>
        <w:spacing w:after="120" w:line="280" w:lineRule="atLeast"/>
        <w:rPr>
          <w:rFonts w:cs="Calibri"/>
          <w:szCs w:val="24"/>
        </w:rPr>
      </w:pPr>
      <w:r w:rsidRPr="00B91A82">
        <w:t xml:space="preserve">risk sharing and leverage due to involvement of private resources, </w:t>
      </w:r>
    </w:p>
    <w:p w14:paraId="073DB683" w14:textId="77777777" w:rsidR="00790B17" w:rsidRPr="00B91A82" w:rsidRDefault="00790B17" w:rsidP="00790B17">
      <w:pPr>
        <w:pStyle w:val="Odstavecseseznamem1"/>
        <w:numPr>
          <w:ilvl w:val="0"/>
          <w:numId w:val="17"/>
        </w:numPr>
        <w:spacing w:after="120" w:line="280" w:lineRule="atLeast"/>
        <w:rPr>
          <w:rFonts w:cs="Calibri"/>
          <w:szCs w:val="24"/>
        </w:rPr>
      </w:pPr>
      <w:r w:rsidRPr="00B91A82">
        <w:t>possible recurrent use of funds.</w:t>
      </w:r>
    </w:p>
    <w:p w14:paraId="658F7A68" w14:textId="77777777" w:rsidR="00790B17" w:rsidRPr="00B91A82" w:rsidRDefault="00790B17" w:rsidP="00790B17">
      <w:r w:rsidRPr="00B91A82">
        <w:rPr>
          <w:b/>
        </w:rPr>
        <w:t>Thanks to their leverage effect and risk sharing financial instruments reduce the burden on public budgets upon comparable opportunities to attain the given objective.</w:t>
      </w:r>
      <w:r w:rsidRPr="00B91A82">
        <w:t xml:space="preserve"> The Commission therefore envisages expanded possibilities of promoting the participation of private investors under the new rules for public support, e.g. a higher than proportional distribution of profits for the benefit of private co-investors – only if necessary, however.</w:t>
      </w:r>
    </w:p>
    <w:p w14:paraId="4C57D82C" w14:textId="77777777" w:rsidR="00790B17" w:rsidRPr="00B91A82" w:rsidRDefault="00790B17" w:rsidP="00790B17"/>
    <w:p w14:paraId="610CFB81" w14:textId="77777777" w:rsidR="00790B17" w:rsidRPr="00B91A82" w:rsidRDefault="00790B17" w:rsidP="00790B17">
      <w:r w:rsidRPr="00B91A82">
        <w:t xml:space="preserve">On the other hand, a certain disadvantage of financial instruments compared to grants consists in their significantly higher demands on management at the time of preparation – preparation of a new type of contractual documentation, setting conditions for several years ahead, necessity to model all potential situations and scenarios. Therefore, financial instruments have been in most Member States run up only during the programming period. The hitherto experience shows that in this area is preferable to devote adequate time to the preparation of a financial instrument and to engage entities </w:t>
      </w:r>
      <w:r w:rsidRPr="00B91A82">
        <w:lastRenderedPageBreak/>
        <w:t>with some expertise in this type of instrument within the EU Structural Funds, because this approach can deliver a higher quality of the process and reduce the risk of ineligibility of expenditure and resulting financial corrections.</w:t>
      </w:r>
    </w:p>
    <w:p w14:paraId="4A1976CE" w14:textId="77777777" w:rsidR="00790B17" w:rsidRPr="00B91A82" w:rsidRDefault="00790B17" w:rsidP="00790B17"/>
    <w:p w14:paraId="4DEF88BD" w14:textId="77777777" w:rsidR="00790B17" w:rsidRPr="00B91A82" w:rsidRDefault="00790B17" w:rsidP="00790B17">
      <w:r w:rsidRPr="00B91A82">
        <w:t>Administration expenses paid from public funds on financial instruments may be partially or fully financed from the proceeds of the investment. This means that grants always require more funds to be spent on the administration thereof, as a net cost. In the case of financial instruments the administration costs may be compensated to various degrees and their amount is transparently determined through limits on costs and fees associated with the management of the financial instrument, set by the Implementing Regulation.</w:t>
      </w:r>
    </w:p>
    <w:p w14:paraId="795D9492" w14:textId="77777777" w:rsidR="00790B17" w:rsidRPr="00B91A82" w:rsidRDefault="00790B17" w:rsidP="00790B17"/>
    <w:p w14:paraId="1619A40C" w14:textId="77777777" w:rsidR="00790B17" w:rsidRPr="00B91A82" w:rsidRDefault="00790B17" w:rsidP="00790B17">
      <w:r w:rsidRPr="00B91A82">
        <w:t xml:space="preserve">For the beneficiaries, financial instruments compared to grants offer benefits in terms of </w:t>
      </w:r>
      <w:r w:rsidRPr="00B91A82">
        <w:rPr>
          <w:b/>
        </w:rPr>
        <w:t>reduced time and financial costs for administration of the request</w:t>
      </w:r>
      <w:r w:rsidRPr="00B91A82">
        <w:t xml:space="preserve">, a significantly faster evaluation process, reduced demands on monitoring and, above all, much faster financing for the project itself. From an economic point of view (especially taking into account the time value) the repayable assistance might not be less favourable for the final recipients than grants. </w:t>
      </w:r>
    </w:p>
    <w:p w14:paraId="70B70F56" w14:textId="77777777" w:rsidR="00790B17" w:rsidRPr="00B91A82" w:rsidRDefault="00790B17" w:rsidP="00790B17"/>
    <w:p w14:paraId="39D4522D" w14:textId="77777777" w:rsidR="00790B17" w:rsidRPr="00B91A82" w:rsidRDefault="00790B17" w:rsidP="00790B17">
      <w:r w:rsidRPr="00B91A82">
        <w:t>The principal benefit for the recipient consists in the fact that a financial instrument helps the recipient to overcome the key obstacle, the unavailability of sources of financing as such.</w:t>
      </w:r>
    </w:p>
    <w:p w14:paraId="21614C9C" w14:textId="77777777" w:rsidR="00790B17" w:rsidRPr="00B91A82" w:rsidRDefault="00790B17" w:rsidP="00790B17"/>
    <w:p w14:paraId="2CC4C25B" w14:textId="77777777" w:rsidR="00790B17" w:rsidRPr="00B91A82" w:rsidRDefault="00790B17" w:rsidP="00790B17">
      <w:pPr>
        <w:rPr>
          <w:b/>
        </w:rPr>
      </w:pPr>
      <w:r w:rsidRPr="00B91A82">
        <w:rPr>
          <w:b/>
        </w:rPr>
        <w:t>These general characteristics of FIs will be refined for the individual more specifically analysed specific objectives and types of instruments within block I, subsections assessing the added value of financial instruments.</w:t>
      </w:r>
    </w:p>
    <w:p w14:paraId="1360F40E" w14:textId="77777777" w:rsidR="00790B17" w:rsidRPr="00B91A82" w:rsidRDefault="00790B17" w:rsidP="00790B17"/>
    <w:p w14:paraId="097F6C25" w14:textId="77777777" w:rsidR="00790B17" w:rsidRPr="00B91A82" w:rsidRDefault="00790B17" w:rsidP="00790B17">
      <w:pPr>
        <w:pStyle w:val="Nadpis3"/>
        <w:rPr>
          <w:rFonts w:ascii="Calibri" w:hAnsi="Calibri"/>
        </w:rPr>
      </w:pPr>
      <w:bookmarkStart w:id="20" w:name="_Toc420870665"/>
      <w:bookmarkStart w:id="21" w:name="_Toc422312091"/>
      <w:r w:rsidRPr="00B91A82">
        <w:rPr>
          <w:rFonts w:ascii="Calibri" w:hAnsi="Calibri"/>
        </w:rPr>
        <w:t>Possible solutions for public aid</w:t>
      </w:r>
      <w:bookmarkStart w:id="22" w:name="_Toc418465248"/>
      <w:bookmarkEnd w:id="20"/>
      <w:bookmarkEnd w:id="21"/>
    </w:p>
    <w:p w14:paraId="78647D9D" w14:textId="77777777" w:rsidR="00790B17" w:rsidRPr="00B91A82" w:rsidRDefault="00790B17" w:rsidP="00790B17">
      <w:pPr>
        <w:rPr>
          <w:b/>
        </w:rPr>
      </w:pPr>
      <w:r w:rsidRPr="00B91A82">
        <w:rPr>
          <w:b/>
        </w:rPr>
        <w:t>EU public aid rules</w:t>
      </w:r>
      <w:bookmarkEnd w:id="22"/>
    </w:p>
    <w:p w14:paraId="4233D663" w14:textId="77777777" w:rsidR="00790B17" w:rsidRPr="00B91A82" w:rsidRDefault="00790B17" w:rsidP="00790B17"/>
    <w:p w14:paraId="59B47299" w14:textId="77777777" w:rsidR="00790B17" w:rsidRPr="00B91A82" w:rsidRDefault="00790B17" w:rsidP="00790B17">
      <w:r w:rsidRPr="00B91A82">
        <w:t>Public aid in terms of selective support to selected enterprises operating in the internal market of the EU, which provides them with an advantage over other competitors, is in principle prohibited by Article 107 of the Treaty on the Functioning of the European Union.  However, the Treaty also specifies conditions under which public aid may be provided, since it is assumes that under certain circumstances the distortions in the internal market of the EU might not be substantial.</w:t>
      </w:r>
    </w:p>
    <w:p w14:paraId="7A9D413A" w14:textId="77777777" w:rsidR="00790B17" w:rsidRPr="00B91A82" w:rsidRDefault="00790B17" w:rsidP="00790B17">
      <w:r w:rsidRPr="00B91A82">
        <w:t>Article 107 TFEU sets out four cumulative elements that must be met simultaneously to comply with the definition of public aid:</w:t>
      </w:r>
    </w:p>
    <w:p w14:paraId="7DDC529D" w14:textId="77777777" w:rsidR="00790B17" w:rsidRPr="00B91A82" w:rsidRDefault="00790B17" w:rsidP="00790B17">
      <w:pPr>
        <w:numPr>
          <w:ilvl w:val="0"/>
          <w:numId w:val="55"/>
        </w:numPr>
        <w:spacing w:before="120" w:after="120"/>
        <w:ind w:right="57" w:firstLine="0"/>
      </w:pPr>
      <w:r w:rsidRPr="00B91A82">
        <w:t>provision of public money (in any form, even indirectly),</w:t>
      </w:r>
    </w:p>
    <w:p w14:paraId="085A5DAE" w14:textId="77777777" w:rsidR="00790B17" w:rsidRPr="00B91A82" w:rsidRDefault="00790B17" w:rsidP="00790B17">
      <w:pPr>
        <w:numPr>
          <w:ilvl w:val="0"/>
          <w:numId w:val="55"/>
        </w:numPr>
        <w:spacing w:before="120" w:after="120"/>
        <w:ind w:right="57" w:firstLine="0"/>
      </w:pPr>
      <w:r w:rsidRPr="00B91A82">
        <w:t>an advantage over other competitors in the market,</w:t>
      </w:r>
    </w:p>
    <w:p w14:paraId="0DC88D71" w14:textId="77777777" w:rsidR="00790B17" w:rsidRPr="00B91A82" w:rsidRDefault="00790B17" w:rsidP="00790B17">
      <w:pPr>
        <w:numPr>
          <w:ilvl w:val="0"/>
          <w:numId w:val="55"/>
        </w:numPr>
        <w:spacing w:before="120" w:after="120"/>
        <w:ind w:right="57" w:firstLine="0"/>
      </w:pPr>
      <w:r w:rsidRPr="00B91A82">
        <w:t xml:space="preserve">selectivity (certain industry, certain companies, e.g. SMEs, certain regions), </w:t>
      </w:r>
    </w:p>
    <w:p w14:paraId="61E6E87D" w14:textId="77777777" w:rsidR="00790B17" w:rsidRPr="00B91A82" w:rsidRDefault="00790B17" w:rsidP="00790B17">
      <w:pPr>
        <w:numPr>
          <w:ilvl w:val="0"/>
          <w:numId w:val="55"/>
        </w:numPr>
        <w:spacing w:before="120" w:after="120"/>
        <w:ind w:right="57" w:firstLine="0"/>
      </w:pPr>
      <w:r w:rsidRPr="00B91A82">
        <w:t xml:space="preserve">effect on trade between the Member States and a distortion or threat of distortion of competition (this element is always considered fulfilled except for the </w:t>
      </w:r>
      <w:r w:rsidRPr="00B91A82">
        <w:rPr>
          <w:i/>
        </w:rPr>
        <w:t>de minimis</w:t>
      </w:r>
      <w:r w:rsidRPr="00B91A82">
        <w:t xml:space="preserve"> aid). </w:t>
      </w:r>
    </w:p>
    <w:p w14:paraId="7271E557" w14:textId="77777777" w:rsidR="00790B17" w:rsidRPr="00B91A82" w:rsidRDefault="00790B17" w:rsidP="00790B17">
      <w:r w:rsidRPr="00B91A82">
        <w:t>The area of public aid is regulated by numerous procedural and substantive legal acts of the EU secondary legislation, the Commission's guidance on individual aid sectors (including venture capital), Commission decisions and judgments of the European Court of Justice.</w:t>
      </w:r>
    </w:p>
    <w:p w14:paraId="167823F5" w14:textId="77777777" w:rsidR="00790B17" w:rsidRPr="00B91A82" w:rsidRDefault="00790B17" w:rsidP="00790B17"/>
    <w:p w14:paraId="1A083078" w14:textId="77777777" w:rsidR="00790B17" w:rsidRPr="00B91A82" w:rsidRDefault="00790B17" w:rsidP="00790B17">
      <w:r w:rsidRPr="00B91A82">
        <w:t xml:space="preserve">Only if all the mentioned elements are met (present) at the same time, the measure constitutes a public aid measure, i.e. if it can be demonstrated that one of these elements is not fulfilled (e.g. in the case of a </w:t>
      </w:r>
      <w:r w:rsidRPr="00B91A82">
        <w:rPr>
          <w:i/>
        </w:rPr>
        <w:t>de minimis</w:t>
      </w:r>
      <w:r w:rsidRPr="00B91A82">
        <w:t xml:space="preserve"> aid) the measure cannot be classified as a public aid.</w:t>
      </w:r>
    </w:p>
    <w:p w14:paraId="4738237D" w14:textId="77777777" w:rsidR="00790B17" w:rsidRPr="00B91A82" w:rsidRDefault="00790B17" w:rsidP="00790B17"/>
    <w:p w14:paraId="4FB65F94" w14:textId="77777777" w:rsidR="00790B17" w:rsidRPr="00B91A82" w:rsidRDefault="00790B17" w:rsidP="00790B17">
      <w:r w:rsidRPr="00B91A82">
        <w:lastRenderedPageBreak/>
        <w:t>Therefore, public aid may be divided into two basic types –  an absolutely prohibited aid (e.g. aid linked to export quantities) and an aid that might be provided under certain conditions stipulated by the legislation. This aid is classified as compatible and legal.</w:t>
      </w:r>
    </w:p>
    <w:p w14:paraId="227DA38F" w14:textId="77777777" w:rsidR="00790B17" w:rsidRPr="00B91A82" w:rsidRDefault="00790B17" w:rsidP="00790B17">
      <w:r w:rsidRPr="00B91A82">
        <w:t>The provider of aid has several different instruments available to guarantee the compatibility of the granted aid with the EU law. Basically these are measures providing an exemption from the general prohibition on the state aid.</w:t>
      </w:r>
    </w:p>
    <w:p w14:paraId="48F862EA" w14:textId="77777777" w:rsidR="00790B17" w:rsidRPr="00B91A82" w:rsidRDefault="00790B17" w:rsidP="00790B17"/>
    <w:p w14:paraId="7BF78D29" w14:textId="77777777" w:rsidR="00790B17" w:rsidRPr="00B91A82" w:rsidRDefault="00790B17" w:rsidP="00790B17">
      <w:r w:rsidRPr="00B91A82">
        <w:t xml:space="preserve">The EU legislation allows launching aid schemes or individual aid measures according to the </w:t>
      </w:r>
      <w:r w:rsidRPr="00B91A82">
        <w:rPr>
          <w:i/>
        </w:rPr>
        <w:t>de minimis</w:t>
      </w:r>
      <w:r w:rsidRPr="00B91A82">
        <w:t xml:space="preserve"> rule without notice. For public aid schemes, which explicitly fulfil the provisions of the block exemptions, a notice must be published within 20 days after the launch of the programme (ex post notification). Unless the block exemption provides a legal basis for the scheme, the measure must be notified to the Commission prior to the launch of the programme in accordance with sectoral guidelines of the Commission or ad hoc. This process is governed by procedural regulations</w:t>
      </w:r>
      <w:r w:rsidRPr="00B91A82">
        <w:rPr>
          <w:rStyle w:val="Znakapoznpodarou"/>
          <w:rFonts w:ascii="Calibri" w:hAnsi="Calibri"/>
        </w:rPr>
        <w:footnoteReference w:id="10"/>
      </w:r>
      <w:r w:rsidRPr="00B91A82">
        <w:t xml:space="preserve"> and it may take about 6 months to 2 years. It is also possible to use a so-called pre-notification process (i.e. informal pre-notice contacts), a preliminary discussion of the scheme with the Commission, to be closed typically by a letter, in which the Commission will either recommend to notify the scheme, or declare the scheme to be compatible with the block exemption or the </w:t>
      </w:r>
      <w:r w:rsidRPr="00B91A82">
        <w:rPr>
          <w:i/>
        </w:rPr>
        <w:t>de minimis</w:t>
      </w:r>
      <w:r w:rsidRPr="00B91A82">
        <w:t xml:space="preserve"> rule or not to constitute a public aid.</w:t>
      </w:r>
    </w:p>
    <w:p w14:paraId="62EF5C26" w14:textId="77777777" w:rsidR="00790B17" w:rsidRPr="00B91A82" w:rsidRDefault="00790B17" w:rsidP="00790B17">
      <w:r w:rsidRPr="00B91A82">
        <w:t xml:space="preserve">MIT has historically used block exemptions and the </w:t>
      </w:r>
      <w:r w:rsidRPr="00B91A82">
        <w:rPr>
          <w:i/>
        </w:rPr>
        <w:t>de minimis</w:t>
      </w:r>
      <w:r w:rsidRPr="00B91A82">
        <w:t xml:space="preserve"> rule for the granted aid, i.e. without the necessity of the notification process before the launch of the aid.</w:t>
      </w:r>
    </w:p>
    <w:p w14:paraId="13AEFA32" w14:textId="77777777" w:rsidR="00790B17" w:rsidRPr="00B91A82" w:rsidRDefault="00790B17" w:rsidP="00790B17">
      <w:pPr>
        <w:rPr>
          <w:b/>
        </w:rPr>
      </w:pPr>
      <w:bookmarkStart w:id="23" w:name="_Toc418465249"/>
    </w:p>
    <w:p w14:paraId="3AC10238" w14:textId="77777777" w:rsidR="00790B17" w:rsidRPr="00B91A82" w:rsidRDefault="00790B17" w:rsidP="00790B17">
      <w:pPr>
        <w:rPr>
          <w:b/>
        </w:rPr>
      </w:pPr>
      <w:r w:rsidRPr="00B91A82">
        <w:rPr>
          <w:b/>
        </w:rPr>
        <w:t>Previous experience</w:t>
      </w:r>
      <w:bookmarkEnd w:id="23"/>
      <w:r w:rsidRPr="00B91A82">
        <w:rPr>
          <w:b/>
        </w:rPr>
        <w:t xml:space="preserve"> – loans and guarantees</w:t>
      </w:r>
    </w:p>
    <w:p w14:paraId="197EDEB6" w14:textId="77777777" w:rsidR="00790B17" w:rsidRPr="00B91A82" w:rsidRDefault="00790B17" w:rsidP="00790B17"/>
    <w:p w14:paraId="3332A0B8" w14:textId="77777777" w:rsidR="00790B17" w:rsidRPr="00B91A82" w:rsidRDefault="00790B17" w:rsidP="00790B17">
      <w:r w:rsidRPr="00B91A82">
        <w:t xml:space="preserve">Guarantees under the GUARANTEE programme were granted as a </w:t>
      </w:r>
      <w:r w:rsidRPr="00B91A82">
        <w:rPr>
          <w:i/>
        </w:rPr>
        <w:t>de minimis</w:t>
      </w:r>
      <w:r w:rsidRPr="00B91A82">
        <w:t xml:space="preserve"> aid under Commission Regulation No 1998/2006 or an aid pursuant to Commission Regulation No 70/2001, later pursuant to Article 13 of Commission Regulation No 800/2008. The gross grant equivalent in the case of de minimis aid was calculated in accordance with the principles laid down in the Commission Regulation, in the case of guarantees under the block exemption the gross grant equivalent was determined on the basis of the Commission Notice on the application of Articles 87 and 88 of the EC Treaty to state aid in the form of guarantees using safe-harbour rates. The methodology of calculation was specified in the agreement on the creation of the Guarantee Fund.  </w:t>
      </w:r>
    </w:p>
    <w:p w14:paraId="384C79F4" w14:textId="77777777" w:rsidR="00790B17" w:rsidRPr="00B91A82" w:rsidRDefault="00790B17" w:rsidP="00790B17"/>
    <w:p w14:paraId="68EF4793" w14:textId="77777777" w:rsidR="00790B17" w:rsidRPr="00B91A82" w:rsidRDefault="00790B17" w:rsidP="00790B17">
      <w:r w:rsidRPr="00B91A82">
        <w:t>Guarantees under the PROGRESS programme were granted as an aid pursuant to Commission Regulation No 70/2001, later pursuant to Article 13 of Commission Regulation No 800/2008.  The gross aid equivalent has been calculated according to the Communication from the Commission on the revision of the method for setting the reference and discount rates using safe-harbour rates. The methodology of calculation was specified in the agreement on the creation of the Loan Fund.</w:t>
      </w:r>
    </w:p>
    <w:p w14:paraId="3E99CC9C" w14:textId="77777777" w:rsidR="00790B17" w:rsidRPr="00B91A82" w:rsidRDefault="00790B17" w:rsidP="00790B17"/>
    <w:p w14:paraId="2D4B6054" w14:textId="77777777" w:rsidR="00790B17" w:rsidRPr="00B91A82" w:rsidRDefault="00790B17" w:rsidP="00790B17">
      <w:r w:rsidRPr="00B91A82">
        <w:rPr>
          <w:b/>
        </w:rPr>
        <w:t>Previous experience – venture capital</w:t>
      </w:r>
    </w:p>
    <w:p w14:paraId="3FBB4052" w14:textId="77777777" w:rsidR="00790B17" w:rsidRPr="00B91A82" w:rsidRDefault="00790B17" w:rsidP="00790B17"/>
    <w:p w14:paraId="0D9F6069" w14:textId="77777777" w:rsidR="00790B17" w:rsidRPr="00B91A82" w:rsidRDefault="00790B17" w:rsidP="00790B17">
      <w:r w:rsidRPr="00B91A82">
        <w:t xml:space="preserve">In 2012, however, during the preparation of the OP EI Seed Fund the scheme had been found incompatible both with the block exemption and the </w:t>
      </w:r>
      <w:r w:rsidRPr="00B91A82">
        <w:rPr>
          <w:i/>
        </w:rPr>
        <w:t>de minimis</w:t>
      </w:r>
      <w:r w:rsidRPr="00B91A82">
        <w:t xml:space="preserve"> rule and the process of pre-notification and notification process was initiated for the measure.</w:t>
      </w:r>
    </w:p>
    <w:p w14:paraId="36424EB9" w14:textId="77777777" w:rsidR="00790B17" w:rsidRPr="00B91A82" w:rsidRDefault="00790B17" w:rsidP="00790B17"/>
    <w:p w14:paraId="28D2D9FD" w14:textId="77777777" w:rsidR="00790B17" w:rsidRPr="00B91A82" w:rsidRDefault="00790B17" w:rsidP="00790B17">
      <w:r w:rsidRPr="00B91A82">
        <w:t xml:space="preserve">In December 2012, about six months after the first contact from the Czech Republic, the Commission issued two positive decisions, according to which the two schemes of the OP EI Seed Fund were compatible with the internal market. </w:t>
      </w:r>
    </w:p>
    <w:p w14:paraId="3C017D07" w14:textId="77777777" w:rsidR="00790B17" w:rsidRPr="00B91A82" w:rsidRDefault="00790B17" w:rsidP="00790B17">
      <w:r w:rsidRPr="00B91A82">
        <w:lastRenderedPageBreak/>
        <w:t>The first decision concerned investments in seed and start-up phases, which in addition to risk-sharing provided private investors also with non-proportional distribution of profits in case of the use of so-called private investor's call option to a share in the relevant Seed Fund investment. The Commission found that the scheme involved public aid at the private investor level and at the same time there is an assumption that this support would be at least partly passed on to the final recipient, a high-tech firm. This public aid, however, was found to be compatible with the internal market.</w:t>
      </w:r>
    </w:p>
    <w:p w14:paraId="20263F46" w14:textId="77777777" w:rsidR="00790B17" w:rsidRPr="00B91A82" w:rsidRDefault="00790B17" w:rsidP="00790B17"/>
    <w:p w14:paraId="76563013" w14:textId="77777777" w:rsidR="00790B17" w:rsidRPr="00B91A82" w:rsidRDefault="00790B17" w:rsidP="00790B17">
      <w:r w:rsidRPr="00B91A82">
        <w:t>Regarding the second decision on the later stage investments MIT managed to prove that the scheme did not involve a public aid element, because the Seed Fund operated within the scheme on equal terms with private investors (</w:t>
      </w:r>
      <w:r w:rsidRPr="00B91A82">
        <w:rPr>
          <w:i/>
        </w:rPr>
        <w:t>pari passu</w:t>
      </w:r>
      <w:r w:rsidRPr="00B91A82">
        <w:t>), therefore it acted as a private investor also vis-a-vis to the final recipients, high-tech firms.</w:t>
      </w:r>
      <w:r w:rsidRPr="00B91A82">
        <w:rPr>
          <w:rStyle w:val="Znakapoznpodarou"/>
          <w:rFonts w:ascii="Calibri" w:hAnsi="Calibri"/>
        </w:rPr>
        <w:footnoteReference w:id="11"/>
      </w:r>
      <w:r w:rsidRPr="00B91A82">
        <w:t xml:space="preserve"> The purpose was to provide a risk-sharing support to private investors and thus to motivate them to increase the volume of their investments in the later stage venture capital.</w:t>
      </w:r>
    </w:p>
    <w:p w14:paraId="637F4C53" w14:textId="77777777" w:rsidR="00790B17" w:rsidRPr="00B91A82" w:rsidRDefault="00790B17" w:rsidP="00790B17"/>
    <w:p w14:paraId="259FFD12" w14:textId="77777777" w:rsidR="00790B17" w:rsidRPr="00B91A82" w:rsidRDefault="00790B17" w:rsidP="00790B17">
      <w:r w:rsidRPr="00B91A82">
        <w:t>Based on the previous experience the ex ante assessment does not propose providing public aid on the following levels:</w:t>
      </w:r>
    </w:p>
    <w:p w14:paraId="05BC6B1E" w14:textId="77777777" w:rsidR="00790B17" w:rsidRPr="00B91A82" w:rsidRDefault="00790B17" w:rsidP="00790B17"/>
    <w:p w14:paraId="28660DA1" w14:textId="5F617193" w:rsidR="00790B17" w:rsidRPr="00B91A82" w:rsidRDefault="00790B17" w:rsidP="00790B17">
      <w:pPr>
        <w:numPr>
          <w:ilvl w:val="0"/>
          <w:numId w:val="56"/>
        </w:numPr>
        <w:rPr>
          <w:b/>
        </w:rPr>
      </w:pPr>
      <w:r w:rsidRPr="00B91A82">
        <w:rPr>
          <w:b/>
        </w:rPr>
        <w:t>manager of the financial instrument (</w:t>
      </w:r>
      <w:r w:rsidR="003213A1">
        <w:rPr>
          <w:b/>
        </w:rPr>
        <w:t>recipient</w:t>
      </w:r>
      <w:r w:rsidRPr="00B91A82">
        <w:rPr>
          <w:b/>
        </w:rPr>
        <w:t>, shall be entitled to a remuneration within the limits set by Commission Regulation (EU) No 480/2014, i.e. a public procurement contract, not a public aid shall be involved</w:t>
      </w:r>
      <w:r w:rsidR="00717340">
        <w:rPr>
          <w:b/>
        </w:rPr>
        <w:t>.</w:t>
      </w:r>
    </w:p>
    <w:p w14:paraId="6E25A803" w14:textId="02B28CDA" w:rsidR="00790B17" w:rsidRPr="00B91A82" w:rsidRDefault="00790B17" w:rsidP="00790B17">
      <w:pPr>
        <w:numPr>
          <w:ilvl w:val="0"/>
          <w:numId w:val="56"/>
        </w:numPr>
        <w:rPr>
          <w:b/>
        </w:rPr>
      </w:pPr>
      <w:r w:rsidRPr="00B91A82">
        <w:rPr>
          <w:b/>
        </w:rPr>
        <w:t>financial intermediary (if used as a manager of the fund, which OP EIC invests in, he will be entitled only to a remuneration within the limits set by Commission Regulation (EU) No 480/2014</w:t>
      </w:r>
      <w:r w:rsidR="00717340">
        <w:rPr>
          <w:b/>
        </w:rPr>
        <w:t>.</w:t>
      </w:r>
    </w:p>
    <w:p w14:paraId="35AB62B7" w14:textId="77777777" w:rsidR="00790B17" w:rsidRPr="00B91A82" w:rsidRDefault="00790B17" w:rsidP="00790B17">
      <w:pPr>
        <w:rPr>
          <w:b/>
        </w:rPr>
      </w:pPr>
    </w:p>
    <w:p w14:paraId="0AF6E86A" w14:textId="77777777" w:rsidR="00790B17" w:rsidRPr="00B91A82" w:rsidRDefault="00790B17" w:rsidP="00790B17">
      <w:pPr>
        <w:rPr>
          <w:b/>
        </w:rPr>
      </w:pPr>
      <w:r w:rsidRPr="00B91A82">
        <w:rPr>
          <w:b/>
        </w:rPr>
        <w:t>At the same time no public aid is expected at the level of financial institutions cooperating on loan and guarantee schemes.  On the contrary, public aid is expected for private investors within the meaning of preferential remuneration (see the conclusions below).</w:t>
      </w:r>
    </w:p>
    <w:p w14:paraId="3D3EED7F" w14:textId="77777777" w:rsidR="00790B17" w:rsidRPr="00B91A82" w:rsidRDefault="00790B17" w:rsidP="00790B17">
      <w:pPr>
        <w:rPr>
          <w:b/>
        </w:rPr>
      </w:pPr>
    </w:p>
    <w:p w14:paraId="3229E373" w14:textId="77777777" w:rsidR="00790B17" w:rsidRPr="00B91A82" w:rsidRDefault="00790B17" w:rsidP="00790B17">
      <w:pPr>
        <w:rPr>
          <w:b/>
        </w:rPr>
      </w:pPr>
      <w:r w:rsidRPr="00B91A82">
        <w:rPr>
          <w:b/>
        </w:rPr>
        <w:t>At the level of final recipients, public aid will be present in all the proposed financial instruments</w:t>
      </w:r>
      <w:r w:rsidR="00717340">
        <w:rPr>
          <w:b/>
        </w:rPr>
        <w:t xml:space="preserve"> in the mode </w:t>
      </w:r>
      <w:r w:rsidR="00717340" w:rsidRPr="00717340">
        <w:rPr>
          <w:b/>
        </w:rPr>
        <w:t>of de minimis or per the General Regulation on Block Exceptions, No. 651/2014</w:t>
      </w:r>
      <w:r w:rsidRPr="00B91A82">
        <w:rPr>
          <w:b/>
        </w:rPr>
        <w:t>.</w:t>
      </w:r>
    </w:p>
    <w:p w14:paraId="0C07831B" w14:textId="77777777" w:rsidR="00790B17" w:rsidRPr="00B91A82" w:rsidRDefault="00790B17" w:rsidP="00790B17"/>
    <w:p w14:paraId="173D4B7F" w14:textId="77777777" w:rsidR="00790B17" w:rsidRPr="00B91A82" w:rsidRDefault="00790B17" w:rsidP="00790B17">
      <w:pPr>
        <w:pStyle w:val="Nadpis2"/>
        <w:rPr>
          <w:rFonts w:ascii="Calibri" w:hAnsi="Calibri"/>
        </w:rPr>
      </w:pPr>
      <w:bookmarkStart w:id="24" w:name="_Toc420870666"/>
      <w:bookmarkStart w:id="25" w:name="_Toc422312092"/>
      <w:r w:rsidRPr="00B91A82">
        <w:rPr>
          <w:rFonts w:ascii="Calibri" w:hAnsi="Calibri"/>
        </w:rPr>
        <w:t>Screening of the OP EIC's specific objectives in terms of the applicability of financial instruments</w:t>
      </w:r>
      <w:bookmarkEnd w:id="24"/>
      <w:bookmarkEnd w:id="25"/>
    </w:p>
    <w:p w14:paraId="258612D1" w14:textId="77777777" w:rsidR="00790B17" w:rsidRPr="00B91A82" w:rsidRDefault="00790B17" w:rsidP="00790B17">
      <w:r w:rsidRPr="00B91A82">
        <w:t>On the basis of recommendations contained in the EC's General Methodology the managing authority of the OP EIC conducted a screening of the OP's priority axes and specific objectives in terms of the suitability of financial instruments as a form of aid, based on the principles described in the previous chapter and propositions for the preparation of the operational programme contained in the document Programme Intervention Logic / Theory of Change, developed in cooperation with the Ministry for Regional Development. Based on the results of the screening specific objectives were subsequently set in the OP, for which the MA envisages/considers/does not envisage the use of financial instruments, provided that the individual versions of the OP EIC has also been consulted with other stakeholders, according to the principle of partnership. Initial screening results were further supplemented on the basis of consultations with the European Commission, which suggested in particular considering the use of financial instruments in priority axis 4 of the OP EIC.</w:t>
      </w:r>
    </w:p>
    <w:p w14:paraId="238CA0F0" w14:textId="77777777" w:rsidR="00790B17" w:rsidRPr="00B91A82" w:rsidRDefault="00790B17" w:rsidP="00790B17"/>
    <w:p w14:paraId="6506D5D3" w14:textId="77777777" w:rsidR="00790B17" w:rsidRPr="00B91A82" w:rsidRDefault="00790B17" w:rsidP="00790B17">
      <w:r w:rsidRPr="00B91A82">
        <w:t>The screening was carried out based on the evaluation of intervention objectives, supported activities, target groups and types of beneficiaries with the following five binary criteria:</w:t>
      </w:r>
    </w:p>
    <w:p w14:paraId="5245FA29" w14:textId="77777777" w:rsidR="00790B17" w:rsidRPr="00B91A82" w:rsidRDefault="00790B17" w:rsidP="00790B17"/>
    <w:p w14:paraId="619AD00F" w14:textId="77777777" w:rsidR="00790B17" w:rsidRPr="00B91A82" w:rsidRDefault="00790B17" w:rsidP="00790B17">
      <w:pPr>
        <w:numPr>
          <w:ilvl w:val="0"/>
          <w:numId w:val="36"/>
        </w:numPr>
        <w:spacing w:after="240"/>
        <w:rPr>
          <w:rFonts w:cs="Calibri"/>
          <w:color w:val="222222"/>
          <w:szCs w:val="22"/>
        </w:rPr>
      </w:pPr>
      <w:r w:rsidRPr="00B91A82">
        <w:rPr>
          <w:color w:val="222222"/>
        </w:rPr>
        <w:t>Productive activities (investment projects) – YES/NO</w:t>
      </w:r>
    </w:p>
    <w:p w14:paraId="0B2CAF23" w14:textId="77777777" w:rsidR="00790B17" w:rsidRPr="00B91A82" w:rsidRDefault="00790B17" w:rsidP="00790B17">
      <w:pPr>
        <w:numPr>
          <w:ilvl w:val="0"/>
          <w:numId w:val="36"/>
        </w:numPr>
        <w:spacing w:after="240"/>
        <w:rPr>
          <w:rFonts w:cs="Calibri"/>
          <w:color w:val="222222"/>
          <w:szCs w:val="22"/>
        </w:rPr>
      </w:pPr>
      <w:r w:rsidRPr="00B91A82">
        <w:rPr>
          <w:color w:val="222222"/>
        </w:rPr>
        <w:t>Presumption of sufficient cash flow from standard projects – YES/NO</w:t>
      </w:r>
    </w:p>
    <w:p w14:paraId="4C478378" w14:textId="77777777" w:rsidR="00790B17" w:rsidRPr="00B91A82" w:rsidRDefault="00790B17" w:rsidP="00790B17">
      <w:pPr>
        <w:numPr>
          <w:ilvl w:val="0"/>
          <w:numId w:val="36"/>
        </w:numPr>
        <w:spacing w:after="240"/>
        <w:rPr>
          <w:rFonts w:cs="Calibri"/>
          <w:color w:val="222222"/>
          <w:szCs w:val="22"/>
        </w:rPr>
      </w:pPr>
      <w:r w:rsidRPr="00B91A82">
        <w:rPr>
          <w:color w:val="222222"/>
        </w:rPr>
        <w:t>Possible involvement of additional private or public sources – YES/NO</w:t>
      </w:r>
    </w:p>
    <w:p w14:paraId="6E8B5D72" w14:textId="77777777" w:rsidR="00790B17" w:rsidRPr="00B91A82" w:rsidRDefault="00790B17" w:rsidP="00790B17">
      <w:pPr>
        <w:numPr>
          <w:ilvl w:val="0"/>
          <w:numId w:val="36"/>
        </w:numPr>
        <w:spacing w:after="240"/>
        <w:rPr>
          <w:rFonts w:cs="Calibri"/>
          <w:color w:val="222222"/>
          <w:szCs w:val="22"/>
        </w:rPr>
      </w:pPr>
      <w:r w:rsidRPr="00B91A82">
        <w:rPr>
          <w:color w:val="222222"/>
        </w:rPr>
        <w:t>Presumption of aggravated availability of commercial financing – YES/NO</w:t>
      </w:r>
    </w:p>
    <w:p w14:paraId="738CC9DC" w14:textId="77777777" w:rsidR="00790B17" w:rsidRPr="00B91A82" w:rsidRDefault="00790B17" w:rsidP="00790B17">
      <w:pPr>
        <w:numPr>
          <w:ilvl w:val="0"/>
          <w:numId w:val="36"/>
        </w:numPr>
        <w:spacing w:after="240"/>
        <w:rPr>
          <w:rFonts w:cs="Calibri"/>
          <w:color w:val="222222"/>
          <w:szCs w:val="22"/>
        </w:rPr>
      </w:pPr>
      <w:r w:rsidRPr="00B91A82">
        <w:rPr>
          <w:color w:val="222222"/>
        </w:rPr>
        <w:t>Previous experience in the CR with the application of a financial instrument in the field – YES/NO</w:t>
      </w:r>
    </w:p>
    <w:p w14:paraId="7B28E90A" w14:textId="77777777" w:rsidR="00790B17" w:rsidRPr="00B91A82" w:rsidRDefault="00790B17" w:rsidP="00790B17"/>
    <w:p w14:paraId="6B812907" w14:textId="77777777" w:rsidR="00790B17" w:rsidRPr="00B91A82" w:rsidRDefault="00790B17" w:rsidP="00790B17">
      <w:r w:rsidRPr="00B91A82">
        <w:t>The screening concluded that financial instruments have a potential of use in all priority axes of the OP EIC corresponding to thematic objectives 1, 2, 3 and 4. The table below provides a detailed overview of the specific objectives of the OP EIC in terms of the MA's assumptions with respect to the applicability of financial instruments based on screening results.</w:t>
      </w:r>
    </w:p>
    <w:p w14:paraId="550FF03F" w14:textId="77777777" w:rsidR="00790B17" w:rsidRPr="00B91A82" w:rsidRDefault="00790B17" w:rsidP="00790B17"/>
    <w:p w14:paraId="5F8080B8" w14:textId="77777777" w:rsidR="00790B17" w:rsidRPr="00B91A82" w:rsidRDefault="00790B17" w:rsidP="00790B17">
      <w:pPr>
        <w:pStyle w:val="Titulek"/>
      </w:pPr>
      <w:r w:rsidRPr="00B91A82">
        <w:t>Table 2: Specific Objectives of the OP EIC – applicability of FIs according to the screening</w:t>
      </w:r>
    </w:p>
    <w:tbl>
      <w:tblPr>
        <w:tblW w:w="9238" w:type="dxa"/>
        <w:tblLayout w:type="fixed"/>
        <w:tblLook w:val="00A0" w:firstRow="1" w:lastRow="0" w:firstColumn="1" w:lastColumn="0" w:noHBand="0" w:noVBand="0"/>
      </w:tblPr>
      <w:tblGrid>
        <w:gridCol w:w="1701"/>
        <w:gridCol w:w="1843"/>
        <w:gridCol w:w="1985"/>
        <w:gridCol w:w="3709"/>
      </w:tblGrid>
      <w:tr w:rsidR="00790B17" w:rsidRPr="00B91A82" w14:paraId="65CF13CA" w14:textId="77777777" w:rsidTr="00443B8F">
        <w:trPr>
          <w:tblHeader/>
        </w:trPr>
        <w:tc>
          <w:tcPr>
            <w:tcW w:w="1701" w:type="dxa"/>
            <w:shd w:val="clear" w:color="auto" w:fill="4F81BD"/>
          </w:tcPr>
          <w:p w14:paraId="5FD6F8E5" w14:textId="77777777" w:rsidR="00790B17" w:rsidRPr="00B91A82" w:rsidRDefault="00790B17" w:rsidP="00443B8F">
            <w:pPr>
              <w:spacing w:after="240"/>
              <w:rPr>
                <w:rFonts w:cs="Calibri"/>
                <w:b/>
                <w:color w:val="FFFFFF"/>
                <w:szCs w:val="22"/>
              </w:rPr>
            </w:pPr>
            <w:r w:rsidRPr="00B91A82">
              <w:rPr>
                <w:b/>
                <w:color w:val="FFFFFF"/>
              </w:rPr>
              <w:t>OP EIC Priority axis</w:t>
            </w:r>
          </w:p>
        </w:tc>
        <w:tc>
          <w:tcPr>
            <w:tcW w:w="1843" w:type="dxa"/>
            <w:shd w:val="clear" w:color="auto" w:fill="4F81BD"/>
          </w:tcPr>
          <w:p w14:paraId="5517522A" w14:textId="77777777" w:rsidR="00790B17" w:rsidRPr="00B91A82" w:rsidRDefault="00790B17" w:rsidP="00443B8F">
            <w:pPr>
              <w:spacing w:after="240"/>
              <w:rPr>
                <w:rFonts w:cs="Calibri"/>
                <w:b/>
                <w:color w:val="FFFFFF"/>
                <w:szCs w:val="22"/>
              </w:rPr>
            </w:pPr>
            <w:r w:rsidRPr="00B91A82">
              <w:rPr>
                <w:b/>
                <w:color w:val="FFFFFF"/>
              </w:rPr>
              <w:t>Investment priority</w:t>
            </w:r>
          </w:p>
        </w:tc>
        <w:tc>
          <w:tcPr>
            <w:tcW w:w="1985" w:type="dxa"/>
            <w:shd w:val="clear" w:color="auto" w:fill="4F81BD"/>
          </w:tcPr>
          <w:p w14:paraId="7AB80173" w14:textId="77777777" w:rsidR="00790B17" w:rsidRPr="00B91A82" w:rsidRDefault="00790B17" w:rsidP="00443B8F">
            <w:pPr>
              <w:spacing w:after="240"/>
              <w:rPr>
                <w:rFonts w:cs="Calibri"/>
                <w:b/>
                <w:color w:val="FFFFFF"/>
                <w:szCs w:val="22"/>
              </w:rPr>
            </w:pPr>
            <w:r w:rsidRPr="00B91A82">
              <w:rPr>
                <w:b/>
                <w:color w:val="FFFFFF"/>
              </w:rPr>
              <w:t>Specific objective</w:t>
            </w:r>
          </w:p>
        </w:tc>
        <w:tc>
          <w:tcPr>
            <w:tcW w:w="3709" w:type="dxa"/>
            <w:shd w:val="clear" w:color="auto" w:fill="4F81BD"/>
          </w:tcPr>
          <w:p w14:paraId="001CA413" w14:textId="77777777" w:rsidR="00790B17" w:rsidRPr="00B91A82" w:rsidRDefault="00790B17" w:rsidP="00443B8F">
            <w:pPr>
              <w:spacing w:after="240"/>
              <w:rPr>
                <w:rFonts w:cs="Calibri"/>
                <w:b/>
                <w:color w:val="FFFFFF"/>
                <w:szCs w:val="22"/>
              </w:rPr>
            </w:pPr>
            <w:r w:rsidRPr="00B91A82">
              <w:rPr>
                <w:b/>
                <w:color w:val="FFFFFF"/>
              </w:rPr>
              <w:t xml:space="preserve">Screening results based on intervention logic analysis </w:t>
            </w:r>
          </w:p>
        </w:tc>
      </w:tr>
      <w:tr w:rsidR="00790B17" w:rsidRPr="00B91A82" w14:paraId="56E595C6" w14:textId="77777777" w:rsidTr="00443B8F">
        <w:tc>
          <w:tcPr>
            <w:tcW w:w="1701" w:type="dxa"/>
            <w:vMerge w:val="restart"/>
          </w:tcPr>
          <w:p w14:paraId="543710A3" w14:textId="77777777" w:rsidR="00790B17" w:rsidRPr="00B91A82" w:rsidRDefault="00790B17" w:rsidP="00443B8F">
            <w:pPr>
              <w:spacing w:after="240"/>
              <w:rPr>
                <w:rFonts w:cs="Calibri"/>
                <w:color w:val="222222"/>
                <w:szCs w:val="22"/>
              </w:rPr>
            </w:pPr>
            <w:r w:rsidRPr="00B91A82">
              <w:rPr>
                <w:color w:val="222222"/>
              </w:rPr>
              <w:t>PA 1: Advancement of research and development for innovation</w:t>
            </w:r>
          </w:p>
        </w:tc>
        <w:tc>
          <w:tcPr>
            <w:tcW w:w="1843" w:type="dxa"/>
            <w:vMerge w:val="restart"/>
          </w:tcPr>
          <w:p w14:paraId="5F8626CA" w14:textId="77777777" w:rsidR="00790B17" w:rsidRPr="00B91A82" w:rsidRDefault="00790B17" w:rsidP="00443B8F">
            <w:pPr>
              <w:spacing w:after="240"/>
              <w:rPr>
                <w:rFonts w:cs="Calibri"/>
                <w:color w:val="222222"/>
                <w:szCs w:val="22"/>
              </w:rPr>
            </w:pPr>
            <w:r w:rsidRPr="00B91A82">
              <w:rPr>
                <w:color w:val="222222"/>
              </w:rPr>
              <w:t>Support for business investment in research and innovation and creating links and synergies between enterprises, R&amp;D centres and the higher education sector</w:t>
            </w:r>
          </w:p>
        </w:tc>
        <w:tc>
          <w:tcPr>
            <w:tcW w:w="1985" w:type="dxa"/>
          </w:tcPr>
          <w:p w14:paraId="388AEA9A" w14:textId="77777777" w:rsidR="00790B17" w:rsidRPr="00B91A82" w:rsidRDefault="00790B17" w:rsidP="00443B8F">
            <w:pPr>
              <w:spacing w:after="240"/>
              <w:rPr>
                <w:rFonts w:cs="Calibri"/>
                <w:color w:val="222222"/>
                <w:szCs w:val="22"/>
              </w:rPr>
            </w:pPr>
            <w:r w:rsidRPr="00B91A82">
              <w:rPr>
                <w:color w:val="222222"/>
              </w:rPr>
              <w:t>SO 1.1: Increasing innovation performance of enterprises</w:t>
            </w:r>
          </w:p>
        </w:tc>
        <w:tc>
          <w:tcPr>
            <w:tcW w:w="3709" w:type="dxa"/>
            <w:vMerge w:val="restart"/>
          </w:tcPr>
          <w:p w14:paraId="4456D9E8"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52F26974"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w:t>
            </w:r>
          </w:p>
          <w:p w14:paraId="38C46E9E"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62D47751"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0BF2490D"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68E93D67" w14:textId="77777777" w:rsidR="00790B17" w:rsidRPr="00B91A82" w:rsidRDefault="00790B17" w:rsidP="00443B8F">
            <w:pPr>
              <w:spacing w:after="240"/>
              <w:rPr>
                <w:rFonts w:cs="Calibri"/>
                <w:color w:val="222222"/>
                <w:szCs w:val="22"/>
              </w:rPr>
            </w:pPr>
            <w:r w:rsidRPr="00B91A82">
              <w:rPr>
                <w:color w:val="222222"/>
              </w:rPr>
              <w:t>The MA considers using financial instruments under this investment priority.</w:t>
            </w:r>
          </w:p>
        </w:tc>
      </w:tr>
      <w:tr w:rsidR="00790B17" w:rsidRPr="00B91A82" w14:paraId="47E315C2" w14:textId="77777777" w:rsidTr="00443B8F">
        <w:tc>
          <w:tcPr>
            <w:tcW w:w="1701" w:type="dxa"/>
            <w:vMerge/>
          </w:tcPr>
          <w:p w14:paraId="40AFA259" w14:textId="77777777" w:rsidR="00790B17" w:rsidRPr="00B91A82" w:rsidRDefault="00790B17" w:rsidP="00443B8F">
            <w:pPr>
              <w:spacing w:after="240"/>
              <w:rPr>
                <w:rFonts w:cs="Calibri"/>
                <w:color w:val="222222"/>
                <w:szCs w:val="22"/>
              </w:rPr>
            </w:pPr>
          </w:p>
        </w:tc>
        <w:tc>
          <w:tcPr>
            <w:tcW w:w="1843" w:type="dxa"/>
            <w:vMerge/>
          </w:tcPr>
          <w:p w14:paraId="2CF40CDF" w14:textId="77777777" w:rsidR="00790B17" w:rsidRPr="00B91A82" w:rsidRDefault="00790B17" w:rsidP="00443B8F">
            <w:pPr>
              <w:spacing w:after="240"/>
              <w:rPr>
                <w:rFonts w:cs="Calibri"/>
                <w:color w:val="222222"/>
                <w:szCs w:val="22"/>
              </w:rPr>
            </w:pPr>
          </w:p>
        </w:tc>
        <w:tc>
          <w:tcPr>
            <w:tcW w:w="1985" w:type="dxa"/>
          </w:tcPr>
          <w:p w14:paraId="299E8701" w14:textId="77777777" w:rsidR="00790B17" w:rsidRPr="00B91A82" w:rsidRDefault="00790B17" w:rsidP="00443B8F">
            <w:pPr>
              <w:spacing w:after="240"/>
              <w:rPr>
                <w:rFonts w:cs="Calibri"/>
                <w:color w:val="222222"/>
                <w:szCs w:val="22"/>
              </w:rPr>
            </w:pPr>
            <w:r w:rsidRPr="00B91A82">
              <w:rPr>
                <w:color w:val="222222"/>
              </w:rPr>
              <w:t>SO 1.2: Improving the intensity and efficiency of cooperation in research, development and innovation</w:t>
            </w:r>
          </w:p>
        </w:tc>
        <w:tc>
          <w:tcPr>
            <w:tcW w:w="3709" w:type="dxa"/>
            <w:vMerge/>
          </w:tcPr>
          <w:p w14:paraId="41ADE97C" w14:textId="77777777" w:rsidR="00790B17" w:rsidRPr="00B91A82" w:rsidRDefault="00790B17" w:rsidP="00443B8F">
            <w:pPr>
              <w:spacing w:after="240"/>
              <w:rPr>
                <w:rFonts w:cs="Calibri"/>
                <w:color w:val="222222"/>
                <w:szCs w:val="22"/>
              </w:rPr>
            </w:pPr>
          </w:p>
        </w:tc>
      </w:tr>
      <w:tr w:rsidR="00790B17" w:rsidRPr="00B91A82" w14:paraId="260CFA01" w14:textId="77777777" w:rsidTr="00443B8F">
        <w:trPr>
          <w:trHeight w:val="586"/>
        </w:trPr>
        <w:tc>
          <w:tcPr>
            <w:tcW w:w="1701" w:type="dxa"/>
            <w:vMerge w:val="restart"/>
          </w:tcPr>
          <w:p w14:paraId="6DC699E7" w14:textId="77777777" w:rsidR="00790B17" w:rsidRPr="00B91A82" w:rsidRDefault="00790B17" w:rsidP="00443B8F">
            <w:pPr>
              <w:spacing w:after="240"/>
              <w:rPr>
                <w:rFonts w:cs="Calibri"/>
                <w:color w:val="222222"/>
                <w:szCs w:val="22"/>
              </w:rPr>
            </w:pPr>
            <w:r w:rsidRPr="00B91A82">
              <w:rPr>
                <w:color w:val="222222"/>
              </w:rPr>
              <w:t>PA 2: Development of entrepreneurship and SME competitiveness</w:t>
            </w:r>
          </w:p>
        </w:tc>
        <w:tc>
          <w:tcPr>
            <w:tcW w:w="1843" w:type="dxa"/>
          </w:tcPr>
          <w:p w14:paraId="770B185E" w14:textId="77777777" w:rsidR="00790B17" w:rsidRPr="00B91A82" w:rsidRDefault="00790B17" w:rsidP="00443B8F">
            <w:pPr>
              <w:spacing w:after="240"/>
              <w:rPr>
                <w:rFonts w:cs="Calibri"/>
                <w:color w:val="222222"/>
                <w:szCs w:val="22"/>
              </w:rPr>
            </w:pPr>
            <w:r w:rsidRPr="00B91A82">
              <w:rPr>
                <w:color w:val="222222"/>
              </w:rPr>
              <w:t xml:space="preserve">Promoting entrepreneurship, in particular by facilitating the economic exploitation of new ideas and fostering the creation of new firms, including </w:t>
            </w:r>
            <w:r w:rsidRPr="00B91A82">
              <w:rPr>
                <w:color w:val="222222"/>
              </w:rPr>
              <w:lastRenderedPageBreak/>
              <w:t>through business incubators</w:t>
            </w:r>
          </w:p>
        </w:tc>
        <w:tc>
          <w:tcPr>
            <w:tcW w:w="1985" w:type="dxa"/>
          </w:tcPr>
          <w:p w14:paraId="7FB2CC40" w14:textId="77777777" w:rsidR="00790B17" w:rsidRPr="00B91A82" w:rsidRDefault="00790B17" w:rsidP="00443B8F">
            <w:pPr>
              <w:spacing w:after="240"/>
              <w:rPr>
                <w:rFonts w:cs="Calibri"/>
                <w:color w:val="222222"/>
                <w:szCs w:val="22"/>
              </w:rPr>
            </w:pPr>
            <w:r w:rsidRPr="00B91A82">
              <w:rPr>
                <w:color w:val="222222"/>
              </w:rPr>
              <w:lastRenderedPageBreak/>
              <w:t>SO 2.1: Enhancing competitiveness of start-ups and developing SMEs</w:t>
            </w:r>
          </w:p>
        </w:tc>
        <w:tc>
          <w:tcPr>
            <w:tcW w:w="3709" w:type="dxa"/>
          </w:tcPr>
          <w:p w14:paraId="0952A811"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43064E8C"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w:t>
            </w:r>
          </w:p>
          <w:p w14:paraId="64001771"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729027EF" w14:textId="77777777" w:rsidR="00790B17" w:rsidRPr="00B91A82" w:rsidRDefault="00790B17" w:rsidP="00443B8F">
            <w:pPr>
              <w:spacing w:after="240"/>
              <w:rPr>
                <w:rFonts w:cs="Calibri"/>
                <w:color w:val="222222"/>
                <w:szCs w:val="22"/>
              </w:rPr>
            </w:pPr>
            <w:r w:rsidRPr="00B91A82">
              <w:rPr>
                <w:color w:val="222222"/>
              </w:rPr>
              <w:lastRenderedPageBreak/>
              <w:t>Presumption of aggravated availability of commercial financing – YES</w:t>
            </w:r>
          </w:p>
          <w:p w14:paraId="1F58EC85"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YES</w:t>
            </w:r>
          </w:p>
          <w:p w14:paraId="317664FD" w14:textId="77777777" w:rsidR="00790B17" w:rsidRPr="00B91A82" w:rsidRDefault="00790B17" w:rsidP="00443B8F">
            <w:pPr>
              <w:spacing w:after="240"/>
              <w:rPr>
                <w:rFonts w:cs="Calibri"/>
                <w:color w:val="222222"/>
                <w:szCs w:val="22"/>
              </w:rPr>
            </w:pPr>
            <w:r w:rsidRPr="00B91A82">
              <w:rPr>
                <w:color w:val="222222"/>
              </w:rPr>
              <w:t>The MA envisages using financial instruments under this investment priority.</w:t>
            </w:r>
          </w:p>
        </w:tc>
      </w:tr>
      <w:tr w:rsidR="00790B17" w:rsidRPr="00B91A82" w14:paraId="6332AB0A" w14:textId="77777777" w:rsidTr="00443B8F">
        <w:tc>
          <w:tcPr>
            <w:tcW w:w="1701" w:type="dxa"/>
            <w:vMerge/>
          </w:tcPr>
          <w:p w14:paraId="5ADFC5C3" w14:textId="77777777" w:rsidR="00790B17" w:rsidRPr="00B91A82" w:rsidRDefault="00790B17" w:rsidP="00443B8F">
            <w:pPr>
              <w:spacing w:after="240"/>
              <w:rPr>
                <w:rFonts w:cs="Calibri"/>
                <w:color w:val="222222"/>
                <w:szCs w:val="22"/>
              </w:rPr>
            </w:pPr>
          </w:p>
        </w:tc>
        <w:tc>
          <w:tcPr>
            <w:tcW w:w="1843" w:type="dxa"/>
          </w:tcPr>
          <w:p w14:paraId="55B2BC08" w14:textId="77777777" w:rsidR="00790B17" w:rsidRPr="00B91A82" w:rsidRDefault="00790B17" w:rsidP="00443B8F">
            <w:pPr>
              <w:spacing w:after="240"/>
              <w:rPr>
                <w:rFonts w:cs="Calibri"/>
                <w:color w:val="222222"/>
                <w:szCs w:val="22"/>
              </w:rPr>
            </w:pPr>
            <w:r w:rsidRPr="00B91A82">
              <w:t>Developing and implementing new business models for SMEs, in particular for international trade</w:t>
            </w:r>
          </w:p>
        </w:tc>
        <w:tc>
          <w:tcPr>
            <w:tcW w:w="1985" w:type="dxa"/>
          </w:tcPr>
          <w:p w14:paraId="44E451DA" w14:textId="77777777" w:rsidR="00790B17" w:rsidRPr="00B91A82" w:rsidRDefault="00790B17" w:rsidP="00443B8F">
            <w:pPr>
              <w:spacing w:after="240"/>
              <w:rPr>
                <w:rFonts w:cs="Calibri"/>
                <w:color w:val="222222"/>
                <w:szCs w:val="22"/>
              </w:rPr>
            </w:pPr>
            <w:r w:rsidRPr="00B91A82">
              <w:rPr>
                <w:color w:val="222222"/>
              </w:rPr>
              <w:t xml:space="preserve">SO 2.2: </w:t>
            </w:r>
            <w:r w:rsidRPr="00B91A82">
              <w:t>Enhancing the internationalisation of small and medium-sized enterprises</w:t>
            </w:r>
          </w:p>
        </w:tc>
        <w:tc>
          <w:tcPr>
            <w:tcW w:w="3709" w:type="dxa"/>
          </w:tcPr>
          <w:p w14:paraId="0624F4F6" w14:textId="77777777" w:rsidR="00790B17" w:rsidRPr="00B91A82" w:rsidRDefault="00790B17" w:rsidP="00443B8F">
            <w:pPr>
              <w:spacing w:after="240"/>
              <w:rPr>
                <w:rFonts w:cs="Calibri"/>
                <w:color w:val="222222"/>
                <w:szCs w:val="22"/>
              </w:rPr>
            </w:pPr>
            <w:r w:rsidRPr="00B91A82">
              <w:rPr>
                <w:color w:val="222222"/>
              </w:rPr>
              <w:t xml:space="preserve">Productive activities (investment projects) – NO </w:t>
            </w:r>
          </w:p>
          <w:p w14:paraId="52D62FE6"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NO</w:t>
            </w:r>
          </w:p>
          <w:p w14:paraId="7DF85CAC"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3C0835AF"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22005683"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0203B490" w14:textId="77777777" w:rsidR="00790B17" w:rsidRPr="00B91A82" w:rsidRDefault="00790B17" w:rsidP="00443B8F">
            <w:pPr>
              <w:spacing w:after="240"/>
              <w:rPr>
                <w:rFonts w:cs="Calibri"/>
                <w:color w:val="222222"/>
                <w:szCs w:val="22"/>
              </w:rPr>
            </w:pPr>
            <w:r w:rsidRPr="00B91A82">
              <w:rPr>
                <w:color w:val="222222"/>
              </w:rPr>
              <w:t>The MA does not envisage using financial instruments within this investment priority, however, supportive counselling services should be linked to the financial instruments for SMEs within specific objective 1.2.</w:t>
            </w:r>
          </w:p>
        </w:tc>
      </w:tr>
      <w:tr w:rsidR="00790B17" w:rsidRPr="00B91A82" w14:paraId="35E758B7" w14:textId="77777777" w:rsidTr="00443B8F">
        <w:tc>
          <w:tcPr>
            <w:tcW w:w="1701" w:type="dxa"/>
            <w:vMerge/>
          </w:tcPr>
          <w:p w14:paraId="29D8775A" w14:textId="77777777" w:rsidR="00790B17" w:rsidRPr="00B91A82" w:rsidRDefault="00790B17" w:rsidP="00443B8F">
            <w:pPr>
              <w:spacing w:after="240"/>
              <w:rPr>
                <w:rFonts w:cs="Calibri"/>
                <w:color w:val="222222"/>
                <w:szCs w:val="22"/>
              </w:rPr>
            </w:pPr>
          </w:p>
        </w:tc>
        <w:tc>
          <w:tcPr>
            <w:tcW w:w="1843" w:type="dxa"/>
            <w:vMerge w:val="restart"/>
          </w:tcPr>
          <w:p w14:paraId="70678492" w14:textId="77777777" w:rsidR="00790B17" w:rsidRPr="00B91A82" w:rsidRDefault="00790B17" w:rsidP="00443B8F">
            <w:pPr>
              <w:spacing w:after="240"/>
              <w:rPr>
                <w:rFonts w:cs="Calibri"/>
                <w:color w:val="222222"/>
                <w:szCs w:val="22"/>
              </w:rPr>
            </w:pPr>
            <w:r w:rsidRPr="00B91A82">
              <w:t>Promoting building and extending of advanced capacities for product and service development</w:t>
            </w:r>
          </w:p>
        </w:tc>
        <w:tc>
          <w:tcPr>
            <w:tcW w:w="1985" w:type="dxa"/>
          </w:tcPr>
          <w:p w14:paraId="4E55BCD0" w14:textId="77777777" w:rsidR="00790B17" w:rsidRPr="00B91A82" w:rsidRDefault="00790B17" w:rsidP="00443B8F">
            <w:pPr>
              <w:spacing w:after="240"/>
              <w:rPr>
                <w:rFonts w:cs="Calibri"/>
                <w:color w:val="222222"/>
                <w:szCs w:val="22"/>
              </w:rPr>
            </w:pPr>
            <w:r w:rsidRPr="00B91A82">
              <w:rPr>
                <w:color w:val="222222"/>
              </w:rPr>
              <w:t>SO 2.3: Increasing business usability of the infrastructure</w:t>
            </w:r>
          </w:p>
        </w:tc>
        <w:tc>
          <w:tcPr>
            <w:tcW w:w="3709" w:type="dxa"/>
            <w:vMerge w:val="restart"/>
          </w:tcPr>
          <w:p w14:paraId="4A39676E"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1741C812"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 (SO 2.3 only)</w:t>
            </w:r>
          </w:p>
          <w:p w14:paraId="51A51D99"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466D663A"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6DF78B45" w14:textId="77777777" w:rsidR="00790B17" w:rsidRPr="00B91A82" w:rsidRDefault="00790B17" w:rsidP="00443B8F">
            <w:pPr>
              <w:spacing w:after="240"/>
              <w:rPr>
                <w:rFonts w:cs="Calibri"/>
                <w:color w:val="222222"/>
                <w:szCs w:val="22"/>
              </w:rPr>
            </w:pPr>
            <w:r w:rsidRPr="00B91A82">
              <w:rPr>
                <w:color w:val="222222"/>
              </w:rPr>
              <w:lastRenderedPageBreak/>
              <w:t>Previous experience in the CR with the application of a financial instrument in the field – NO</w:t>
            </w:r>
          </w:p>
          <w:p w14:paraId="4CA6CBDA" w14:textId="77777777" w:rsidR="00790B17" w:rsidRPr="00B91A82" w:rsidRDefault="00790B17" w:rsidP="00443B8F">
            <w:pPr>
              <w:spacing w:after="240"/>
              <w:rPr>
                <w:rFonts w:cs="Calibri"/>
                <w:color w:val="222222"/>
                <w:szCs w:val="22"/>
              </w:rPr>
            </w:pPr>
            <w:r w:rsidRPr="00B91A82">
              <w:rPr>
                <w:color w:val="222222"/>
              </w:rPr>
              <w:t>The MA envisages using financial instruments under this investment priority in scope of SO 2.3..</w:t>
            </w:r>
          </w:p>
        </w:tc>
      </w:tr>
      <w:tr w:rsidR="00790B17" w:rsidRPr="00B91A82" w14:paraId="2FCAAF84" w14:textId="77777777" w:rsidTr="00443B8F">
        <w:tc>
          <w:tcPr>
            <w:tcW w:w="1701" w:type="dxa"/>
            <w:vMerge/>
          </w:tcPr>
          <w:p w14:paraId="07433B40" w14:textId="77777777" w:rsidR="00790B17" w:rsidRPr="00B91A82" w:rsidRDefault="00790B17" w:rsidP="00443B8F">
            <w:pPr>
              <w:spacing w:after="240"/>
              <w:rPr>
                <w:rFonts w:cs="Calibri"/>
                <w:color w:val="222222"/>
                <w:szCs w:val="22"/>
              </w:rPr>
            </w:pPr>
          </w:p>
        </w:tc>
        <w:tc>
          <w:tcPr>
            <w:tcW w:w="1843" w:type="dxa"/>
            <w:vMerge/>
          </w:tcPr>
          <w:p w14:paraId="3944C6C4" w14:textId="77777777" w:rsidR="00790B17" w:rsidRPr="00B91A82" w:rsidRDefault="00790B17" w:rsidP="00443B8F">
            <w:pPr>
              <w:spacing w:after="240"/>
              <w:rPr>
                <w:rFonts w:cs="Calibri"/>
                <w:color w:val="222222"/>
                <w:szCs w:val="22"/>
              </w:rPr>
            </w:pPr>
          </w:p>
        </w:tc>
        <w:tc>
          <w:tcPr>
            <w:tcW w:w="1985" w:type="dxa"/>
          </w:tcPr>
          <w:p w14:paraId="1E8A0FBE" w14:textId="77777777" w:rsidR="00790B17" w:rsidRPr="00B91A82" w:rsidRDefault="00790B17" w:rsidP="00443B8F">
            <w:pPr>
              <w:spacing w:after="240"/>
              <w:rPr>
                <w:rFonts w:cs="Calibri"/>
                <w:color w:val="222222"/>
                <w:szCs w:val="22"/>
              </w:rPr>
            </w:pPr>
            <w:r w:rsidRPr="00B91A82">
              <w:rPr>
                <w:color w:val="222222"/>
              </w:rPr>
              <w:t xml:space="preserve">SO 2.4: </w:t>
            </w:r>
            <w:r w:rsidRPr="00B91A82">
              <w:t>Increasing vocational training capacities in SMEs</w:t>
            </w:r>
          </w:p>
        </w:tc>
        <w:tc>
          <w:tcPr>
            <w:tcW w:w="3709" w:type="dxa"/>
            <w:vMerge/>
          </w:tcPr>
          <w:p w14:paraId="318AAAE4" w14:textId="77777777" w:rsidR="00790B17" w:rsidRPr="00B91A82" w:rsidRDefault="00790B17" w:rsidP="00443B8F">
            <w:pPr>
              <w:spacing w:after="240"/>
              <w:rPr>
                <w:rFonts w:cs="Calibri"/>
                <w:color w:val="222222"/>
                <w:szCs w:val="22"/>
              </w:rPr>
            </w:pPr>
          </w:p>
        </w:tc>
      </w:tr>
      <w:tr w:rsidR="00790B17" w:rsidRPr="00B91A82" w14:paraId="6DD07E8D" w14:textId="77777777" w:rsidTr="00443B8F">
        <w:tc>
          <w:tcPr>
            <w:tcW w:w="1701" w:type="dxa"/>
            <w:vMerge w:val="restart"/>
          </w:tcPr>
          <w:p w14:paraId="0DBC27C2" w14:textId="77777777" w:rsidR="00790B17" w:rsidRPr="00B91A82" w:rsidRDefault="00790B17" w:rsidP="00443B8F">
            <w:pPr>
              <w:spacing w:after="240"/>
              <w:rPr>
                <w:rFonts w:cs="Calibri"/>
                <w:color w:val="222222"/>
                <w:szCs w:val="22"/>
              </w:rPr>
            </w:pPr>
            <w:r w:rsidRPr="00B91A82">
              <w:rPr>
                <w:color w:val="222222"/>
              </w:rPr>
              <w:lastRenderedPageBreak/>
              <w:t xml:space="preserve">PA 3: Energy efficiency, developing the energy infrastructure and </w:t>
            </w:r>
            <w:r w:rsidRPr="00B91A82">
              <w:rPr>
                <w:rFonts w:cs="Calibri"/>
                <w:color w:val="222222"/>
                <w:szCs w:val="22"/>
              </w:rPr>
              <w:br/>
            </w:r>
            <w:r w:rsidRPr="00B91A82">
              <w:rPr>
                <w:color w:val="222222"/>
              </w:rPr>
              <w:t>renewable energy sources, supporting new technologies in energy and secondary raw materials</w:t>
            </w:r>
          </w:p>
        </w:tc>
        <w:tc>
          <w:tcPr>
            <w:tcW w:w="1843" w:type="dxa"/>
          </w:tcPr>
          <w:p w14:paraId="064DF7ED" w14:textId="77777777" w:rsidR="00790B17" w:rsidRPr="00B91A82" w:rsidRDefault="00790B17" w:rsidP="00443B8F">
            <w:pPr>
              <w:spacing w:after="240"/>
              <w:rPr>
                <w:rFonts w:cs="Calibri"/>
                <w:color w:val="222222"/>
                <w:szCs w:val="22"/>
              </w:rPr>
            </w:pPr>
            <w:r w:rsidRPr="00B91A82">
              <w:t>Promoting the production and distribution of energy derived from renewable sources.</w:t>
            </w:r>
          </w:p>
        </w:tc>
        <w:tc>
          <w:tcPr>
            <w:tcW w:w="1985" w:type="dxa"/>
          </w:tcPr>
          <w:p w14:paraId="782CE648" w14:textId="77777777" w:rsidR="00790B17" w:rsidRPr="00B91A82" w:rsidRDefault="00790B17" w:rsidP="00443B8F">
            <w:pPr>
              <w:spacing w:after="240"/>
              <w:rPr>
                <w:rFonts w:cs="Calibri"/>
                <w:color w:val="222222"/>
                <w:szCs w:val="22"/>
              </w:rPr>
            </w:pPr>
            <w:r w:rsidRPr="00B91A82">
              <w:rPr>
                <w:color w:val="222222"/>
              </w:rPr>
              <w:t>SO 3.1: Increasing share of energy from renewables in gross final consumption of the Czech Republic</w:t>
            </w:r>
          </w:p>
        </w:tc>
        <w:tc>
          <w:tcPr>
            <w:tcW w:w="3709" w:type="dxa"/>
          </w:tcPr>
          <w:p w14:paraId="6D8B5848"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15C6B360"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w:t>
            </w:r>
          </w:p>
          <w:p w14:paraId="02DC2F0A"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540538D8"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6762A8BC"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4EF02537" w14:textId="77777777" w:rsidR="00790B17" w:rsidRPr="00B91A82" w:rsidRDefault="00790B17" w:rsidP="00443B8F">
            <w:pPr>
              <w:spacing w:after="240"/>
              <w:rPr>
                <w:rFonts w:cs="Calibri"/>
                <w:color w:val="222222"/>
                <w:szCs w:val="22"/>
              </w:rPr>
            </w:pPr>
            <w:r w:rsidRPr="00B91A82">
              <w:rPr>
                <w:color w:val="222222"/>
              </w:rPr>
              <w:t>The MA considers using financial instruments under this investment priority.</w:t>
            </w:r>
          </w:p>
        </w:tc>
      </w:tr>
      <w:tr w:rsidR="00790B17" w:rsidRPr="00B91A82" w14:paraId="0AF319BE" w14:textId="77777777" w:rsidTr="00443B8F">
        <w:tc>
          <w:tcPr>
            <w:tcW w:w="1701" w:type="dxa"/>
            <w:vMerge/>
          </w:tcPr>
          <w:p w14:paraId="7293E3AD" w14:textId="77777777" w:rsidR="00790B17" w:rsidRPr="00B91A82" w:rsidRDefault="00790B17" w:rsidP="00443B8F">
            <w:pPr>
              <w:spacing w:after="240"/>
              <w:rPr>
                <w:rFonts w:cs="Calibri"/>
                <w:color w:val="222222"/>
                <w:szCs w:val="22"/>
              </w:rPr>
            </w:pPr>
          </w:p>
        </w:tc>
        <w:tc>
          <w:tcPr>
            <w:tcW w:w="1843" w:type="dxa"/>
          </w:tcPr>
          <w:p w14:paraId="2E9258D0" w14:textId="77777777" w:rsidR="00790B17" w:rsidRPr="00B91A82" w:rsidRDefault="00790B17" w:rsidP="00443B8F">
            <w:pPr>
              <w:spacing w:after="240"/>
              <w:rPr>
                <w:rFonts w:cs="Calibri"/>
                <w:color w:val="222222"/>
                <w:szCs w:val="22"/>
              </w:rPr>
            </w:pPr>
            <w:r w:rsidRPr="00B91A82">
              <w:t>Promoting energy efficiency and use of renewable energy in enterprises</w:t>
            </w:r>
          </w:p>
        </w:tc>
        <w:tc>
          <w:tcPr>
            <w:tcW w:w="1985" w:type="dxa"/>
          </w:tcPr>
          <w:p w14:paraId="3F65EBDE" w14:textId="77777777" w:rsidR="00790B17" w:rsidRPr="00B91A82" w:rsidRDefault="00790B17" w:rsidP="00443B8F">
            <w:pPr>
              <w:spacing w:after="240"/>
              <w:rPr>
                <w:rFonts w:cs="Calibri"/>
                <w:color w:val="222222"/>
                <w:szCs w:val="22"/>
              </w:rPr>
            </w:pPr>
            <w:r w:rsidRPr="00B91A82">
              <w:rPr>
                <w:color w:val="222222"/>
              </w:rPr>
              <w:t>SO 3.2: Improving the energy efficiency of the business sector</w:t>
            </w:r>
          </w:p>
        </w:tc>
        <w:tc>
          <w:tcPr>
            <w:tcW w:w="3709" w:type="dxa"/>
          </w:tcPr>
          <w:p w14:paraId="4416885A"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2F79C355"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w:t>
            </w:r>
          </w:p>
          <w:p w14:paraId="6D475729"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64E7C471"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2A680954"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 (but the OPEI 2007-2013 has already stated a plan to launch a financial instrument and there is a range of best practice examples of financial instruments in this field)</w:t>
            </w:r>
          </w:p>
          <w:p w14:paraId="743AB307" w14:textId="77777777" w:rsidR="00790B17" w:rsidRPr="00B91A82" w:rsidRDefault="00790B17" w:rsidP="00443B8F">
            <w:pPr>
              <w:spacing w:after="240"/>
              <w:rPr>
                <w:rFonts w:cs="Calibri"/>
                <w:color w:val="222222"/>
                <w:szCs w:val="22"/>
              </w:rPr>
            </w:pPr>
            <w:r w:rsidRPr="00B91A82">
              <w:rPr>
                <w:color w:val="222222"/>
              </w:rPr>
              <w:lastRenderedPageBreak/>
              <w:t>The MA envisages using financial instruments under this investment priority.</w:t>
            </w:r>
          </w:p>
        </w:tc>
      </w:tr>
      <w:tr w:rsidR="00790B17" w:rsidRPr="00B91A82" w14:paraId="2AAAB809" w14:textId="77777777" w:rsidTr="00443B8F">
        <w:tc>
          <w:tcPr>
            <w:tcW w:w="1701" w:type="dxa"/>
            <w:vMerge/>
          </w:tcPr>
          <w:p w14:paraId="2B2F4DCA" w14:textId="77777777" w:rsidR="00790B17" w:rsidRPr="00B91A82" w:rsidRDefault="00790B17" w:rsidP="00443B8F">
            <w:pPr>
              <w:spacing w:after="240"/>
              <w:rPr>
                <w:rFonts w:cs="Calibri"/>
                <w:color w:val="222222"/>
                <w:szCs w:val="22"/>
              </w:rPr>
            </w:pPr>
          </w:p>
        </w:tc>
        <w:tc>
          <w:tcPr>
            <w:tcW w:w="1843" w:type="dxa"/>
          </w:tcPr>
          <w:p w14:paraId="50C807F6" w14:textId="77777777" w:rsidR="00790B17" w:rsidRPr="00B91A82" w:rsidRDefault="00790B17" w:rsidP="00443B8F">
            <w:pPr>
              <w:spacing w:after="240"/>
              <w:rPr>
                <w:rFonts w:cs="Calibri"/>
                <w:color w:val="222222"/>
                <w:szCs w:val="22"/>
              </w:rPr>
            </w:pPr>
            <w:r w:rsidRPr="00B91A82">
              <w:t>Development and implementation of smart distribution systems that operate at the low and medium voltage levels</w:t>
            </w:r>
          </w:p>
        </w:tc>
        <w:tc>
          <w:tcPr>
            <w:tcW w:w="1985" w:type="dxa"/>
          </w:tcPr>
          <w:p w14:paraId="24E65072" w14:textId="77777777" w:rsidR="00790B17" w:rsidRPr="00B91A82" w:rsidRDefault="00790B17" w:rsidP="00443B8F">
            <w:pPr>
              <w:spacing w:after="240"/>
              <w:rPr>
                <w:rFonts w:cs="Calibri"/>
                <w:color w:val="222222"/>
                <w:szCs w:val="22"/>
              </w:rPr>
            </w:pPr>
            <w:r w:rsidRPr="00B91A82">
              <w:rPr>
                <w:color w:val="222222"/>
              </w:rPr>
              <w:t xml:space="preserve">SO 3.3: </w:t>
            </w:r>
            <w:r w:rsidRPr="00B91A82">
              <w:t>Increasing the application of smart grids in distribution systems</w:t>
            </w:r>
          </w:p>
        </w:tc>
        <w:tc>
          <w:tcPr>
            <w:tcW w:w="3709" w:type="dxa"/>
          </w:tcPr>
          <w:p w14:paraId="32A8E45B"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144D40B7"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NO</w:t>
            </w:r>
          </w:p>
          <w:p w14:paraId="72B87528"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29738714"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5011D45E"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570D0CA3" w14:textId="77777777" w:rsidR="00790B17" w:rsidRPr="00B91A82" w:rsidRDefault="00790B17" w:rsidP="00443B8F">
            <w:pPr>
              <w:spacing w:after="240"/>
              <w:rPr>
                <w:rFonts w:cs="Calibri"/>
                <w:color w:val="222222"/>
                <w:szCs w:val="22"/>
              </w:rPr>
            </w:pPr>
            <w:r w:rsidRPr="00B91A82">
              <w:rPr>
                <w:color w:val="222222"/>
              </w:rPr>
              <w:t>The MA does not envisage using financial instruments under this investment priority. These projects aim primarily to increase reliability, security and sustainability of the electricity supply, not to attain cash flow and direct revenues.</w:t>
            </w:r>
          </w:p>
        </w:tc>
      </w:tr>
      <w:tr w:rsidR="00790B17" w:rsidRPr="00B91A82" w14:paraId="4135E61D" w14:textId="77777777" w:rsidTr="00443B8F">
        <w:tc>
          <w:tcPr>
            <w:tcW w:w="1701" w:type="dxa"/>
            <w:vMerge/>
          </w:tcPr>
          <w:p w14:paraId="7262FD8B" w14:textId="77777777" w:rsidR="00790B17" w:rsidRPr="00B91A82" w:rsidRDefault="00790B17" w:rsidP="00443B8F">
            <w:pPr>
              <w:spacing w:after="240"/>
              <w:rPr>
                <w:rFonts w:cs="Calibri"/>
                <w:color w:val="222222"/>
                <w:szCs w:val="22"/>
              </w:rPr>
            </w:pPr>
          </w:p>
        </w:tc>
        <w:tc>
          <w:tcPr>
            <w:tcW w:w="1843" w:type="dxa"/>
          </w:tcPr>
          <w:p w14:paraId="5AA5BA40" w14:textId="77777777" w:rsidR="00790B17" w:rsidRPr="00B91A82" w:rsidRDefault="00790B17" w:rsidP="00443B8F">
            <w:pPr>
              <w:spacing w:after="240"/>
              <w:rPr>
                <w:rFonts w:cs="Calibri"/>
                <w:color w:val="222222"/>
                <w:szCs w:val="22"/>
              </w:rPr>
            </w:pPr>
            <w:r w:rsidRPr="00B91A82">
              <w:t xml:space="preserve">Support to research and innovation and deployment of low carbon technologies </w:t>
            </w:r>
          </w:p>
        </w:tc>
        <w:tc>
          <w:tcPr>
            <w:tcW w:w="1985" w:type="dxa"/>
          </w:tcPr>
          <w:p w14:paraId="22E713BA" w14:textId="77777777" w:rsidR="00790B17" w:rsidRPr="00B91A82" w:rsidRDefault="00790B17" w:rsidP="00443B8F">
            <w:pPr>
              <w:spacing w:after="240"/>
              <w:rPr>
                <w:rFonts w:cs="Calibri"/>
                <w:color w:val="222222"/>
                <w:szCs w:val="22"/>
              </w:rPr>
            </w:pPr>
            <w:r w:rsidRPr="00B91A82">
              <w:rPr>
                <w:color w:val="222222"/>
              </w:rPr>
              <w:t xml:space="preserve">SO 3.4: </w:t>
            </w:r>
            <w:r w:rsidRPr="00B91A82">
              <w:t>Application of innovative low-carbon technologies in energy management and use of secondary raw materials</w:t>
            </w:r>
          </w:p>
        </w:tc>
        <w:tc>
          <w:tcPr>
            <w:tcW w:w="3709" w:type="dxa"/>
          </w:tcPr>
          <w:p w14:paraId="15EC7E52"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2CB6C8A9"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NO</w:t>
            </w:r>
          </w:p>
          <w:p w14:paraId="7B3CD00F"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6706D964"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0CCEBA9B"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71D987A6" w14:textId="77777777" w:rsidR="00790B17" w:rsidRPr="00B91A82" w:rsidRDefault="00790B17" w:rsidP="00443B8F">
            <w:pPr>
              <w:spacing w:after="240"/>
              <w:rPr>
                <w:rFonts w:cs="Calibri"/>
                <w:color w:val="222222"/>
                <w:szCs w:val="22"/>
              </w:rPr>
            </w:pPr>
            <w:r w:rsidRPr="00B91A82">
              <w:rPr>
                <w:color w:val="222222"/>
              </w:rPr>
              <w:t xml:space="preserve">The MA does not envisage using financial instruments under this investment priority. These projects aim primarily to enhance the high-end </w:t>
            </w:r>
            <w:r w:rsidRPr="00B91A82">
              <w:rPr>
                <w:color w:val="222222"/>
              </w:rPr>
              <w:lastRenderedPageBreak/>
              <w:t>technology application, not to attain cash flow and direct revenues.</w:t>
            </w:r>
          </w:p>
        </w:tc>
      </w:tr>
      <w:tr w:rsidR="00790B17" w:rsidRPr="00B91A82" w14:paraId="192E7715" w14:textId="77777777" w:rsidTr="00443B8F">
        <w:tc>
          <w:tcPr>
            <w:tcW w:w="1701" w:type="dxa"/>
            <w:vMerge/>
          </w:tcPr>
          <w:p w14:paraId="4BC9B549" w14:textId="77777777" w:rsidR="00790B17" w:rsidRPr="00B91A82" w:rsidRDefault="00790B17" w:rsidP="00443B8F">
            <w:pPr>
              <w:spacing w:after="240"/>
              <w:rPr>
                <w:rFonts w:cs="Calibri"/>
                <w:color w:val="222222"/>
                <w:szCs w:val="22"/>
              </w:rPr>
            </w:pPr>
          </w:p>
        </w:tc>
        <w:tc>
          <w:tcPr>
            <w:tcW w:w="1843" w:type="dxa"/>
          </w:tcPr>
          <w:p w14:paraId="143C87B1" w14:textId="77777777" w:rsidR="00790B17" w:rsidRPr="00B91A82" w:rsidRDefault="00790B17" w:rsidP="00443B8F">
            <w:pPr>
              <w:spacing w:after="240"/>
              <w:rPr>
                <w:rFonts w:cs="Calibri"/>
                <w:color w:val="222222"/>
                <w:szCs w:val="22"/>
              </w:rPr>
            </w:pPr>
            <w:r w:rsidRPr="00B91A82">
              <w:t>Promoting the use of high-efficiency co-generation of heat and power based on useful demand.</w:t>
            </w:r>
          </w:p>
        </w:tc>
        <w:tc>
          <w:tcPr>
            <w:tcW w:w="1985" w:type="dxa"/>
          </w:tcPr>
          <w:p w14:paraId="712E406E" w14:textId="77777777" w:rsidR="00790B17" w:rsidRPr="00B91A82" w:rsidRDefault="00790B17" w:rsidP="00443B8F">
            <w:pPr>
              <w:spacing w:after="240"/>
              <w:rPr>
                <w:rFonts w:cs="Calibri"/>
                <w:color w:val="222222"/>
                <w:szCs w:val="22"/>
              </w:rPr>
            </w:pPr>
            <w:r w:rsidRPr="00B91A82">
              <w:rPr>
                <w:color w:val="222222"/>
              </w:rPr>
              <w:t>SO 3.5: Improving the efficiency of the systems for heat supply</w:t>
            </w:r>
          </w:p>
        </w:tc>
        <w:tc>
          <w:tcPr>
            <w:tcW w:w="3709" w:type="dxa"/>
          </w:tcPr>
          <w:p w14:paraId="166A9F78"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13747A77"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w:t>
            </w:r>
          </w:p>
          <w:p w14:paraId="768ADFB9"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48B5BAC3"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7ECA9CBC"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 (but already the OPEI 2007-2013 stated a plan to launch a financial instrument in the field of energy savings)</w:t>
            </w:r>
          </w:p>
          <w:p w14:paraId="3DEBC697" w14:textId="49D112C5" w:rsidR="00790B17" w:rsidRPr="00B91A82" w:rsidRDefault="00790B17" w:rsidP="00443B8F">
            <w:pPr>
              <w:spacing w:after="240"/>
              <w:rPr>
                <w:rFonts w:cs="Calibri"/>
                <w:color w:val="222222"/>
                <w:szCs w:val="22"/>
              </w:rPr>
            </w:pPr>
            <w:r w:rsidRPr="00B91A82">
              <w:rPr>
                <w:color w:val="222222"/>
              </w:rPr>
              <w:t xml:space="preserve">The MA envisages using financial instruments under this investment priority. The specific objective includes projects the economic logic of which is close to projects under specific objective 3.2, therefore they are typically associated with energy savings and thus generate cash flow for the </w:t>
            </w:r>
            <w:r w:rsidR="003213A1">
              <w:rPr>
                <w:color w:val="222222"/>
              </w:rPr>
              <w:t>recipient</w:t>
            </w:r>
            <w:r w:rsidRPr="00B91A82">
              <w:rPr>
                <w:color w:val="222222"/>
              </w:rPr>
              <w:t>.</w:t>
            </w:r>
          </w:p>
        </w:tc>
      </w:tr>
      <w:tr w:rsidR="00790B17" w:rsidRPr="00B91A82" w14:paraId="1981A1C4" w14:textId="77777777" w:rsidTr="00443B8F">
        <w:tc>
          <w:tcPr>
            <w:tcW w:w="1701" w:type="dxa"/>
            <w:vMerge/>
          </w:tcPr>
          <w:p w14:paraId="269B2D82" w14:textId="77777777" w:rsidR="00790B17" w:rsidRPr="00B91A82" w:rsidRDefault="00790B17" w:rsidP="00443B8F">
            <w:pPr>
              <w:spacing w:after="240"/>
              <w:rPr>
                <w:rFonts w:cs="Calibri"/>
                <w:color w:val="222222"/>
                <w:szCs w:val="22"/>
              </w:rPr>
            </w:pPr>
          </w:p>
        </w:tc>
        <w:tc>
          <w:tcPr>
            <w:tcW w:w="1843" w:type="dxa"/>
          </w:tcPr>
          <w:p w14:paraId="2A2D95A4" w14:textId="77777777" w:rsidR="00790B17" w:rsidRPr="00B91A82" w:rsidRDefault="00790B17" w:rsidP="00443B8F">
            <w:pPr>
              <w:spacing w:after="240"/>
              <w:rPr>
                <w:rFonts w:cs="Calibri"/>
                <w:color w:val="222222"/>
                <w:szCs w:val="22"/>
              </w:rPr>
            </w:pPr>
            <w:r w:rsidRPr="00B91A82">
              <w:t>Improving energy efficiency and security of supply through the development of smart energy distribution, storage and transmission systems and through the integration of distributed generation from renewable sources.</w:t>
            </w:r>
          </w:p>
        </w:tc>
        <w:tc>
          <w:tcPr>
            <w:tcW w:w="1985" w:type="dxa"/>
          </w:tcPr>
          <w:p w14:paraId="31D27E02" w14:textId="77777777" w:rsidR="00790B17" w:rsidRPr="00B91A82" w:rsidRDefault="00790B17" w:rsidP="00443B8F">
            <w:pPr>
              <w:spacing w:after="240"/>
              <w:rPr>
                <w:rFonts w:cs="Calibri"/>
                <w:color w:val="222222"/>
                <w:szCs w:val="22"/>
              </w:rPr>
            </w:pPr>
            <w:r w:rsidRPr="00B91A82">
              <w:rPr>
                <w:color w:val="222222"/>
              </w:rPr>
              <w:t xml:space="preserve">SO 3.6: </w:t>
            </w:r>
            <w:r w:rsidRPr="00B91A82">
              <w:t>Strengthen the energy security of the transmission system</w:t>
            </w:r>
          </w:p>
        </w:tc>
        <w:tc>
          <w:tcPr>
            <w:tcW w:w="3709" w:type="dxa"/>
          </w:tcPr>
          <w:p w14:paraId="7338ECDD"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69E3C7D4"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NO</w:t>
            </w:r>
          </w:p>
          <w:p w14:paraId="6275FF6F"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63D522FC"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02ABF957"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1A891F47" w14:textId="77777777" w:rsidR="00790B17" w:rsidRPr="00B91A82" w:rsidRDefault="00790B17" w:rsidP="00443B8F">
            <w:pPr>
              <w:spacing w:after="240"/>
              <w:rPr>
                <w:rFonts w:cs="Calibri"/>
                <w:color w:val="222222"/>
                <w:szCs w:val="22"/>
              </w:rPr>
            </w:pPr>
            <w:r w:rsidRPr="00B91A82">
              <w:rPr>
                <w:color w:val="222222"/>
              </w:rPr>
              <w:t xml:space="preserve">The MA does not envisage using financial instruments under this </w:t>
            </w:r>
            <w:r w:rsidRPr="00B91A82">
              <w:rPr>
                <w:color w:val="222222"/>
              </w:rPr>
              <w:lastRenderedPageBreak/>
              <w:t>investment priority. These projects aim primarily to increase reliability, security and sustainability of the electricity supply, not to attain cash flow and direct revenues.</w:t>
            </w:r>
          </w:p>
        </w:tc>
      </w:tr>
      <w:tr w:rsidR="00790B17" w:rsidRPr="00B91A82" w14:paraId="292FD9AD" w14:textId="77777777" w:rsidTr="00443B8F">
        <w:tc>
          <w:tcPr>
            <w:tcW w:w="1701" w:type="dxa"/>
            <w:vMerge w:val="restart"/>
          </w:tcPr>
          <w:p w14:paraId="1D27A4D0" w14:textId="77777777" w:rsidR="00790B17" w:rsidRPr="00B91A82" w:rsidRDefault="00790B17" w:rsidP="00443B8F">
            <w:pPr>
              <w:spacing w:after="240"/>
              <w:rPr>
                <w:rFonts w:cs="Calibri"/>
                <w:color w:val="222222"/>
                <w:szCs w:val="22"/>
              </w:rPr>
            </w:pPr>
            <w:r w:rsidRPr="00B91A82">
              <w:rPr>
                <w:color w:val="222222"/>
              </w:rPr>
              <w:lastRenderedPageBreak/>
              <w:t>PA 4: Developing high-speed internet access networks and ICT</w:t>
            </w:r>
          </w:p>
        </w:tc>
        <w:tc>
          <w:tcPr>
            <w:tcW w:w="1843" w:type="dxa"/>
          </w:tcPr>
          <w:p w14:paraId="14EA736A" w14:textId="77777777" w:rsidR="00790B17" w:rsidRPr="00B91A82" w:rsidRDefault="00790B17" w:rsidP="00443B8F">
            <w:pPr>
              <w:spacing w:after="240"/>
              <w:rPr>
                <w:rFonts w:cs="Calibri"/>
                <w:color w:val="222222"/>
                <w:szCs w:val="22"/>
              </w:rPr>
            </w:pPr>
            <w:r w:rsidRPr="00B91A82">
              <w:t>Extending broadband and roll-out of high-speed networks and supporting the adoption of emerging technologies and networks for the digital economy.</w:t>
            </w:r>
          </w:p>
        </w:tc>
        <w:tc>
          <w:tcPr>
            <w:tcW w:w="1985" w:type="dxa"/>
          </w:tcPr>
          <w:p w14:paraId="015A77AA" w14:textId="77777777" w:rsidR="00790B17" w:rsidRPr="00B91A82" w:rsidRDefault="00790B17" w:rsidP="00443B8F">
            <w:pPr>
              <w:spacing w:after="240"/>
              <w:rPr>
                <w:rFonts w:cs="Calibri"/>
                <w:color w:val="222222"/>
                <w:szCs w:val="22"/>
              </w:rPr>
            </w:pPr>
            <w:r w:rsidRPr="00B91A82">
              <w:rPr>
                <w:color w:val="222222"/>
              </w:rPr>
              <w:t>SO 4.1: Increasing the coverage by the high-speed Internet</w:t>
            </w:r>
          </w:p>
        </w:tc>
        <w:tc>
          <w:tcPr>
            <w:tcW w:w="3709" w:type="dxa"/>
          </w:tcPr>
          <w:p w14:paraId="06AD532F" w14:textId="77777777" w:rsidR="00790B17" w:rsidRPr="00B91A82" w:rsidRDefault="00790B17" w:rsidP="00443B8F">
            <w:pPr>
              <w:spacing w:after="240"/>
              <w:rPr>
                <w:rFonts w:cs="Calibri"/>
                <w:color w:val="222222"/>
                <w:szCs w:val="22"/>
              </w:rPr>
            </w:pPr>
            <w:r w:rsidRPr="00B91A82">
              <w:rPr>
                <w:color w:val="222222"/>
              </w:rPr>
              <w:t>Productive activities (investment projects) – YES</w:t>
            </w:r>
          </w:p>
          <w:p w14:paraId="425CDBD0"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 (this aspect has to be analysed in more depth, because the aid applies mostly to gap areas)</w:t>
            </w:r>
          </w:p>
          <w:p w14:paraId="7F698034" w14:textId="77777777" w:rsidR="00790B17" w:rsidRPr="00B91A82" w:rsidRDefault="00790B17" w:rsidP="00443B8F">
            <w:pPr>
              <w:spacing w:after="240"/>
              <w:rPr>
                <w:rFonts w:cs="Calibri"/>
                <w:color w:val="222222"/>
                <w:szCs w:val="22"/>
              </w:rPr>
            </w:pPr>
            <w:r w:rsidRPr="00B91A82">
              <w:rPr>
                <w:color w:val="222222"/>
              </w:rPr>
              <w:t>Possible involvement of additional private or public sources – YES</w:t>
            </w:r>
          </w:p>
          <w:p w14:paraId="0D6857E9"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7701336C"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041EB5C4" w14:textId="77777777" w:rsidR="00790B17" w:rsidRPr="00B91A82" w:rsidRDefault="00790B17" w:rsidP="00443B8F">
            <w:pPr>
              <w:spacing w:after="240"/>
              <w:rPr>
                <w:rFonts w:cs="Calibri"/>
                <w:color w:val="222222"/>
                <w:szCs w:val="22"/>
              </w:rPr>
            </w:pPr>
            <w:r w:rsidRPr="00B91A82">
              <w:rPr>
                <w:color w:val="222222"/>
              </w:rPr>
              <w:t>The MA shall consider using financial instruments under this investment priority. In particular the added value and sustainability of the project funding through financial instruments will have to be determined, as the gaps refer mostly to the infrastructure, where the aim is to ensure the availability of Internet connectivity in terms of civic amenities, not the economic potential (without the aid no project would be probably implemented in the targeted areas in the next three years).</w:t>
            </w:r>
          </w:p>
        </w:tc>
      </w:tr>
      <w:tr w:rsidR="00790B17" w:rsidRPr="00B91A82" w14:paraId="788B17D7" w14:textId="77777777" w:rsidTr="00443B8F">
        <w:tc>
          <w:tcPr>
            <w:tcW w:w="1701" w:type="dxa"/>
            <w:vMerge/>
          </w:tcPr>
          <w:p w14:paraId="2BBE818A" w14:textId="77777777" w:rsidR="00790B17" w:rsidRPr="00B91A82" w:rsidRDefault="00790B17" w:rsidP="00443B8F">
            <w:pPr>
              <w:spacing w:after="240"/>
              <w:rPr>
                <w:rFonts w:cs="Calibri"/>
                <w:color w:val="222222"/>
                <w:szCs w:val="22"/>
              </w:rPr>
            </w:pPr>
          </w:p>
        </w:tc>
        <w:tc>
          <w:tcPr>
            <w:tcW w:w="1843" w:type="dxa"/>
          </w:tcPr>
          <w:p w14:paraId="467C4DBE" w14:textId="77777777" w:rsidR="00790B17" w:rsidRPr="00B91A82" w:rsidRDefault="00790B17" w:rsidP="00443B8F">
            <w:pPr>
              <w:spacing w:after="240"/>
              <w:rPr>
                <w:rFonts w:cs="Calibri"/>
                <w:color w:val="222222"/>
                <w:szCs w:val="22"/>
              </w:rPr>
            </w:pPr>
            <w:r w:rsidRPr="00B91A82">
              <w:t>Developing ICT products and services, e-commerce, and enhancing demand for ICT</w:t>
            </w:r>
          </w:p>
        </w:tc>
        <w:tc>
          <w:tcPr>
            <w:tcW w:w="1985" w:type="dxa"/>
          </w:tcPr>
          <w:p w14:paraId="29BF5E39" w14:textId="77777777" w:rsidR="00790B17" w:rsidRPr="00B91A82" w:rsidRDefault="00790B17" w:rsidP="00443B8F">
            <w:pPr>
              <w:spacing w:after="240"/>
              <w:rPr>
                <w:rFonts w:cs="Calibri"/>
                <w:color w:val="222222"/>
                <w:szCs w:val="22"/>
              </w:rPr>
            </w:pPr>
            <w:r w:rsidRPr="00B91A82">
              <w:rPr>
                <w:color w:val="222222"/>
              </w:rPr>
              <w:t xml:space="preserve">SO 4.2: </w:t>
            </w:r>
            <w:r w:rsidRPr="00B91A82">
              <w:t>Increasing the utilization of the ICT sector potential for the competitiveness of the economy</w:t>
            </w:r>
          </w:p>
        </w:tc>
        <w:tc>
          <w:tcPr>
            <w:tcW w:w="3709" w:type="dxa"/>
          </w:tcPr>
          <w:p w14:paraId="2D8E6F46" w14:textId="77777777" w:rsidR="00790B17" w:rsidRPr="00B91A82" w:rsidRDefault="00790B17" w:rsidP="00443B8F">
            <w:pPr>
              <w:spacing w:after="240"/>
              <w:rPr>
                <w:rFonts w:cs="Calibri"/>
                <w:color w:val="222222"/>
                <w:szCs w:val="22"/>
              </w:rPr>
            </w:pPr>
            <w:r w:rsidRPr="00B91A82">
              <w:rPr>
                <w:color w:val="222222"/>
              </w:rPr>
              <w:t>Productive activities (investment projects) – YES/NO (depending on the specific project)</w:t>
            </w:r>
          </w:p>
          <w:p w14:paraId="4C4F9D9B" w14:textId="77777777" w:rsidR="00790B17" w:rsidRPr="00B91A82" w:rsidRDefault="00790B17" w:rsidP="00443B8F">
            <w:pPr>
              <w:spacing w:after="240"/>
              <w:rPr>
                <w:rFonts w:cs="Calibri"/>
                <w:color w:val="222222"/>
                <w:szCs w:val="22"/>
              </w:rPr>
            </w:pPr>
            <w:r w:rsidRPr="00B91A82">
              <w:rPr>
                <w:color w:val="222222"/>
              </w:rPr>
              <w:t>Presumption of sufficient cash flow from standard projects – YES/NO (depending on the specific project)</w:t>
            </w:r>
          </w:p>
          <w:p w14:paraId="255E2099" w14:textId="77777777" w:rsidR="00790B17" w:rsidRPr="00B91A82" w:rsidRDefault="00790B17" w:rsidP="00443B8F">
            <w:pPr>
              <w:spacing w:after="240"/>
              <w:rPr>
                <w:rFonts w:cs="Calibri"/>
                <w:color w:val="222222"/>
                <w:szCs w:val="22"/>
              </w:rPr>
            </w:pPr>
            <w:r w:rsidRPr="00B91A82">
              <w:rPr>
                <w:color w:val="222222"/>
              </w:rPr>
              <w:lastRenderedPageBreak/>
              <w:t>Possible involvement of additional private or public sources – YES</w:t>
            </w:r>
          </w:p>
          <w:p w14:paraId="27154688" w14:textId="77777777" w:rsidR="00790B17" w:rsidRPr="00B91A82" w:rsidRDefault="00790B17" w:rsidP="00443B8F">
            <w:pPr>
              <w:spacing w:after="240"/>
              <w:rPr>
                <w:rFonts w:cs="Calibri"/>
                <w:color w:val="222222"/>
                <w:szCs w:val="22"/>
              </w:rPr>
            </w:pPr>
            <w:r w:rsidRPr="00B91A82">
              <w:rPr>
                <w:color w:val="222222"/>
              </w:rPr>
              <w:t>Presumption of aggravated availability of commercial financing – YES</w:t>
            </w:r>
          </w:p>
          <w:p w14:paraId="763F84AD" w14:textId="77777777" w:rsidR="00790B17" w:rsidRPr="00B91A82" w:rsidRDefault="00790B17" w:rsidP="00443B8F">
            <w:pPr>
              <w:spacing w:after="240"/>
              <w:rPr>
                <w:rFonts w:cs="Calibri"/>
                <w:color w:val="222222"/>
                <w:szCs w:val="22"/>
              </w:rPr>
            </w:pPr>
            <w:r w:rsidRPr="00B91A82">
              <w:rPr>
                <w:color w:val="222222"/>
              </w:rPr>
              <w:t>Previous experience in the CR with the application of a financial instrument in the field – NO</w:t>
            </w:r>
          </w:p>
          <w:p w14:paraId="7DD1E6AB" w14:textId="77777777" w:rsidR="00790B17" w:rsidRPr="00B91A82" w:rsidRDefault="00790B17" w:rsidP="00443B8F">
            <w:pPr>
              <w:spacing w:after="240"/>
              <w:rPr>
                <w:rFonts w:cs="Calibri"/>
                <w:color w:val="222222"/>
                <w:szCs w:val="22"/>
              </w:rPr>
            </w:pPr>
            <w:r w:rsidRPr="00B91A82">
              <w:rPr>
                <w:color w:val="222222"/>
              </w:rPr>
              <w:t>The MA does not envisage using financial instruments under this investment priority. Particular support shall be given to software development projects and shared service centres, which are very diverse in terms of their economic potential and goals. Regarding the potential of venture capital financing (especially software development projects of start-up companies), projects may be supported under SO 2.1, which has been included in the ex ante assessment of FIs. If the project primary goal consists in energy efficiency (e.g. energy saving measures at server houses), the project may be supported under SO 3.2, which also has been included in the ex ante assessment of FIs.</w:t>
            </w:r>
          </w:p>
        </w:tc>
      </w:tr>
    </w:tbl>
    <w:p w14:paraId="0B1E9EB3" w14:textId="77777777" w:rsidR="00790B17" w:rsidRPr="00B91A82" w:rsidRDefault="00790B17" w:rsidP="00790B17"/>
    <w:p w14:paraId="30BAFBCA" w14:textId="77777777" w:rsidR="00790B17" w:rsidRPr="00B91A82" w:rsidRDefault="00790B17" w:rsidP="00790B17">
      <w:pPr>
        <w:rPr>
          <w:b/>
        </w:rPr>
      </w:pPr>
      <w:r w:rsidRPr="00B91A82">
        <w:rPr>
          <w:b/>
        </w:rPr>
        <w:t>The ex ante assessment of financial instruments under OP EIC considers in more details only the specific objectives of the OP corresponding to investment priorities, for which the operating programme states that the managing authority envisages or considers the use of financial instruments, i.e. specific targets 1.1, 1.2, 2.1, 2.3, 3.1, 3.2, 3.5 and 4.1.</w:t>
      </w:r>
    </w:p>
    <w:p w14:paraId="105A4828" w14:textId="77777777" w:rsidR="00790B17" w:rsidRPr="00B91A82" w:rsidRDefault="00790B17" w:rsidP="00790B17">
      <w:pPr>
        <w:pStyle w:val="Nadpis2"/>
        <w:rPr>
          <w:rFonts w:ascii="Calibri" w:hAnsi="Calibri"/>
          <w:b w:val="0"/>
          <w:bCs w:val="0"/>
        </w:rPr>
      </w:pPr>
      <w:bookmarkStart w:id="26" w:name="_Toc420870667"/>
      <w:bookmarkStart w:id="27" w:name="_Toc422312093"/>
      <w:r w:rsidRPr="00B91A82">
        <w:rPr>
          <w:rFonts w:ascii="Calibri" w:hAnsi="Calibri"/>
        </w:rPr>
        <w:t>Methodological approach to the ex ante assessment of financial instruments</w:t>
      </w:r>
      <w:bookmarkEnd w:id="26"/>
      <w:bookmarkEnd w:id="27"/>
    </w:p>
    <w:p w14:paraId="728EDCDA" w14:textId="77777777" w:rsidR="00790B17" w:rsidRPr="00B91A82" w:rsidRDefault="00790B17" w:rsidP="00790B17">
      <w:pPr>
        <w:spacing w:after="240"/>
        <w:rPr>
          <w:rFonts w:cs="Calibri"/>
          <w:color w:val="222222"/>
          <w:szCs w:val="22"/>
        </w:rPr>
      </w:pPr>
      <w:r w:rsidRPr="00B91A82">
        <w:rPr>
          <w:color w:val="222222"/>
        </w:rPr>
        <w:t>The ex ante assessment of the OP EIC's FIs is made in two blocks and seven sub-headings, more specifically defined in Article 37(2)(a)-(f) of the General Regulation:</w:t>
      </w:r>
    </w:p>
    <w:p w14:paraId="6DBB8B7B" w14:textId="77777777" w:rsidR="00790B17" w:rsidRPr="00B91A82" w:rsidRDefault="00790B17" w:rsidP="00790B17">
      <w:pPr>
        <w:spacing w:after="240"/>
        <w:rPr>
          <w:rFonts w:cs="Calibri"/>
          <w:b/>
          <w:color w:val="222222"/>
          <w:szCs w:val="22"/>
        </w:rPr>
      </w:pPr>
      <w:r w:rsidRPr="00B91A82">
        <w:rPr>
          <w:b/>
          <w:color w:val="222222"/>
        </w:rPr>
        <w:t>Block I: Market situation analysis</w:t>
      </w:r>
    </w:p>
    <w:p w14:paraId="4EE2EA4A" w14:textId="77777777" w:rsidR="00790B17" w:rsidRPr="00B91A82" w:rsidRDefault="00790B17" w:rsidP="00790B17">
      <w:pPr>
        <w:spacing w:after="240"/>
        <w:rPr>
          <w:rFonts w:cs="Calibri"/>
          <w:color w:val="222222"/>
          <w:szCs w:val="22"/>
        </w:rPr>
      </w:pPr>
      <w:r w:rsidRPr="00B91A82">
        <w:rPr>
          <w:color w:val="222222"/>
        </w:rPr>
        <w:t>a) analysis of market failures,</w:t>
      </w:r>
    </w:p>
    <w:p w14:paraId="7242F56B" w14:textId="77777777" w:rsidR="00790B17" w:rsidRPr="00B91A82" w:rsidRDefault="00790B17" w:rsidP="00790B17">
      <w:pPr>
        <w:spacing w:after="240"/>
        <w:rPr>
          <w:rFonts w:cs="Calibri"/>
          <w:color w:val="222222"/>
          <w:szCs w:val="22"/>
        </w:rPr>
      </w:pPr>
      <w:r w:rsidRPr="00B91A82">
        <w:rPr>
          <w:color w:val="222222"/>
        </w:rPr>
        <w:t>b) assessment of the added value of the financial instruments,</w:t>
      </w:r>
    </w:p>
    <w:p w14:paraId="0DCDF03A" w14:textId="77777777" w:rsidR="00790B17" w:rsidRPr="00B91A82" w:rsidRDefault="00790B17" w:rsidP="00790B17">
      <w:pPr>
        <w:spacing w:after="240"/>
        <w:rPr>
          <w:rFonts w:cs="Calibri"/>
          <w:color w:val="222222"/>
          <w:szCs w:val="22"/>
        </w:rPr>
      </w:pPr>
      <w:r w:rsidRPr="00B91A82">
        <w:rPr>
          <w:color w:val="222222"/>
        </w:rPr>
        <w:t>c) estimate of additional public and private resources.</w:t>
      </w:r>
    </w:p>
    <w:p w14:paraId="30859958" w14:textId="77777777" w:rsidR="00790B17" w:rsidRPr="00B91A82" w:rsidRDefault="00790B17" w:rsidP="00790B17">
      <w:pPr>
        <w:spacing w:after="240"/>
        <w:rPr>
          <w:rFonts w:cs="Calibri"/>
          <w:b/>
          <w:color w:val="222222"/>
          <w:szCs w:val="22"/>
        </w:rPr>
      </w:pPr>
    </w:p>
    <w:p w14:paraId="10588842" w14:textId="77777777" w:rsidR="00790B17" w:rsidRPr="00B91A82" w:rsidRDefault="00790B17" w:rsidP="00790B17">
      <w:pPr>
        <w:spacing w:after="240"/>
        <w:rPr>
          <w:rFonts w:cs="Calibri"/>
          <w:b/>
          <w:color w:val="222222"/>
          <w:szCs w:val="22"/>
        </w:rPr>
      </w:pPr>
      <w:r w:rsidRPr="00B91A82">
        <w:rPr>
          <w:b/>
          <w:color w:val="222222"/>
        </w:rPr>
        <w:t>Block II: Proposed appropriate strategy</w:t>
      </w:r>
    </w:p>
    <w:p w14:paraId="2F7003CD" w14:textId="77777777" w:rsidR="00790B17" w:rsidRPr="00B91A82" w:rsidRDefault="00790B17" w:rsidP="00790B17">
      <w:pPr>
        <w:spacing w:after="240"/>
        <w:rPr>
          <w:rFonts w:cs="Calibri"/>
          <w:color w:val="222222"/>
          <w:szCs w:val="22"/>
        </w:rPr>
      </w:pPr>
      <w:r w:rsidRPr="00B91A82">
        <w:rPr>
          <w:color w:val="222222"/>
        </w:rPr>
        <w:t>a) assessment of lessons learnt in the past,</w:t>
      </w:r>
    </w:p>
    <w:p w14:paraId="774E8F4F" w14:textId="77777777" w:rsidR="00790B17" w:rsidRPr="00B91A82" w:rsidRDefault="00790B17" w:rsidP="00790B17">
      <w:pPr>
        <w:spacing w:after="240"/>
        <w:rPr>
          <w:rFonts w:cs="Calibri"/>
          <w:color w:val="222222"/>
          <w:szCs w:val="22"/>
        </w:rPr>
      </w:pPr>
      <w:r w:rsidRPr="00B91A82">
        <w:rPr>
          <w:color w:val="222222"/>
        </w:rPr>
        <w:t>b) proposed investment strategy,</w:t>
      </w:r>
    </w:p>
    <w:p w14:paraId="1BDCC09D" w14:textId="77777777" w:rsidR="00790B17" w:rsidRPr="00B91A82" w:rsidRDefault="00790B17" w:rsidP="00790B17">
      <w:pPr>
        <w:spacing w:after="240"/>
        <w:rPr>
          <w:rFonts w:cs="Calibri"/>
          <w:color w:val="222222"/>
          <w:szCs w:val="22"/>
        </w:rPr>
      </w:pPr>
      <w:r w:rsidRPr="00B91A82">
        <w:rPr>
          <w:color w:val="222222"/>
        </w:rPr>
        <w:t>c) expected results,</w:t>
      </w:r>
    </w:p>
    <w:p w14:paraId="7ED604B3" w14:textId="77777777" w:rsidR="00790B17" w:rsidRPr="00B91A82" w:rsidRDefault="00790B17" w:rsidP="00790B17">
      <w:pPr>
        <w:spacing w:after="240"/>
        <w:rPr>
          <w:rFonts w:cs="Calibri"/>
          <w:color w:val="222222"/>
          <w:szCs w:val="22"/>
        </w:rPr>
      </w:pPr>
      <w:r w:rsidRPr="00B91A82">
        <w:rPr>
          <w:color w:val="222222"/>
        </w:rPr>
        <w:t>d) reviewability of the evaluation conclusion.</w:t>
      </w:r>
    </w:p>
    <w:p w14:paraId="737F33AC" w14:textId="77777777" w:rsidR="00790B17" w:rsidRPr="00B91A82" w:rsidRDefault="00790B17" w:rsidP="00790B17">
      <w:pPr>
        <w:spacing w:after="240"/>
        <w:rPr>
          <w:rFonts w:cs="Calibri"/>
          <w:color w:val="222222"/>
          <w:szCs w:val="22"/>
        </w:rPr>
      </w:pPr>
    </w:p>
    <w:p w14:paraId="71EE3602" w14:textId="77777777" w:rsidR="00790B17" w:rsidRPr="00B91A82" w:rsidRDefault="00790B17" w:rsidP="00790B17">
      <w:pPr>
        <w:spacing w:after="240"/>
        <w:rPr>
          <w:rFonts w:cs="Calibri"/>
          <w:color w:val="222222"/>
          <w:szCs w:val="22"/>
        </w:rPr>
      </w:pPr>
      <w:r w:rsidRPr="00B91A82">
        <w:rPr>
          <w:color w:val="222222"/>
        </w:rPr>
        <w:t>Also the EC's General Methodology recommends splitting the study into two blocs. Article 37(2) of the General Regulation also contains a provision to regulate the reviewability of the ex ante assessment of FIs:</w:t>
      </w:r>
    </w:p>
    <w:p w14:paraId="5A9AD38D" w14:textId="77777777" w:rsidR="00790B17" w:rsidRPr="00B91A82" w:rsidRDefault="00790B17" w:rsidP="00790B17">
      <w:pPr>
        <w:spacing w:after="240"/>
        <w:rPr>
          <w:rFonts w:cs="Calibri"/>
          <w:i/>
          <w:color w:val="222222"/>
          <w:szCs w:val="22"/>
        </w:rPr>
      </w:pPr>
      <w:r w:rsidRPr="00B91A82">
        <w:rPr>
          <w:i/>
          <w:color w:val="222222"/>
        </w:rPr>
        <w:t>(g) provisions allowing for the ex ante assessment to be reviewed and updated as required during the implementation of any financial instrument which has been implemented based upon such assessment, where during the implementation phase, the managing authority considers that the ex ante assessment may no longer accurately represent the market conditions existing at the time of implementation.</w:t>
      </w:r>
    </w:p>
    <w:p w14:paraId="00B2A690" w14:textId="77777777" w:rsidR="00790B17" w:rsidRPr="00B91A82" w:rsidRDefault="00790B17" w:rsidP="00790B17">
      <w:pPr>
        <w:spacing w:after="240"/>
        <w:rPr>
          <w:rFonts w:cs="Calibri"/>
          <w:color w:val="222222"/>
          <w:szCs w:val="22"/>
        </w:rPr>
      </w:pPr>
      <w:r w:rsidRPr="00B91A82">
        <w:rPr>
          <w:color w:val="222222"/>
        </w:rPr>
        <w:t>The following paragraph 3 of Article 37 of the General Regulation stipulates procedural requirements related to the ex ante assessment of FIs:</w:t>
      </w:r>
    </w:p>
    <w:p w14:paraId="60AC89B9" w14:textId="77777777" w:rsidR="00790B17" w:rsidRPr="00B91A82" w:rsidRDefault="00790B17" w:rsidP="00790B17">
      <w:pPr>
        <w:spacing w:after="240"/>
        <w:rPr>
          <w:rFonts w:cs="Calibri"/>
          <w:i/>
          <w:color w:val="222222"/>
          <w:szCs w:val="22"/>
        </w:rPr>
      </w:pPr>
      <w:r w:rsidRPr="00B91A82">
        <w:rPr>
          <w:i/>
          <w:color w:val="222222"/>
        </w:rPr>
        <w:t>3. The ex ante assessment referred to in paragraph 2 may be performed in stages. It shall, in any event, be completed before the managing authority decides to make programme contributions to a financial instrument.</w:t>
      </w:r>
    </w:p>
    <w:p w14:paraId="562C6CE0" w14:textId="77777777" w:rsidR="00790B17" w:rsidRPr="00B91A82" w:rsidRDefault="00790B17" w:rsidP="00790B17">
      <w:pPr>
        <w:spacing w:after="240"/>
        <w:rPr>
          <w:rFonts w:cs="Calibri"/>
          <w:i/>
          <w:color w:val="222222"/>
          <w:szCs w:val="22"/>
        </w:rPr>
      </w:pPr>
      <w:r w:rsidRPr="00B91A82">
        <w:rPr>
          <w:i/>
          <w:color w:val="222222"/>
        </w:rPr>
        <w:t>The summary findings and conclusions of ex ante assessments in relation to financial instruments shall be published within three months of their date of finalisation.</w:t>
      </w:r>
    </w:p>
    <w:p w14:paraId="0159BD8C" w14:textId="77777777" w:rsidR="00790B17" w:rsidRPr="00B91A82" w:rsidRDefault="00790B17" w:rsidP="00790B17">
      <w:pPr>
        <w:spacing w:after="240"/>
        <w:rPr>
          <w:rFonts w:cs="Calibri"/>
          <w:i/>
          <w:color w:val="222222"/>
          <w:szCs w:val="22"/>
        </w:rPr>
      </w:pPr>
      <w:r w:rsidRPr="00B91A82">
        <w:rPr>
          <w:i/>
          <w:color w:val="222222"/>
        </w:rPr>
        <w:t>The ex ante assessment shall be submitted to the monitoring committee for information purposes in accordance with the Fund-specific rules.</w:t>
      </w:r>
    </w:p>
    <w:p w14:paraId="6AC9541C" w14:textId="77777777" w:rsidR="00790B17" w:rsidRPr="00B91A82" w:rsidRDefault="00790B17" w:rsidP="00790B17">
      <w:pPr>
        <w:spacing w:after="240"/>
        <w:rPr>
          <w:rFonts w:cs="Calibri"/>
          <w:color w:val="222222"/>
          <w:szCs w:val="22"/>
        </w:rPr>
      </w:pPr>
      <w:r w:rsidRPr="00B91A82">
        <w:rPr>
          <w:color w:val="222222"/>
        </w:rPr>
        <w:t>The ex ante assessment of FIs under the OP EIC is primarily governed by the mentioned provisions of the General Regulation and by the relevant parts of the methodology</w:t>
      </w:r>
      <w:r w:rsidRPr="00B91A82">
        <w:rPr>
          <w:rStyle w:val="hps"/>
          <w:color w:val="222222"/>
        </w:rPr>
        <w:t xml:space="preserve"> published by the European Commission in 2014</w:t>
      </w:r>
      <w:r w:rsidRPr="00B91A82">
        <w:rPr>
          <w:rStyle w:val="Znakapoznpodarou"/>
          <w:rFonts w:ascii="Calibri" w:hAnsi="Calibri"/>
          <w:color w:val="222222"/>
        </w:rPr>
        <w:footnoteReference w:id="12"/>
      </w:r>
      <w:r w:rsidRPr="00B91A82">
        <w:rPr>
          <w:color w:val="222222"/>
        </w:rPr>
        <w:t>:</w:t>
      </w:r>
    </w:p>
    <w:p w14:paraId="48ACB57A" w14:textId="77777777" w:rsidR="00790B17" w:rsidRPr="00227135" w:rsidRDefault="00790B17" w:rsidP="00790B17">
      <w:pPr>
        <w:spacing w:after="240"/>
        <w:rPr>
          <w:i/>
          <w:color w:val="222222"/>
        </w:rPr>
      </w:pPr>
      <w:r w:rsidRPr="00227135">
        <w:rPr>
          <w:i/>
          <w:color w:val="222222"/>
        </w:rPr>
        <w:t>General methodology covering all thematic objectives - Quick reference guide</w:t>
      </w:r>
    </w:p>
    <w:p w14:paraId="24BADFB7" w14:textId="77777777" w:rsidR="00790B17" w:rsidRPr="00227135" w:rsidRDefault="00790B17" w:rsidP="00790B17">
      <w:pPr>
        <w:spacing w:after="240"/>
        <w:rPr>
          <w:i/>
          <w:color w:val="222222"/>
        </w:rPr>
      </w:pPr>
      <w:r w:rsidRPr="00227135">
        <w:rPr>
          <w:i/>
          <w:color w:val="222222"/>
        </w:rPr>
        <w:t>General methodology covering all thematic objectives - Volume I (</w:t>
      </w:r>
      <w:r w:rsidRPr="00B91A82">
        <w:rPr>
          <w:i/>
          <w:color w:val="222222"/>
        </w:rPr>
        <w:t>hereinafter referred to as “EC's General Methodology”)</w:t>
      </w:r>
      <w:r w:rsidRPr="00227135">
        <w:rPr>
          <w:i/>
          <w:color w:val="222222"/>
        </w:rPr>
        <w:t xml:space="preserve"> </w:t>
      </w:r>
    </w:p>
    <w:p w14:paraId="30253384" w14:textId="77777777" w:rsidR="00790B17" w:rsidRPr="00227135" w:rsidRDefault="00790B17" w:rsidP="00790B17">
      <w:pPr>
        <w:spacing w:after="240"/>
        <w:rPr>
          <w:i/>
          <w:color w:val="222222"/>
        </w:rPr>
      </w:pPr>
      <w:r w:rsidRPr="00227135">
        <w:rPr>
          <w:i/>
          <w:color w:val="222222"/>
        </w:rPr>
        <w:t>Strengthening research, technological development and innovation (Thematic objective 1) - Volume II (</w:t>
      </w:r>
      <w:r w:rsidRPr="00B91A82">
        <w:rPr>
          <w:i/>
          <w:color w:val="222222"/>
        </w:rPr>
        <w:t>hereinafter referred to as “EC's R&amp;D Methodology</w:t>
      </w:r>
      <w:r w:rsidRPr="00227135">
        <w:rPr>
          <w:i/>
          <w:color w:val="222222"/>
        </w:rPr>
        <w:t>”)</w:t>
      </w:r>
    </w:p>
    <w:p w14:paraId="1E362619" w14:textId="77777777" w:rsidR="00790B17" w:rsidRPr="00227135" w:rsidRDefault="00790B17" w:rsidP="00790B17">
      <w:pPr>
        <w:spacing w:after="240"/>
        <w:rPr>
          <w:i/>
          <w:color w:val="222222"/>
        </w:rPr>
      </w:pPr>
      <w:r w:rsidRPr="00227135">
        <w:rPr>
          <w:i/>
          <w:color w:val="222222"/>
        </w:rPr>
        <w:t>Enhancing the competitiveness of SME, including agriculture, microcredit and fisheries (Thematic objective 3) - Volume III (</w:t>
      </w:r>
      <w:r w:rsidRPr="00B91A82">
        <w:rPr>
          <w:i/>
          <w:color w:val="222222"/>
        </w:rPr>
        <w:t>hereinafter referred to as "EC's SME Methodology")</w:t>
      </w:r>
    </w:p>
    <w:p w14:paraId="1E604A13" w14:textId="77777777" w:rsidR="00790B17" w:rsidRPr="00227135" w:rsidRDefault="00790B17" w:rsidP="00790B17">
      <w:pPr>
        <w:spacing w:after="240"/>
        <w:rPr>
          <w:i/>
          <w:color w:val="222222"/>
        </w:rPr>
      </w:pPr>
      <w:r w:rsidRPr="00227135">
        <w:rPr>
          <w:i/>
          <w:color w:val="222222"/>
        </w:rPr>
        <w:lastRenderedPageBreak/>
        <w:t>Supporting the shift towards low-carbon economy (Thematic objective 4) - Volume IV (</w:t>
      </w:r>
      <w:r w:rsidRPr="00B91A82">
        <w:rPr>
          <w:i/>
          <w:color w:val="222222"/>
        </w:rPr>
        <w:t>hereinafter referred to as "EC's Energy Methodology")</w:t>
      </w:r>
    </w:p>
    <w:p w14:paraId="6F068F32" w14:textId="77777777" w:rsidR="00790B17" w:rsidRPr="00B91A82" w:rsidRDefault="00790B17" w:rsidP="00790B17">
      <w:pPr>
        <w:spacing w:after="240"/>
        <w:rPr>
          <w:rFonts w:cs="Calibri"/>
          <w:szCs w:val="22"/>
        </w:rPr>
      </w:pPr>
      <w:r w:rsidRPr="00B91A82">
        <w:rPr>
          <w:color w:val="222222"/>
        </w:rPr>
        <w:t>Although</w:t>
      </w:r>
      <w:r w:rsidRPr="00B91A82">
        <w:rPr>
          <w:rStyle w:val="hps"/>
          <w:color w:val="222222"/>
        </w:rPr>
        <w:t xml:space="preserve"> these methodology guidelines of the </w:t>
      </w:r>
      <w:r w:rsidRPr="00B91A82">
        <w:rPr>
          <w:color w:val="222222"/>
        </w:rPr>
        <w:t xml:space="preserve">Commission </w:t>
      </w:r>
      <w:r w:rsidRPr="00B91A82">
        <w:rPr>
          <w:rStyle w:val="hps"/>
          <w:color w:val="222222"/>
        </w:rPr>
        <w:t>are not binding</w:t>
      </w:r>
      <w:r w:rsidRPr="00B91A82">
        <w:rPr>
          <w:color w:val="222222"/>
        </w:rPr>
        <w:t xml:space="preserve">, they </w:t>
      </w:r>
      <w:r w:rsidRPr="00B91A82">
        <w:rPr>
          <w:rStyle w:val="hps"/>
          <w:color w:val="222222"/>
        </w:rPr>
        <w:t>were created in order to provide the MA with best practices to meet the requirements of Article 37(2) of the General Regulation, therefore they form a basic methodological framework for the preparation of the ex ante assessment of financial instruments under OP EIC.</w:t>
      </w:r>
    </w:p>
    <w:p w14:paraId="69B05843" w14:textId="77777777" w:rsidR="00790B17" w:rsidRPr="00B91A82" w:rsidRDefault="00790B17" w:rsidP="00790B17">
      <w:pPr>
        <w:spacing w:after="240"/>
        <w:rPr>
          <w:rFonts w:cs="Calibri"/>
          <w:szCs w:val="22"/>
        </w:rPr>
      </w:pPr>
    </w:p>
    <w:p w14:paraId="2D370025" w14:textId="77777777" w:rsidR="00790B17" w:rsidRPr="00B91A82" w:rsidRDefault="00790B17" w:rsidP="00790B17">
      <w:pPr>
        <w:pStyle w:val="Nadpis3"/>
        <w:rPr>
          <w:rFonts w:ascii="Calibri" w:hAnsi="Calibri"/>
          <w:b w:val="0"/>
          <w:bCs w:val="0"/>
        </w:rPr>
      </w:pPr>
      <w:bookmarkStart w:id="28" w:name="_Toc420870668"/>
      <w:bookmarkStart w:id="29" w:name="_Toc422312094"/>
      <w:r w:rsidRPr="00B91A82">
        <w:rPr>
          <w:rFonts w:ascii="Calibri" w:hAnsi="Calibri"/>
        </w:rPr>
        <w:t>Market situation analysis</w:t>
      </w:r>
      <w:bookmarkEnd w:id="28"/>
      <w:bookmarkEnd w:id="29"/>
    </w:p>
    <w:p w14:paraId="320D644F" w14:textId="77777777" w:rsidR="00790B17" w:rsidRPr="00B91A82" w:rsidRDefault="00790B17" w:rsidP="00790B17">
      <w:pPr>
        <w:spacing w:after="240"/>
        <w:rPr>
          <w:rFonts w:cs="Calibri"/>
          <w:color w:val="222222"/>
          <w:szCs w:val="22"/>
        </w:rPr>
      </w:pPr>
      <w:r w:rsidRPr="00B91A82">
        <w:rPr>
          <w:color w:val="222222"/>
        </w:rPr>
        <w:t>In order to create a strategic framework for financial instruments in the OP EIC it is necessary to take into account the relevant context that justifies the use of ESI funds. Once these starting points are clarified, market failures or sub-optimal investment situations relating to financial instruments may be identified, based on an analysis of financial needs and gaps in the market financing, examining the supply/demand balance in the relevant investment area according to the strategy of the OP EIC, including possible future developments thereof. The market situation analysis is mainly focused on the development of related indicators in target segments but also in the financial market, on market research and interviews with representatives of target groups. The market situation analysis should be based on the results of quantitative and qualitative research. The following breakdown complies with the EC's General Methodology and in some points it elaborates it in more depth.</w:t>
      </w:r>
    </w:p>
    <w:p w14:paraId="46CDEE82" w14:textId="77777777" w:rsidR="00790B17" w:rsidRPr="00B91A82" w:rsidRDefault="00790B17" w:rsidP="00790B17">
      <w:pPr>
        <w:spacing w:after="240"/>
        <w:rPr>
          <w:rFonts w:cs="Calibri"/>
          <w:b/>
          <w:color w:val="222222"/>
          <w:szCs w:val="22"/>
        </w:rPr>
      </w:pPr>
      <w:r w:rsidRPr="00B91A82">
        <w:rPr>
          <w:b/>
          <w:color w:val="222222"/>
        </w:rPr>
        <w:t>a) Analysis of market failures</w:t>
      </w:r>
    </w:p>
    <w:p w14:paraId="6543D9D3" w14:textId="77777777" w:rsidR="00790B17" w:rsidRPr="00B91A82" w:rsidRDefault="00790B17" w:rsidP="00790B17">
      <w:pPr>
        <w:pStyle w:val="Odstavecseseznamem1"/>
        <w:numPr>
          <w:ilvl w:val="0"/>
          <w:numId w:val="9"/>
        </w:numPr>
        <w:spacing w:after="240"/>
        <w:rPr>
          <w:rFonts w:cs="Calibri"/>
          <w:color w:val="222222"/>
          <w:szCs w:val="22"/>
        </w:rPr>
      </w:pPr>
      <w:r w:rsidRPr="00B91A82">
        <w:rPr>
          <w:color w:val="222222"/>
        </w:rPr>
        <w:t>Market analysis – analysis of market segments in terms of programme objectives and potential standard projects, supply of sources and investment demand</w:t>
      </w:r>
    </w:p>
    <w:p w14:paraId="7708635E" w14:textId="77777777" w:rsidR="00790B17" w:rsidRPr="00B91A82" w:rsidRDefault="00790B17" w:rsidP="00790B17">
      <w:pPr>
        <w:pStyle w:val="Odstavecseseznamem1"/>
        <w:numPr>
          <w:ilvl w:val="0"/>
          <w:numId w:val="9"/>
        </w:numPr>
        <w:spacing w:after="240"/>
        <w:rPr>
          <w:rFonts w:cs="Calibri"/>
          <w:color w:val="222222"/>
          <w:szCs w:val="22"/>
        </w:rPr>
      </w:pPr>
      <w:r w:rsidRPr="00B91A82">
        <w:rPr>
          <w:color w:val="222222"/>
        </w:rPr>
        <w:t>Estimate of the absorption capacity of the public aid and the financial instrument</w:t>
      </w:r>
    </w:p>
    <w:p w14:paraId="17D906AF" w14:textId="77777777" w:rsidR="00790B17" w:rsidRPr="00B91A82" w:rsidRDefault="00790B17" w:rsidP="00790B17">
      <w:pPr>
        <w:pStyle w:val="Odstavecseseznamem1"/>
        <w:numPr>
          <w:ilvl w:val="0"/>
          <w:numId w:val="9"/>
        </w:numPr>
        <w:spacing w:after="240"/>
        <w:rPr>
          <w:rFonts w:cs="Calibri"/>
          <w:color w:val="222222"/>
          <w:szCs w:val="22"/>
        </w:rPr>
      </w:pPr>
      <w:r w:rsidRPr="00B91A82">
        <w:rPr>
          <w:color w:val="222222"/>
        </w:rPr>
        <w:t>Identification of market failures and suboptimal investment situations, types and extent thereof</w:t>
      </w:r>
    </w:p>
    <w:p w14:paraId="7BE23306" w14:textId="77777777" w:rsidR="00790B17" w:rsidRPr="00B91A82" w:rsidRDefault="00790B17" w:rsidP="00790B17">
      <w:pPr>
        <w:pStyle w:val="Odstavecseseznamem1"/>
        <w:numPr>
          <w:ilvl w:val="0"/>
          <w:numId w:val="9"/>
        </w:numPr>
        <w:jc w:val="left"/>
        <w:rPr>
          <w:rFonts w:cs="Calibri"/>
          <w:color w:val="222222"/>
          <w:szCs w:val="22"/>
        </w:rPr>
      </w:pPr>
      <w:r w:rsidRPr="00B91A82">
        <w:rPr>
          <w:color w:val="222222"/>
        </w:rPr>
        <w:t>Proposal of solutions to identified market failures</w:t>
      </w:r>
    </w:p>
    <w:p w14:paraId="2FCC6A03" w14:textId="77777777" w:rsidR="00790B17" w:rsidRPr="00B91A82" w:rsidRDefault="00790B17" w:rsidP="00790B17">
      <w:pPr>
        <w:pStyle w:val="Odstavecseseznamem1"/>
        <w:rPr>
          <w:rFonts w:cs="Calibri"/>
          <w:color w:val="222222"/>
          <w:szCs w:val="22"/>
        </w:rPr>
      </w:pPr>
    </w:p>
    <w:p w14:paraId="500BC03E" w14:textId="77777777" w:rsidR="00790B17" w:rsidRPr="00B91A82" w:rsidRDefault="00790B17" w:rsidP="00790B17">
      <w:pPr>
        <w:spacing w:after="240"/>
        <w:rPr>
          <w:rFonts w:cs="Calibri"/>
          <w:b/>
          <w:color w:val="222222"/>
          <w:szCs w:val="22"/>
        </w:rPr>
      </w:pPr>
      <w:r w:rsidRPr="00B91A82">
        <w:rPr>
          <w:b/>
          <w:color w:val="222222"/>
        </w:rPr>
        <w:t>b) Assessment of the added value of the financial instruments</w:t>
      </w:r>
    </w:p>
    <w:p w14:paraId="6DDAEB7A" w14:textId="0C162A4B" w:rsidR="00790B17" w:rsidRPr="00B91A82" w:rsidRDefault="00790B17" w:rsidP="00790B17">
      <w:pPr>
        <w:pStyle w:val="Odstavecseseznamem1"/>
        <w:numPr>
          <w:ilvl w:val="0"/>
          <w:numId w:val="10"/>
        </w:numPr>
        <w:spacing w:after="240"/>
        <w:rPr>
          <w:rFonts w:cs="Calibri"/>
          <w:color w:val="222222"/>
          <w:szCs w:val="22"/>
        </w:rPr>
      </w:pPr>
      <w:r w:rsidRPr="00B91A82">
        <w:rPr>
          <w:color w:val="222222"/>
        </w:rPr>
        <w:t xml:space="preserve">Presentation of standard projects, the focus of FIs interventions including identification of the main target groups and types of </w:t>
      </w:r>
      <w:r w:rsidR="00F73DBD">
        <w:rPr>
          <w:color w:val="222222"/>
        </w:rPr>
        <w:t>final recipients</w:t>
      </w:r>
    </w:p>
    <w:p w14:paraId="0288A92D" w14:textId="6F585828" w:rsidR="00790B17" w:rsidRPr="00B91A82" w:rsidRDefault="00790B17" w:rsidP="00790B17">
      <w:pPr>
        <w:pStyle w:val="Odstavecseseznamem1"/>
        <w:numPr>
          <w:ilvl w:val="0"/>
          <w:numId w:val="10"/>
        </w:numPr>
        <w:spacing w:after="240"/>
        <w:rPr>
          <w:rFonts w:cs="Calibri"/>
          <w:color w:val="222222"/>
          <w:szCs w:val="22"/>
        </w:rPr>
      </w:pPr>
      <w:r w:rsidRPr="00B91A82">
        <w:rPr>
          <w:color w:val="222222"/>
        </w:rPr>
        <w:t xml:space="preserve">Added value of FIs in relation to the objectives of the OP EIC, </w:t>
      </w:r>
      <w:r w:rsidR="00F73DBD">
        <w:rPr>
          <w:color w:val="222222"/>
        </w:rPr>
        <w:t>final recipients</w:t>
      </w:r>
      <w:r w:rsidRPr="00B91A82">
        <w:rPr>
          <w:color w:val="222222"/>
        </w:rPr>
        <w:t xml:space="preserve"> and the managing authority, assessment of problems, risks and impacts in the market environment</w:t>
      </w:r>
    </w:p>
    <w:p w14:paraId="4FCECE95" w14:textId="77777777" w:rsidR="00790B17" w:rsidRPr="00B91A82" w:rsidRDefault="00790B17" w:rsidP="00790B17">
      <w:pPr>
        <w:pStyle w:val="Odstavecseseznamem1"/>
        <w:numPr>
          <w:ilvl w:val="0"/>
          <w:numId w:val="10"/>
        </w:numPr>
        <w:spacing w:after="240"/>
        <w:rPr>
          <w:rFonts w:cs="Calibri"/>
          <w:color w:val="222222"/>
          <w:szCs w:val="22"/>
        </w:rPr>
      </w:pPr>
      <w:r w:rsidRPr="00B91A82">
        <w:rPr>
          <w:color w:val="222222"/>
        </w:rPr>
        <w:t>Comparing the added value of FIs to other forms of support</w:t>
      </w:r>
    </w:p>
    <w:p w14:paraId="4BD7FC8D" w14:textId="77777777" w:rsidR="00790B17" w:rsidRPr="00B91A82" w:rsidRDefault="00790B17" w:rsidP="00790B17">
      <w:pPr>
        <w:pStyle w:val="Odstavecseseznamem1"/>
        <w:numPr>
          <w:ilvl w:val="0"/>
          <w:numId w:val="10"/>
        </w:numPr>
        <w:spacing w:after="240"/>
        <w:rPr>
          <w:rFonts w:cs="Calibri"/>
          <w:color w:val="222222"/>
          <w:szCs w:val="22"/>
        </w:rPr>
      </w:pPr>
      <w:r w:rsidRPr="00B91A82">
        <w:rPr>
          <w:color w:val="222222"/>
        </w:rPr>
        <w:t>Consistency with other forms of public interventions aimed at the same market failure to reduce overlaps – especially with regard to grants from OP EIC, national programs and other sources, as well as other complementarities and synergies (including FIs in the EU programs COSME, HORIZON 2020 etc.)</w:t>
      </w:r>
    </w:p>
    <w:p w14:paraId="38009693" w14:textId="77777777" w:rsidR="00790B17" w:rsidRPr="00B91A82" w:rsidRDefault="00790B17" w:rsidP="00790B17">
      <w:pPr>
        <w:pStyle w:val="Odstavecseseznamem1"/>
        <w:numPr>
          <w:ilvl w:val="0"/>
          <w:numId w:val="10"/>
        </w:numPr>
        <w:spacing w:after="240"/>
        <w:rPr>
          <w:rFonts w:cs="Calibri"/>
          <w:color w:val="222222"/>
          <w:szCs w:val="22"/>
        </w:rPr>
      </w:pPr>
      <w:r w:rsidRPr="00B91A82">
        <w:rPr>
          <w:color w:val="222222"/>
        </w:rPr>
        <w:t>Possible forms of the public aid, including the adequacy of the proposed action to identified market needs.</w:t>
      </w:r>
    </w:p>
    <w:p w14:paraId="099D47B8" w14:textId="77777777" w:rsidR="00790B17" w:rsidRPr="00B91A82" w:rsidRDefault="00790B17" w:rsidP="00790B17">
      <w:pPr>
        <w:spacing w:after="240"/>
        <w:rPr>
          <w:rFonts w:cs="Calibri"/>
          <w:b/>
          <w:color w:val="222222"/>
          <w:szCs w:val="22"/>
        </w:rPr>
      </w:pPr>
      <w:r w:rsidRPr="00B91A82">
        <w:rPr>
          <w:b/>
          <w:color w:val="222222"/>
        </w:rPr>
        <w:t>c) Estimate of additional public and private resources</w:t>
      </w:r>
    </w:p>
    <w:p w14:paraId="71D507CD" w14:textId="77777777" w:rsidR="00790B17" w:rsidRPr="00B91A82" w:rsidRDefault="00790B17" w:rsidP="00790B17">
      <w:pPr>
        <w:pStyle w:val="Odstavecseseznamem1"/>
        <w:numPr>
          <w:ilvl w:val="0"/>
          <w:numId w:val="11"/>
        </w:numPr>
        <w:spacing w:after="240"/>
        <w:rPr>
          <w:rFonts w:cs="Calibri"/>
          <w:color w:val="222222"/>
          <w:szCs w:val="22"/>
        </w:rPr>
      </w:pPr>
      <w:r w:rsidRPr="00B91A82">
        <w:rPr>
          <w:color w:val="222222"/>
        </w:rPr>
        <w:t>Co-financing from private sources up to the final recipient level</w:t>
      </w:r>
    </w:p>
    <w:p w14:paraId="149938E3" w14:textId="77777777" w:rsidR="00790B17" w:rsidRPr="00B91A82" w:rsidRDefault="00790B17" w:rsidP="00790B17">
      <w:pPr>
        <w:pStyle w:val="Odstavecseseznamem1"/>
        <w:numPr>
          <w:ilvl w:val="0"/>
          <w:numId w:val="11"/>
        </w:numPr>
        <w:spacing w:after="240"/>
        <w:rPr>
          <w:rFonts w:cs="Calibri"/>
          <w:color w:val="222222"/>
          <w:szCs w:val="22"/>
        </w:rPr>
      </w:pPr>
      <w:r w:rsidRPr="00B91A82">
        <w:rPr>
          <w:color w:val="222222"/>
        </w:rPr>
        <w:t>Identification of key actors (e.g. individual investors, businesses, public entities, financial market institutions and other entities)</w:t>
      </w:r>
    </w:p>
    <w:p w14:paraId="55282837" w14:textId="77777777" w:rsidR="00790B17" w:rsidRPr="00B91A82" w:rsidRDefault="00790B17" w:rsidP="00790B17">
      <w:pPr>
        <w:pStyle w:val="Odstavecseseznamem1"/>
        <w:numPr>
          <w:ilvl w:val="0"/>
          <w:numId w:val="11"/>
        </w:numPr>
        <w:spacing w:after="240"/>
        <w:rPr>
          <w:rFonts w:cs="Calibri"/>
          <w:color w:val="222222"/>
          <w:szCs w:val="22"/>
        </w:rPr>
      </w:pPr>
      <w:r w:rsidRPr="00B91A82">
        <w:rPr>
          <w:color w:val="222222"/>
        </w:rPr>
        <w:lastRenderedPageBreak/>
        <w:t>Estimate of additional public and private resources that can be potentially attracted by the FI, the expected leverage</w:t>
      </w:r>
    </w:p>
    <w:p w14:paraId="009BB853" w14:textId="77777777" w:rsidR="00790B17" w:rsidRPr="00B91A82" w:rsidRDefault="00790B17" w:rsidP="00790B17">
      <w:pPr>
        <w:pStyle w:val="Odstavecseseznamem1"/>
        <w:numPr>
          <w:ilvl w:val="0"/>
          <w:numId w:val="11"/>
        </w:numPr>
        <w:spacing w:after="240"/>
        <w:rPr>
          <w:rFonts w:cs="Calibri"/>
          <w:color w:val="222222"/>
          <w:szCs w:val="22"/>
        </w:rPr>
      </w:pPr>
      <w:r w:rsidRPr="00B91A82">
        <w:t>Assessment of needs and the level of preferential remuneration for private investors, if relevant in light of the foregoing conclusions</w:t>
      </w:r>
    </w:p>
    <w:p w14:paraId="70FB02AB" w14:textId="77777777" w:rsidR="00790B17" w:rsidRPr="00B91A82" w:rsidRDefault="00790B17" w:rsidP="00790B17">
      <w:pPr>
        <w:pStyle w:val="Odstavecseseznamem1"/>
        <w:spacing w:after="240"/>
        <w:ind w:left="360"/>
        <w:rPr>
          <w:rFonts w:cs="Calibri"/>
          <w:color w:val="222222"/>
          <w:szCs w:val="22"/>
        </w:rPr>
      </w:pPr>
    </w:p>
    <w:p w14:paraId="68A25501" w14:textId="77777777" w:rsidR="00790B17" w:rsidRPr="00B91A82" w:rsidRDefault="00790B17" w:rsidP="00790B17">
      <w:pPr>
        <w:pStyle w:val="Nadpis3"/>
        <w:rPr>
          <w:rFonts w:ascii="Calibri" w:hAnsi="Calibri"/>
          <w:b w:val="0"/>
          <w:bCs w:val="0"/>
        </w:rPr>
      </w:pPr>
      <w:bookmarkStart w:id="30" w:name="_Toc420870669"/>
      <w:bookmarkStart w:id="31" w:name="_Toc422312095"/>
      <w:r w:rsidRPr="00B91A82">
        <w:rPr>
          <w:rFonts w:ascii="Calibri" w:hAnsi="Calibri"/>
        </w:rPr>
        <w:t>Proposed appropriate strategy</w:t>
      </w:r>
      <w:bookmarkEnd w:id="30"/>
      <w:bookmarkEnd w:id="31"/>
    </w:p>
    <w:p w14:paraId="36A3E88C" w14:textId="77777777" w:rsidR="00790B17" w:rsidRPr="00B91A82" w:rsidRDefault="00790B17" w:rsidP="00790B17">
      <w:pPr>
        <w:spacing w:after="240"/>
        <w:rPr>
          <w:rFonts w:cs="Calibri"/>
          <w:color w:val="222222"/>
          <w:szCs w:val="22"/>
        </w:rPr>
      </w:pPr>
      <w:r w:rsidRPr="00B91A82">
        <w:rPr>
          <w:color w:val="222222"/>
        </w:rPr>
        <w:t>The results of the analysis carried out within block I will form a basic input for block II, assuming that the market situation analysis supports the conclusion that the market failure and suboptimal investment situations can be effectively addressed through financial instruments. Block II shall propose an appropriate investment strategy, suggest procedures for implementation, monitoring, evaluation and managing the FI, also based on the lessons and experience from the implementation of previous aid measures. It will propose appropriate indicators and present illustrative expected results of the FI, based on model functioning, and milestones, including the factual settings and values thereof. The following breakdown complies with the EC's General Methodology and in some points it elaborates it in more depth.</w:t>
      </w:r>
    </w:p>
    <w:p w14:paraId="491D0CE3" w14:textId="77777777" w:rsidR="00790B17" w:rsidRPr="00B91A82" w:rsidRDefault="00790B17" w:rsidP="00790B17">
      <w:pPr>
        <w:spacing w:after="240"/>
        <w:rPr>
          <w:rFonts w:cs="Calibri"/>
          <w:b/>
          <w:color w:val="222222"/>
          <w:szCs w:val="22"/>
        </w:rPr>
      </w:pPr>
      <w:r w:rsidRPr="00B91A82">
        <w:rPr>
          <w:b/>
          <w:color w:val="222222"/>
        </w:rPr>
        <w:t>a) Assessment of lessons learnt in the past</w:t>
      </w:r>
    </w:p>
    <w:p w14:paraId="7A844BFC" w14:textId="77777777" w:rsidR="00790B17" w:rsidRPr="00B91A82" w:rsidRDefault="00790B17" w:rsidP="00790B17">
      <w:pPr>
        <w:pStyle w:val="Odstavecseseznamem1"/>
        <w:numPr>
          <w:ilvl w:val="0"/>
          <w:numId w:val="14"/>
        </w:numPr>
        <w:spacing w:after="240"/>
        <w:rPr>
          <w:rFonts w:cs="Calibri"/>
          <w:color w:val="222222"/>
          <w:szCs w:val="22"/>
        </w:rPr>
      </w:pPr>
      <w:r w:rsidRPr="00B91A82">
        <w:rPr>
          <w:color w:val="222222"/>
        </w:rPr>
        <w:t>Lessons learnt from implementation of similar instruments in the past</w:t>
      </w:r>
    </w:p>
    <w:p w14:paraId="4063F57D" w14:textId="77777777" w:rsidR="00790B17" w:rsidRPr="00B91A82" w:rsidRDefault="00790B17" w:rsidP="00790B17">
      <w:pPr>
        <w:pStyle w:val="Odstavecseseznamem1"/>
        <w:numPr>
          <w:ilvl w:val="0"/>
          <w:numId w:val="14"/>
        </w:numPr>
        <w:spacing w:after="240"/>
        <w:rPr>
          <w:rFonts w:cs="Calibri"/>
          <w:color w:val="222222"/>
          <w:szCs w:val="22"/>
        </w:rPr>
      </w:pPr>
      <w:r w:rsidRPr="00B91A82">
        <w:rPr>
          <w:color w:val="222222"/>
        </w:rPr>
        <w:t>Overview of international experience with respect to similar aid measures</w:t>
      </w:r>
    </w:p>
    <w:p w14:paraId="55CD8876" w14:textId="77777777" w:rsidR="00790B17" w:rsidRPr="00B91A82" w:rsidRDefault="00790B17" w:rsidP="00790B17">
      <w:pPr>
        <w:pStyle w:val="Odstavecseseznamem1"/>
        <w:numPr>
          <w:ilvl w:val="0"/>
          <w:numId w:val="14"/>
        </w:numPr>
        <w:spacing w:after="240"/>
        <w:rPr>
          <w:rFonts w:cs="Calibri"/>
          <w:color w:val="222222"/>
          <w:szCs w:val="22"/>
        </w:rPr>
      </w:pPr>
      <w:r w:rsidRPr="00B91A82">
        <w:rPr>
          <w:color w:val="222222"/>
        </w:rPr>
        <w:t>Application of the experience to current conditions of the OP EIC</w:t>
      </w:r>
    </w:p>
    <w:p w14:paraId="48F8FEB8" w14:textId="77777777" w:rsidR="00790B17" w:rsidRPr="00B91A82" w:rsidRDefault="00790B17" w:rsidP="00790B17">
      <w:pPr>
        <w:spacing w:after="240"/>
        <w:rPr>
          <w:rFonts w:cs="Calibri"/>
          <w:b/>
          <w:color w:val="222222"/>
          <w:szCs w:val="22"/>
        </w:rPr>
      </w:pPr>
      <w:r w:rsidRPr="00B91A82">
        <w:rPr>
          <w:b/>
          <w:color w:val="222222"/>
        </w:rPr>
        <w:t>b) Proposed investment strategy</w:t>
      </w:r>
    </w:p>
    <w:p w14:paraId="1350A93F"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Identification of FIs forms and the amount of the allocation (debt, equity, guarantee or other financial instruments), including any combinations with grants, interest rate subsidies, guarantee fee subsidies or repayable assistance</w:t>
      </w:r>
    </w:p>
    <w:p w14:paraId="1879858B"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Identification of the most appropriate implementation options with respect to the needs as identified in the conclusions of block I and assessment of the past experience</w:t>
      </w:r>
    </w:p>
    <w:p w14:paraId="0904ED0E"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Assessment of implementing entities, implementation structure and involvement of a fund of funds</w:t>
      </w:r>
    </w:p>
    <w:p w14:paraId="1D06F779"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Method of providing financial and material monitoring and evaluation of the FI implementation</w:t>
      </w:r>
    </w:p>
    <w:p w14:paraId="2F509814"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Planned exit strategy for the financial instrument (life cycle closing)</w:t>
      </w:r>
    </w:p>
    <w:p w14:paraId="41E6F6CE"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Horizontal principles and integrated approaches: an assessment of the adequacy of planned measures to promote equal opportunities, measures to prevent discrimination and measures to promote sustainable development</w:t>
      </w:r>
    </w:p>
    <w:p w14:paraId="549717DF" w14:textId="77777777" w:rsidR="00790B17" w:rsidRPr="00B91A82" w:rsidRDefault="00790B17" w:rsidP="00790B17">
      <w:pPr>
        <w:pStyle w:val="Odstavecseseznamem1"/>
        <w:numPr>
          <w:ilvl w:val="0"/>
          <w:numId w:val="12"/>
        </w:numPr>
        <w:spacing w:after="240"/>
        <w:rPr>
          <w:rFonts w:cs="Calibri"/>
          <w:color w:val="222222"/>
          <w:szCs w:val="22"/>
        </w:rPr>
      </w:pPr>
      <w:r w:rsidRPr="00B91A82">
        <w:rPr>
          <w:color w:val="222222"/>
        </w:rPr>
        <w:t>Regional dimension and integrated approaches: evaluation of the concept and method of incorporation of the regional dimension in the investment strategy, including integrated approaches, evaluation of how and to what extent the investment strategy reflects specific regional needs and regional differences, evaluation of the relevance of including the proposed territorial units or functional areas into the aid granted in the programme, including regional actors</w:t>
      </w:r>
    </w:p>
    <w:p w14:paraId="437BBA73" w14:textId="77777777" w:rsidR="00790B17" w:rsidRPr="00B91A82" w:rsidRDefault="00790B17" w:rsidP="00790B17">
      <w:pPr>
        <w:spacing w:after="240"/>
        <w:rPr>
          <w:rFonts w:cs="Calibri"/>
          <w:b/>
          <w:color w:val="222222"/>
          <w:szCs w:val="22"/>
        </w:rPr>
      </w:pPr>
      <w:r w:rsidRPr="00B91A82">
        <w:rPr>
          <w:b/>
          <w:color w:val="222222"/>
        </w:rPr>
        <w:t>c) Expected results</w:t>
      </w:r>
    </w:p>
    <w:p w14:paraId="7CACB1F4" w14:textId="7E9E0D76" w:rsidR="00790B17" w:rsidRPr="00B91A82" w:rsidRDefault="00790B17" w:rsidP="00790B17">
      <w:pPr>
        <w:pStyle w:val="Odstavecseseznamem1"/>
        <w:numPr>
          <w:ilvl w:val="0"/>
          <w:numId w:val="13"/>
        </w:numPr>
        <w:spacing w:after="240"/>
        <w:rPr>
          <w:rFonts w:cs="Calibri"/>
          <w:color w:val="222222"/>
          <w:szCs w:val="22"/>
        </w:rPr>
      </w:pPr>
      <w:r w:rsidRPr="00B91A82">
        <w:rPr>
          <w:color w:val="222222"/>
        </w:rPr>
        <w:t>Model scenarios of portfolio developments, number of investments and revolving effect</w:t>
      </w:r>
    </w:p>
    <w:p w14:paraId="0833D83A" w14:textId="10776F0B" w:rsidR="00790B17" w:rsidRPr="00B91A82" w:rsidRDefault="00790B17" w:rsidP="00790B17">
      <w:pPr>
        <w:pStyle w:val="Odstavecseseznamem1"/>
        <w:numPr>
          <w:ilvl w:val="0"/>
          <w:numId w:val="13"/>
        </w:numPr>
        <w:spacing w:after="240"/>
        <w:rPr>
          <w:rFonts w:cs="Calibri"/>
          <w:color w:val="222222"/>
          <w:szCs w:val="22"/>
        </w:rPr>
      </w:pPr>
      <w:r w:rsidRPr="00B91A82">
        <w:rPr>
          <w:color w:val="222222"/>
        </w:rPr>
        <w:t xml:space="preserve">Quantification of baseline and target values: selection of appropriate indicators, recommendations or references to sources and methods for quantifying the indicator values, </w:t>
      </w:r>
      <w:r w:rsidRPr="00B91A82">
        <w:rPr>
          <w:color w:val="222222"/>
        </w:rPr>
        <w:lastRenderedPageBreak/>
        <w:t>quantification of target values of the indicators with regard to the proposed allocations, intervention focus and forms of the aid</w:t>
      </w:r>
    </w:p>
    <w:p w14:paraId="47FAE2D7" w14:textId="77777777" w:rsidR="00790B17" w:rsidRPr="00B91A82" w:rsidRDefault="00790B17" w:rsidP="00790B17">
      <w:pPr>
        <w:spacing w:after="240"/>
        <w:rPr>
          <w:rFonts w:cs="Calibri"/>
          <w:b/>
          <w:color w:val="222222"/>
          <w:szCs w:val="22"/>
        </w:rPr>
      </w:pPr>
      <w:r w:rsidRPr="00B91A82">
        <w:rPr>
          <w:b/>
          <w:color w:val="222222"/>
        </w:rPr>
        <w:t>d) Reviewability of the evaluation conclusion</w:t>
      </w:r>
    </w:p>
    <w:p w14:paraId="7EDD2DAA" w14:textId="77777777" w:rsidR="006D67F1" w:rsidRPr="002C224A" w:rsidRDefault="00790B17" w:rsidP="00790B17">
      <w:pPr>
        <w:pStyle w:val="Odstavecseseznamem1"/>
        <w:numPr>
          <w:ilvl w:val="0"/>
          <w:numId w:val="15"/>
        </w:numPr>
        <w:spacing w:after="240"/>
      </w:pPr>
      <w:r w:rsidRPr="00B91A82">
        <w:rPr>
          <w:color w:val="222222"/>
        </w:rPr>
        <w:t>Identification of the reasons for any future revision of the conclusions of the ex ante assessment of FIs under the OP EIC</w:t>
      </w:r>
    </w:p>
    <w:p w14:paraId="062DD19E" w14:textId="77777777" w:rsidR="006D67F1" w:rsidRPr="002C224A" w:rsidRDefault="006D67F1" w:rsidP="002E2C94">
      <w:pPr>
        <w:rPr>
          <w:rFonts w:cs="Calibri"/>
          <w:bCs/>
          <w:color w:val="222222"/>
          <w:szCs w:val="22"/>
        </w:rPr>
      </w:pPr>
      <w:r w:rsidRPr="002C224A">
        <w:br w:type="page"/>
      </w:r>
    </w:p>
    <w:p w14:paraId="26CF3B72" w14:textId="77777777" w:rsidR="00790B17" w:rsidRPr="00B91A82" w:rsidRDefault="00790B17" w:rsidP="00790B17">
      <w:pPr>
        <w:pStyle w:val="Nadpis1"/>
        <w:rPr>
          <w:rFonts w:ascii="Calibri" w:hAnsi="Calibri"/>
        </w:rPr>
      </w:pPr>
      <w:bookmarkStart w:id="32" w:name="_Toc420870670"/>
      <w:bookmarkStart w:id="33" w:name="_Toc422312096"/>
      <w:r w:rsidRPr="00B91A82">
        <w:rPr>
          <w:rFonts w:ascii="Calibri" w:hAnsi="Calibri"/>
        </w:rPr>
        <w:lastRenderedPageBreak/>
        <w:t>Block I: Market situation analysis</w:t>
      </w:r>
      <w:bookmarkEnd w:id="32"/>
      <w:bookmarkEnd w:id="33"/>
    </w:p>
    <w:p w14:paraId="77283BDC" w14:textId="77777777" w:rsidR="00790B17" w:rsidRPr="00B91A82" w:rsidRDefault="00790B17" w:rsidP="00790B17"/>
    <w:p w14:paraId="5D8D50A5" w14:textId="77777777" w:rsidR="00790B17" w:rsidRPr="00B91A82" w:rsidRDefault="00790B17" w:rsidP="00790B17">
      <w:r w:rsidRPr="00B91A82">
        <w:t>On the basis of documents provided by Deloitte Advisory Ltd. and according to the methodology of the European Commission (EC) the chapter performs an analysis of market failures and suboptimal investment situations for selected specific objectives of the OP EIC, chosen for further analysis upon the screening of appropriateness of the use of financial instruments depending on the focus of the activities supported.</w:t>
      </w:r>
    </w:p>
    <w:p w14:paraId="115BAF2C" w14:textId="77777777" w:rsidR="00790B17" w:rsidRPr="00B91A82" w:rsidRDefault="00790B17" w:rsidP="00790B17"/>
    <w:p w14:paraId="055BEDAD" w14:textId="77777777" w:rsidR="00790B17" w:rsidRPr="00B91A82" w:rsidRDefault="00790B17" w:rsidP="00790B17">
      <w:pPr>
        <w:pStyle w:val="Nadpis2"/>
        <w:rPr>
          <w:rFonts w:ascii="Calibri" w:hAnsi="Calibri"/>
        </w:rPr>
      </w:pPr>
      <w:bookmarkStart w:id="34" w:name="_Toc420870671"/>
      <w:bookmarkStart w:id="35" w:name="_Toc422312097"/>
      <w:r w:rsidRPr="00B91A82">
        <w:rPr>
          <w:rFonts w:ascii="Calibri" w:hAnsi="Calibri"/>
        </w:rPr>
        <w:t>Specific Objective 1.1 – Increasing innovation performance of enterprises</w:t>
      </w:r>
      <w:bookmarkEnd w:id="34"/>
      <w:bookmarkEnd w:id="35"/>
    </w:p>
    <w:p w14:paraId="32B9AC49" w14:textId="77777777" w:rsidR="00790B17" w:rsidRPr="00B91A82" w:rsidRDefault="00790B17" w:rsidP="00790B17">
      <w:pPr>
        <w:pStyle w:val="Nadpis3"/>
        <w:rPr>
          <w:rFonts w:ascii="Calibri" w:hAnsi="Calibri"/>
        </w:rPr>
      </w:pPr>
      <w:bookmarkStart w:id="36" w:name="_Toc420870672"/>
      <w:bookmarkStart w:id="37" w:name="_Toc422312098"/>
      <w:r w:rsidRPr="00B91A82">
        <w:rPr>
          <w:rFonts w:ascii="Calibri" w:hAnsi="Calibri"/>
        </w:rPr>
        <w:t>Focus of the specific objective</w:t>
      </w:r>
      <w:bookmarkEnd w:id="36"/>
      <w:bookmarkEnd w:id="37"/>
    </w:p>
    <w:p w14:paraId="18134D54" w14:textId="77777777" w:rsidR="00790B17" w:rsidRPr="00B91A82" w:rsidRDefault="00790B17" w:rsidP="00790B17">
      <w:pPr>
        <w:pStyle w:val="Neslovannadpisy"/>
      </w:pPr>
      <w:r w:rsidRPr="00B91A82">
        <w:t xml:space="preserve">Supported activities: </w:t>
      </w:r>
    </w:p>
    <w:p w14:paraId="378A5D11" w14:textId="77777777" w:rsidR="00790B17" w:rsidRPr="00B91A82" w:rsidRDefault="00790B17" w:rsidP="00790B17">
      <w:pPr>
        <w:pStyle w:val="Odstavecseseznamem1"/>
        <w:numPr>
          <w:ilvl w:val="0"/>
          <w:numId w:val="3"/>
        </w:numPr>
        <w:ind w:left="709" w:hanging="349"/>
      </w:pPr>
      <w:r w:rsidRPr="00B91A82">
        <w:t>Establishing and developing corporate R&amp;D centres linked to a clearly defined and viable corporate strategy.</w:t>
      </w:r>
    </w:p>
    <w:p w14:paraId="52212EF0" w14:textId="77777777" w:rsidR="00790B17" w:rsidRPr="00B91A82" w:rsidRDefault="00790B17" w:rsidP="00790B17">
      <w:pPr>
        <w:pStyle w:val="Odstavecseseznamem1"/>
        <w:numPr>
          <w:ilvl w:val="0"/>
          <w:numId w:val="3"/>
        </w:numPr>
        <w:ind w:left="709" w:hanging="349"/>
      </w:pPr>
      <w:r w:rsidRPr="00B91A82">
        <w:t>Introducing product and service innovations to the production and placing them on the market (e.g. up-scaling, pilot production lines, etc.).</w:t>
      </w:r>
    </w:p>
    <w:p w14:paraId="5E129E41" w14:textId="77777777" w:rsidR="00790B17" w:rsidRPr="00B91A82" w:rsidRDefault="00790B17" w:rsidP="00790B17">
      <w:pPr>
        <w:pStyle w:val="Odstavecseseznamem1"/>
        <w:numPr>
          <w:ilvl w:val="0"/>
          <w:numId w:val="3"/>
        </w:numPr>
      </w:pPr>
      <w:r w:rsidRPr="00B91A82">
        <w:t>Increasing the efficiency of production processes, implementing process and marketing innovations.</w:t>
      </w:r>
    </w:p>
    <w:p w14:paraId="0B4E0121" w14:textId="77777777" w:rsidR="00790B17" w:rsidRPr="00B91A82" w:rsidRDefault="00790B17" w:rsidP="00790B17">
      <w:pPr>
        <w:pStyle w:val="Odstavecseseznamem1"/>
        <w:numPr>
          <w:ilvl w:val="0"/>
          <w:numId w:val="3"/>
        </w:numPr>
      </w:pPr>
      <w:r w:rsidRPr="00B91A82">
        <w:t>Protecting intellectual property rights in enterprises.</w:t>
      </w:r>
    </w:p>
    <w:p w14:paraId="4A8DF67A" w14:textId="77777777" w:rsidR="00790B17" w:rsidRPr="00B91A82" w:rsidRDefault="00790B17" w:rsidP="00790B17">
      <w:pPr>
        <w:pStyle w:val="Odstavecseseznamem1"/>
        <w:numPr>
          <w:ilvl w:val="0"/>
          <w:numId w:val="3"/>
        </w:numPr>
        <w:ind w:left="709" w:hanging="349"/>
      </w:pPr>
      <w:r w:rsidRPr="00B91A82">
        <w:t xml:space="preserve">Industrial research and development: implementation of applied research and experimental development – mainly implemented by cooperation of companies and research institutions, whose results will lead to higher order innovations and to products competitive on the worldwide markets. </w:t>
      </w:r>
    </w:p>
    <w:p w14:paraId="43357598" w14:textId="77777777" w:rsidR="00790B17" w:rsidRPr="00B91A82" w:rsidRDefault="00790B17" w:rsidP="00790B17">
      <w:pPr>
        <w:pStyle w:val="Odstavecseseznamem1"/>
        <w:numPr>
          <w:ilvl w:val="0"/>
          <w:numId w:val="3"/>
        </w:numPr>
      </w:pPr>
      <w:r w:rsidRPr="00B91A82">
        <w:t>Activities, where the demand for innovation is initiated by the public sector as an important part of the application sphere, using pre-commercial procurement of innovation ("pre-commercial procurement" PCP</w:t>
      </w:r>
      <w:r w:rsidRPr="00B91A82">
        <w:rPr>
          <w:rStyle w:val="Znakapoznpodarou"/>
          <w:rFonts w:ascii="Calibri" w:hAnsi="Calibri"/>
        </w:rPr>
        <w:footnoteReference w:id="13"/>
      </w:r>
      <w:r w:rsidRPr="00B91A82">
        <w:t>).</w:t>
      </w:r>
    </w:p>
    <w:p w14:paraId="74ED28CC" w14:textId="77777777" w:rsidR="00790B17" w:rsidRPr="00B91A82" w:rsidRDefault="00790B17" w:rsidP="00790B17">
      <w:pPr>
        <w:pStyle w:val="Neslovannadpisy"/>
      </w:pPr>
    </w:p>
    <w:p w14:paraId="49431F7B" w14:textId="77777777" w:rsidR="00790B17" w:rsidRPr="00B91A82" w:rsidRDefault="00790B17" w:rsidP="00790B17">
      <w:pPr>
        <w:pStyle w:val="Neslovannadpisy"/>
      </w:pPr>
      <w:r w:rsidRPr="00B91A82">
        <w:t xml:space="preserve">Target group of final recipients: </w:t>
      </w:r>
    </w:p>
    <w:p w14:paraId="2F1B97D0" w14:textId="77777777" w:rsidR="00790B17" w:rsidRPr="00B91A82" w:rsidRDefault="00790B17" w:rsidP="00790B17">
      <w:r w:rsidRPr="00B91A82">
        <w:t>Business entities (especially SMEs, in justified cases large companies), organizations for research and dissemination of knowledge (i.e. entities meeting the definition of a research organization under the Framework for State Aid for Research, Development and Innovation), government and self-government bodies (including their alliances) and organisations subordinated to or established by them (PCP), farmers with the projects outcomes not included in the list in Annex I, TFEU, for research and development and innovation.</w:t>
      </w:r>
    </w:p>
    <w:p w14:paraId="509BD024" w14:textId="77777777" w:rsidR="00790B17" w:rsidRPr="00B91A82" w:rsidRDefault="00790B17" w:rsidP="00790B17"/>
    <w:p w14:paraId="048CDD28" w14:textId="77777777" w:rsidR="00790B17" w:rsidRPr="00B91A82" w:rsidRDefault="00790B17" w:rsidP="00790B17">
      <w:pPr>
        <w:pStyle w:val="Neslovannadpisy"/>
      </w:pPr>
      <w:r w:rsidRPr="00B91A82">
        <w:t xml:space="preserve">Target area: </w:t>
      </w:r>
    </w:p>
    <w:p w14:paraId="2B0D0679" w14:textId="77777777" w:rsidR="00790B17" w:rsidRPr="00B91A82" w:rsidRDefault="00790B17" w:rsidP="00790B17">
      <w:r w:rsidRPr="00B91A82">
        <w:t>Territory of the Czech Republic, excluding the Capital City of Prague</w:t>
      </w:r>
    </w:p>
    <w:p w14:paraId="2DBE199D" w14:textId="77777777" w:rsidR="00790B17" w:rsidRPr="00B91A82" w:rsidRDefault="00790B17" w:rsidP="00790B17">
      <w:pPr>
        <w:pStyle w:val="Neslovannadpisy"/>
      </w:pPr>
    </w:p>
    <w:p w14:paraId="70E964B7" w14:textId="77777777" w:rsidR="00790B17" w:rsidRPr="00B91A82" w:rsidRDefault="00790B17" w:rsidP="00790B17">
      <w:pPr>
        <w:pStyle w:val="Neslovannadpisy"/>
      </w:pPr>
      <w:r w:rsidRPr="00B91A82">
        <w:t>Activities selected for the assessment of suitability of the financial instrument</w:t>
      </w:r>
    </w:p>
    <w:p w14:paraId="44C9A1AA" w14:textId="77777777" w:rsidR="00790B17" w:rsidRPr="00B91A82" w:rsidRDefault="00790B17" w:rsidP="00790B17">
      <w:r w:rsidRPr="00B91A82">
        <w:t>Based on the initial analysis</w:t>
      </w:r>
      <w:r w:rsidRPr="00B91A82">
        <w:rPr>
          <w:b/>
        </w:rPr>
        <w:t xml:space="preserve"> activities of industrial research and development</w:t>
      </w:r>
      <w:r w:rsidRPr="00B91A82">
        <w:t xml:space="preserve"> and </w:t>
      </w:r>
      <w:r w:rsidRPr="00B91A82">
        <w:rPr>
          <w:b/>
        </w:rPr>
        <w:t>and implementation of higher-order innovations</w:t>
      </w:r>
      <w:r w:rsidRPr="00B91A82">
        <w:rPr>
          <w:rStyle w:val="Znakapoznpodarou"/>
          <w:rFonts w:ascii="Calibri" w:hAnsi="Calibri"/>
          <w:b/>
        </w:rPr>
        <w:footnoteReference w:id="14"/>
      </w:r>
      <w:r w:rsidRPr="00B91A82">
        <w:rPr>
          <w:b/>
        </w:rPr>
        <w:t xml:space="preserve"> of products, services, processes and marketing</w:t>
      </w:r>
      <w:r w:rsidRPr="00B91A82">
        <w:t xml:space="preserve"> in the group of final recipients (business entities) have been selected for an in-depth assessment.</w:t>
      </w:r>
    </w:p>
    <w:p w14:paraId="064BC0DE" w14:textId="77777777" w:rsidR="00790B17" w:rsidRPr="00B91A82" w:rsidRDefault="00790B17" w:rsidP="00790B17"/>
    <w:p w14:paraId="2332AA6A" w14:textId="77777777" w:rsidR="00790B17" w:rsidRPr="00B91A82" w:rsidRDefault="00790B17" w:rsidP="00790B17">
      <w:r w:rsidRPr="00B91A82">
        <w:lastRenderedPageBreak/>
        <w:t xml:space="preserve">SO 1.1 should support mainly </w:t>
      </w:r>
      <w:r w:rsidRPr="00B91A82">
        <w:rPr>
          <w:b/>
        </w:rPr>
        <w:t>existing business entities and their projects focused on implementing innovations and developing R&amp;D activities</w:t>
      </w:r>
      <w:r w:rsidRPr="00B91A82">
        <w:t>. Given that these are already existing enterprises with a certain history, the businesses have their own assets available. Projects to be supported under this SO should support further development and competitiveness of the businesses by investing in their own R&amp;D and/or introducing innovation solutions (product, process, organizational or marketing innovations). The individual activities, however, differ considerably in their levels of risk, return rate and cash flow.</w:t>
      </w:r>
    </w:p>
    <w:p w14:paraId="69C06CF6" w14:textId="77777777" w:rsidR="00790B17" w:rsidRPr="00B91A82" w:rsidRDefault="00790B17" w:rsidP="00790B17"/>
    <w:p w14:paraId="16210C03" w14:textId="77777777" w:rsidR="00790B17" w:rsidRPr="00B91A82" w:rsidRDefault="00790B17" w:rsidP="00790B17">
      <w:pPr>
        <w:pStyle w:val="Nadpis3"/>
        <w:rPr>
          <w:rFonts w:ascii="Calibri" w:hAnsi="Calibri"/>
        </w:rPr>
      </w:pPr>
      <w:bookmarkStart w:id="38" w:name="_Toc420870673"/>
      <w:bookmarkStart w:id="39" w:name="_Toc422312099"/>
      <w:r w:rsidRPr="00B91A82">
        <w:rPr>
          <w:rFonts w:ascii="Calibri" w:hAnsi="Calibri"/>
        </w:rPr>
        <w:t>Analysis of market failures</w:t>
      </w:r>
      <w:bookmarkEnd w:id="38"/>
      <w:bookmarkEnd w:id="39"/>
    </w:p>
    <w:p w14:paraId="0CD67F1F" w14:textId="77777777" w:rsidR="00790B17" w:rsidRPr="00B91A82" w:rsidRDefault="00790B17" w:rsidP="00790B17">
      <w:pPr>
        <w:pStyle w:val="Nadpis4"/>
        <w:rPr>
          <w:rFonts w:ascii="Calibri" w:hAnsi="Calibri"/>
        </w:rPr>
      </w:pPr>
      <w:r w:rsidRPr="00B91A82">
        <w:rPr>
          <w:rFonts w:ascii="Calibri" w:hAnsi="Calibri"/>
        </w:rPr>
        <w:t>Market analysis</w:t>
      </w:r>
    </w:p>
    <w:p w14:paraId="1BD78C4D" w14:textId="77777777" w:rsidR="00790B17" w:rsidRPr="00B91A82" w:rsidDel="002E0758" w:rsidRDefault="00790B17" w:rsidP="00790B17"/>
    <w:p w14:paraId="372E16C0" w14:textId="77777777" w:rsidR="00790B17" w:rsidRPr="00B91A82" w:rsidRDefault="00790B17" w:rsidP="00790B17">
      <w:r w:rsidRPr="00B91A82">
        <w:rPr>
          <w:b/>
        </w:rPr>
        <w:t>In the Czech Republic, according to CSO's data, R&amp;D activities in 2012 were performed in 2 311 companies at 2 334 workplaces</w:t>
      </w:r>
      <w:r w:rsidRPr="00B91A82">
        <w:t xml:space="preserve">, of which approximately </w:t>
      </w:r>
      <w:r w:rsidRPr="00B91A82">
        <w:rPr>
          <w:b/>
        </w:rPr>
        <w:t xml:space="preserve"> one half had been involved in R&amp;D consistently in last five years</w:t>
      </w:r>
      <w:r w:rsidRPr="00B91A82">
        <w:t xml:space="preserve">. Especially smaller businesses show a higher representation of enterprises that did not perform R&amp;D throughout the reporting period. From the above mentioned 2 334 R&amp;D workplaces in the business sector only a quarter of them spent in 2012 on R&amp;D more than CZK 10 million and only three out of a hundred spent more than CZK 100 million. Conversely, </w:t>
      </w:r>
      <w:r w:rsidRPr="00B91A82">
        <w:rPr>
          <w:b/>
        </w:rPr>
        <w:t>almost a quarter of these workplaces reported expenses on R&amp;D in 2012 lower than one million CZK and three quarters of the workplaces employed fewer than 10 employees in R&amp;D (converted equivalent)</w:t>
      </w:r>
      <w:r w:rsidRPr="00B91A82">
        <w:t>.</w:t>
      </w:r>
    </w:p>
    <w:p w14:paraId="7E2BA71A" w14:textId="77777777" w:rsidR="00790B17" w:rsidRPr="00B91A82" w:rsidRDefault="00790B17" w:rsidP="00790B17"/>
    <w:p w14:paraId="6BB68B1A" w14:textId="77777777" w:rsidR="00790B17" w:rsidRPr="00B91A82" w:rsidRDefault="00790B17" w:rsidP="00790B17">
      <w:r w:rsidRPr="00B91A82">
        <w:t>Regarding the ownership of the companies studied, approximately three quarters of them are private domestic companies (1 710), almost a quarter (549) foreign-controlled enterprises and 2.5 % are public companies. In terms of the size of monitored of R&amp;D businesses, one third are medium-sized enterprises with 50 to 249 employees, three out of ten are small businesses with 10 to 49 employees and micro (0–9 employees) and large enterprises with 250 or more employees account for less than a fifth.</w:t>
      </w:r>
    </w:p>
    <w:p w14:paraId="55034B9F" w14:textId="77777777" w:rsidR="00790B17" w:rsidRPr="00B91A82" w:rsidRDefault="00790B17" w:rsidP="00790B17"/>
    <w:p w14:paraId="7A78F13E" w14:textId="77777777" w:rsidR="00790B17" w:rsidRPr="00B91A82" w:rsidRDefault="00790B17" w:rsidP="00790B17">
      <w:r w:rsidRPr="00B91A82">
        <w:t>The most recent CSO's survey of innovation activities in the Czech Republic with results for the 2010–2012 indicates that in the Czech Republic up to 44 % of enterprises were engaged in innovative activities (37 % in technical innovation, 32 % in non-technical innovation), see the chart below. The assessment must consider the fact that only a part of the innovative activities featured in this survey falls within the activities supported under SO 1.1, partly the activities belong to activities supported under SO 2.1</w:t>
      </w:r>
    </w:p>
    <w:p w14:paraId="0CCBD99A" w14:textId="77777777" w:rsidR="00790B17" w:rsidRPr="00B91A82" w:rsidRDefault="00790B17" w:rsidP="00790B17">
      <w:pPr>
        <w:keepNext/>
      </w:pPr>
      <w:r w:rsidRPr="00B91A82">
        <w:rPr>
          <w:noProof/>
        </w:rPr>
        <w:drawing>
          <wp:inline distT="0" distB="0" distL="0" distR="0" wp14:anchorId="5BBB703F" wp14:editId="40CE04C4">
            <wp:extent cx="5947410" cy="1860550"/>
            <wp:effectExtent l="0" t="0" r="0" b="635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31834" t="45045" r="21677" b="29100"/>
                    <a:stretch>
                      <a:fillRect/>
                    </a:stretch>
                  </pic:blipFill>
                  <pic:spPr bwMode="auto">
                    <a:xfrm>
                      <a:off x="0" y="0"/>
                      <a:ext cx="5947410" cy="1860550"/>
                    </a:xfrm>
                    <a:prstGeom prst="rect">
                      <a:avLst/>
                    </a:prstGeom>
                    <a:noFill/>
                    <a:ln>
                      <a:noFill/>
                    </a:ln>
                  </pic:spPr>
                </pic:pic>
              </a:graphicData>
            </a:graphic>
          </wp:inline>
        </w:drawing>
      </w:r>
    </w:p>
    <w:p w14:paraId="0367A903" w14:textId="77777777" w:rsidR="00790B17" w:rsidRPr="00B91A82" w:rsidRDefault="00790B17" w:rsidP="00790B17">
      <w:pPr>
        <w:pStyle w:val="Titulek"/>
      </w:pPr>
      <w:r w:rsidRPr="00B91A82">
        <w:t xml:space="preserve">Figure </w:t>
      </w:r>
      <w:r w:rsidR="00AE65A1">
        <w:fldChar w:fldCharType="begin"/>
      </w:r>
      <w:r w:rsidR="00AE65A1">
        <w:instrText xml:space="preserve"> SEQ Obrázek \* ARABIC </w:instrText>
      </w:r>
      <w:r w:rsidR="00AE65A1">
        <w:fldChar w:fldCharType="separate"/>
      </w:r>
      <w:r w:rsidRPr="00B91A82">
        <w:rPr>
          <w:noProof/>
        </w:rPr>
        <w:t>4</w:t>
      </w:r>
      <w:r w:rsidR="00AE65A1">
        <w:rPr>
          <w:noProof/>
        </w:rPr>
        <w:fldChar w:fldCharType="end"/>
      </w:r>
      <w:r w:rsidRPr="00B91A82">
        <w:t>: Innovating Enterprises in the Czech Republic</w:t>
      </w:r>
    </w:p>
    <w:p w14:paraId="3ACB972E" w14:textId="77777777" w:rsidR="00790B17" w:rsidRPr="00B91A82" w:rsidRDefault="00790B17" w:rsidP="00790B17">
      <w:pPr>
        <w:pStyle w:val="Titulek"/>
      </w:pPr>
      <w:r w:rsidRPr="00B91A82">
        <w:t>Source: Innovative activities of enterprises in the Czech Republic: 2010–2012, CSO</w:t>
      </w:r>
    </w:p>
    <w:p w14:paraId="2F73974E" w14:textId="77777777" w:rsidR="00790B17" w:rsidRPr="00B91A82" w:rsidRDefault="00790B17" w:rsidP="00790B17"/>
    <w:p w14:paraId="00804BC7" w14:textId="77777777" w:rsidR="00790B17" w:rsidRPr="00B91A82" w:rsidRDefault="00790B17" w:rsidP="00790B17">
      <w:r w:rsidRPr="00B91A82">
        <w:t>SMEs innovate significantly less than large enterprises, similarly also their share of revenues from sales of new products is significantly smaller.</w:t>
      </w:r>
    </w:p>
    <w:p w14:paraId="54E7CCDC" w14:textId="77777777" w:rsidR="00790B17" w:rsidRPr="00B91A82" w:rsidRDefault="00790B17" w:rsidP="00790B17"/>
    <w:p w14:paraId="5BAAFD45" w14:textId="77777777" w:rsidR="00790B17" w:rsidRPr="00B91A82" w:rsidRDefault="00790B17" w:rsidP="00790B17">
      <w:r w:rsidRPr="00B91A82">
        <w:lastRenderedPageBreak/>
        <w:t>The Innovation Union Scoreboard 2014 according to Eurostat data indicates that Czech businesses' spending on innovation reached 122 % of the EU average. In the structure of expenditures on innovation in the Czech Republic the most important role over the long term belongs to investments in the acquisition of machinery, equipment and software, which make up more than half of the total spending. Conversely, spending on corporate R&amp;D according to these data represented only 77 % of the EU average.</w:t>
      </w:r>
    </w:p>
    <w:p w14:paraId="49C33434" w14:textId="77777777" w:rsidR="00790B17" w:rsidRPr="00B91A82" w:rsidRDefault="00790B17" w:rsidP="00790B17"/>
    <w:p w14:paraId="60B69D8F" w14:textId="77777777" w:rsidR="00790B17" w:rsidRPr="00B91A82" w:rsidRDefault="00790B17" w:rsidP="00790B17">
      <w:r w:rsidRPr="00B91A82">
        <w:rPr>
          <w:b/>
        </w:rPr>
        <w:t>This indicates a relatively large diffusion of technologies from abroad and a rather more adaptive nature of the Czech innovation, when companies in the Czech Republic take over advanced technologies and production processes and introduce them in their productions. These results comply with the general categorisation of industry of the Czech Republic as an innovation follower with limited corporate R&amp;D activities.</w:t>
      </w:r>
      <w:r w:rsidRPr="00B91A82">
        <w:t xml:space="preserve"> A certain difference in the structure of innovation expenditures refers to enterprises under foreign control, which spend significantly more R&amp;D resources on purchases of external services (probably especially from their parent or group companies).</w:t>
      </w:r>
    </w:p>
    <w:p w14:paraId="58C75BA7" w14:textId="77777777" w:rsidR="00790B17" w:rsidRPr="00B91A82" w:rsidRDefault="00790B17" w:rsidP="00790B17"/>
    <w:p w14:paraId="7313F44D" w14:textId="77777777" w:rsidR="00790B17" w:rsidRPr="00B91A82" w:rsidRDefault="00790B17" w:rsidP="00790B17">
      <w:r w:rsidRPr="00B91A82">
        <w:t>In the overall ranking of the Innovation Union 2014 the Czech Republic has been classified in the group of moderate innovators. However, this is an aggregate index with a wider range of parameters.</w:t>
      </w:r>
    </w:p>
    <w:p w14:paraId="5F90179F" w14:textId="77777777" w:rsidR="00790B17" w:rsidRPr="00B91A82" w:rsidRDefault="00790B17" w:rsidP="00790B17"/>
    <w:p w14:paraId="35E70D19" w14:textId="77777777" w:rsidR="00790B17" w:rsidRPr="00B91A82" w:rsidRDefault="00790B17" w:rsidP="00790B17">
      <w:pPr>
        <w:keepNext/>
      </w:pPr>
      <w:r w:rsidRPr="00227135">
        <w:rPr>
          <w:noProof/>
        </w:rPr>
        <w:drawing>
          <wp:inline distT="0" distB="0" distL="0" distR="0" wp14:anchorId="3A99B1EA" wp14:editId="354B2843">
            <wp:extent cx="5168265" cy="2154555"/>
            <wp:effectExtent l="0" t="0" r="0" b="0"/>
            <wp:docPr id="6" name="Obráze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265" cy="2154555"/>
                    </a:xfrm>
                    <a:prstGeom prst="rect">
                      <a:avLst/>
                    </a:prstGeom>
                    <a:noFill/>
                    <a:ln>
                      <a:noFill/>
                    </a:ln>
                  </pic:spPr>
                </pic:pic>
              </a:graphicData>
            </a:graphic>
          </wp:inline>
        </w:drawing>
      </w:r>
    </w:p>
    <w:p w14:paraId="7BEE45DB" w14:textId="77777777" w:rsidR="00790B17" w:rsidRPr="00B91A82" w:rsidRDefault="00790B17" w:rsidP="00790B17">
      <w:pPr>
        <w:pStyle w:val="Titulek"/>
        <w:rPr>
          <w:noProof/>
        </w:rPr>
      </w:pPr>
      <w:r w:rsidRPr="00B91A82">
        <w:t xml:space="preserve">Figure </w:t>
      </w:r>
      <w:r w:rsidR="00AE65A1">
        <w:fldChar w:fldCharType="begin"/>
      </w:r>
      <w:r w:rsidR="00AE65A1">
        <w:instrText xml:space="preserve"> SEQ Obrázek \* ARABIC </w:instrText>
      </w:r>
      <w:r w:rsidR="00AE65A1">
        <w:fldChar w:fldCharType="separate"/>
      </w:r>
      <w:r w:rsidRPr="00B91A82">
        <w:rPr>
          <w:noProof/>
        </w:rPr>
        <w:t>5</w:t>
      </w:r>
      <w:r w:rsidR="00AE65A1">
        <w:rPr>
          <w:noProof/>
        </w:rPr>
        <w:fldChar w:fldCharType="end"/>
      </w:r>
      <w:r w:rsidRPr="00B91A82">
        <w:t xml:space="preserve"> – Innovative Performance of EU Member States</w:t>
      </w:r>
    </w:p>
    <w:p w14:paraId="7EFAD139" w14:textId="77777777" w:rsidR="00790B17" w:rsidRPr="00B91A82" w:rsidRDefault="00790B17" w:rsidP="00790B17">
      <w:pPr>
        <w:pStyle w:val="Titulek"/>
      </w:pPr>
      <w:r w:rsidRPr="00B91A82">
        <w:t>Source: Innovation Union Scoreboard 2014</w:t>
      </w:r>
    </w:p>
    <w:p w14:paraId="773982D9" w14:textId="77777777" w:rsidR="00790B17" w:rsidRPr="00B91A82" w:rsidRDefault="00790B17" w:rsidP="00790B17"/>
    <w:p w14:paraId="745DA482" w14:textId="77777777" w:rsidR="00790B17" w:rsidRPr="00B91A82" w:rsidRDefault="00790B17" w:rsidP="00790B17">
      <w:pPr>
        <w:pStyle w:val="Neslovannadpisy"/>
      </w:pPr>
      <w:r w:rsidRPr="00B91A82">
        <w:t>Private and public sources of financing</w:t>
      </w:r>
    </w:p>
    <w:p w14:paraId="477CFBCC" w14:textId="77777777" w:rsidR="00790B17" w:rsidRPr="00B91A82" w:rsidRDefault="00790B17" w:rsidP="00790B17">
      <w:pPr>
        <w:rPr>
          <w:b/>
        </w:rPr>
      </w:pPr>
      <w:r w:rsidRPr="00B91A82">
        <w:rPr>
          <w:b/>
        </w:rPr>
        <w:t>Research and development</w:t>
      </w:r>
    </w:p>
    <w:p w14:paraId="20D4A298" w14:textId="77777777" w:rsidR="00790B17" w:rsidRPr="00B91A82" w:rsidRDefault="00790B17" w:rsidP="00790B17">
      <w:r w:rsidRPr="00B91A82">
        <w:t>Total spending on R&amp;D including all the investment and non-investment R&amp;D expenses incurred in the reporting year in the Czech Republic in 2013 amounted to CZK 77.9 billion, which corresponded to 1.91 % of GDP</w:t>
      </w:r>
      <w:r w:rsidRPr="00B91A82">
        <w:rPr>
          <w:rStyle w:val="Znakapoznpodarou"/>
          <w:rFonts w:ascii="Calibri" w:hAnsi="Calibri"/>
        </w:rPr>
        <w:footnoteReference w:id="15"/>
      </w:r>
      <w:r w:rsidRPr="00B91A82">
        <w:t xml:space="preserve">. In both cases, these are the highest recorded values for the entire period. In the period 2010–2013 there was a considerable increase in these expenses, almost by CZK 25 billion. </w:t>
      </w:r>
      <w:r w:rsidRPr="00B91A82">
        <w:rPr>
          <w:b/>
        </w:rPr>
        <w:t>The biggest part of the increase in spending, which in the last year amounted to CZK 5.5 billion, belonged to domestic business sources</w:t>
      </w:r>
      <w:r w:rsidRPr="00B91A82">
        <w:t>.</w:t>
      </w:r>
      <w:r w:rsidRPr="00B91A82">
        <w:rPr>
          <w:b/>
        </w:rPr>
        <w:t xml:space="preserve"> These expenditures grew by CZK 3 billion, year-on-year</w:t>
      </w:r>
      <w:r w:rsidRPr="00B91A82">
        <w:t>. In the last five years, however, the share of total public resources in R&amp;D financing in the Czech Republic still only slightly exceeds one half, mainly due to the growing resources from the EU. The share of applied research or experimental development in the overall R&amp;D expenditures in 2013 amounted to 32 % or 35 %, respectively. The rest referred to basic research. The CSO does not record specific expenditure on innovation.</w:t>
      </w:r>
    </w:p>
    <w:p w14:paraId="186E60C3" w14:textId="77777777" w:rsidR="00790B17" w:rsidRPr="00B91A82" w:rsidRDefault="00790B17" w:rsidP="00790B17"/>
    <w:p w14:paraId="5D82CD83" w14:textId="77777777" w:rsidR="00790B17" w:rsidRPr="00B91A82" w:rsidRDefault="00790B17" w:rsidP="00790B17">
      <w:r w:rsidRPr="00B91A82">
        <w:t xml:space="preserve">Most funds were spend on R&amp;D in the private sector (CZK 42.1 billion in 2013). </w:t>
      </w:r>
      <w:r w:rsidRPr="00B91A82">
        <w:rPr>
          <w:b/>
        </w:rPr>
        <w:t xml:space="preserve">Research in this sector is financed mainly by companies, which use their own resources </w:t>
      </w:r>
      <w:r w:rsidRPr="00B91A82">
        <w:t xml:space="preserve">and further by targeted support from </w:t>
      </w:r>
      <w:r w:rsidRPr="00B91A82">
        <w:lastRenderedPageBreak/>
        <w:t xml:space="preserve">the state budget and the European Union, </w:t>
      </w:r>
      <w:r w:rsidRPr="00B91A82">
        <w:rPr>
          <w:b/>
        </w:rPr>
        <w:t>primarily from the EU Structural Funds (OP EI in the previous period)</w:t>
      </w:r>
      <w:r w:rsidRPr="00B91A82">
        <w:t>.</w:t>
      </w:r>
    </w:p>
    <w:p w14:paraId="7E130F06" w14:textId="77777777" w:rsidR="00790B17" w:rsidRPr="00B91A82" w:rsidDel="00613E20" w:rsidRDefault="00790B17" w:rsidP="00790B17"/>
    <w:p w14:paraId="3C3463B9" w14:textId="77777777" w:rsidR="00790B17" w:rsidRPr="00B91A82" w:rsidRDefault="00790B17" w:rsidP="00790B17">
      <w:r w:rsidRPr="00B91A82">
        <w:t xml:space="preserve">The companies spend most of the money on their own research, the largest sum thus predictably goes to R&amp;D in the field of engineering and technology. </w:t>
      </w:r>
      <w:r w:rsidRPr="00B91A82">
        <w:rPr>
          <w:b/>
        </w:rPr>
        <w:t>Engineering and technology account for significant 73 % of entrepreneurial resources spent on R&amp;D</w:t>
      </w:r>
      <w:r w:rsidRPr="00B91A82">
        <w:t>. On the contrary, compared to other OECD countries Czech firms devote very few resources on cooperation with universities and government sector agencies. Entrepreneurial funding on R&amp;D in these two sectors in 2013 amounted to less than CZK 2.5 billion, i.e. only 6 % of business resources spent on R&amp;D performed in the Czech Republic</w:t>
      </w:r>
      <w:r w:rsidRPr="00B91A82">
        <w:rPr>
          <w:rStyle w:val="Znakapoznpodarou"/>
          <w:rFonts w:ascii="Calibri" w:hAnsi="Calibri"/>
        </w:rPr>
        <w:footnoteReference w:id="16"/>
      </w:r>
      <w:r w:rsidRPr="00B91A82">
        <w:t>. Most of this amount referred to royalties of the Czech Academy of Sciences.</w:t>
      </w:r>
    </w:p>
    <w:p w14:paraId="40E28480" w14:textId="77777777" w:rsidR="00790B17" w:rsidRPr="00B91A82" w:rsidRDefault="00790B17" w:rsidP="00790B17"/>
    <w:p w14:paraId="4D02099A" w14:textId="77777777" w:rsidR="00790B17" w:rsidRPr="00B91A82" w:rsidRDefault="00790B17" w:rsidP="00790B17">
      <w:r w:rsidRPr="00B91A82">
        <w:t>Most of the money from entrepreneurial sources is spent on R&amp;D in manufacturing, CZK 22.4 billion in 2013. Regarding other economic sectors, significant amounts of private funds were spent on R&amp;D in ICT (CZK 4.9 billion) and in research and development (CZK 3.8 billion).</w:t>
      </w:r>
    </w:p>
    <w:p w14:paraId="62373063" w14:textId="77777777" w:rsidR="00790B17" w:rsidRPr="00B91A82" w:rsidRDefault="00790B17" w:rsidP="00790B17"/>
    <w:p w14:paraId="7A481ED4" w14:textId="77777777" w:rsidR="00790B17" w:rsidRPr="00B91A82" w:rsidRDefault="00790B17" w:rsidP="00790B17">
      <w:pPr>
        <w:keepNext/>
      </w:pPr>
      <w:r w:rsidRPr="00B91A82">
        <w:rPr>
          <w:noProof/>
        </w:rPr>
        <w:drawing>
          <wp:inline distT="0" distB="0" distL="0" distR="0" wp14:anchorId="1F546C68" wp14:editId="04CF9200">
            <wp:extent cx="5677535" cy="1670050"/>
            <wp:effectExtent l="0" t="0" r="0" b="6350"/>
            <wp:docPr id="7" name="Obráze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35" cy="1670050"/>
                    </a:xfrm>
                    <a:prstGeom prst="rect">
                      <a:avLst/>
                    </a:prstGeom>
                    <a:noFill/>
                    <a:ln>
                      <a:noFill/>
                    </a:ln>
                  </pic:spPr>
                </pic:pic>
              </a:graphicData>
            </a:graphic>
          </wp:inline>
        </w:drawing>
      </w:r>
    </w:p>
    <w:p w14:paraId="3BD39531" w14:textId="189D9B9F" w:rsidR="00790B17" w:rsidRPr="00B91A82" w:rsidRDefault="00AE6275" w:rsidP="00790B17">
      <w:pPr>
        <w:pStyle w:val="Titulek"/>
      </w:pPr>
      <w:r>
        <w:t>Figure</w:t>
      </w:r>
      <w:r w:rsidRPr="00B91A82">
        <w:t> </w:t>
      </w:r>
      <w:r>
        <w:t>6</w:t>
      </w:r>
      <w:r w:rsidR="00790B17" w:rsidRPr="00B91A82">
        <w:t>: Expenditures on R&amp;D financed by business sources, by R&amp;D sectors (CZK billion)</w:t>
      </w:r>
    </w:p>
    <w:p w14:paraId="3F0F3B1D" w14:textId="77777777" w:rsidR="00790B17" w:rsidRPr="00B91A82" w:rsidRDefault="00790B17" w:rsidP="00790B17">
      <w:pPr>
        <w:pStyle w:val="Titulek"/>
      </w:pPr>
      <w:r w:rsidRPr="00B91A82">
        <w:t>Source: CSO</w:t>
      </w:r>
    </w:p>
    <w:p w14:paraId="465B97DC" w14:textId="77777777" w:rsidR="00790B17" w:rsidRPr="00B91A82" w:rsidRDefault="00790B17" w:rsidP="00790B17">
      <w:r w:rsidRPr="00B91A82">
        <w:t>In the SO 1.1 target segment of industrial research and development both private and public sources significantly contribute to the financing volume, provided almost exclusively in the form of non-repayable grants.</w:t>
      </w:r>
    </w:p>
    <w:p w14:paraId="42DDA1F9" w14:textId="77777777" w:rsidR="00790B17" w:rsidRPr="00B91A82" w:rsidRDefault="00790B17" w:rsidP="00790B17"/>
    <w:p w14:paraId="4B9B9922" w14:textId="77777777" w:rsidR="00790B17" w:rsidRPr="00B91A82" w:rsidRDefault="00790B17" w:rsidP="00790B17">
      <w:pPr>
        <w:rPr>
          <w:b/>
        </w:rPr>
      </w:pPr>
      <w:r w:rsidRPr="00B91A82">
        <w:rPr>
          <w:b/>
        </w:rPr>
        <w:t>Innovation</w:t>
      </w:r>
    </w:p>
    <w:p w14:paraId="2B4E98BA" w14:textId="77777777" w:rsidR="00790B17" w:rsidRPr="00B91A82" w:rsidRDefault="00790B17" w:rsidP="00790B17">
      <w:r w:rsidRPr="00B91A82">
        <w:t>The total cost of innovative activities related to technological innovation in 2012 according to the CSO's survey amounted to CZK 99.1 billion (again, with a partial overlap with innovation activities supported under SO 2.1). Most of the expenditures related to manufacturing. More than half of the entire amount (62.4 %) belonged to large enterprises, namely CZK 61.9 billion. Medium-sized enterprises spent CZK 22.4 billion (22,6 %) on their technical innovations. Small businesses spent CZK 14.8 billion on technical innovation, which corresponded to 14.9 %. Technically innovative foreign affiliates invested in introducing innovations more (CZK 65.8 billion) than domestic enterprises (CZK 33.4 billion). Compared to 2010, the overall cost of technological innovation rose by 20.9 %.</w:t>
      </w:r>
    </w:p>
    <w:p w14:paraId="0145D637" w14:textId="77777777" w:rsidR="00790B17" w:rsidRPr="00B91A82" w:rsidRDefault="00790B17" w:rsidP="00790B17"/>
    <w:p w14:paraId="6F37A9C2" w14:textId="77777777" w:rsidR="00790B17" w:rsidRPr="00B91A82" w:rsidRDefault="00790B17" w:rsidP="00790B17">
      <w:r w:rsidRPr="00B91A82">
        <w:t>The major source of funding may be found in the companies' own resources supplemented by external banking and public aid sources – however, no precise quantification is available.</w:t>
      </w:r>
    </w:p>
    <w:p w14:paraId="45787701" w14:textId="77777777" w:rsidR="00790B17" w:rsidRPr="00B91A82" w:rsidRDefault="00790B17" w:rsidP="00790B17"/>
    <w:p w14:paraId="397A4C96" w14:textId="77777777" w:rsidR="00790B17" w:rsidRPr="00B91A82" w:rsidRDefault="00790B17" w:rsidP="00790B17">
      <w:pPr>
        <w:rPr>
          <w:b/>
        </w:rPr>
      </w:pPr>
      <w:r w:rsidRPr="00B91A82">
        <w:t xml:space="preserve">Private business sources can be assumed to involve a high proportion of external bank financing, although the projects are considerably risky, with a resulting need for high security. Private financial institutions in the Czech Republic implemented in the 2007-2013 period innovative loans via </w:t>
      </w:r>
      <w:r w:rsidRPr="00B91A82">
        <w:rPr>
          <w:b/>
        </w:rPr>
        <w:t>the Risk Sharing Instrument (RSI) of the European Investment Fund (EIF)</w:t>
      </w:r>
      <w:r w:rsidRPr="00B91A82">
        <w:t xml:space="preserve"> under the 7th Framework Programme for Research and Technological Development. </w:t>
      </w:r>
      <w:r w:rsidRPr="00B91A82">
        <w:rPr>
          <w:b/>
        </w:rPr>
        <w:t xml:space="preserve">Offered banking products included soft loans for innovative projects or for R&amp;D of innovative enterprises and private research entities with </w:t>
      </w:r>
      <w:r w:rsidRPr="00B91A82">
        <w:rPr>
          <w:b/>
        </w:rPr>
        <w:lastRenderedPageBreak/>
        <w:t>guarantees provided by the EIF</w:t>
      </w:r>
      <w:r w:rsidRPr="00B91A82">
        <w:t>. These loans were offered by four banks in the Czech Republic – UniCredit Bank, Česká spořitelna, Komerční banka a GE Money Bank. According to the survey by the CSO this form of aid was used by 2 % of small enterprises and 5% of medium-sized and large enterprises with technological innovation activities</w:t>
      </w:r>
      <w:r w:rsidRPr="00B91A82">
        <w:rPr>
          <w:rStyle w:val="Znakapoznpodarou"/>
          <w:rFonts w:ascii="Calibri" w:hAnsi="Calibri"/>
        </w:rPr>
        <w:footnoteReference w:id="17"/>
      </w:r>
      <w:r w:rsidRPr="00B91A82">
        <w:t>.</w:t>
      </w:r>
    </w:p>
    <w:p w14:paraId="23D8ED90" w14:textId="77777777" w:rsidR="00790B17" w:rsidRPr="00B91A82" w:rsidRDefault="00790B17" w:rsidP="00790B17">
      <w:pPr>
        <w:rPr>
          <w:b/>
        </w:rPr>
      </w:pPr>
    </w:p>
    <w:p w14:paraId="541E6356" w14:textId="77777777" w:rsidR="00790B17" w:rsidRPr="00B91A82" w:rsidRDefault="00790B17" w:rsidP="00790B17">
      <w:r w:rsidRPr="00B91A82">
        <w:t xml:space="preserve">In the period 2014–2020 the RSI has been replaced by </w:t>
      </w:r>
      <w:r w:rsidRPr="00B91A82">
        <w:rPr>
          <w:b/>
        </w:rPr>
        <w:t>InnovFin SME Guarantee Facility</w:t>
      </w:r>
      <w:r w:rsidRPr="00B91A82">
        <w:t xml:space="preserve"> from the EIF under the European programme HORIZON 2020. According to the first agreement concluded in 2015 Česká spořitelna and Komerční banka will provide loans on R&amp;D projects, guaranteed up to 50 % by the EIF and the EU, up to the total amount of EUR 250 million.</w:t>
      </w:r>
    </w:p>
    <w:p w14:paraId="2CD5B2A9" w14:textId="77777777" w:rsidR="00790B17" w:rsidRPr="00B91A82" w:rsidRDefault="00790B17" w:rsidP="00790B17">
      <w:pPr>
        <w:rPr>
          <w:b/>
        </w:rPr>
      </w:pPr>
    </w:p>
    <w:p w14:paraId="1D33BDC3" w14:textId="77777777" w:rsidR="00790B17" w:rsidRPr="00B91A82" w:rsidRDefault="00790B17" w:rsidP="00790B17">
      <w:pPr>
        <w:rPr>
          <w:b/>
        </w:rPr>
      </w:pPr>
      <w:r w:rsidRPr="00B91A82">
        <w:t>In addition to that, Česká spořitelna offers also innovation loans through the Inostart Programme, focused on innovative businesses up to 3 years of existence. Guarantees for these loans are provided by the Czech-Moravian Guarantee and Development Bank.</w:t>
      </w:r>
    </w:p>
    <w:p w14:paraId="65039670" w14:textId="77777777" w:rsidR="00790B17" w:rsidRPr="00B91A82" w:rsidRDefault="00790B17" w:rsidP="00790B17">
      <w:pPr>
        <w:pStyle w:val="Neslovannadpisy"/>
      </w:pPr>
    </w:p>
    <w:p w14:paraId="55AF3428" w14:textId="77777777" w:rsidR="00790B17" w:rsidRPr="00B91A82" w:rsidRDefault="00790B17" w:rsidP="00790B17">
      <w:pPr>
        <w:rPr>
          <w:b/>
        </w:rPr>
      </w:pPr>
      <w:r w:rsidRPr="00B91A82">
        <w:rPr>
          <w:b/>
        </w:rPr>
        <w:t>Public aid schemes</w:t>
      </w:r>
    </w:p>
    <w:p w14:paraId="3D70CAD5" w14:textId="77777777" w:rsidR="00790B17" w:rsidRPr="00B91A82" w:rsidRDefault="00790B17" w:rsidP="00790B17">
      <w:r w:rsidRPr="00B91A82">
        <w:t>Programmes of public support to research, development and innovation (RDI) from national and European sources accounted for a significant share in the total supply of resources available to enterprises for their R&amp;D activities and they attracted most of the eligible demand – a large proportion of enterprises with research and innovation activities responds to aid programmes and applies for the relevant aid. The data below present statistics for the two main MIT programs to support business R&amp;D, which provided grant funding for the analysed areas of SO 1.1 in the last year – industrial R&amp;D and innovation of private enterprises – and the Inostart Programme, which represents the demand for support in a form of repayable funding of innovation.</w:t>
      </w:r>
    </w:p>
    <w:p w14:paraId="2B22213A" w14:textId="77777777" w:rsidR="00790B17" w:rsidRPr="00B91A82" w:rsidRDefault="00790B17" w:rsidP="00790B17"/>
    <w:p w14:paraId="57616B5C" w14:textId="77777777" w:rsidR="00790B17" w:rsidRPr="00B91A82" w:rsidRDefault="00790B17" w:rsidP="00790B17">
      <w:pPr>
        <w:shd w:val="clear" w:color="auto" w:fill="FFFFFF"/>
      </w:pPr>
      <w:r w:rsidRPr="00B91A82">
        <w:rPr>
          <w:b/>
        </w:rPr>
        <w:t xml:space="preserve">OP EI – </w:t>
      </w:r>
      <w:r w:rsidRPr="00B91A82">
        <w:t>The goal of the programme was to increase the innovation potential of the business sector through grants for the implementation of innovation projects of enterprises (particularly SMEs) and projects of public research institutions, universities, individuals and SMEs aimed at protecting industrial property rights. In the area of corporate innovation projects the programme by the end of 2014 received 2 566 eligible applications with total eligible costs amounting to CZK 105 billion and the requested aid amounted to CZK 46 billion. 1 270 projects (50%) were supported by the amount of CZK 51 billion of eligible costs and CZK 22 billion of required grants.</w:t>
      </w:r>
    </w:p>
    <w:p w14:paraId="4F609897" w14:textId="77777777" w:rsidR="00790B17" w:rsidRPr="00B91A82" w:rsidRDefault="00790B17" w:rsidP="00790B17"/>
    <w:p w14:paraId="47CAAF79" w14:textId="3407BC6C" w:rsidR="00790B17" w:rsidRPr="00B91A82" w:rsidRDefault="00790B17" w:rsidP="00790B17">
      <w:r w:rsidRPr="00B91A82">
        <w:rPr>
          <w:b/>
        </w:rPr>
        <w:t>TIP</w:t>
      </w:r>
      <w:r w:rsidRPr="00B91A82">
        <w:t xml:space="preserve"> – The aim of the programme was to provide grants from the state budget of the Czech Republic to research and development projects for industrial applications. </w:t>
      </w:r>
      <w:r w:rsidR="00F73DBD">
        <w:t>Final recipients</w:t>
      </w:r>
      <w:r w:rsidRPr="00B91A82">
        <w:t xml:space="preserve"> included enterprises and research institutions. In the years 2009–2012 there were four public competitions, of 3 029 projects 86.7 % matched the criteria and 28.7 % were supported. The total eligible costs of projects supported by the programme will for the whole period of their implementation amount to approximately CZK 21.5 billion. The solutions were supported with a total volume of CZK 12.5 billion (of which CZK 9 billion granted by the end of 2012), the average achieved aid intensity was 58 %. The derived gross unsatisfied demand of rejected applicants amounted to CZK 43 billion in eligible costs, however, it is necessary to consider, that some unsuccessful projects were applied for in subsequent calls and some companies simultaneously submitted more applications with a real feasibility of only one of them. The value of unfulfilled demand will therefore be considerably lower.</w:t>
      </w:r>
    </w:p>
    <w:p w14:paraId="45BA8DE6" w14:textId="77777777" w:rsidR="00790B17" w:rsidRPr="00B91A82" w:rsidRDefault="00790B17" w:rsidP="00790B17"/>
    <w:p w14:paraId="20E27B56" w14:textId="77777777" w:rsidR="00790B17" w:rsidRPr="00B91A82" w:rsidRDefault="00790B17" w:rsidP="00790B17">
      <w:r w:rsidRPr="00B91A82">
        <w:rPr>
          <w:b/>
        </w:rPr>
        <w:t>Inostart</w:t>
      </w:r>
      <w:r w:rsidRPr="00B91A82">
        <w:t xml:space="preserve"> – MIT in cooperation with the Czech-Moravian Guarantee and Development Bank and Česká spořitelna have been implementing since 2012 a financial instrument to support innovative business plans, the Inostart Programme, funded by sources from the Swiss-Czech cooperation. The Inostart Programme aims to support projects of innovative start-up SMEs (up to 3 years of existence) throughout the Czech Republic. Česká spořitelna selected for the programme as a financial intermediary provides professional consulting services and soft loans guaranteed by the Czech-</w:t>
      </w:r>
      <w:r w:rsidRPr="00B91A82">
        <w:lastRenderedPageBreak/>
        <w:t xml:space="preserve">Moravian Guarantee and Development Bank. The aid is granted as a guarantee for 60 % of the loan principal in the range of CZK 0.5 - 15 million and as partially subsidized consultancy costs. The total allocation amounts to CHF 10 million (about CZK 250 million). Following the announcement of the programme in 2012 and the pilot launch in 2013 in Olomouc and Moravian-Silesian Regions, where the first two loans were provided totalling to CZK 8 million, the scope of the programme has been extended to the whole country due to insufficient absorption capacity. The great interest of applicants in the mentioned two regions usually foundered due to the required innovative focus. </w:t>
      </w:r>
      <w:r w:rsidRPr="00B91A82">
        <w:rPr>
          <w:b/>
        </w:rPr>
        <w:t xml:space="preserve">As at 31 December 2014 guarantees were provided totalling to CZK 52 million for loans totalling to CZK 87 million </w:t>
      </w:r>
      <w:r w:rsidRPr="00B91A82">
        <w:t>(39 applications filed, 16 loan agreements signed, additional 8 approved applications pending). The programme will last until 2016.</w:t>
      </w:r>
    </w:p>
    <w:p w14:paraId="2BA2505C" w14:textId="77777777" w:rsidR="00790B17" w:rsidRPr="00B91A82" w:rsidRDefault="00790B17" w:rsidP="00790B17"/>
    <w:p w14:paraId="0CF1A328" w14:textId="77777777" w:rsidR="006D67F1" w:rsidRPr="002C224A" w:rsidRDefault="00790B17" w:rsidP="00790B17">
      <w:r w:rsidRPr="00B91A82">
        <w:t xml:space="preserve">In the mentioned segment </w:t>
      </w:r>
      <w:r w:rsidRPr="00B91A82">
        <w:rPr>
          <w:b/>
        </w:rPr>
        <w:t>TACR national programs</w:t>
      </w:r>
      <w:r w:rsidRPr="00B91A82">
        <w:t xml:space="preserve"> were launched during the previous programming period, which significantly complemented the public funding sources. These included namely the TACR ALFA programme (three calls in 2010–2012, extension until 2019) for industrial R&amp;D, which is to be supplemented by TACR EPSILON in 2015, again focused on industrial R&amp;D with a strong potential of market applications.</w:t>
      </w:r>
    </w:p>
    <w:p w14:paraId="61CCD4FC" w14:textId="77777777" w:rsidR="006D67F1" w:rsidRPr="002C224A" w:rsidRDefault="006D67F1" w:rsidP="008074B1">
      <w:pPr>
        <w:spacing w:line="300" w:lineRule="exact"/>
      </w:pPr>
    </w:p>
    <w:p w14:paraId="3192BD10" w14:textId="77777777" w:rsidR="006D3AD5" w:rsidRPr="00874BFF" w:rsidRDefault="006D3AD5" w:rsidP="006D3AD5">
      <w:pPr>
        <w:pStyle w:val="Nadpis4"/>
        <w:rPr>
          <w:rFonts w:ascii="Calibri" w:hAnsi="Calibri"/>
        </w:rPr>
      </w:pPr>
      <w:r w:rsidRPr="00874BFF">
        <w:rPr>
          <w:rFonts w:ascii="Calibri" w:hAnsi="Calibri"/>
        </w:rPr>
        <w:t>Questionnaire survey</w:t>
      </w:r>
    </w:p>
    <w:p w14:paraId="656BED25" w14:textId="77777777" w:rsidR="006D3AD5" w:rsidRPr="00874BFF" w:rsidRDefault="006D3AD5" w:rsidP="006D3AD5">
      <w:r w:rsidRPr="00874BFF">
        <w:t xml:space="preserve">The questionnaire survey, as part of the ex-ante evaluation, among more than 15,000 enterprises showed a considerable interest of companies in investments in RDI in the next three years, specifically in 384 of 1,077 responses received. More than 82 % of the companies planning to invest in their own RDI were small and medium-sized enterprises. In particular, they were established companies of the median age of 18 years. </w:t>
      </w:r>
    </w:p>
    <w:p w14:paraId="78759894" w14:textId="77777777" w:rsidR="006D3AD5" w:rsidRPr="00874BFF" w:rsidRDefault="006D3AD5" w:rsidP="006D3AD5"/>
    <w:p w14:paraId="526B546F" w14:textId="77777777" w:rsidR="006D3AD5" w:rsidRPr="00874BFF" w:rsidRDefault="006D3AD5" w:rsidP="006D3AD5">
      <w:r w:rsidRPr="00874BFF">
        <w:t>The following table provides details about available financing for these companies in the last three years.</w:t>
      </w:r>
    </w:p>
    <w:p w14:paraId="7A930B19" w14:textId="77777777" w:rsidR="006D3AD5" w:rsidRPr="00874BFF" w:rsidRDefault="006D3AD5" w:rsidP="006D3AD5">
      <w:pPr>
        <w:pStyle w:val="Titulek"/>
      </w:pPr>
      <w:r w:rsidRPr="00874BFF">
        <w:t>Table 3: Availability of investment financing</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4"/>
        <w:gridCol w:w="1051"/>
        <w:gridCol w:w="1636"/>
        <w:gridCol w:w="1417"/>
        <w:gridCol w:w="1319"/>
      </w:tblGrid>
      <w:tr w:rsidR="006D3AD5" w:rsidRPr="00874BFF" w14:paraId="6FDD13E2" w14:textId="77777777" w:rsidTr="00443B8F">
        <w:trPr>
          <w:trHeight w:val="255"/>
        </w:trPr>
        <w:tc>
          <w:tcPr>
            <w:tcW w:w="8695" w:type="dxa"/>
            <w:gridSpan w:val="5"/>
            <w:noWrap/>
          </w:tcPr>
          <w:p w14:paraId="761DCA0C"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Availability of investment financing in the last three years</w:t>
            </w:r>
          </w:p>
        </w:tc>
      </w:tr>
      <w:tr w:rsidR="006D3AD5" w:rsidRPr="00874BFF" w14:paraId="653D7798" w14:textId="77777777" w:rsidTr="00443B8F">
        <w:trPr>
          <w:trHeight w:val="255"/>
        </w:trPr>
        <w:tc>
          <w:tcPr>
            <w:tcW w:w="3404" w:type="dxa"/>
            <w:noWrap/>
          </w:tcPr>
          <w:p w14:paraId="0F50CA1A"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19" w:type="dxa"/>
            <w:noWrap/>
          </w:tcPr>
          <w:p w14:paraId="29660ACF" w14:textId="77777777" w:rsidR="006D3AD5" w:rsidRPr="00874BFF" w:rsidRDefault="006D3AD5" w:rsidP="00443B8F">
            <w:pPr>
              <w:overflowPunct/>
              <w:autoSpaceDE/>
              <w:autoSpaceDN/>
              <w:adjustRightInd/>
              <w:jc w:val="left"/>
              <w:textAlignment w:val="auto"/>
              <w:rPr>
                <w:rFonts w:cs="Arial"/>
                <w:sz w:val="20"/>
              </w:rPr>
            </w:pPr>
            <w:r w:rsidRPr="00874BFF">
              <w:rPr>
                <w:sz w:val="20"/>
              </w:rPr>
              <w:t>Successful (number)</w:t>
            </w:r>
          </w:p>
        </w:tc>
        <w:tc>
          <w:tcPr>
            <w:tcW w:w="1636" w:type="dxa"/>
            <w:noWrap/>
          </w:tcPr>
          <w:p w14:paraId="4AB965FD" w14:textId="77777777" w:rsidR="006D3AD5" w:rsidRPr="00874BFF" w:rsidRDefault="006D3AD5" w:rsidP="00443B8F">
            <w:pPr>
              <w:overflowPunct/>
              <w:autoSpaceDE/>
              <w:autoSpaceDN/>
              <w:adjustRightInd/>
              <w:jc w:val="left"/>
              <w:textAlignment w:val="auto"/>
              <w:rPr>
                <w:rFonts w:cs="Arial"/>
                <w:sz w:val="20"/>
              </w:rPr>
            </w:pPr>
            <w:r w:rsidRPr="00874BFF">
              <w:rPr>
                <w:sz w:val="20"/>
              </w:rPr>
              <w:t>Unsuccessful or partially successful (number)</w:t>
            </w:r>
          </w:p>
        </w:tc>
        <w:tc>
          <w:tcPr>
            <w:tcW w:w="1417" w:type="dxa"/>
            <w:noWrap/>
          </w:tcPr>
          <w:p w14:paraId="458A7CFE" w14:textId="77777777" w:rsidR="006D3AD5" w:rsidRPr="00874BFF" w:rsidRDefault="006D3AD5" w:rsidP="00443B8F">
            <w:pPr>
              <w:overflowPunct/>
              <w:autoSpaceDE/>
              <w:autoSpaceDN/>
              <w:adjustRightInd/>
              <w:jc w:val="left"/>
              <w:textAlignment w:val="auto"/>
              <w:rPr>
                <w:rFonts w:cs="Arial"/>
                <w:sz w:val="20"/>
              </w:rPr>
            </w:pPr>
            <w:r w:rsidRPr="00874BFF">
              <w:rPr>
                <w:sz w:val="20"/>
              </w:rPr>
              <w:t xml:space="preserve">Total number </w:t>
            </w:r>
          </w:p>
        </w:tc>
        <w:tc>
          <w:tcPr>
            <w:tcW w:w="1319" w:type="dxa"/>
            <w:noWrap/>
          </w:tcPr>
          <w:p w14:paraId="6CE9ED32" w14:textId="77777777" w:rsidR="006D3AD5" w:rsidRPr="00874BFF" w:rsidRDefault="006D3AD5" w:rsidP="00443B8F">
            <w:pPr>
              <w:overflowPunct/>
              <w:autoSpaceDE/>
              <w:autoSpaceDN/>
              <w:adjustRightInd/>
              <w:jc w:val="left"/>
              <w:textAlignment w:val="auto"/>
              <w:rPr>
                <w:rFonts w:cs="Arial"/>
                <w:sz w:val="20"/>
              </w:rPr>
            </w:pPr>
            <w:r w:rsidRPr="00874BFF">
              <w:rPr>
                <w:sz w:val="20"/>
              </w:rPr>
              <w:t>Percentage of the unsuccessful ones</w:t>
            </w:r>
          </w:p>
        </w:tc>
      </w:tr>
      <w:tr w:rsidR="006D3AD5" w:rsidRPr="00874BFF" w14:paraId="52222E47" w14:textId="77777777" w:rsidTr="00443B8F">
        <w:trPr>
          <w:trHeight w:val="255"/>
        </w:trPr>
        <w:tc>
          <w:tcPr>
            <w:tcW w:w="3404" w:type="dxa"/>
            <w:noWrap/>
          </w:tcPr>
          <w:p w14:paraId="0221F9BC" w14:textId="77777777" w:rsidR="006D3AD5" w:rsidRPr="00874BFF" w:rsidRDefault="006D3AD5" w:rsidP="00443B8F">
            <w:pPr>
              <w:overflowPunct/>
              <w:autoSpaceDE/>
              <w:autoSpaceDN/>
              <w:adjustRightInd/>
              <w:jc w:val="left"/>
              <w:textAlignment w:val="auto"/>
              <w:rPr>
                <w:rFonts w:cs="Arial"/>
                <w:sz w:val="20"/>
              </w:rPr>
            </w:pPr>
            <w:r w:rsidRPr="00874BFF">
              <w:rPr>
                <w:sz w:val="20"/>
              </w:rPr>
              <w:t>Short-term loans</w:t>
            </w:r>
          </w:p>
        </w:tc>
        <w:tc>
          <w:tcPr>
            <w:tcW w:w="919" w:type="dxa"/>
            <w:noWrap/>
          </w:tcPr>
          <w:p w14:paraId="6C7649E8" w14:textId="77777777" w:rsidR="006D3AD5" w:rsidRPr="00874BFF" w:rsidRDefault="006D3AD5" w:rsidP="00443B8F">
            <w:pPr>
              <w:overflowPunct/>
              <w:autoSpaceDE/>
              <w:autoSpaceDN/>
              <w:adjustRightInd/>
              <w:jc w:val="right"/>
              <w:textAlignment w:val="auto"/>
              <w:rPr>
                <w:rFonts w:cs="Arial"/>
                <w:sz w:val="20"/>
              </w:rPr>
            </w:pPr>
            <w:r w:rsidRPr="00874BFF">
              <w:rPr>
                <w:sz w:val="20"/>
              </w:rPr>
              <w:t>191</w:t>
            </w:r>
          </w:p>
        </w:tc>
        <w:tc>
          <w:tcPr>
            <w:tcW w:w="1636" w:type="dxa"/>
            <w:noWrap/>
          </w:tcPr>
          <w:p w14:paraId="10FE345C" w14:textId="77777777" w:rsidR="006D3AD5" w:rsidRPr="00874BFF" w:rsidRDefault="006D3AD5" w:rsidP="00443B8F">
            <w:pPr>
              <w:overflowPunct/>
              <w:autoSpaceDE/>
              <w:autoSpaceDN/>
              <w:adjustRightInd/>
              <w:jc w:val="right"/>
              <w:textAlignment w:val="auto"/>
              <w:rPr>
                <w:rFonts w:cs="Arial"/>
                <w:sz w:val="20"/>
              </w:rPr>
            </w:pPr>
            <w:r w:rsidRPr="00874BFF">
              <w:rPr>
                <w:sz w:val="20"/>
              </w:rPr>
              <w:t>34</w:t>
            </w:r>
          </w:p>
        </w:tc>
        <w:tc>
          <w:tcPr>
            <w:tcW w:w="1417" w:type="dxa"/>
            <w:noWrap/>
          </w:tcPr>
          <w:p w14:paraId="032B6732" w14:textId="77777777" w:rsidR="006D3AD5" w:rsidRPr="00874BFF" w:rsidRDefault="006D3AD5" w:rsidP="00443B8F">
            <w:pPr>
              <w:overflowPunct/>
              <w:autoSpaceDE/>
              <w:autoSpaceDN/>
              <w:adjustRightInd/>
              <w:jc w:val="right"/>
              <w:textAlignment w:val="auto"/>
              <w:rPr>
                <w:rFonts w:cs="Arial"/>
                <w:sz w:val="20"/>
              </w:rPr>
            </w:pPr>
            <w:r w:rsidRPr="00874BFF">
              <w:rPr>
                <w:sz w:val="20"/>
              </w:rPr>
              <w:t>225</w:t>
            </w:r>
          </w:p>
        </w:tc>
        <w:tc>
          <w:tcPr>
            <w:tcW w:w="1319" w:type="dxa"/>
            <w:noWrap/>
          </w:tcPr>
          <w:p w14:paraId="33229E5D" w14:textId="77777777" w:rsidR="006D3AD5" w:rsidRPr="00874BFF" w:rsidRDefault="006D3AD5" w:rsidP="00443B8F">
            <w:pPr>
              <w:overflowPunct/>
              <w:autoSpaceDE/>
              <w:autoSpaceDN/>
              <w:adjustRightInd/>
              <w:jc w:val="right"/>
              <w:textAlignment w:val="auto"/>
              <w:rPr>
                <w:rFonts w:cs="Arial"/>
                <w:sz w:val="20"/>
              </w:rPr>
            </w:pPr>
            <w:r w:rsidRPr="00874BFF">
              <w:rPr>
                <w:sz w:val="20"/>
              </w:rPr>
              <w:t>15.1%</w:t>
            </w:r>
          </w:p>
        </w:tc>
      </w:tr>
      <w:tr w:rsidR="006D3AD5" w:rsidRPr="00874BFF" w14:paraId="4F6ED242" w14:textId="77777777" w:rsidTr="00443B8F">
        <w:trPr>
          <w:trHeight w:val="255"/>
        </w:trPr>
        <w:tc>
          <w:tcPr>
            <w:tcW w:w="3404" w:type="dxa"/>
            <w:noWrap/>
          </w:tcPr>
          <w:p w14:paraId="04563822" w14:textId="77777777" w:rsidR="006D3AD5" w:rsidRPr="00874BFF" w:rsidRDefault="006D3AD5" w:rsidP="00443B8F">
            <w:pPr>
              <w:overflowPunct/>
              <w:autoSpaceDE/>
              <w:autoSpaceDN/>
              <w:adjustRightInd/>
              <w:jc w:val="left"/>
              <w:textAlignment w:val="auto"/>
              <w:rPr>
                <w:rFonts w:cs="Arial"/>
                <w:sz w:val="20"/>
              </w:rPr>
            </w:pPr>
            <w:r w:rsidRPr="00874BFF">
              <w:rPr>
                <w:sz w:val="20"/>
              </w:rPr>
              <w:t>Long-term and medium-term loans</w:t>
            </w:r>
          </w:p>
        </w:tc>
        <w:tc>
          <w:tcPr>
            <w:tcW w:w="919" w:type="dxa"/>
            <w:noWrap/>
          </w:tcPr>
          <w:p w14:paraId="7AB417C3" w14:textId="77777777" w:rsidR="006D3AD5" w:rsidRPr="00874BFF" w:rsidRDefault="006D3AD5" w:rsidP="00443B8F">
            <w:pPr>
              <w:overflowPunct/>
              <w:autoSpaceDE/>
              <w:autoSpaceDN/>
              <w:adjustRightInd/>
              <w:jc w:val="right"/>
              <w:textAlignment w:val="auto"/>
              <w:rPr>
                <w:rFonts w:cs="Arial"/>
                <w:sz w:val="20"/>
              </w:rPr>
            </w:pPr>
            <w:r w:rsidRPr="00874BFF">
              <w:rPr>
                <w:sz w:val="20"/>
              </w:rPr>
              <w:t>167</w:t>
            </w:r>
          </w:p>
        </w:tc>
        <w:tc>
          <w:tcPr>
            <w:tcW w:w="1636" w:type="dxa"/>
            <w:noWrap/>
          </w:tcPr>
          <w:p w14:paraId="6A008282" w14:textId="77777777" w:rsidR="006D3AD5" w:rsidRPr="00874BFF" w:rsidRDefault="006D3AD5" w:rsidP="00443B8F">
            <w:pPr>
              <w:overflowPunct/>
              <w:autoSpaceDE/>
              <w:autoSpaceDN/>
              <w:adjustRightInd/>
              <w:jc w:val="right"/>
              <w:textAlignment w:val="auto"/>
              <w:rPr>
                <w:rFonts w:cs="Arial"/>
                <w:sz w:val="20"/>
              </w:rPr>
            </w:pPr>
            <w:r w:rsidRPr="00874BFF">
              <w:rPr>
                <w:sz w:val="20"/>
              </w:rPr>
              <w:t>54</w:t>
            </w:r>
          </w:p>
        </w:tc>
        <w:tc>
          <w:tcPr>
            <w:tcW w:w="1417" w:type="dxa"/>
            <w:noWrap/>
          </w:tcPr>
          <w:p w14:paraId="309B9A02" w14:textId="77777777" w:rsidR="006D3AD5" w:rsidRPr="00874BFF" w:rsidRDefault="006D3AD5" w:rsidP="00443B8F">
            <w:pPr>
              <w:overflowPunct/>
              <w:autoSpaceDE/>
              <w:autoSpaceDN/>
              <w:adjustRightInd/>
              <w:jc w:val="right"/>
              <w:textAlignment w:val="auto"/>
              <w:rPr>
                <w:rFonts w:cs="Arial"/>
                <w:sz w:val="20"/>
              </w:rPr>
            </w:pPr>
            <w:r w:rsidRPr="00874BFF">
              <w:rPr>
                <w:sz w:val="20"/>
              </w:rPr>
              <w:t>221</w:t>
            </w:r>
          </w:p>
        </w:tc>
        <w:tc>
          <w:tcPr>
            <w:tcW w:w="1319" w:type="dxa"/>
            <w:noWrap/>
          </w:tcPr>
          <w:p w14:paraId="5C6FFDF7" w14:textId="77777777" w:rsidR="006D3AD5" w:rsidRPr="00874BFF" w:rsidRDefault="006D3AD5" w:rsidP="00443B8F">
            <w:pPr>
              <w:overflowPunct/>
              <w:autoSpaceDE/>
              <w:autoSpaceDN/>
              <w:adjustRightInd/>
              <w:jc w:val="right"/>
              <w:textAlignment w:val="auto"/>
              <w:rPr>
                <w:rFonts w:cs="Arial"/>
                <w:sz w:val="20"/>
              </w:rPr>
            </w:pPr>
            <w:r w:rsidRPr="00874BFF">
              <w:rPr>
                <w:sz w:val="20"/>
              </w:rPr>
              <w:t>24.4%</w:t>
            </w:r>
          </w:p>
        </w:tc>
      </w:tr>
      <w:tr w:rsidR="006D3AD5" w:rsidRPr="00874BFF" w14:paraId="717D0477" w14:textId="77777777" w:rsidTr="00443B8F">
        <w:trPr>
          <w:trHeight w:val="255"/>
        </w:trPr>
        <w:tc>
          <w:tcPr>
            <w:tcW w:w="3404" w:type="dxa"/>
            <w:noWrap/>
          </w:tcPr>
          <w:p w14:paraId="69850C89" w14:textId="77777777" w:rsidR="006D3AD5" w:rsidRPr="00874BFF" w:rsidRDefault="006D3AD5" w:rsidP="00443B8F">
            <w:pPr>
              <w:overflowPunct/>
              <w:autoSpaceDE/>
              <w:autoSpaceDN/>
              <w:adjustRightInd/>
              <w:jc w:val="left"/>
              <w:textAlignment w:val="auto"/>
              <w:rPr>
                <w:rFonts w:cs="Arial"/>
                <w:sz w:val="20"/>
              </w:rPr>
            </w:pPr>
            <w:r w:rsidRPr="00874BFF">
              <w:rPr>
                <w:sz w:val="20"/>
              </w:rPr>
              <w:t>Guarantees</w:t>
            </w:r>
          </w:p>
        </w:tc>
        <w:tc>
          <w:tcPr>
            <w:tcW w:w="919" w:type="dxa"/>
            <w:noWrap/>
          </w:tcPr>
          <w:p w14:paraId="303EC674" w14:textId="77777777" w:rsidR="006D3AD5" w:rsidRPr="00874BFF" w:rsidRDefault="006D3AD5" w:rsidP="00443B8F">
            <w:pPr>
              <w:overflowPunct/>
              <w:autoSpaceDE/>
              <w:autoSpaceDN/>
              <w:adjustRightInd/>
              <w:jc w:val="right"/>
              <w:textAlignment w:val="auto"/>
              <w:rPr>
                <w:rFonts w:cs="Arial"/>
                <w:sz w:val="20"/>
              </w:rPr>
            </w:pPr>
            <w:r w:rsidRPr="00874BFF">
              <w:rPr>
                <w:sz w:val="20"/>
              </w:rPr>
              <w:t>64</w:t>
            </w:r>
          </w:p>
        </w:tc>
        <w:tc>
          <w:tcPr>
            <w:tcW w:w="1636" w:type="dxa"/>
            <w:noWrap/>
          </w:tcPr>
          <w:p w14:paraId="73500C15"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c>
          <w:tcPr>
            <w:tcW w:w="1417" w:type="dxa"/>
            <w:noWrap/>
          </w:tcPr>
          <w:p w14:paraId="60EC6774" w14:textId="77777777" w:rsidR="006D3AD5" w:rsidRPr="00874BFF" w:rsidRDefault="006D3AD5" w:rsidP="00443B8F">
            <w:pPr>
              <w:overflowPunct/>
              <w:autoSpaceDE/>
              <w:autoSpaceDN/>
              <w:adjustRightInd/>
              <w:jc w:val="right"/>
              <w:textAlignment w:val="auto"/>
              <w:rPr>
                <w:rFonts w:cs="Arial"/>
                <w:sz w:val="20"/>
              </w:rPr>
            </w:pPr>
            <w:r w:rsidRPr="00874BFF">
              <w:rPr>
                <w:sz w:val="20"/>
              </w:rPr>
              <w:t>78</w:t>
            </w:r>
          </w:p>
        </w:tc>
        <w:tc>
          <w:tcPr>
            <w:tcW w:w="1319" w:type="dxa"/>
            <w:noWrap/>
          </w:tcPr>
          <w:p w14:paraId="6849C7A5" w14:textId="77777777" w:rsidR="006D3AD5" w:rsidRPr="00874BFF" w:rsidRDefault="006D3AD5" w:rsidP="00443B8F">
            <w:pPr>
              <w:overflowPunct/>
              <w:autoSpaceDE/>
              <w:autoSpaceDN/>
              <w:adjustRightInd/>
              <w:jc w:val="right"/>
              <w:textAlignment w:val="auto"/>
              <w:rPr>
                <w:rFonts w:cs="Arial"/>
                <w:sz w:val="20"/>
              </w:rPr>
            </w:pPr>
            <w:r w:rsidRPr="00874BFF">
              <w:rPr>
                <w:sz w:val="20"/>
              </w:rPr>
              <w:t>17.9%</w:t>
            </w:r>
          </w:p>
        </w:tc>
      </w:tr>
      <w:tr w:rsidR="006D3AD5" w:rsidRPr="00874BFF" w14:paraId="3055AEFD" w14:textId="77777777" w:rsidTr="00443B8F">
        <w:trPr>
          <w:trHeight w:val="255"/>
        </w:trPr>
        <w:tc>
          <w:tcPr>
            <w:tcW w:w="3404" w:type="dxa"/>
            <w:noWrap/>
          </w:tcPr>
          <w:p w14:paraId="64214F46" w14:textId="77777777" w:rsidR="006D3AD5" w:rsidRPr="00874BFF" w:rsidRDefault="006D3AD5" w:rsidP="00443B8F">
            <w:pPr>
              <w:overflowPunct/>
              <w:autoSpaceDE/>
              <w:autoSpaceDN/>
              <w:adjustRightInd/>
              <w:jc w:val="left"/>
              <w:textAlignment w:val="auto"/>
              <w:rPr>
                <w:rFonts w:cs="Arial"/>
                <w:sz w:val="20"/>
              </w:rPr>
            </w:pPr>
            <w:r w:rsidRPr="00874BFF">
              <w:rPr>
                <w:sz w:val="20"/>
              </w:rPr>
              <w:t>Subsidies or another public support</w:t>
            </w:r>
          </w:p>
        </w:tc>
        <w:tc>
          <w:tcPr>
            <w:tcW w:w="919" w:type="dxa"/>
            <w:noWrap/>
          </w:tcPr>
          <w:p w14:paraId="6CEB2EFB" w14:textId="77777777" w:rsidR="006D3AD5" w:rsidRPr="00874BFF" w:rsidRDefault="006D3AD5" w:rsidP="00443B8F">
            <w:pPr>
              <w:overflowPunct/>
              <w:autoSpaceDE/>
              <w:autoSpaceDN/>
              <w:adjustRightInd/>
              <w:jc w:val="right"/>
              <w:textAlignment w:val="auto"/>
              <w:rPr>
                <w:rFonts w:cs="Arial"/>
                <w:sz w:val="20"/>
              </w:rPr>
            </w:pPr>
            <w:r w:rsidRPr="00874BFF">
              <w:rPr>
                <w:sz w:val="20"/>
              </w:rPr>
              <w:t>203</w:t>
            </w:r>
          </w:p>
        </w:tc>
        <w:tc>
          <w:tcPr>
            <w:tcW w:w="1636" w:type="dxa"/>
            <w:noWrap/>
          </w:tcPr>
          <w:p w14:paraId="15764B5F" w14:textId="77777777" w:rsidR="006D3AD5" w:rsidRPr="00874BFF" w:rsidRDefault="006D3AD5" w:rsidP="00443B8F">
            <w:pPr>
              <w:overflowPunct/>
              <w:autoSpaceDE/>
              <w:autoSpaceDN/>
              <w:adjustRightInd/>
              <w:jc w:val="right"/>
              <w:textAlignment w:val="auto"/>
              <w:rPr>
                <w:rFonts w:cs="Arial"/>
                <w:sz w:val="20"/>
              </w:rPr>
            </w:pPr>
            <w:r w:rsidRPr="00874BFF">
              <w:rPr>
                <w:sz w:val="20"/>
              </w:rPr>
              <w:t>89</w:t>
            </w:r>
          </w:p>
        </w:tc>
        <w:tc>
          <w:tcPr>
            <w:tcW w:w="1417" w:type="dxa"/>
            <w:noWrap/>
          </w:tcPr>
          <w:p w14:paraId="76363C79" w14:textId="77777777" w:rsidR="006D3AD5" w:rsidRPr="00874BFF" w:rsidRDefault="006D3AD5" w:rsidP="00443B8F">
            <w:pPr>
              <w:overflowPunct/>
              <w:autoSpaceDE/>
              <w:autoSpaceDN/>
              <w:adjustRightInd/>
              <w:jc w:val="right"/>
              <w:textAlignment w:val="auto"/>
              <w:rPr>
                <w:rFonts w:cs="Arial"/>
                <w:sz w:val="20"/>
              </w:rPr>
            </w:pPr>
            <w:r w:rsidRPr="00874BFF">
              <w:rPr>
                <w:sz w:val="20"/>
              </w:rPr>
              <w:t>292</w:t>
            </w:r>
          </w:p>
        </w:tc>
        <w:tc>
          <w:tcPr>
            <w:tcW w:w="1319" w:type="dxa"/>
            <w:noWrap/>
          </w:tcPr>
          <w:p w14:paraId="19BADA4E" w14:textId="77777777" w:rsidR="006D3AD5" w:rsidRPr="00874BFF" w:rsidRDefault="006D3AD5" w:rsidP="00443B8F">
            <w:pPr>
              <w:overflowPunct/>
              <w:autoSpaceDE/>
              <w:autoSpaceDN/>
              <w:adjustRightInd/>
              <w:jc w:val="right"/>
              <w:textAlignment w:val="auto"/>
              <w:rPr>
                <w:rFonts w:cs="Arial"/>
                <w:sz w:val="20"/>
              </w:rPr>
            </w:pPr>
            <w:r w:rsidRPr="00874BFF">
              <w:rPr>
                <w:sz w:val="20"/>
              </w:rPr>
              <w:t>30.5%</w:t>
            </w:r>
          </w:p>
        </w:tc>
      </w:tr>
      <w:tr w:rsidR="006D3AD5" w:rsidRPr="00874BFF" w14:paraId="0E33DD76" w14:textId="77777777" w:rsidTr="00443B8F">
        <w:trPr>
          <w:trHeight w:val="255"/>
        </w:trPr>
        <w:tc>
          <w:tcPr>
            <w:tcW w:w="3404" w:type="dxa"/>
            <w:noWrap/>
          </w:tcPr>
          <w:p w14:paraId="6226F2C7" w14:textId="77777777" w:rsidR="006D3AD5" w:rsidRPr="00874BFF" w:rsidRDefault="006D3AD5" w:rsidP="00443B8F">
            <w:pPr>
              <w:overflowPunct/>
              <w:autoSpaceDE/>
              <w:autoSpaceDN/>
              <w:adjustRightInd/>
              <w:jc w:val="left"/>
              <w:textAlignment w:val="auto"/>
              <w:rPr>
                <w:rFonts w:cs="Arial"/>
                <w:sz w:val="20"/>
              </w:rPr>
            </w:pPr>
            <w:r w:rsidRPr="00874BFF">
              <w:rPr>
                <w:sz w:val="20"/>
              </w:rPr>
              <w:t>Venture capital</w:t>
            </w:r>
          </w:p>
        </w:tc>
        <w:tc>
          <w:tcPr>
            <w:tcW w:w="919" w:type="dxa"/>
            <w:noWrap/>
          </w:tcPr>
          <w:p w14:paraId="0B3CB874"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636" w:type="dxa"/>
            <w:noWrap/>
          </w:tcPr>
          <w:p w14:paraId="337CECCB"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417" w:type="dxa"/>
            <w:noWrap/>
          </w:tcPr>
          <w:p w14:paraId="5A94F97E"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319" w:type="dxa"/>
            <w:noWrap/>
          </w:tcPr>
          <w:p w14:paraId="20343722" w14:textId="77777777" w:rsidR="006D3AD5" w:rsidRPr="00874BFF" w:rsidRDefault="006D3AD5" w:rsidP="00443B8F">
            <w:pPr>
              <w:overflowPunct/>
              <w:autoSpaceDE/>
              <w:autoSpaceDN/>
              <w:adjustRightInd/>
              <w:jc w:val="right"/>
              <w:textAlignment w:val="auto"/>
              <w:rPr>
                <w:rFonts w:cs="Arial"/>
                <w:sz w:val="20"/>
              </w:rPr>
            </w:pPr>
            <w:r w:rsidRPr="00874BFF">
              <w:rPr>
                <w:sz w:val="20"/>
              </w:rPr>
              <w:t>80.0%</w:t>
            </w:r>
          </w:p>
        </w:tc>
      </w:tr>
      <w:tr w:rsidR="006D3AD5" w:rsidRPr="00874BFF" w14:paraId="1258B1CD" w14:textId="77777777" w:rsidTr="00443B8F">
        <w:trPr>
          <w:trHeight w:val="255"/>
        </w:trPr>
        <w:tc>
          <w:tcPr>
            <w:tcW w:w="3404" w:type="dxa"/>
            <w:noWrap/>
          </w:tcPr>
          <w:p w14:paraId="76C39DA1" w14:textId="77777777" w:rsidR="006D3AD5" w:rsidRPr="00874BFF" w:rsidRDefault="006D3AD5" w:rsidP="00443B8F">
            <w:pPr>
              <w:overflowPunct/>
              <w:autoSpaceDE/>
              <w:autoSpaceDN/>
              <w:adjustRightInd/>
              <w:jc w:val="left"/>
              <w:textAlignment w:val="auto"/>
              <w:rPr>
                <w:rFonts w:cs="Arial"/>
                <w:sz w:val="20"/>
              </w:rPr>
            </w:pPr>
            <w:r w:rsidRPr="00874BFF">
              <w:rPr>
                <w:sz w:val="20"/>
              </w:rPr>
              <w:t>Private equity</w:t>
            </w:r>
          </w:p>
        </w:tc>
        <w:tc>
          <w:tcPr>
            <w:tcW w:w="919" w:type="dxa"/>
            <w:noWrap/>
          </w:tcPr>
          <w:p w14:paraId="4983184F" w14:textId="77777777" w:rsidR="006D3AD5" w:rsidRPr="00874BFF" w:rsidRDefault="006D3AD5" w:rsidP="00443B8F">
            <w:pPr>
              <w:overflowPunct/>
              <w:autoSpaceDE/>
              <w:autoSpaceDN/>
              <w:adjustRightInd/>
              <w:jc w:val="right"/>
              <w:textAlignment w:val="auto"/>
              <w:rPr>
                <w:rFonts w:cs="Arial"/>
                <w:sz w:val="20"/>
              </w:rPr>
            </w:pPr>
            <w:r w:rsidRPr="00874BFF">
              <w:rPr>
                <w:sz w:val="20"/>
              </w:rPr>
              <w:t>3</w:t>
            </w:r>
          </w:p>
        </w:tc>
        <w:tc>
          <w:tcPr>
            <w:tcW w:w="1636" w:type="dxa"/>
            <w:noWrap/>
          </w:tcPr>
          <w:p w14:paraId="45485B0D"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417" w:type="dxa"/>
            <w:noWrap/>
          </w:tcPr>
          <w:p w14:paraId="03D9DF16"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319" w:type="dxa"/>
            <w:noWrap/>
          </w:tcPr>
          <w:p w14:paraId="58500EE8" w14:textId="77777777" w:rsidR="006D3AD5" w:rsidRPr="00874BFF" w:rsidRDefault="006D3AD5" w:rsidP="00443B8F">
            <w:pPr>
              <w:overflowPunct/>
              <w:autoSpaceDE/>
              <w:autoSpaceDN/>
              <w:adjustRightInd/>
              <w:jc w:val="right"/>
              <w:textAlignment w:val="auto"/>
              <w:rPr>
                <w:rFonts w:cs="Arial"/>
                <w:sz w:val="20"/>
              </w:rPr>
            </w:pPr>
            <w:r w:rsidRPr="00874BFF">
              <w:rPr>
                <w:sz w:val="20"/>
              </w:rPr>
              <w:t>40.0%</w:t>
            </w:r>
          </w:p>
        </w:tc>
      </w:tr>
      <w:tr w:rsidR="006D3AD5" w:rsidRPr="00874BFF" w14:paraId="700641E4" w14:textId="77777777" w:rsidTr="00443B8F">
        <w:trPr>
          <w:trHeight w:val="255"/>
        </w:trPr>
        <w:tc>
          <w:tcPr>
            <w:tcW w:w="3404" w:type="dxa"/>
            <w:noWrap/>
          </w:tcPr>
          <w:p w14:paraId="6FA9BEF1" w14:textId="77777777" w:rsidR="006D3AD5" w:rsidRPr="00874BFF" w:rsidRDefault="006D3AD5" w:rsidP="00443B8F">
            <w:pPr>
              <w:overflowPunct/>
              <w:autoSpaceDE/>
              <w:autoSpaceDN/>
              <w:adjustRightInd/>
              <w:jc w:val="left"/>
              <w:textAlignment w:val="auto"/>
              <w:rPr>
                <w:rFonts w:cs="Arial"/>
                <w:sz w:val="20"/>
              </w:rPr>
            </w:pPr>
            <w:r w:rsidRPr="00874BFF">
              <w:rPr>
                <w:sz w:val="20"/>
              </w:rPr>
              <w:t>Leasing</w:t>
            </w:r>
          </w:p>
        </w:tc>
        <w:tc>
          <w:tcPr>
            <w:tcW w:w="919" w:type="dxa"/>
            <w:noWrap/>
          </w:tcPr>
          <w:p w14:paraId="5E0F099A" w14:textId="77777777" w:rsidR="006D3AD5" w:rsidRPr="00874BFF" w:rsidRDefault="006D3AD5" w:rsidP="00443B8F">
            <w:pPr>
              <w:overflowPunct/>
              <w:autoSpaceDE/>
              <w:autoSpaceDN/>
              <w:adjustRightInd/>
              <w:jc w:val="right"/>
              <w:textAlignment w:val="auto"/>
              <w:rPr>
                <w:rFonts w:cs="Arial"/>
                <w:sz w:val="20"/>
              </w:rPr>
            </w:pPr>
            <w:r w:rsidRPr="00874BFF">
              <w:rPr>
                <w:sz w:val="20"/>
              </w:rPr>
              <w:t>134</w:t>
            </w:r>
          </w:p>
        </w:tc>
        <w:tc>
          <w:tcPr>
            <w:tcW w:w="1636" w:type="dxa"/>
            <w:noWrap/>
          </w:tcPr>
          <w:p w14:paraId="01F04213" w14:textId="77777777" w:rsidR="006D3AD5" w:rsidRPr="00874BFF" w:rsidRDefault="006D3AD5" w:rsidP="00443B8F">
            <w:pPr>
              <w:overflowPunct/>
              <w:autoSpaceDE/>
              <w:autoSpaceDN/>
              <w:adjustRightInd/>
              <w:jc w:val="right"/>
              <w:textAlignment w:val="auto"/>
              <w:rPr>
                <w:rFonts w:cs="Arial"/>
                <w:sz w:val="20"/>
              </w:rPr>
            </w:pPr>
            <w:r w:rsidRPr="00874BFF">
              <w:rPr>
                <w:sz w:val="20"/>
              </w:rPr>
              <w:t>11</w:t>
            </w:r>
          </w:p>
        </w:tc>
        <w:tc>
          <w:tcPr>
            <w:tcW w:w="1417" w:type="dxa"/>
            <w:noWrap/>
          </w:tcPr>
          <w:p w14:paraId="7923804E" w14:textId="77777777" w:rsidR="006D3AD5" w:rsidRPr="00874BFF" w:rsidRDefault="006D3AD5" w:rsidP="00443B8F">
            <w:pPr>
              <w:overflowPunct/>
              <w:autoSpaceDE/>
              <w:autoSpaceDN/>
              <w:adjustRightInd/>
              <w:jc w:val="right"/>
              <w:textAlignment w:val="auto"/>
              <w:rPr>
                <w:rFonts w:cs="Arial"/>
                <w:sz w:val="20"/>
              </w:rPr>
            </w:pPr>
            <w:r w:rsidRPr="00874BFF">
              <w:rPr>
                <w:sz w:val="20"/>
              </w:rPr>
              <w:t>145</w:t>
            </w:r>
          </w:p>
        </w:tc>
        <w:tc>
          <w:tcPr>
            <w:tcW w:w="1319" w:type="dxa"/>
            <w:noWrap/>
          </w:tcPr>
          <w:p w14:paraId="61FE3363" w14:textId="77777777" w:rsidR="006D3AD5" w:rsidRPr="00874BFF" w:rsidRDefault="006D3AD5" w:rsidP="00443B8F">
            <w:pPr>
              <w:overflowPunct/>
              <w:autoSpaceDE/>
              <w:autoSpaceDN/>
              <w:adjustRightInd/>
              <w:jc w:val="right"/>
              <w:textAlignment w:val="auto"/>
              <w:rPr>
                <w:rFonts w:cs="Arial"/>
                <w:sz w:val="20"/>
              </w:rPr>
            </w:pPr>
            <w:r w:rsidRPr="00874BFF">
              <w:rPr>
                <w:sz w:val="20"/>
              </w:rPr>
              <w:t>7.6%</w:t>
            </w:r>
          </w:p>
        </w:tc>
      </w:tr>
      <w:tr w:rsidR="006D3AD5" w:rsidRPr="00874BFF" w14:paraId="7F3C87F5" w14:textId="77777777" w:rsidTr="00443B8F">
        <w:trPr>
          <w:trHeight w:val="255"/>
        </w:trPr>
        <w:tc>
          <w:tcPr>
            <w:tcW w:w="3404" w:type="dxa"/>
            <w:noWrap/>
          </w:tcPr>
          <w:p w14:paraId="3B1ABB5E" w14:textId="77777777" w:rsidR="006D3AD5" w:rsidRPr="00874BFF" w:rsidRDefault="006D3AD5" w:rsidP="00443B8F">
            <w:pPr>
              <w:overflowPunct/>
              <w:autoSpaceDE/>
              <w:autoSpaceDN/>
              <w:adjustRightInd/>
              <w:jc w:val="left"/>
              <w:textAlignment w:val="auto"/>
              <w:rPr>
                <w:rFonts w:cs="Arial"/>
                <w:sz w:val="20"/>
              </w:rPr>
            </w:pPr>
            <w:r w:rsidRPr="00874BFF">
              <w:rPr>
                <w:sz w:val="20"/>
              </w:rPr>
              <w:t>Factoring</w:t>
            </w:r>
          </w:p>
        </w:tc>
        <w:tc>
          <w:tcPr>
            <w:tcW w:w="919" w:type="dxa"/>
            <w:noWrap/>
          </w:tcPr>
          <w:p w14:paraId="0B92E296" w14:textId="77777777" w:rsidR="006D3AD5" w:rsidRPr="00874BFF" w:rsidRDefault="006D3AD5" w:rsidP="00443B8F">
            <w:pPr>
              <w:overflowPunct/>
              <w:autoSpaceDE/>
              <w:autoSpaceDN/>
              <w:adjustRightInd/>
              <w:jc w:val="right"/>
              <w:textAlignment w:val="auto"/>
              <w:rPr>
                <w:rFonts w:cs="Arial"/>
                <w:sz w:val="20"/>
              </w:rPr>
            </w:pPr>
            <w:r w:rsidRPr="00874BFF">
              <w:rPr>
                <w:sz w:val="20"/>
              </w:rPr>
              <w:t>26</w:t>
            </w:r>
          </w:p>
        </w:tc>
        <w:tc>
          <w:tcPr>
            <w:tcW w:w="1636" w:type="dxa"/>
            <w:noWrap/>
          </w:tcPr>
          <w:p w14:paraId="1D0B5B60"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c>
          <w:tcPr>
            <w:tcW w:w="1417" w:type="dxa"/>
            <w:noWrap/>
          </w:tcPr>
          <w:p w14:paraId="57BD4545" w14:textId="77777777" w:rsidR="006D3AD5" w:rsidRPr="00874BFF" w:rsidRDefault="006D3AD5" w:rsidP="00443B8F">
            <w:pPr>
              <w:overflowPunct/>
              <w:autoSpaceDE/>
              <w:autoSpaceDN/>
              <w:adjustRightInd/>
              <w:jc w:val="right"/>
              <w:textAlignment w:val="auto"/>
              <w:rPr>
                <w:rFonts w:cs="Arial"/>
                <w:sz w:val="20"/>
              </w:rPr>
            </w:pPr>
            <w:r w:rsidRPr="00874BFF">
              <w:rPr>
                <w:sz w:val="20"/>
              </w:rPr>
              <w:t>34</w:t>
            </w:r>
          </w:p>
        </w:tc>
        <w:tc>
          <w:tcPr>
            <w:tcW w:w="1319" w:type="dxa"/>
            <w:noWrap/>
          </w:tcPr>
          <w:p w14:paraId="13174847" w14:textId="77777777" w:rsidR="006D3AD5" w:rsidRPr="00874BFF" w:rsidRDefault="006D3AD5" w:rsidP="00443B8F">
            <w:pPr>
              <w:overflowPunct/>
              <w:autoSpaceDE/>
              <w:autoSpaceDN/>
              <w:adjustRightInd/>
              <w:jc w:val="right"/>
              <w:textAlignment w:val="auto"/>
              <w:rPr>
                <w:rFonts w:cs="Arial"/>
                <w:sz w:val="20"/>
              </w:rPr>
            </w:pPr>
            <w:r w:rsidRPr="00874BFF">
              <w:rPr>
                <w:sz w:val="20"/>
              </w:rPr>
              <w:t>23.5%</w:t>
            </w:r>
          </w:p>
        </w:tc>
      </w:tr>
      <w:tr w:rsidR="006D3AD5" w:rsidRPr="00874BFF" w14:paraId="2DA546A4" w14:textId="77777777" w:rsidTr="00443B8F">
        <w:trPr>
          <w:trHeight w:val="255"/>
        </w:trPr>
        <w:tc>
          <w:tcPr>
            <w:tcW w:w="3404" w:type="dxa"/>
            <w:noWrap/>
          </w:tcPr>
          <w:p w14:paraId="5038BCBC" w14:textId="77777777" w:rsidR="006D3AD5" w:rsidRPr="00874BFF" w:rsidRDefault="006D3AD5" w:rsidP="00443B8F">
            <w:pPr>
              <w:overflowPunct/>
              <w:autoSpaceDE/>
              <w:autoSpaceDN/>
              <w:adjustRightInd/>
              <w:jc w:val="left"/>
              <w:textAlignment w:val="auto"/>
              <w:rPr>
                <w:rFonts w:cs="Arial"/>
                <w:sz w:val="20"/>
              </w:rPr>
            </w:pPr>
            <w:r w:rsidRPr="00874BFF">
              <w:rPr>
                <w:sz w:val="20"/>
              </w:rPr>
              <w:t>Mezzanine financing</w:t>
            </w:r>
          </w:p>
        </w:tc>
        <w:tc>
          <w:tcPr>
            <w:tcW w:w="919" w:type="dxa"/>
            <w:noWrap/>
          </w:tcPr>
          <w:p w14:paraId="2BAD6685"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636" w:type="dxa"/>
            <w:noWrap/>
          </w:tcPr>
          <w:p w14:paraId="3642B736"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417" w:type="dxa"/>
            <w:noWrap/>
          </w:tcPr>
          <w:p w14:paraId="387B639E"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319" w:type="dxa"/>
            <w:noWrap/>
          </w:tcPr>
          <w:p w14:paraId="70A9656F" w14:textId="77777777" w:rsidR="006D3AD5" w:rsidRPr="00874BFF" w:rsidRDefault="006D3AD5" w:rsidP="00443B8F">
            <w:pPr>
              <w:overflowPunct/>
              <w:autoSpaceDE/>
              <w:autoSpaceDN/>
              <w:adjustRightInd/>
              <w:jc w:val="right"/>
              <w:textAlignment w:val="auto"/>
              <w:rPr>
                <w:rFonts w:cs="Arial"/>
                <w:sz w:val="20"/>
              </w:rPr>
            </w:pPr>
            <w:r w:rsidRPr="00874BFF">
              <w:rPr>
                <w:sz w:val="20"/>
              </w:rPr>
              <w:t>50.0%</w:t>
            </w:r>
          </w:p>
        </w:tc>
      </w:tr>
      <w:tr w:rsidR="006D3AD5" w:rsidRPr="00874BFF" w14:paraId="046E08C6" w14:textId="77777777" w:rsidTr="00443B8F">
        <w:trPr>
          <w:trHeight w:val="255"/>
        </w:trPr>
        <w:tc>
          <w:tcPr>
            <w:tcW w:w="3404" w:type="dxa"/>
            <w:noWrap/>
          </w:tcPr>
          <w:p w14:paraId="3893CA09" w14:textId="77777777" w:rsidR="006D3AD5" w:rsidRPr="00874BFF" w:rsidRDefault="006D3AD5" w:rsidP="00443B8F">
            <w:pPr>
              <w:overflowPunct/>
              <w:autoSpaceDE/>
              <w:autoSpaceDN/>
              <w:adjustRightInd/>
              <w:jc w:val="left"/>
              <w:textAlignment w:val="auto"/>
              <w:rPr>
                <w:rFonts w:cs="Arial"/>
                <w:sz w:val="20"/>
              </w:rPr>
            </w:pPr>
            <w:r w:rsidRPr="00874BFF">
              <w:rPr>
                <w:sz w:val="20"/>
              </w:rPr>
              <w:t>Corporate bonds</w:t>
            </w:r>
          </w:p>
        </w:tc>
        <w:tc>
          <w:tcPr>
            <w:tcW w:w="919" w:type="dxa"/>
            <w:noWrap/>
          </w:tcPr>
          <w:p w14:paraId="18BA878D"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636" w:type="dxa"/>
            <w:noWrap/>
          </w:tcPr>
          <w:p w14:paraId="46EEDC40"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417" w:type="dxa"/>
            <w:noWrap/>
          </w:tcPr>
          <w:p w14:paraId="54846DA6"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319" w:type="dxa"/>
            <w:noWrap/>
          </w:tcPr>
          <w:p w14:paraId="776F5071"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r w:rsidR="006D3AD5" w:rsidRPr="00874BFF" w14:paraId="711908E9" w14:textId="77777777" w:rsidTr="00443B8F">
        <w:trPr>
          <w:trHeight w:val="255"/>
        </w:trPr>
        <w:tc>
          <w:tcPr>
            <w:tcW w:w="3404" w:type="dxa"/>
            <w:noWrap/>
          </w:tcPr>
          <w:p w14:paraId="0C534204" w14:textId="77777777" w:rsidR="006D3AD5" w:rsidRPr="00874BFF" w:rsidRDefault="006D3AD5" w:rsidP="00443B8F">
            <w:pPr>
              <w:overflowPunct/>
              <w:autoSpaceDE/>
              <w:autoSpaceDN/>
              <w:adjustRightInd/>
              <w:jc w:val="left"/>
              <w:textAlignment w:val="auto"/>
              <w:rPr>
                <w:rFonts w:cs="Arial"/>
                <w:sz w:val="20"/>
              </w:rPr>
            </w:pPr>
            <w:r w:rsidRPr="00874BFF">
              <w:rPr>
                <w:sz w:val="20"/>
              </w:rPr>
              <w:t>Micro-loans</w:t>
            </w:r>
          </w:p>
        </w:tc>
        <w:tc>
          <w:tcPr>
            <w:tcW w:w="919" w:type="dxa"/>
            <w:noWrap/>
          </w:tcPr>
          <w:p w14:paraId="71183BC3"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636" w:type="dxa"/>
            <w:noWrap/>
          </w:tcPr>
          <w:p w14:paraId="49B99D67"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417" w:type="dxa"/>
            <w:noWrap/>
          </w:tcPr>
          <w:p w14:paraId="70D8521B"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319" w:type="dxa"/>
            <w:noWrap/>
          </w:tcPr>
          <w:p w14:paraId="35D2BFE8" w14:textId="77777777" w:rsidR="006D3AD5" w:rsidRPr="00874BFF" w:rsidRDefault="006D3AD5" w:rsidP="00443B8F">
            <w:pPr>
              <w:overflowPunct/>
              <w:autoSpaceDE/>
              <w:autoSpaceDN/>
              <w:adjustRightInd/>
              <w:jc w:val="right"/>
              <w:textAlignment w:val="auto"/>
              <w:rPr>
                <w:rFonts w:cs="Arial"/>
                <w:sz w:val="20"/>
              </w:rPr>
            </w:pPr>
            <w:r w:rsidRPr="00874BFF">
              <w:rPr>
                <w:sz w:val="20"/>
              </w:rPr>
              <w:t>100.0%</w:t>
            </w:r>
          </w:p>
        </w:tc>
      </w:tr>
      <w:tr w:rsidR="006D3AD5" w:rsidRPr="00874BFF" w14:paraId="5EF81313" w14:textId="77777777" w:rsidTr="00443B8F">
        <w:trPr>
          <w:trHeight w:val="255"/>
        </w:trPr>
        <w:tc>
          <w:tcPr>
            <w:tcW w:w="3404" w:type="dxa"/>
            <w:noWrap/>
          </w:tcPr>
          <w:p w14:paraId="6877C67B" w14:textId="77777777" w:rsidR="006D3AD5" w:rsidRPr="00874BFF" w:rsidRDefault="006D3AD5" w:rsidP="00443B8F">
            <w:pPr>
              <w:overflowPunct/>
              <w:autoSpaceDE/>
              <w:autoSpaceDN/>
              <w:adjustRightInd/>
              <w:jc w:val="left"/>
              <w:textAlignment w:val="auto"/>
              <w:rPr>
                <w:rFonts w:cs="Arial"/>
                <w:sz w:val="20"/>
              </w:rPr>
            </w:pPr>
            <w:r w:rsidRPr="00874BFF">
              <w:rPr>
                <w:sz w:val="20"/>
              </w:rPr>
              <w:t>Issues of shares in the public-trading market</w:t>
            </w:r>
          </w:p>
        </w:tc>
        <w:tc>
          <w:tcPr>
            <w:tcW w:w="919" w:type="dxa"/>
            <w:noWrap/>
          </w:tcPr>
          <w:p w14:paraId="560655FE"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636" w:type="dxa"/>
            <w:noWrap/>
          </w:tcPr>
          <w:p w14:paraId="4C1DCE09"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417" w:type="dxa"/>
            <w:noWrap/>
          </w:tcPr>
          <w:p w14:paraId="2E76042A"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319" w:type="dxa"/>
            <w:noWrap/>
          </w:tcPr>
          <w:p w14:paraId="008A9162" w14:textId="77777777" w:rsidR="006D3AD5" w:rsidRPr="00874BFF" w:rsidRDefault="006D3AD5" w:rsidP="00443B8F">
            <w:pPr>
              <w:overflowPunct/>
              <w:autoSpaceDE/>
              <w:autoSpaceDN/>
              <w:adjustRightInd/>
              <w:jc w:val="right"/>
              <w:textAlignment w:val="auto"/>
              <w:rPr>
                <w:rFonts w:cs="Arial"/>
                <w:sz w:val="20"/>
              </w:rPr>
            </w:pPr>
            <w:r w:rsidRPr="00874BFF">
              <w:rPr>
                <w:sz w:val="20"/>
              </w:rPr>
              <w:t>100.0%</w:t>
            </w:r>
          </w:p>
        </w:tc>
      </w:tr>
      <w:tr w:rsidR="006D3AD5" w:rsidRPr="00874BFF" w14:paraId="0178383E" w14:textId="77777777" w:rsidTr="00443B8F">
        <w:trPr>
          <w:trHeight w:val="255"/>
        </w:trPr>
        <w:tc>
          <w:tcPr>
            <w:tcW w:w="3404" w:type="dxa"/>
            <w:noWrap/>
          </w:tcPr>
          <w:p w14:paraId="6E009BC3" w14:textId="77777777" w:rsidR="006D3AD5" w:rsidRPr="00874BFF" w:rsidRDefault="006D3AD5" w:rsidP="00443B8F">
            <w:pPr>
              <w:overflowPunct/>
              <w:autoSpaceDE/>
              <w:autoSpaceDN/>
              <w:adjustRightInd/>
              <w:jc w:val="left"/>
              <w:textAlignment w:val="auto"/>
              <w:rPr>
                <w:rFonts w:cs="Arial"/>
                <w:sz w:val="20"/>
              </w:rPr>
            </w:pPr>
            <w:r w:rsidRPr="00874BFF">
              <w:rPr>
                <w:sz w:val="20"/>
              </w:rPr>
              <w:t>Family, friends and acquaintances</w:t>
            </w:r>
          </w:p>
        </w:tc>
        <w:tc>
          <w:tcPr>
            <w:tcW w:w="919" w:type="dxa"/>
            <w:noWrap/>
          </w:tcPr>
          <w:p w14:paraId="286487AB" w14:textId="77777777" w:rsidR="006D3AD5" w:rsidRPr="00874BFF" w:rsidRDefault="006D3AD5" w:rsidP="00443B8F">
            <w:pPr>
              <w:overflowPunct/>
              <w:autoSpaceDE/>
              <w:autoSpaceDN/>
              <w:adjustRightInd/>
              <w:jc w:val="right"/>
              <w:textAlignment w:val="auto"/>
              <w:rPr>
                <w:rFonts w:cs="Arial"/>
                <w:sz w:val="20"/>
              </w:rPr>
            </w:pPr>
            <w:r w:rsidRPr="00874BFF">
              <w:rPr>
                <w:sz w:val="20"/>
              </w:rPr>
              <w:t>32</w:t>
            </w:r>
          </w:p>
        </w:tc>
        <w:tc>
          <w:tcPr>
            <w:tcW w:w="1636" w:type="dxa"/>
            <w:noWrap/>
          </w:tcPr>
          <w:p w14:paraId="33B58077"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417" w:type="dxa"/>
            <w:noWrap/>
          </w:tcPr>
          <w:p w14:paraId="550E2ACC" w14:textId="77777777" w:rsidR="006D3AD5" w:rsidRPr="00874BFF" w:rsidRDefault="006D3AD5" w:rsidP="00443B8F">
            <w:pPr>
              <w:overflowPunct/>
              <w:autoSpaceDE/>
              <w:autoSpaceDN/>
              <w:adjustRightInd/>
              <w:jc w:val="right"/>
              <w:textAlignment w:val="auto"/>
              <w:rPr>
                <w:rFonts w:cs="Arial"/>
                <w:sz w:val="20"/>
              </w:rPr>
            </w:pPr>
            <w:r w:rsidRPr="00874BFF">
              <w:rPr>
                <w:sz w:val="20"/>
              </w:rPr>
              <w:t>36</w:t>
            </w:r>
          </w:p>
        </w:tc>
        <w:tc>
          <w:tcPr>
            <w:tcW w:w="1319" w:type="dxa"/>
            <w:noWrap/>
          </w:tcPr>
          <w:p w14:paraId="1B8CBE96" w14:textId="77777777" w:rsidR="006D3AD5" w:rsidRPr="00874BFF" w:rsidRDefault="006D3AD5" w:rsidP="00443B8F">
            <w:pPr>
              <w:overflowPunct/>
              <w:autoSpaceDE/>
              <w:autoSpaceDN/>
              <w:adjustRightInd/>
              <w:jc w:val="right"/>
              <w:textAlignment w:val="auto"/>
              <w:rPr>
                <w:rFonts w:cs="Arial"/>
                <w:sz w:val="20"/>
              </w:rPr>
            </w:pPr>
            <w:r w:rsidRPr="00874BFF">
              <w:rPr>
                <w:sz w:val="20"/>
              </w:rPr>
              <w:t>11.1%</w:t>
            </w:r>
          </w:p>
        </w:tc>
      </w:tr>
      <w:tr w:rsidR="006D3AD5" w:rsidRPr="00874BFF" w14:paraId="7E2E633B" w14:textId="77777777" w:rsidTr="00443B8F">
        <w:trPr>
          <w:trHeight w:val="255"/>
        </w:trPr>
        <w:tc>
          <w:tcPr>
            <w:tcW w:w="3404" w:type="dxa"/>
            <w:noWrap/>
          </w:tcPr>
          <w:p w14:paraId="7C125B64" w14:textId="77777777" w:rsidR="006D3AD5" w:rsidRPr="00874BFF" w:rsidRDefault="006D3AD5" w:rsidP="00443B8F">
            <w:pPr>
              <w:overflowPunct/>
              <w:autoSpaceDE/>
              <w:autoSpaceDN/>
              <w:adjustRightInd/>
              <w:jc w:val="left"/>
              <w:textAlignment w:val="auto"/>
              <w:rPr>
                <w:rFonts w:cs="Arial"/>
                <w:sz w:val="20"/>
              </w:rPr>
            </w:pPr>
            <w:r w:rsidRPr="00874BFF">
              <w:rPr>
                <w:sz w:val="20"/>
              </w:rPr>
              <w:t>Own sources of financing</w:t>
            </w:r>
          </w:p>
        </w:tc>
        <w:tc>
          <w:tcPr>
            <w:tcW w:w="919" w:type="dxa"/>
            <w:noWrap/>
          </w:tcPr>
          <w:p w14:paraId="6749065C" w14:textId="77777777" w:rsidR="006D3AD5" w:rsidRPr="00874BFF" w:rsidRDefault="006D3AD5" w:rsidP="00443B8F">
            <w:pPr>
              <w:overflowPunct/>
              <w:autoSpaceDE/>
              <w:autoSpaceDN/>
              <w:adjustRightInd/>
              <w:jc w:val="right"/>
              <w:textAlignment w:val="auto"/>
              <w:rPr>
                <w:rFonts w:cs="Arial"/>
                <w:sz w:val="20"/>
              </w:rPr>
            </w:pPr>
            <w:r w:rsidRPr="00874BFF">
              <w:rPr>
                <w:sz w:val="20"/>
              </w:rPr>
              <w:t>215</w:t>
            </w:r>
          </w:p>
        </w:tc>
        <w:tc>
          <w:tcPr>
            <w:tcW w:w="1636" w:type="dxa"/>
            <w:noWrap/>
          </w:tcPr>
          <w:p w14:paraId="7785E68A" w14:textId="77777777" w:rsidR="006D3AD5" w:rsidRPr="00874BFF" w:rsidRDefault="006D3AD5" w:rsidP="00443B8F">
            <w:pPr>
              <w:overflowPunct/>
              <w:autoSpaceDE/>
              <w:autoSpaceDN/>
              <w:adjustRightInd/>
              <w:jc w:val="right"/>
              <w:textAlignment w:val="auto"/>
              <w:rPr>
                <w:rFonts w:cs="Arial"/>
                <w:sz w:val="20"/>
              </w:rPr>
            </w:pPr>
            <w:r w:rsidRPr="00874BFF">
              <w:rPr>
                <w:sz w:val="20"/>
              </w:rPr>
              <w:t>25</w:t>
            </w:r>
          </w:p>
        </w:tc>
        <w:tc>
          <w:tcPr>
            <w:tcW w:w="1417" w:type="dxa"/>
            <w:noWrap/>
          </w:tcPr>
          <w:p w14:paraId="66EA2448" w14:textId="77777777" w:rsidR="006D3AD5" w:rsidRPr="00874BFF" w:rsidRDefault="006D3AD5" w:rsidP="00443B8F">
            <w:pPr>
              <w:overflowPunct/>
              <w:autoSpaceDE/>
              <w:autoSpaceDN/>
              <w:adjustRightInd/>
              <w:jc w:val="right"/>
              <w:textAlignment w:val="auto"/>
              <w:rPr>
                <w:rFonts w:cs="Arial"/>
                <w:sz w:val="20"/>
              </w:rPr>
            </w:pPr>
            <w:r w:rsidRPr="00874BFF">
              <w:rPr>
                <w:sz w:val="20"/>
              </w:rPr>
              <w:t>240</w:t>
            </w:r>
          </w:p>
        </w:tc>
        <w:tc>
          <w:tcPr>
            <w:tcW w:w="1319" w:type="dxa"/>
            <w:noWrap/>
          </w:tcPr>
          <w:p w14:paraId="3F7ECA94" w14:textId="77777777" w:rsidR="006D3AD5" w:rsidRPr="00874BFF" w:rsidRDefault="006D3AD5" w:rsidP="00443B8F">
            <w:pPr>
              <w:overflowPunct/>
              <w:autoSpaceDE/>
              <w:autoSpaceDN/>
              <w:adjustRightInd/>
              <w:jc w:val="right"/>
              <w:textAlignment w:val="auto"/>
              <w:rPr>
                <w:rFonts w:cs="Arial"/>
                <w:sz w:val="20"/>
              </w:rPr>
            </w:pPr>
            <w:r w:rsidRPr="00874BFF">
              <w:rPr>
                <w:sz w:val="20"/>
              </w:rPr>
              <w:t>10.4%</w:t>
            </w:r>
          </w:p>
        </w:tc>
      </w:tr>
    </w:tbl>
    <w:p w14:paraId="54A1DBF9" w14:textId="77777777" w:rsidR="006D3AD5" w:rsidRPr="00874BFF" w:rsidRDefault="006D3AD5" w:rsidP="006D3AD5"/>
    <w:p w14:paraId="6080BDF1" w14:textId="77777777" w:rsidR="006D3AD5" w:rsidRPr="00874BFF" w:rsidRDefault="006D3AD5" w:rsidP="006D3AD5">
      <w:r w:rsidRPr="00874BFF">
        <w:t xml:space="preserve">In the past years, the companies that are planning to invest in the RDI in the next three years  were striving for funding via loans in particular, where their success rate in medium-term and long-term loans reached 75.6 %. The most available, common source of funding was leasing with a percentage of </w:t>
      </w:r>
      <w:r w:rsidRPr="00874BFF">
        <w:lastRenderedPageBreak/>
        <w:t>unsuccessful applicants for financing  of 7.6 %. The company respondents only rarely used a venture capital and other alternative forms of financing (private equity, public  issue of shares, corporate bonds, micro-loans including crowdfunding and P2P lending). It results from the character of the target companies, established SMEs with a business history that do not usually use these types of funding due to both costs and availability. This situation is entirely different in innovative start-ups existing not longer than approximately three years that are the priority of SO 2.1.</w:t>
      </w:r>
    </w:p>
    <w:p w14:paraId="4603A243" w14:textId="77777777" w:rsidR="006D3AD5" w:rsidRPr="00874BFF" w:rsidRDefault="006D3AD5" w:rsidP="006D3AD5"/>
    <w:p w14:paraId="1474CAC5" w14:textId="7167D9AE" w:rsidR="006D3AD5" w:rsidRPr="00874BFF" w:rsidRDefault="006D3AD5" w:rsidP="006D3AD5">
      <w:pPr>
        <w:pStyle w:val="Titulek"/>
      </w:pPr>
      <w:r w:rsidRPr="00874BFF">
        <w:t xml:space="preserve">Table </w:t>
      </w:r>
      <w:r w:rsidR="001F7E48">
        <w:t>4</w:t>
      </w:r>
      <w:r w:rsidRPr="00874BFF">
        <w:t>: Availability of investment financing</w:t>
      </w:r>
    </w:p>
    <w:tbl>
      <w:tblPr>
        <w:tblW w:w="9416" w:type="dxa"/>
        <w:tblInd w:w="65" w:type="dxa"/>
        <w:tblCellMar>
          <w:left w:w="70" w:type="dxa"/>
          <w:right w:w="70" w:type="dxa"/>
        </w:tblCellMar>
        <w:tblLook w:val="0000" w:firstRow="0" w:lastRow="0" w:firstColumn="0" w:lastColumn="0" w:noHBand="0" w:noVBand="0"/>
      </w:tblPr>
      <w:tblGrid>
        <w:gridCol w:w="7826"/>
        <w:gridCol w:w="960"/>
        <w:gridCol w:w="795"/>
      </w:tblGrid>
      <w:tr w:rsidR="006D3AD5" w:rsidRPr="00874BFF" w14:paraId="52756A3E" w14:textId="77777777" w:rsidTr="00443B8F">
        <w:trPr>
          <w:trHeight w:val="255"/>
        </w:trPr>
        <w:tc>
          <w:tcPr>
            <w:tcW w:w="7826" w:type="dxa"/>
            <w:tcBorders>
              <w:top w:val="single" w:sz="4" w:space="0" w:color="auto"/>
              <w:left w:val="single" w:sz="4" w:space="0" w:color="auto"/>
              <w:bottom w:val="single" w:sz="4" w:space="0" w:color="auto"/>
              <w:right w:val="single" w:sz="4" w:space="0" w:color="auto"/>
            </w:tcBorders>
            <w:noWrap/>
            <w:vAlign w:val="bottom"/>
          </w:tcPr>
          <w:p w14:paraId="5F93A6A8"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Availability of investment financing in the last three years</w:t>
            </w:r>
          </w:p>
        </w:tc>
        <w:tc>
          <w:tcPr>
            <w:tcW w:w="795" w:type="dxa"/>
            <w:tcBorders>
              <w:top w:val="single" w:sz="4" w:space="0" w:color="auto"/>
              <w:left w:val="nil"/>
              <w:bottom w:val="single" w:sz="4" w:space="0" w:color="auto"/>
              <w:right w:val="single" w:sz="4" w:space="0" w:color="auto"/>
            </w:tcBorders>
            <w:noWrap/>
            <w:vAlign w:val="bottom"/>
          </w:tcPr>
          <w:p w14:paraId="3E6D529F" w14:textId="77777777" w:rsidR="006D3AD5" w:rsidRPr="00874BFF" w:rsidRDefault="006D3AD5" w:rsidP="00443B8F">
            <w:pPr>
              <w:overflowPunct/>
              <w:autoSpaceDE/>
              <w:autoSpaceDN/>
              <w:adjustRightInd/>
              <w:jc w:val="left"/>
              <w:textAlignment w:val="auto"/>
              <w:rPr>
                <w:rFonts w:cs="Arial"/>
                <w:sz w:val="20"/>
              </w:rPr>
            </w:pPr>
            <w:r w:rsidRPr="00874BFF">
              <w:rPr>
                <w:sz w:val="20"/>
              </w:rPr>
              <w:t> Number of responses</w:t>
            </w:r>
          </w:p>
        </w:tc>
        <w:tc>
          <w:tcPr>
            <w:tcW w:w="795" w:type="dxa"/>
            <w:tcBorders>
              <w:top w:val="single" w:sz="4" w:space="0" w:color="auto"/>
              <w:left w:val="nil"/>
              <w:bottom w:val="single" w:sz="4" w:space="0" w:color="auto"/>
              <w:right w:val="single" w:sz="4" w:space="0" w:color="auto"/>
            </w:tcBorders>
            <w:noWrap/>
            <w:vAlign w:val="bottom"/>
          </w:tcPr>
          <w:p w14:paraId="03078491" w14:textId="77777777" w:rsidR="006D3AD5" w:rsidRPr="00874BFF" w:rsidRDefault="006D3AD5" w:rsidP="00443B8F">
            <w:pPr>
              <w:overflowPunct/>
              <w:autoSpaceDE/>
              <w:autoSpaceDN/>
              <w:adjustRightInd/>
              <w:jc w:val="left"/>
              <w:textAlignment w:val="auto"/>
              <w:rPr>
                <w:rFonts w:cs="Arial"/>
                <w:sz w:val="20"/>
              </w:rPr>
            </w:pPr>
            <w:r w:rsidRPr="00874BFF">
              <w:rPr>
                <w:sz w:val="20"/>
              </w:rPr>
              <w:t> Share</w:t>
            </w:r>
          </w:p>
        </w:tc>
      </w:tr>
      <w:tr w:rsidR="006D3AD5" w:rsidRPr="00874BFF" w14:paraId="3752F9D3" w14:textId="77777777" w:rsidTr="00443B8F">
        <w:trPr>
          <w:trHeight w:val="255"/>
        </w:trPr>
        <w:tc>
          <w:tcPr>
            <w:tcW w:w="7826" w:type="dxa"/>
            <w:tcBorders>
              <w:top w:val="nil"/>
              <w:left w:val="single" w:sz="4" w:space="0" w:color="auto"/>
              <w:bottom w:val="single" w:sz="4" w:space="0" w:color="auto"/>
              <w:right w:val="single" w:sz="4" w:space="0" w:color="auto"/>
            </w:tcBorders>
            <w:noWrap/>
            <w:vAlign w:val="bottom"/>
          </w:tcPr>
          <w:p w14:paraId="7D79B5DF" w14:textId="77777777" w:rsidR="006D3AD5" w:rsidRPr="00874BFF" w:rsidRDefault="006D3AD5" w:rsidP="00443B8F">
            <w:pPr>
              <w:overflowPunct/>
              <w:autoSpaceDE/>
              <w:autoSpaceDN/>
              <w:adjustRightInd/>
              <w:jc w:val="left"/>
              <w:textAlignment w:val="auto"/>
              <w:rPr>
                <w:rFonts w:cs="Arial"/>
                <w:sz w:val="20"/>
              </w:rPr>
            </w:pPr>
            <w:r w:rsidRPr="00874BFF">
              <w:rPr>
                <w:sz w:val="20"/>
              </w:rPr>
              <w:t>Problem-free – We receive funds relatively quickly and easily; the negotiations are usually efficient and successful.</w:t>
            </w:r>
          </w:p>
        </w:tc>
        <w:tc>
          <w:tcPr>
            <w:tcW w:w="795" w:type="dxa"/>
            <w:tcBorders>
              <w:top w:val="nil"/>
              <w:left w:val="nil"/>
              <w:bottom w:val="single" w:sz="4" w:space="0" w:color="auto"/>
              <w:right w:val="single" w:sz="4" w:space="0" w:color="auto"/>
            </w:tcBorders>
            <w:noWrap/>
            <w:vAlign w:val="bottom"/>
          </w:tcPr>
          <w:p w14:paraId="41432BB1" w14:textId="77777777" w:rsidR="006D3AD5" w:rsidRPr="00874BFF" w:rsidRDefault="006D3AD5" w:rsidP="00443B8F">
            <w:pPr>
              <w:overflowPunct/>
              <w:autoSpaceDE/>
              <w:autoSpaceDN/>
              <w:adjustRightInd/>
              <w:jc w:val="right"/>
              <w:textAlignment w:val="auto"/>
              <w:rPr>
                <w:rFonts w:cs="Arial"/>
                <w:sz w:val="20"/>
              </w:rPr>
            </w:pPr>
            <w:r w:rsidRPr="00874BFF">
              <w:rPr>
                <w:sz w:val="20"/>
              </w:rPr>
              <w:t>155</w:t>
            </w:r>
          </w:p>
        </w:tc>
        <w:tc>
          <w:tcPr>
            <w:tcW w:w="795" w:type="dxa"/>
            <w:tcBorders>
              <w:top w:val="nil"/>
              <w:left w:val="nil"/>
              <w:bottom w:val="single" w:sz="4" w:space="0" w:color="auto"/>
              <w:right w:val="single" w:sz="4" w:space="0" w:color="auto"/>
            </w:tcBorders>
            <w:noWrap/>
            <w:vAlign w:val="bottom"/>
          </w:tcPr>
          <w:p w14:paraId="48EFEC8F" w14:textId="77777777" w:rsidR="006D3AD5" w:rsidRPr="00874BFF" w:rsidRDefault="006D3AD5" w:rsidP="00443B8F">
            <w:pPr>
              <w:overflowPunct/>
              <w:autoSpaceDE/>
              <w:autoSpaceDN/>
              <w:adjustRightInd/>
              <w:jc w:val="right"/>
              <w:textAlignment w:val="auto"/>
              <w:rPr>
                <w:rFonts w:cs="Arial"/>
                <w:sz w:val="20"/>
              </w:rPr>
            </w:pPr>
            <w:r w:rsidRPr="00874BFF">
              <w:rPr>
                <w:sz w:val="20"/>
              </w:rPr>
              <w:t>45.3%</w:t>
            </w:r>
          </w:p>
        </w:tc>
      </w:tr>
      <w:tr w:rsidR="006D3AD5" w:rsidRPr="00874BFF" w14:paraId="0E50C88A" w14:textId="77777777" w:rsidTr="00443B8F">
        <w:trPr>
          <w:trHeight w:val="255"/>
        </w:trPr>
        <w:tc>
          <w:tcPr>
            <w:tcW w:w="7826" w:type="dxa"/>
            <w:tcBorders>
              <w:top w:val="nil"/>
              <w:left w:val="single" w:sz="4" w:space="0" w:color="auto"/>
              <w:bottom w:val="single" w:sz="4" w:space="0" w:color="auto"/>
              <w:right w:val="single" w:sz="4" w:space="0" w:color="auto"/>
            </w:tcBorders>
            <w:noWrap/>
            <w:vAlign w:val="bottom"/>
          </w:tcPr>
          <w:p w14:paraId="0546DF42" w14:textId="77777777" w:rsidR="006D3AD5" w:rsidRPr="00874BFF" w:rsidRDefault="006D3AD5" w:rsidP="00443B8F">
            <w:pPr>
              <w:overflowPunct/>
              <w:autoSpaceDE/>
              <w:autoSpaceDN/>
              <w:adjustRightInd/>
              <w:jc w:val="left"/>
              <w:textAlignment w:val="auto"/>
              <w:rPr>
                <w:rFonts w:cs="Arial"/>
                <w:sz w:val="20"/>
              </w:rPr>
            </w:pPr>
            <w:r w:rsidRPr="00874BFF">
              <w:rPr>
                <w:sz w:val="20"/>
              </w:rPr>
              <w:t>With minor problems – The information is sufficient and the funding provider can be found after several rounds of talks.</w:t>
            </w:r>
          </w:p>
        </w:tc>
        <w:tc>
          <w:tcPr>
            <w:tcW w:w="795" w:type="dxa"/>
            <w:tcBorders>
              <w:top w:val="nil"/>
              <w:left w:val="nil"/>
              <w:bottom w:val="single" w:sz="4" w:space="0" w:color="auto"/>
              <w:right w:val="single" w:sz="4" w:space="0" w:color="auto"/>
            </w:tcBorders>
            <w:noWrap/>
            <w:vAlign w:val="bottom"/>
          </w:tcPr>
          <w:p w14:paraId="0AEFA505" w14:textId="77777777" w:rsidR="006D3AD5" w:rsidRPr="00874BFF" w:rsidRDefault="006D3AD5" w:rsidP="00443B8F">
            <w:pPr>
              <w:overflowPunct/>
              <w:autoSpaceDE/>
              <w:autoSpaceDN/>
              <w:adjustRightInd/>
              <w:jc w:val="right"/>
              <w:textAlignment w:val="auto"/>
              <w:rPr>
                <w:rFonts w:cs="Arial"/>
                <w:sz w:val="20"/>
              </w:rPr>
            </w:pPr>
            <w:r w:rsidRPr="00874BFF">
              <w:rPr>
                <w:sz w:val="20"/>
              </w:rPr>
              <w:t>81</w:t>
            </w:r>
          </w:p>
        </w:tc>
        <w:tc>
          <w:tcPr>
            <w:tcW w:w="795" w:type="dxa"/>
            <w:tcBorders>
              <w:top w:val="nil"/>
              <w:left w:val="nil"/>
              <w:bottom w:val="single" w:sz="4" w:space="0" w:color="auto"/>
              <w:right w:val="single" w:sz="4" w:space="0" w:color="auto"/>
            </w:tcBorders>
            <w:noWrap/>
            <w:vAlign w:val="bottom"/>
          </w:tcPr>
          <w:p w14:paraId="269A7394" w14:textId="77777777" w:rsidR="006D3AD5" w:rsidRPr="00874BFF" w:rsidRDefault="006D3AD5" w:rsidP="00443B8F">
            <w:pPr>
              <w:overflowPunct/>
              <w:autoSpaceDE/>
              <w:autoSpaceDN/>
              <w:adjustRightInd/>
              <w:jc w:val="right"/>
              <w:textAlignment w:val="auto"/>
              <w:rPr>
                <w:rFonts w:cs="Arial"/>
                <w:sz w:val="20"/>
              </w:rPr>
            </w:pPr>
            <w:r w:rsidRPr="00874BFF">
              <w:rPr>
                <w:sz w:val="20"/>
              </w:rPr>
              <w:t>23.7%</w:t>
            </w:r>
          </w:p>
        </w:tc>
      </w:tr>
      <w:tr w:rsidR="006D3AD5" w:rsidRPr="00874BFF" w14:paraId="6369335A" w14:textId="77777777" w:rsidTr="00443B8F">
        <w:trPr>
          <w:trHeight w:val="255"/>
        </w:trPr>
        <w:tc>
          <w:tcPr>
            <w:tcW w:w="7826" w:type="dxa"/>
            <w:tcBorders>
              <w:top w:val="nil"/>
              <w:left w:val="single" w:sz="4" w:space="0" w:color="auto"/>
              <w:bottom w:val="single" w:sz="4" w:space="0" w:color="auto"/>
              <w:right w:val="single" w:sz="4" w:space="0" w:color="auto"/>
            </w:tcBorders>
            <w:noWrap/>
            <w:vAlign w:val="bottom"/>
          </w:tcPr>
          <w:p w14:paraId="4C2A0C75"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merely good –  financial resources exist here, but they are difficult to raise.</w:t>
            </w:r>
          </w:p>
        </w:tc>
        <w:tc>
          <w:tcPr>
            <w:tcW w:w="795" w:type="dxa"/>
            <w:tcBorders>
              <w:top w:val="nil"/>
              <w:left w:val="nil"/>
              <w:bottom w:val="single" w:sz="4" w:space="0" w:color="auto"/>
              <w:right w:val="single" w:sz="4" w:space="0" w:color="auto"/>
            </w:tcBorders>
            <w:noWrap/>
            <w:vAlign w:val="bottom"/>
          </w:tcPr>
          <w:p w14:paraId="042CB26F" w14:textId="77777777" w:rsidR="006D3AD5" w:rsidRPr="00874BFF" w:rsidRDefault="006D3AD5" w:rsidP="00443B8F">
            <w:pPr>
              <w:overflowPunct/>
              <w:autoSpaceDE/>
              <w:autoSpaceDN/>
              <w:adjustRightInd/>
              <w:jc w:val="right"/>
              <w:textAlignment w:val="auto"/>
              <w:rPr>
                <w:rFonts w:cs="Arial"/>
                <w:sz w:val="20"/>
              </w:rPr>
            </w:pPr>
            <w:r w:rsidRPr="00874BFF">
              <w:rPr>
                <w:sz w:val="20"/>
              </w:rPr>
              <w:t>48</w:t>
            </w:r>
          </w:p>
        </w:tc>
        <w:tc>
          <w:tcPr>
            <w:tcW w:w="795" w:type="dxa"/>
            <w:tcBorders>
              <w:top w:val="nil"/>
              <w:left w:val="nil"/>
              <w:bottom w:val="single" w:sz="4" w:space="0" w:color="auto"/>
              <w:right w:val="single" w:sz="4" w:space="0" w:color="auto"/>
            </w:tcBorders>
            <w:noWrap/>
            <w:vAlign w:val="bottom"/>
          </w:tcPr>
          <w:p w14:paraId="41C5FC34" w14:textId="77777777" w:rsidR="006D3AD5" w:rsidRPr="00874BFF" w:rsidRDefault="006D3AD5" w:rsidP="00443B8F">
            <w:pPr>
              <w:overflowPunct/>
              <w:autoSpaceDE/>
              <w:autoSpaceDN/>
              <w:adjustRightInd/>
              <w:jc w:val="right"/>
              <w:textAlignment w:val="auto"/>
              <w:rPr>
                <w:rFonts w:cs="Arial"/>
                <w:sz w:val="20"/>
              </w:rPr>
            </w:pPr>
            <w:r w:rsidRPr="00874BFF">
              <w:rPr>
                <w:sz w:val="20"/>
              </w:rPr>
              <w:t>14.0%</w:t>
            </w:r>
          </w:p>
        </w:tc>
      </w:tr>
      <w:tr w:rsidR="006D3AD5" w:rsidRPr="00874BFF" w14:paraId="00ADC649" w14:textId="77777777" w:rsidTr="00443B8F">
        <w:trPr>
          <w:trHeight w:val="255"/>
        </w:trPr>
        <w:tc>
          <w:tcPr>
            <w:tcW w:w="7826" w:type="dxa"/>
            <w:tcBorders>
              <w:top w:val="nil"/>
              <w:left w:val="single" w:sz="4" w:space="0" w:color="auto"/>
              <w:bottom w:val="single" w:sz="4" w:space="0" w:color="auto"/>
              <w:right w:val="single" w:sz="4" w:space="0" w:color="auto"/>
            </w:tcBorders>
            <w:noWrap/>
            <w:vAlign w:val="bottom"/>
          </w:tcPr>
          <w:p w14:paraId="55E3E314"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poor – there is an information barrier; the banks have high requirements for the collateral value, etc.</w:t>
            </w:r>
          </w:p>
        </w:tc>
        <w:tc>
          <w:tcPr>
            <w:tcW w:w="795" w:type="dxa"/>
            <w:tcBorders>
              <w:top w:val="nil"/>
              <w:left w:val="nil"/>
              <w:bottom w:val="single" w:sz="4" w:space="0" w:color="auto"/>
              <w:right w:val="single" w:sz="4" w:space="0" w:color="auto"/>
            </w:tcBorders>
            <w:noWrap/>
            <w:vAlign w:val="bottom"/>
          </w:tcPr>
          <w:p w14:paraId="228B58E0" w14:textId="77777777" w:rsidR="006D3AD5" w:rsidRPr="00874BFF" w:rsidRDefault="006D3AD5" w:rsidP="00443B8F">
            <w:pPr>
              <w:overflowPunct/>
              <w:autoSpaceDE/>
              <w:autoSpaceDN/>
              <w:adjustRightInd/>
              <w:jc w:val="right"/>
              <w:textAlignment w:val="auto"/>
              <w:rPr>
                <w:rFonts w:cs="Arial"/>
                <w:sz w:val="20"/>
              </w:rPr>
            </w:pPr>
            <w:r w:rsidRPr="00874BFF">
              <w:rPr>
                <w:sz w:val="20"/>
              </w:rPr>
              <w:t>58</w:t>
            </w:r>
          </w:p>
        </w:tc>
        <w:tc>
          <w:tcPr>
            <w:tcW w:w="795" w:type="dxa"/>
            <w:tcBorders>
              <w:top w:val="nil"/>
              <w:left w:val="nil"/>
              <w:bottom w:val="single" w:sz="4" w:space="0" w:color="auto"/>
              <w:right w:val="single" w:sz="4" w:space="0" w:color="auto"/>
            </w:tcBorders>
            <w:noWrap/>
            <w:vAlign w:val="bottom"/>
          </w:tcPr>
          <w:p w14:paraId="56DD3E59" w14:textId="77777777" w:rsidR="006D3AD5" w:rsidRPr="00874BFF" w:rsidRDefault="006D3AD5" w:rsidP="00443B8F">
            <w:pPr>
              <w:overflowPunct/>
              <w:autoSpaceDE/>
              <w:autoSpaceDN/>
              <w:adjustRightInd/>
              <w:jc w:val="right"/>
              <w:textAlignment w:val="auto"/>
              <w:rPr>
                <w:rFonts w:cs="Arial"/>
                <w:sz w:val="20"/>
              </w:rPr>
            </w:pPr>
            <w:r w:rsidRPr="00874BFF">
              <w:rPr>
                <w:sz w:val="20"/>
              </w:rPr>
              <w:t>17.0%</w:t>
            </w:r>
          </w:p>
        </w:tc>
      </w:tr>
      <w:tr w:rsidR="006D3AD5" w:rsidRPr="00874BFF" w14:paraId="20BFD91B" w14:textId="77777777" w:rsidTr="00443B8F">
        <w:trPr>
          <w:trHeight w:val="255"/>
        </w:trPr>
        <w:tc>
          <w:tcPr>
            <w:tcW w:w="7826" w:type="dxa"/>
            <w:tcBorders>
              <w:top w:val="nil"/>
              <w:left w:val="nil"/>
              <w:bottom w:val="nil"/>
              <w:right w:val="nil"/>
            </w:tcBorders>
            <w:noWrap/>
            <w:vAlign w:val="bottom"/>
          </w:tcPr>
          <w:p w14:paraId="259C8BDA" w14:textId="77777777" w:rsidR="006D3AD5" w:rsidRPr="00874BFF" w:rsidRDefault="006D3AD5" w:rsidP="00443B8F">
            <w:pPr>
              <w:overflowPunct/>
              <w:autoSpaceDE/>
              <w:autoSpaceDN/>
              <w:adjustRightInd/>
              <w:jc w:val="left"/>
              <w:textAlignment w:val="auto"/>
              <w:rPr>
                <w:rFonts w:cs="Arial"/>
                <w:sz w:val="20"/>
              </w:rPr>
            </w:pPr>
            <w:r w:rsidRPr="00874BFF">
              <w:rPr>
                <w:sz w:val="20"/>
              </w:rPr>
              <w:t>n=342</w:t>
            </w:r>
          </w:p>
        </w:tc>
        <w:tc>
          <w:tcPr>
            <w:tcW w:w="795" w:type="dxa"/>
            <w:tcBorders>
              <w:top w:val="nil"/>
              <w:left w:val="nil"/>
              <w:bottom w:val="nil"/>
              <w:right w:val="nil"/>
            </w:tcBorders>
            <w:noWrap/>
            <w:vAlign w:val="bottom"/>
          </w:tcPr>
          <w:p w14:paraId="01ADFFEB" w14:textId="77777777" w:rsidR="006D3AD5" w:rsidRPr="00874BFF" w:rsidRDefault="006D3AD5" w:rsidP="00443B8F">
            <w:pPr>
              <w:overflowPunct/>
              <w:autoSpaceDE/>
              <w:autoSpaceDN/>
              <w:adjustRightInd/>
              <w:jc w:val="left"/>
              <w:textAlignment w:val="auto"/>
              <w:rPr>
                <w:rFonts w:cs="Arial"/>
                <w:sz w:val="20"/>
              </w:rPr>
            </w:pPr>
          </w:p>
        </w:tc>
        <w:tc>
          <w:tcPr>
            <w:tcW w:w="795" w:type="dxa"/>
            <w:tcBorders>
              <w:top w:val="nil"/>
              <w:left w:val="nil"/>
              <w:bottom w:val="nil"/>
              <w:right w:val="nil"/>
            </w:tcBorders>
            <w:noWrap/>
            <w:vAlign w:val="bottom"/>
          </w:tcPr>
          <w:p w14:paraId="0B3F918F" w14:textId="77777777" w:rsidR="006D3AD5" w:rsidRPr="00874BFF" w:rsidRDefault="006D3AD5" w:rsidP="00443B8F">
            <w:pPr>
              <w:overflowPunct/>
              <w:autoSpaceDE/>
              <w:autoSpaceDN/>
              <w:adjustRightInd/>
              <w:jc w:val="left"/>
              <w:textAlignment w:val="auto"/>
              <w:rPr>
                <w:rFonts w:cs="Arial"/>
                <w:sz w:val="20"/>
              </w:rPr>
            </w:pPr>
          </w:p>
        </w:tc>
      </w:tr>
    </w:tbl>
    <w:p w14:paraId="7AF8B1D5" w14:textId="77777777" w:rsidR="006D3AD5" w:rsidRPr="00874BFF" w:rsidRDefault="006D3AD5" w:rsidP="006D3AD5"/>
    <w:p w14:paraId="31CB2733" w14:textId="77777777" w:rsidR="006D3AD5" w:rsidRPr="00874BFF" w:rsidRDefault="006D3AD5" w:rsidP="006D3AD5">
      <w:r w:rsidRPr="00874BFF">
        <w:t>All in all, the respondents therefore evaluated their access to financing as difficult in 31 % of the cases.</w:t>
      </w:r>
    </w:p>
    <w:p w14:paraId="59AB9BE1" w14:textId="77777777" w:rsidR="006D3AD5" w:rsidRPr="00874BFF" w:rsidRDefault="006D3AD5" w:rsidP="006D3AD5"/>
    <w:p w14:paraId="2787E41A" w14:textId="3816EDE2" w:rsidR="006D3AD5" w:rsidRPr="00874BFF" w:rsidRDefault="006D3AD5" w:rsidP="006D3AD5">
      <w:pPr>
        <w:pStyle w:val="Titulek"/>
      </w:pPr>
      <w:r w:rsidRPr="00874BFF">
        <w:t xml:space="preserve">Table </w:t>
      </w:r>
      <w:r w:rsidR="001F7E48">
        <w:t>5</w:t>
      </w:r>
      <w:r w:rsidRPr="00874BFF">
        <w:t>: Reasons for difficult access to financing</w:t>
      </w:r>
    </w:p>
    <w:tbl>
      <w:tblPr>
        <w:tblW w:w="3906" w:type="dxa"/>
        <w:tblInd w:w="65" w:type="dxa"/>
        <w:tblCellMar>
          <w:left w:w="70" w:type="dxa"/>
          <w:right w:w="70" w:type="dxa"/>
        </w:tblCellMar>
        <w:tblLook w:val="0000" w:firstRow="0" w:lastRow="0" w:firstColumn="0" w:lastColumn="0" w:noHBand="0" w:noVBand="0"/>
      </w:tblPr>
      <w:tblGrid>
        <w:gridCol w:w="2946"/>
        <w:gridCol w:w="960"/>
      </w:tblGrid>
      <w:tr w:rsidR="006D3AD5" w:rsidRPr="00874BFF" w14:paraId="6846F805" w14:textId="77777777" w:rsidTr="00443B8F">
        <w:trPr>
          <w:trHeight w:val="255"/>
        </w:trPr>
        <w:tc>
          <w:tcPr>
            <w:tcW w:w="2946" w:type="dxa"/>
            <w:tcBorders>
              <w:top w:val="single" w:sz="4" w:space="0" w:color="auto"/>
              <w:left w:val="single" w:sz="4" w:space="0" w:color="auto"/>
              <w:bottom w:val="single" w:sz="4" w:space="0" w:color="auto"/>
              <w:right w:val="single" w:sz="4" w:space="0" w:color="auto"/>
            </w:tcBorders>
            <w:noWrap/>
            <w:vAlign w:val="bottom"/>
          </w:tcPr>
          <w:p w14:paraId="2346795C"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Major reasons for difficult access to financing</w:t>
            </w:r>
          </w:p>
        </w:tc>
        <w:tc>
          <w:tcPr>
            <w:tcW w:w="960" w:type="dxa"/>
            <w:tcBorders>
              <w:top w:val="single" w:sz="4" w:space="0" w:color="auto"/>
              <w:left w:val="nil"/>
              <w:bottom w:val="single" w:sz="4" w:space="0" w:color="auto"/>
              <w:right w:val="single" w:sz="4" w:space="0" w:color="auto"/>
            </w:tcBorders>
            <w:noWrap/>
            <w:vAlign w:val="bottom"/>
          </w:tcPr>
          <w:p w14:paraId="61AA95F0" w14:textId="77777777" w:rsidR="006D3AD5" w:rsidRPr="00874BFF" w:rsidRDefault="006D3AD5" w:rsidP="00443B8F">
            <w:pPr>
              <w:overflowPunct/>
              <w:autoSpaceDE/>
              <w:autoSpaceDN/>
              <w:adjustRightInd/>
              <w:jc w:val="left"/>
              <w:textAlignment w:val="auto"/>
              <w:rPr>
                <w:rFonts w:cs="Arial"/>
                <w:sz w:val="20"/>
              </w:rPr>
            </w:pPr>
            <w:r w:rsidRPr="00874BFF">
              <w:rPr>
                <w:sz w:val="20"/>
              </w:rPr>
              <w:t> Number of responses</w:t>
            </w:r>
          </w:p>
        </w:tc>
      </w:tr>
      <w:tr w:rsidR="006D3AD5" w:rsidRPr="00874BFF" w14:paraId="24437DF6"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05A5BDDF" w14:textId="77777777" w:rsidR="006D3AD5" w:rsidRPr="00874BFF" w:rsidRDefault="006D3AD5" w:rsidP="00443B8F">
            <w:pPr>
              <w:overflowPunct/>
              <w:autoSpaceDE/>
              <w:autoSpaceDN/>
              <w:adjustRightInd/>
              <w:jc w:val="left"/>
              <w:textAlignment w:val="auto"/>
              <w:rPr>
                <w:rFonts w:cs="Arial"/>
                <w:sz w:val="20"/>
              </w:rPr>
            </w:pPr>
            <w:r w:rsidRPr="00874BFF">
              <w:rPr>
                <w:sz w:val="20"/>
              </w:rPr>
              <w:t>Long payback period of the project</w:t>
            </w:r>
          </w:p>
        </w:tc>
        <w:tc>
          <w:tcPr>
            <w:tcW w:w="960" w:type="dxa"/>
            <w:tcBorders>
              <w:top w:val="nil"/>
              <w:left w:val="nil"/>
              <w:bottom w:val="single" w:sz="4" w:space="0" w:color="auto"/>
              <w:right w:val="single" w:sz="4" w:space="0" w:color="auto"/>
            </w:tcBorders>
            <w:noWrap/>
            <w:vAlign w:val="bottom"/>
          </w:tcPr>
          <w:p w14:paraId="4271D6A0" w14:textId="77777777" w:rsidR="006D3AD5" w:rsidRPr="00874BFF" w:rsidRDefault="006D3AD5" w:rsidP="00443B8F">
            <w:pPr>
              <w:overflowPunct/>
              <w:autoSpaceDE/>
              <w:autoSpaceDN/>
              <w:adjustRightInd/>
              <w:jc w:val="right"/>
              <w:textAlignment w:val="auto"/>
              <w:rPr>
                <w:rFonts w:cs="Arial"/>
                <w:sz w:val="20"/>
              </w:rPr>
            </w:pPr>
            <w:r w:rsidRPr="00874BFF">
              <w:rPr>
                <w:sz w:val="20"/>
              </w:rPr>
              <w:t>31</w:t>
            </w:r>
          </w:p>
        </w:tc>
      </w:tr>
      <w:tr w:rsidR="006D3AD5" w:rsidRPr="00874BFF" w14:paraId="47856749"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4C4404EF" w14:textId="77777777" w:rsidR="006D3AD5" w:rsidRPr="00874BFF" w:rsidRDefault="006D3AD5" w:rsidP="00443B8F">
            <w:pPr>
              <w:overflowPunct/>
              <w:autoSpaceDE/>
              <w:autoSpaceDN/>
              <w:adjustRightInd/>
              <w:jc w:val="left"/>
              <w:textAlignment w:val="auto"/>
              <w:rPr>
                <w:rFonts w:cs="Arial"/>
                <w:sz w:val="20"/>
              </w:rPr>
            </w:pPr>
            <w:r w:rsidRPr="00874BFF">
              <w:rPr>
                <w:sz w:val="20"/>
              </w:rPr>
              <w:t>Short business history</w:t>
            </w:r>
          </w:p>
        </w:tc>
        <w:tc>
          <w:tcPr>
            <w:tcW w:w="960" w:type="dxa"/>
            <w:tcBorders>
              <w:top w:val="nil"/>
              <w:left w:val="nil"/>
              <w:bottom w:val="single" w:sz="4" w:space="0" w:color="auto"/>
              <w:right w:val="single" w:sz="4" w:space="0" w:color="auto"/>
            </w:tcBorders>
            <w:noWrap/>
            <w:vAlign w:val="bottom"/>
          </w:tcPr>
          <w:p w14:paraId="687E1200" w14:textId="77777777" w:rsidR="006D3AD5" w:rsidRPr="00874BFF" w:rsidRDefault="006D3AD5" w:rsidP="00443B8F">
            <w:pPr>
              <w:overflowPunct/>
              <w:autoSpaceDE/>
              <w:autoSpaceDN/>
              <w:adjustRightInd/>
              <w:jc w:val="right"/>
              <w:textAlignment w:val="auto"/>
              <w:rPr>
                <w:rFonts w:cs="Arial"/>
                <w:sz w:val="20"/>
              </w:rPr>
            </w:pPr>
            <w:r w:rsidRPr="00874BFF">
              <w:rPr>
                <w:sz w:val="20"/>
              </w:rPr>
              <w:t>57</w:t>
            </w:r>
          </w:p>
        </w:tc>
      </w:tr>
      <w:tr w:rsidR="006D3AD5" w:rsidRPr="00874BFF" w14:paraId="67B39020"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63D83AD4" w14:textId="77777777" w:rsidR="006D3AD5" w:rsidRPr="00874BFF" w:rsidRDefault="006D3AD5" w:rsidP="00443B8F">
            <w:pPr>
              <w:overflowPunct/>
              <w:autoSpaceDE/>
              <w:autoSpaceDN/>
              <w:adjustRightInd/>
              <w:jc w:val="left"/>
              <w:textAlignment w:val="auto"/>
              <w:rPr>
                <w:rFonts w:cs="Arial"/>
                <w:sz w:val="20"/>
              </w:rPr>
            </w:pPr>
            <w:r w:rsidRPr="00874BFF">
              <w:rPr>
                <w:sz w:val="20"/>
              </w:rPr>
              <w:t>Securitisation possibilities</w:t>
            </w:r>
          </w:p>
        </w:tc>
        <w:tc>
          <w:tcPr>
            <w:tcW w:w="960" w:type="dxa"/>
            <w:tcBorders>
              <w:top w:val="nil"/>
              <w:left w:val="nil"/>
              <w:bottom w:val="single" w:sz="4" w:space="0" w:color="auto"/>
              <w:right w:val="single" w:sz="4" w:space="0" w:color="auto"/>
            </w:tcBorders>
            <w:noWrap/>
            <w:vAlign w:val="bottom"/>
          </w:tcPr>
          <w:p w14:paraId="7955B2A6" w14:textId="77777777" w:rsidR="006D3AD5" w:rsidRPr="00874BFF" w:rsidRDefault="006D3AD5" w:rsidP="00443B8F">
            <w:pPr>
              <w:overflowPunct/>
              <w:autoSpaceDE/>
              <w:autoSpaceDN/>
              <w:adjustRightInd/>
              <w:jc w:val="right"/>
              <w:textAlignment w:val="auto"/>
              <w:rPr>
                <w:rFonts w:cs="Arial"/>
                <w:sz w:val="20"/>
              </w:rPr>
            </w:pPr>
            <w:r w:rsidRPr="00874BFF">
              <w:rPr>
                <w:sz w:val="20"/>
              </w:rPr>
              <w:t>54</w:t>
            </w:r>
          </w:p>
        </w:tc>
      </w:tr>
      <w:tr w:rsidR="006D3AD5" w:rsidRPr="00874BFF" w14:paraId="35F2D347"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6EAD0559" w14:textId="77777777" w:rsidR="006D3AD5" w:rsidRPr="00874BFF" w:rsidRDefault="006D3AD5" w:rsidP="00443B8F">
            <w:pPr>
              <w:overflowPunct/>
              <w:autoSpaceDE/>
              <w:autoSpaceDN/>
              <w:adjustRightInd/>
              <w:jc w:val="left"/>
              <w:textAlignment w:val="auto"/>
              <w:rPr>
                <w:rFonts w:cs="Arial"/>
                <w:sz w:val="20"/>
              </w:rPr>
            </w:pPr>
            <w:r w:rsidRPr="00874BFF">
              <w:rPr>
                <w:sz w:val="20"/>
              </w:rPr>
              <w:t>Financial costs</w:t>
            </w:r>
          </w:p>
        </w:tc>
        <w:tc>
          <w:tcPr>
            <w:tcW w:w="960" w:type="dxa"/>
            <w:tcBorders>
              <w:top w:val="nil"/>
              <w:left w:val="nil"/>
              <w:bottom w:val="single" w:sz="4" w:space="0" w:color="auto"/>
              <w:right w:val="single" w:sz="4" w:space="0" w:color="auto"/>
            </w:tcBorders>
            <w:noWrap/>
            <w:vAlign w:val="bottom"/>
          </w:tcPr>
          <w:p w14:paraId="7EB30C7B" w14:textId="77777777" w:rsidR="006D3AD5" w:rsidRPr="00874BFF" w:rsidRDefault="006D3AD5" w:rsidP="00443B8F">
            <w:pPr>
              <w:overflowPunct/>
              <w:autoSpaceDE/>
              <w:autoSpaceDN/>
              <w:adjustRightInd/>
              <w:jc w:val="right"/>
              <w:textAlignment w:val="auto"/>
              <w:rPr>
                <w:rFonts w:cs="Arial"/>
                <w:sz w:val="20"/>
              </w:rPr>
            </w:pPr>
            <w:r w:rsidRPr="00874BFF">
              <w:rPr>
                <w:sz w:val="20"/>
              </w:rPr>
              <w:t>31</w:t>
            </w:r>
          </w:p>
        </w:tc>
      </w:tr>
      <w:tr w:rsidR="006D3AD5" w:rsidRPr="00874BFF" w14:paraId="4F2F0AA2"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3FA029BA" w14:textId="77777777" w:rsidR="006D3AD5" w:rsidRPr="00874BFF" w:rsidRDefault="006D3AD5" w:rsidP="00443B8F">
            <w:pPr>
              <w:overflowPunct/>
              <w:autoSpaceDE/>
              <w:autoSpaceDN/>
              <w:adjustRightInd/>
              <w:jc w:val="left"/>
              <w:textAlignment w:val="auto"/>
              <w:rPr>
                <w:rFonts w:cs="Arial"/>
                <w:sz w:val="20"/>
              </w:rPr>
            </w:pPr>
            <w:r w:rsidRPr="00874BFF">
              <w:rPr>
                <w:sz w:val="20"/>
              </w:rPr>
              <w:t>Economic potential of the project</w:t>
            </w:r>
          </w:p>
        </w:tc>
        <w:tc>
          <w:tcPr>
            <w:tcW w:w="960" w:type="dxa"/>
            <w:tcBorders>
              <w:top w:val="nil"/>
              <w:left w:val="nil"/>
              <w:bottom w:val="single" w:sz="4" w:space="0" w:color="auto"/>
              <w:right w:val="single" w:sz="4" w:space="0" w:color="auto"/>
            </w:tcBorders>
            <w:noWrap/>
            <w:vAlign w:val="bottom"/>
          </w:tcPr>
          <w:p w14:paraId="7E6DA3BA" w14:textId="77777777" w:rsidR="006D3AD5" w:rsidRPr="00874BFF" w:rsidRDefault="006D3AD5" w:rsidP="00443B8F">
            <w:pPr>
              <w:overflowPunct/>
              <w:autoSpaceDE/>
              <w:autoSpaceDN/>
              <w:adjustRightInd/>
              <w:jc w:val="right"/>
              <w:textAlignment w:val="auto"/>
              <w:rPr>
                <w:rFonts w:cs="Arial"/>
                <w:sz w:val="20"/>
              </w:rPr>
            </w:pPr>
            <w:r w:rsidRPr="00874BFF">
              <w:rPr>
                <w:sz w:val="20"/>
              </w:rPr>
              <w:t>25</w:t>
            </w:r>
          </w:p>
        </w:tc>
      </w:tr>
      <w:tr w:rsidR="006D3AD5" w:rsidRPr="00874BFF" w14:paraId="11110683" w14:textId="77777777" w:rsidTr="00443B8F">
        <w:trPr>
          <w:trHeight w:val="255"/>
        </w:trPr>
        <w:tc>
          <w:tcPr>
            <w:tcW w:w="2946" w:type="dxa"/>
            <w:tcBorders>
              <w:top w:val="nil"/>
              <w:left w:val="single" w:sz="4" w:space="0" w:color="auto"/>
              <w:bottom w:val="single" w:sz="4" w:space="0" w:color="auto"/>
              <w:right w:val="single" w:sz="4" w:space="0" w:color="auto"/>
            </w:tcBorders>
            <w:noWrap/>
            <w:vAlign w:val="bottom"/>
          </w:tcPr>
          <w:p w14:paraId="5AB7D0A0" w14:textId="77777777" w:rsidR="006D3AD5" w:rsidRPr="00874BFF" w:rsidRDefault="006D3AD5" w:rsidP="00443B8F">
            <w:pPr>
              <w:overflowPunct/>
              <w:autoSpaceDE/>
              <w:autoSpaceDN/>
              <w:adjustRightInd/>
              <w:jc w:val="left"/>
              <w:textAlignment w:val="auto"/>
              <w:rPr>
                <w:rFonts w:cs="Arial"/>
                <w:sz w:val="20"/>
              </w:rPr>
            </w:pPr>
            <w:r w:rsidRPr="00874BFF">
              <w:rPr>
                <w:sz w:val="20"/>
              </w:rPr>
              <w:t>High current debt</w:t>
            </w:r>
          </w:p>
        </w:tc>
        <w:tc>
          <w:tcPr>
            <w:tcW w:w="960" w:type="dxa"/>
            <w:tcBorders>
              <w:top w:val="nil"/>
              <w:left w:val="nil"/>
              <w:bottom w:val="single" w:sz="4" w:space="0" w:color="auto"/>
              <w:right w:val="single" w:sz="4" w:space="0" w:color="auto"/>
            </w:tcBorders>
            <w:noWrap/>
            <w:vAlign w:val="bottom"/>
          </w:tcPr>
          <w:p w14:paraId="58CB79EB"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r>
      <w:tr w:rsidR="006D3AD5" w:rsidRPr="00874BFF" w14:paraId="2C0FCB78" w14:textId="77777777" w:rsidTr="00443B8F">
        <w:trPr>
          <w:trHeight w:val="255"/>
        </w:trPr>
        <w:tc>
          <w:tcPr>
            <w:tcW w:w="2946" w:type="dxa"/>
            <w:tcBorders>
              <w:top w:val="nil"/>
              <w:left w:val="nil"/>
              <w:bottom w:val="nil"/>
              <w:right w:val="nil"/>
            </w:tcBorders>
            <w:noWrap/>
            <w:vAlign w:val="bottom"/>
          </w:tcPr>
          <w:p w14:paraId="553396C5" w14:textId="77777777" w:rsidR="006D3AD5" w:rsidRPr="00874BFF" w:rsidRDefault="006D3AD5" w:rsidP="00443B8F">
            <w:pPr>
              <w:overflowPunct/>
              <w:autoSpaceDE/>
              <w:autoSpaceDN/>
              <w:adjustRightInd/>
              <w:jc w:val="left"/>
              <w:textAlignment w:val="auto"/>
              <w:rPr>
                <w:rFonts w:cs="Arial"/>
                <w:sz w:val="20"/>
              </w:rPr>
            </w:pPr>
            <w:r w:rsidRPr="00874BFF">
              <w:rPr>
                <w:sz w:val="20"/>
              </w:rPr>
              <w:t>n=123</w:t>
            </w:r>
          </w:p>
        </w:tc>
        <w:tc>
          <w:tcPr>
            <w:tcW w:w="960" w:type="dxa"/>
            <w:tcBorders>
              <w:top w:val="nil"/>
              <w:left w:val="nil"/>
              <w:bottom w:val="nil"/>
              <w:right w:val="nil"/>
            </w:tcBorders>
            <w:noWrap/>
            <w:vAlign w:val="bottom"/>
          </w:tcPr>
          <w:p w14:paraId="372BF2D6" w14:textId="77777777" w:rsidR="006D3AD5" w:rsidRPr="00874BFF" w:rsidRDefault="006D3AD5" w:rsidP="00443B8F">
            <w:pPr>
              <w:overflowPunct/>
              <w:autoSpaceDE/>
              <w:autoSpaceDN/>
              <w:adjustRightInd/>
              <w:jc w:val="left"/>
              <w:textAlignment w:val="auto"/>
              <w:rPr>
                <w:rFonts w:cs="Arial"/>
                <w:sz w:val="20"/>
              </w:rPr>
            </w:pPr>
          </w:p>
        </w:tc>
      </w:tr>
    </w:tbl>
    <w:p w14:paraId="74FD7842" w14:textId="77777777" w:rsidR="006D3AD5" w:rsidRPr="00874BFF" w:rsidRDefault="006D3AD5" w:rsidP="006D3AD5"/>
    <w:p w14:paraId="3AFB68A0" w14:textId="77777777" w:rsidR="006D3AD5" w:rsidRPr="00874BFF" w:rsidRDefault="006D3AD5" w:rsidP="006D3AD5">
      <w:r w:rsidRPr="00874BFF">
        <w:t>Major reasons for difficult access to financing mentioned by the respondents included particularly business history and guarantee facilities. At raising funds for SMEs, these reasons are usually closely connected. Mostly, start-up companies have a much lower  value of financial assets than they need for investments in further development,  this particularly applies to companies investing in innovations and R&amp;D.</w:t>
      </w:r>
    </w:p>
    <w:p w14:paraId="59E98449" w14:textId="77777777" w:rsidR="006D3AD5" w:rsidRPr="00874BFF" w:rsidRDefault="006D3AD5" w:rsidP="006D3AD5"/>
    <w:p w14:paraId="6E84CD44" w14:textId="62B0D2BD" w:rsidR="006D3AD5" w:rsidRPr="00874BFF" w:rsidRDefault="006D3AD5" w:rsidP="006D3AD5">
      <w:pPr>
        <w:pStyle w:val="Titulek"/>
        <w:keepNext/>
      </w:pPr>
      <w:r w:rsidRPr="00874BFF">
        <w:lastRenderedPageBreak/>
        <w:t xml:space="preserve">Figure </w:t>
      </w:r>
      <w:r w:rsidR="00AE6275">
        <w:t>7</w:t>
      </w:r>
      <w:r w:rsidRPr="00874BFF">
        <w:t>: Major reasons for difficult access to financing</w:t>
      </w:r>
    </w:p>
    <w:p w14:paraId="77C3A75B" w14:textId="77777777" w:rsidR="006D3AD5" w:rsidRPr="00874BFF" w:rsidRDefault="006D3AD5" w:rsidP="006D3AD5">
      <w:r w:rsidRPr="00874BFF">
        <w:rPr>
          <w:noProof/>
        </w:rPr>
        <w:drawing>
          <wp:inline distT="0" distB="0" distL="0" distR="0" wp14:anchorId="2A20B0AA" wp14:editId="4326391B">
            <wp:extent cx="4612005" cy="2146935"/>
            <wp:effectExtent l="0" t="0" r="0" b="5715"/>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005" cy="2146935"/>
                    </a:xfrm>
                    <a:prstGeom prst="rect">
                      <a:avLst/>
                    </a:prstGeom>
                    <a:noFill/>
                    <a:ln>
                      <a:noFill/>
                    </a:ln>
                  </pic:spPr>
                </pic:pic>
              </a:graphicData>
            </a:graphic>
          </wp:inline>
        </w:drawing>
      </w:r>
    </w:p>
    <w:p w14:paraId="27F83F6D" w14:textId="77777777" w:rsidR="006D3AD5" w:rsidRPr="00874BFF" w:rsidRDefault="006D3AD5" w:rsidP="006D3AD5">
      <w:r w:rsidRPr="00874BFF">
        <w:t xml:space="preserve"> </w:t>
      </w:r>
    </w:p>
    <w:p w14:paraId="79A60BB1" w14:textId="77777777" w:rsidR="006D3AD5" w:rsidRPr="00874BFF" w:rsidRDefault="006D3AD5" w:rsidP="006D3AD5">
      <w:r w:rsidRPr="00874BFF">
        <w:t>For companies with difficult access to financing to be identified  for the potential absorption capacity of a financial instrument, they should be  simultaneously viable according to the EU methodology. For the purpose of this ex ante evaluation, we regard such companies not viable that mentioned a high debt or low economic potential of the project as the reason for difficult access to financing.</w:t>
      </w:r>
    </w:p>
    <w:p w14:paraId="721B6FFF" w14:textId="77777777" w:rsidR="006D3AD5" w:rsidRPr="00874BFF" w:rsidRDefault="006D3AD5" w:rsidP="006D3AD5"/>
    <w:p w14:paraId="21A47CA7" w14:textId="34917C1F" w:rsidR="006D3AD5" w:rsidRPr="00874BFF" w:rsidRDefault="006D3AD5" w:rsidP="006D3AD5">
      <w:pPr>
        <w:pStyle w:val="Titulek"/>
      </w:pPr>
      <w:r w:rsidRPr="00874BFF">
        <w:t xml:space="preserve">Table </w:t>
      </w:r>
      <w:r w:rsidR="001F7E48">
        <w:t>6</w:t>
      </w:r>
      <w:r w:rsidRPr="00874BFF">
        <w:t>: Economically viable projects with difficult access to financing</w:t>
      </w:r>
    </w:p>
    <w:tbl>
      <w:tblPr>
        <w:tblW w:w="9416" w:type="dxa"/>
        <w:tblInd w:w="65" w:type="dxa"/>
        <w:tblCellMar>
          <w:left w:w="70" w:type="dxa"/>
          <w:right w:w="70" w:type="dxa"/>
        </w:tblCellMar>
        <w:tblLook w:val="0000" w:firstRow="0" w:lastRow="0" w:firstColumn="0" w:lastColumn="0" w:noHBand="0" w:noVBand="0"/>
      </w:tblPr>
      <w:tblGrid>
        <w:gridCol w:w="5824"/>
        <w:gridCol w:w="2709"/>
        <w:gridCol w:w="1369"/>
      </w:tblGrid>
      <w:tr w:rsidR="006D3AD5" w:rsidRPr="00874BFF" w14:paraId="0E369790" w14:textId="77777777" w:rsidTr="00443B8F">
        <w:trPr>
          <w:trHeight w:val="255"/>
        </w:trPr>
        <w:tc>
          <w:tcPr>
            <w:tcW w:w="5824" w:type="dxa"/>
            <w:tcBorders>
              <w:top w:val="single" w:sz="4" w:space="0" w:color="auto"/>
              <w:left w:val="single" w:sz="4" w:space="0" w:color="auto"/>
              <w:bottom w:val="single" w:sz="4" w:space="0" w:color="auto"/>
              <w:right w:val="single" w:sz="4" w:space="0" w:color="auto"/>
            </w:tcBorders>
            <w:noWrap/>
            <w:vAlign w:val="bottom"/>
          </w:tcPr>
          <w:p w14:paraId="3E4EE59D"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Potentially economically viable projects with difficult access to financing</w:t>
            </w:r>
          </w:p>
        </w:tc>
        <w:tc>
          <w:tcPr>
            <w:tcW w:w="2709" w:type="dxa"/>
            <w:tcBorders>
              <w:top w:val="single" w:sz="4" w:space="0" w:color="auto"/>
              <w:left w:val="nil"/>
              <w:bottom w:val="single" w:sz="4" w:space="0" w:color="auto"/>
              <w:right w:val="single" w:sz="4" w:space="0" w:color="auto"/>
            </w:tcBorders>
            <w:noWrap/>
            <w:vAlign w:val="bottom"/>
          </w:tcPr>
          <w:p w14:paraId="73CB94CB"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883" w:type="dxa"/>
            <w:tcBorders>
              <w:top w:val="single" w:sz="4" w:space="0" w:color="auto"/>
              <w:left w:val="nil"/>
              <w:bottom w:val="single" w:sz="4" w:space="0" w:color="auto"/>
              <w:right w:val="single" w:sz="4" w:space="0" w:color="auto"/>
            </w:tcBorders>
            <w:noWrap/>
            <w:vAlign w:val="bottom"/>
          </w:tcPr>
          <w:p w14:paraId="64182B00" w14:textId="77777777" w:rsidR="006D3AD5" w:rsidRPr="00874BFF" w:rsidRDefault="006D3AD5" w:rsidP="00443B8F">
            <w:pPr>
              <w:overflowPunct/>
              <w:autoSpaceDE/>
              <w:autoSpaceDN/>
              <w:adjustRightInd/>
              <w:jc w:val="left"/>
              <w:textAlignment w:val="auto"/>
              <w:rPr>
                <w:rFonts w:cs="Arial"/>
                <w:sz w:val="20"/>
              </w:rPr>
            </w:pPr>
            <w:r w:rsidRPr="00874BFF">
              <w:rPr>
                <w:sz w:val="20"/>
              </w:rPr>
              <w:t> Share/number of responses</w:t>
            </w:r>
          </w:p>
        </w:tc>
      </w:tr>
      <w:tr w:rsidR="006D3AD5" w:rsidRPr="00874BFF" w14:paraId="71646483" w14:textId="77777777" w:rsidTr="00443B8F">
        <w:trPr>
          <w:trHeight w:val="255"/>
        </w:trPr>
        <w:tc>
          <w:tcPr>
            <w:tcW w:w="5824" w:type="dxa"/>
            <w:tcBorders>
              <w:top w:val="nil"/>
              <w:left w:val="single" w:sz="4" w:space="0" w:color="auto"/>
              <w:bottom w:val="single" w:sz="4" w:space="0" w:color="auto"/>
              <w:right w:val="single" w:sz="4" w:space="0" w:color="auto"/>
            </w:tcBorders>
            <w:noWrap/>
            <w:vAlign w:val="bottom"/>
          </w:tcPr>
          <w:p w14:paraId="5F612CC1" w14:textId="77777777" w:rsidR="006D3AD5" w:rsidRPr="00874BFF" w:rsidRDefault="006D3AD5" w:rsidP="00443B8F">
            <w:pPr>
              <w:overflowPunct/>
              <w:autoSpaceDE/>
              <w:autoSpaceDN/>
              <w:adjustRightInd/>
              <w:jc w:val="left"/>
              <w:textAlignment w:val="auto"/>
              <w:rPr>
                <w:rFonts w:cs="Arial"/>
                <w:sz w:val="20"/>
              </w:rPr>
            </w:pPr>
            <w:r w:rsidRPr="00874BFF">
              <w:rPr>
                <w:sz w:val="20"/>
              </w:rPr>
              <w:t>Share in the companies planning to invest in RDI in the next three years</w:t>
            </w:r>
          </w:p>
        </w:tc>
        <w:tc>
          <w:tcPr>
            <w:tcW w:w="2709" w:type="dxa"/>
            <w:tcBorders>
              <w:top w:val="nil"/>
              <w:left w:val="nil"/>
              <w:bottom w:val="single" w:sz="4" w:space="0" w:color="auto"/>
              <w:right w:val="single" w:sz="4" w:space="0" w:color="auto"/>
            </w:tcBorders>
            <w:noWrap/>
            <w:vAlign w:val="bottom"/>
          </w:tcPr>
          <w:p w14:paraId="2DFEBFDB"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883" w:type="dxa"/>
            <w:tcBorders>
              <w:top w:val="nil"/>
              <w:left w:val="nil"/>
              <w:bottom w:val="single" w:sz="4" w:space="0" w:color="auto"/>
              <w:right w:val="single" w:sz="4" w:space="0" w:color="auto"/>
            </w:tcBorders>
            <w:noWrap/>
            <w:vAlign w:val="bottom"/>
          </w:tcPr>
          <w:p w14:paraId="211302F0" w14:textId="77777777" w:rsidR="006D3AD5" w:rsidRPr="00874BFF" w:rsidRDefault="006D3AD5" w:rsidP="00443B8F">
            <w:pPr>
              <w:overflowPunct/>
              <w:autoSpaceDE/>
              <w:autoSpaceDN/>
              <w:adjustRightInd/>
              <w:jc w:val="right"/>
              <w:textAlignment w:val="auto"/>
              <w:rPr>
                <w:rFonts w:cs="Arial"/>
                <w:sz w:val="20"/>
              </w:rPr>
            </w:pPr>
            <w:r w:rsidRPr="00874BFF">
              <w:rPr>
                <w:sz w:val="20"/>
              </w:rPr>
              <w:t>19.3%</w:t>
            </w:r>
          </w:p>
        </w:tc>
      </w:tr>
      <w:tr w:rsidR="006D3AD5" w:rsidRPr="00874BFF" w14:paraId="64C934BF" w14:textId="77777777" w:rsidTr="00443B8F">
        <w:trPr>
          <w:trHeight w:val="255"/>
        </w:trPr>
        <w:tc>
          <w:tcPr>
            <w:tcW w:w="5824" w:type="dxa"/>
            <w:tcBorders>
              <w:top w:val="nil"/>
              <w:left w:val="single" w:sz="4" w:space="0" w:color="auto"/>
              <w:bottom w:val="single" w:sz="4" w:space="0" w:color="auto"/>
              <w:right w:val="single" w:sz="4" w:space="0" w:color="auto"/>
            </w:tcBorders>
            <w:noWrap/>
            <w:vAlign w:val="bottom"/>
          </w:tcPr>
          <w:p w14:paraId="3370DFB0" w14:textId="77777777" w:rsidR="006D3AD5" w:rsidRPr="00874BFF" w:rsidRDefault="006D3AD5" w:rsidP="00443B8F">
            <w:pPr>
              <w:overflowPunct/>
              <w:autoSpaceDE/>
              <w:autoSpaceDN/>
              <w:adjustRightInd/>
              <w:jc w:val="left"/>
              <w:textAlignment w:val="auto"/>
              <w:rPr>
                <w:rFonts w:cs="Arial"/>
                <w:sz w:val="20"/>
              </w:rPr>
            </w:pPr>
            <w:r w:rsidRPr="00874BFF">
              <w:rPr>
                <w:sz w:val="20"/>
              </w:rPr>
              <w:t>Share in the projects with difficult access to financing</w:t>
            </w:r>
          </w:p>
        </w:tc>
        <w:tc>
          <w:tcPr>
            <w:tcW w:w="2709" w:type="dxa"/>
            <w:tcBorders>
              <w:top w:val="nil"/>
              <w:left w:val="nil"/>
              <w:bottom w:val="single" w:sz="4" w:space="0" w:color="auto"/>
              <w:right w:val="single" w:sz="4" w:space="0" w:color="auto"/>
            </w:tcBorders>
            <w:noWrap/>
            <w:vAlign w:val="bottom"/>
          </w:tcPr>
          <w:p w14:paraId="0C424493"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883" w:type="dxa"/>
            <w:tcBorders>
              <w:top w:val="nil"/>
              <w:left w:val="nil"/>
              <w:bottom w:val="single" w:sz="4" w:space="0" w:color="auto"/>
              <w:right w:val="single" w:sz="4" w:space="0" w:color="auto"/>
            </w:tcBorders>
            <w:noWrap/>
            <w:vAlign w:val="bottom"/>
          </w:tcPr>
          <w:p w14:paraId="654D6283" w14:textId="77777777" w:rsidR="006D3AD5" w:rsidRPr="00874BFF" w:rsidRDefault="006D3AD5" w:rsidP="00443B8F">
            <w:pPr>
              <w:overflowPunct/>
              <w:autoSpaceDE/>
              <w:autoSpaceDN/>
              <w:adjustRightInd/>
              <w:jc w:val="right"/>
              <w:textAlignment w:val="auto"/>
              <w:rPr>
                <w:rFonts w:cs="Arial"/>
                <w:sz w:val="20"/>
              </w:rPr>
            </w:pPr>
            <w:r w:rsidRPr="00874BFF">
              <w:rPr>
                <w:sz w:val="20"/>
              </w:rPr>
              <w:t>60.2%</w:t>
            </w:r>
          </w:p>
        </w:tc>
      </w:tr>
      <w:tr w:rsidR="006D3AD5" w:rsidRPr="00874BFF" w14:paraId="10A43B4A" w14:textId="77777777" w:rsidTr="00443B8F">
        <w:trPr>
          <w:trHeight w:val="255"/>
        </w:trPr>
        <w:tc>
          <w:tcPr>
            <w:tcW w:w="5824" w:type="dxa"/>
            <w:vMerge w:val="restart"/>
            <w:tcBorders>
              <w:top w:val="nil"/>
              <w:left w:val="single" w:sz="4" w:space="0" w:color="auto"/>
              <w:right w:val="single" w:sz="4" w:space="0" w:color="auto"/>
            </w:tcBorders>
            <w:noWrap/>
            <w:vAlign w:val="bottom"/>
          </w:tcPr>
          <w:p w14:paraId="15F97894" w14:textId="77777777" w:rsidR="006D3AD5" w:rsidRPr="00874BFF" w:rsidRDefault="006D3AD5" w:rsidP="00443B8F">
            <w:pPr>
              <w:overflowPunct/>
              <w:autoSpaceDE/>
              <w:autoSpaceDN/>
              <w:adjustRightInd/>
              <w:jc w:val="left"/>
              <w:textAlignment w:val="auto"/>
              <w:rPr>
                <w:rFonts w:cs="Arial"/>
                <w:sz w:val="20"/>
              </w:rPr>
            </w:pPr>
            <w:r w:rsidRPr="00874BFF">
              <w:rPr>
                <w:sz w:val="20"/>
              </w:rPr>
              <w:t>Major barriers identified</w:t>
            </w:r>
          </w:p>
          <w:p w14:paraId="1E937C8A"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p w14:paraId="1B1D8B82"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p w14:paraId="577DB7BE" w14:textId="77777777" w:rsidR="006D3AD5" w:rsidRPr="00874BFF" w:rsidRDefault="006D3AD5" w:rsidP="00443B8F">
            <w:pPr>
              <w:jc w:val="left"/>
              <w:rPr>
                <w:rFonts w:cs="Arial"/>
                <w:sz w:val="20"/>
              </w:rPr>
            </w:pPr>
            <w:r w:rsidRPr="00874BFF">
              <w:rPr>
                <w:sz w:val="20"/>
              </w:rPr>
              <w:t> </w:t>
            </w:r>
          </w:p>
        </w:tc>
        <w:tc>
          <w:tcPr>
            <w:tcW w:w="2709" w:type="dxa"/>
            <w:tcBorders>
              <w:top w:val="nil"/>
              <w:left w:val="nil"/>
              <w:bottom w:val="single" w:sz="4" w:space="0" w:color="auto"/>
              <w:right w:val="single" w:sz="4" w:space="0" w:color="auto"/>
            </w:tcBorders>
            <w:noWrap/>
            <w:vAlign w:val="bottom"/>
          </w:tcPr>
          <w:p w14:paraId="0CFED2BC" w14:textId="77777777" w:rsidR="006D3AD5" w:rsidRPr="00874BFF" w:rsidRDefault="006D3AD5" w:rsidP="00443B8F">
            <w:pPr>
              <w:overflowPunct/>
              <w:autoSpaceDE/>
              <w:autoSpaceDN/>
              <w:adjustRightInd/>
              <w:jc w:val="left"/>
              <w:textAlignment w:val="auto"/>
              <w:rPr>
                <w:rFonts w:cs="Arial"/>
                <w:sz w:val="20"/>
              </w:rPr>
            </w:pPr>
            <w:r w:rsidRPr="00874BFF">
              <w:rPr>
                <w:sz w:val="20"/>
              </w:rPr>
              <w:t>Long payback period of the project</w:t>
            </w:r>
          </w:p>
        </w:tc>
        <w:tc>
          <w:tcPr>
            <w:tcW w:w="883" w:type="dxa"/>
            <w:tcBorders>
              <w:top w:val="nil"/>
              <w:left w:val="nil"/>
              <w:bottom w:val="single" w:sz="4" w:space="0" w:color="auto"/>
              <w:right w:val="single" w:sz="4" w:space="0" w:color="auto"/>
            </w:tcBorders>
            <w:noWrap/>
            <w:vAlign w:val="bottom"/>
          </w:tcPr>
          <w:p w14:paraId="26E7408D"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r>
      <w:tr w:rsidR="006D3AD5" w:rsidRPr="00874BFF" w14:paraId="480E7CDE" w14:textId="77777777" w:rsidTr="00443B8F">
        <w:trPr>
          <w:trHeight w:val="255"/>
        </w:trPr>
        <w:tc>
          <w:tcPr>
            <w:tcW w:w="5824" w:type="dxa"/>
            <w:vMerge/>
            <w:tcBorders>
              <w:left w:val="single" w:sz="4" w:space="0" w:color="auto"/>
              <w:right w:val="single" w:sz="4" w:space="0" w:color="auto"/>
            </w:tcBorders>
            <w:noWrap/>
            <w:vAlign w:val="bottom"/>
          </w:tcPr>
          <w:p w14:paraId="0783461A" w14:textId="77777777" w:rsidR="006D3AD5" w:rsidRPr="00874BFF" w:rsidRDefault="006D3AD5" w:rsidP="00443B8F">
            <w:pPr>
              <w:jc w:val="left"/>
              <w:rPr>
                <w:rFonts w:cs="Arial"/>
                <w:sz w:val="20"/>
              </w:rPr>
            </w:pPr>
          </w:p>
        </w:tc>
        <w:tc>
          <w:tcPr>
            <w:tcW w:w="2709" w:type="dxa"/>
            <w:tcBorders>
              <w:top w:val="nil"/>
              <w:left w:val="nil"/>
              <w:bottom w:val="single" w:sz="4" w:space="0" w:color="auto"/>
              <w:right w:val="single" w:sz="4" w:space="0" w:color="auto"/>
            </w:tcBorders>
            <w:noWrap/>
            <w:vAlign w:val="bottom"/>
          </w:tcPr>
          <w:p w14:paraId="5224FA1C" w14:textId="77777777" w:rsidR="006D3AD5" w:rsidRPr="00874BFF" w:rsidRDefault="006D3AD5" w:rsidP="00443B8F">
            <w:pPr>
              <w:overflowPunct/>
              <w:autoSpaceDE/>
              <w:autoSpaceDN/>
              <w:adjustRightInd/>
              <w:jc w:val="left"/>
              <w:textAlignment w:val="auto"/>
              <w:rPr>
                <w:rFonts w:cs="Arial"/>
                <w:sz w:val="20"/>
              </w:rPr>
            </w:pPr>
            <w:r w:rsidRPr="00874BFF">
              <w:rPr>
                <w:sz w:val="20"/>
              </w:rPr>
              <w:t>Short business history</w:t>
            </w:r>
          </w:p>
        </w:tc>
        <w:tc>
          <w:tcPr>
            <w:tcW w:w="883" w:type="dxa"/>
            <w:tcBorders>
              <w:top w:val="nil"/>
              <w:left w:val="nil"/>
              <w:bottom w:val="single" w:sz="4" w:space="0" w:color="auto"/>
              <w:right w:val="single" w:sz="4" w:space="0" w:color="auto"/>
            </w:tcBorders>
            <w:noWrap/>
            <w:vAlign w:val="bottom"/>
          </w:tcPr>
          <w:p w14:paraId="6F9BD385" w14:textId="77777777" w:rsidR="006D3AD5" w:rsidRPr="00874BFF" w:rsidRDefault="006D3AD5" w:rsidP="00443B8F">
            <w:pPr>
              <w:overflowPunct/>
              <w:autoSpaceDE/>
              <w:autoSpaceDN/>
              <w:adjustRightInd/>
              <w:jc w:val="right"/>
              <w:textAlignment w:val="auto"/>
              <w:rPr>
                <w:rFonts w:cs="Arial"/>
                <w:sz w:val="20"/>
              </w:rPr>
            </w:pPr>
            <w:r w:rsidRPr="00874BFF">
              <w:rPr>
                <w:sz w:val="20"/>
              </w:rPr>
              <w:t>35</w:t>
            </w:r>
          </w:p>
        </w:tc>
      </w:tr>
      <w:tr w:rsidR="006D3AD5" w:rsidRPr="00874BFF" w14:paraId="3F6E7B07" w14:textId="77777777" w:rsidTr="00443B8F">
        <w:trPr>
          <w:trHeight w:val="255"/>
        </w:trPr>
        <w:tc>
          <w:tcPr>
            <w:tcW w:w="5824" w:type="dxa"/>
            <w:vMerge/>
            <w:tcBorders>
              <w:left w:val="single" w:sz="4" w:space="0" w:color="auto"/>
              <w:right w:val="single" w:sz="4" w:space="0" w:color="auto"/>
            </w:tcBorders>
            <w:noWrap/>
            <w:vAlign w:val="bottom"/>
          </w:tcPr>
          <w:p w14:paraId="6ED92BAF" w14:textId="77777777" w:rsidR="006D3AD5" w:rsidRPr="00874BFF" w:rsidRDefault="006D3AD5" w:rsidP="00443B8F">
            <w:pPr>
              <w:jc w:val="left"/>
              <w:rPr>
                <w:rFonts w:cs="Arial"/>
                <w:sz w:val="20"/>
              </w:rPr>
            </w:pPr>
          </w:p>
        </w:tc>
        <w:tc>
          <w:tcPr>
            <w:tcW w:w="2709" w:type="dxa"/>
            <w:tcBorders>
              <w:top w:val="nil"/>
              <w:left w:val="nil"/>
              <w:bottom w:val="single" w:sz="4" w:space="0" w:color="auto"/>
              <w:right w:val="single" w:sz="4" w:space="0" w:color="auto"/>
            </w:tcBorders>
            <w:noWrap/>
            <w:vAlign w:val="bottom"/>
          </w:tcPr>
          <w:p w14:paraId="1C6DCD04" w14:textId="77777777" w:rsidR="006D3AD5" w:rsidRPr="00874BFF" w:rsidRDefault="006D3AD5" w:rsidP="00443B8F">
            <w:pPr>
              <w:overflowPunct/>
              <w:autoSpaceDE/>
              <w:autoSpaceDN/>
              <w:adjustRightInd/>
              <w:jc w:val="left"/>
              <w:textAlignment w:val="auto"/>
              <w:rPr>
                <w:rFonts w:cs="Arial"/>
                <w:sz w:val="20"/>
              </w:rPr>
            </w:pPr>
            <w:r w:rsidRPr="00874BFF">
              <w:rPr>
                <w:sz w:val="20"/>
              </w:rPr>
              <w:t>Securitisation possibilities</w:t>
            </w:r>
          </w:p>
        </w:tc>
        <w:tc>
          <w:tcPr>
            <w:tcW w:w="883" w:type="dxa"/>
            <w:tcBorders>
              <w:top w:val="nil"/>
              <w:left w:val="nil"/>
              <w:bottom w:val="single" w:sz="4" w:space="0" w:color="auto"/>
              <w:right w:val="single" w:sz="4" w:space="0" w:color="auto"/>
            </w:tcBorders>
            <w:noWrap/>
            <w:vAlign w:val="bottom"/>
          </w:tcPr>
          <w:p w14:paraId="3B5ED06B" w14:textId="77777777" w:rsidR="006D3AD5" w:rsidRPr="00874BFF" w:rsidRDefault="006D3AD5" w:rsidP="00443B8F">
            <w:pPr>
              <w:overflowPunct/>
              <w:autoSpaceDE/>
              <w:autoSpaceDN/>
              <w:adjustRightInd/>
              <w:jc w:val="right"/>
              <w:textAlignment w:val="auto"/>
              <w:rPr>
                <w:rFonts w:cs="Arial"/>
                <w:sz w:val="20"/>
              </w:rPr>
            </w:pPr>
            <w:r w:rsidRPr="00874BFF">
              <w:rPr>
                <w:sz w:val="20"/>
              </w:rPr>
              <w:t>41</w:t>
            </w:r>
          </w:p>
        </w:tc>
      </w:tr>
      <w:tr w:rsidR="006D3AD5" w:rsidRPr="00874BFF" w14:paraId="7B24913D" w14:textId="77777777" w:rsidTr="00443B8F">
        <w:trPr>
          <w:trHeight w:val="255"/>
        </w:trPr>
        <w:tc>
          <w:tcPr>
            <w:tcW w:w="5824" w:type="dxa"/>
            <w:vMerge/>
            <w:tcBorders>
              <w:left w:val="single" w:sz="4" w:space="0" w:color="auto"/>
              <w:bottom w:val="single" w:sz="4" w:space="0" w:color="auto"/>
              <w:right w:val="single" w:sz="4" w:space="0" w:color="auto"/>
            </w:tcBorders>
            <w:noWrap/>
            <w:vAlign w:val="bottom"/>
          </w:tcPr>
          <w:p w14:paraId="0C729370" w14:textId="77777777" w:rsidR="006D3AD5" w:rsidRPr="00874BFF" w:rsidRDefault="006D3AD5" w:rsidP="00443B8F">
            <w:pPr>
              <w:overflowPunct/>
              <w:autoSpaceDE/>
              <w:autoSpaceDN/>
              <w:adjustRightInd/>
              <w:jc w:val="left"/>
              <w:textAlignment w:val="auto"/>
              <w:rPr>
                <w:rFonts w:cs="Arial"/>
                <w:sz w:val="20"/>
              </w:rPr>
            </w:pPr>
          </w:p>
        </w:tc>
        <w:tc>
          <w:tcPr>
            <w:tcW w:w="2709" w:type="dxa"/>
            <w:tcBorders>
              <w:top w:val="nil"/>
              <w:left w:val="nil"/>
              <w:bottom w:val="single" w:sz="4" w:space="0" w:color="auto"/>
              <w:right w:val="single" w:sz="4" w:space="0" w:color="auto"/>
            </w:tcBorders>
            <w:noWrap/>
            <w:vAlign w:val="bottom"/>
          </w:tcPr>
          <w:p w14:paraId="228EE5A3" w14:textId="77777777" w:rsidR="006D3AD5" w:rsidRPr="00874BFF" w:rsidRDefault="006D3AD5" w:rsidP="00443B8F">
            <w:pPr>
              <w:overflowPunct/>
              <w:autoSpaceDE/>
              <w:autoSpaceDN/>
              <w:adjustRightInd/>
              <w:jc w:val="left"/>
              <w:textAlignment w:val="auto"/>
              <w:rPr>
                <w:rFonts w:cs="Arial"/>
                <w:sz w:val="20"/>
              </w:rPr>
            </w:pPr>
            <w:r w:rsidRPr="00874BFF">
              <w:rPr>
                <w:sz w:val="20"/>
              </w:rPr>
              <w:t>Financial costs</w:t>
            </w:r>
          </w:p>
        </w:tc>
        <w:tc>
          <w:tcPr>
            <w:tcW w:w="883" w:type="dxa"/>
            <w:tcBorders>
              <w:top w:val="nil"/>
              <w:left w:val="nil"/>
              <w:bottom w:val="single" w:sz="4" w:space="0" w:color="auto"/>
              <w:right w:val="single" w:sz="4" w:space="0" w:color="auto"/>
            </w:tcBorders>
            <w:noWrap/>
            <w:vAlign w:val="bottom"/>
          </w:tcPr>
          <w:p w14:paraId="5F0C6FA9" w14:textId="77777777" w:rsidR="006D3AD5" w:rsidRPr="00874BFF" w:rsidRDefault="006D3AD5" w:rsidP="00443B8F">
            <w:pPr>
              <w:overflowPunct/>
              <w:autoSpaceDE/>
              <w:autoSpaceDN/>
              <w:adjustRightInd/>
              <w:jc w:val="right"/>
              <w:textAlignment w:val="auto"/>
              <w:rPr>
                <w:rFonts w:cs="Arial"/>
                <w:sz w:val="20"/>
              </w:rPr>
            </w:pPr>
            <w:r w:rsidRPr="00874BFF">
              <w:rPr>
                <w:sz w:val="20"/>
              </w:rPr>
              <w:t>25</w:t>
            </w:r>
          </w:p>
        </w:tc>
      </w:tr>
      <w:tr w:rsidR="006D3AD5" w:rsidRPr="00874BFF" w14:paraId="73C788AF" w14:textId="77777777" w:rsidTr="00443B8F">
        <w:trPr>
          <w:trHeight w:val="255"/>
        </w:trPr>
        <w:tc>
          <w:tcPr>
            <w:tcW w:w="5824" w:type="dxa"/>
            <w:tcBorders>
              <w:top w:val="nil"/>
              <w:left w:val="nil"/>
              <w:bottom w:val="nil"/>
              <w:right w:val="nil"/>
            </w:tcBorders>
            <w:noWrap/>
            <w:vAlign w:val="bottom"/>
          </w:tcPr>
          <w:p w14:paraId="44E4D21D" w14:textId="77777777" w:rsidR="006D3AD5" w:rsidRPr="00874BFF" w:rsidRDefault="006D3AD5" w:rsidP="00443B8F">
            <w:pPr>
              <w:overflowPunct/>
              <w:autoSpaceDE/>
              <w:autoSpaceDN/>
              <w:adjustRightInd/>
              <w:jc w:val="left"/>
              <w:textAlignment w:val="auto"/>
              <w:rPr>
                <w:rFonts w:cs="Arial"/>
                <w:sz w:val="20"/>
              </w:rPr>
            </w:pPr>
            <w:r w:rsidRPr="00874BFF">
              <w:rPr>
                <w:sz w:val="20"/>
              </w:rPr>
              <w:t>n=74</w:t>
            </w:r>
          </w:p>
          <w:p w14:paraId="195D6D3E" w14:textId="77777777" w:rsidR="006D3AD5" w:rsidRPr="00874BFF" w:rsidRDefault="006D3AD5" w:rsidP="00443B8F">
            <w:pPr>
              <w:overflowPunct/>
              <w:autoSpaceDE/>
              <w:autoSpaceDN/>
              <w:adjustRightInd/>
              <w:jc w:val="left"/>
              <w:textAlignment w:val="auto"/>
              <w:rPr>
                <w:rFonts w:cs="Arial"/>
                <w:sz w:val="20"/>
              </w:rPr>
            </w:pPr>
          </w:p>
          <w:p w14:paraId="30349AAC" w14:textId="77777777" w:rsidR="006D3AD5" w:rsidRPr="00874BFF" w:rsidRDefault="006D3AD5" w:rsidP="00443B8F">
            <w:pPr>
              <w:overflowPunct/>
              <w:autoSpaceDE/>
              <w:autoSpaceDN/>
              <w:adjustRightInd/>
              <w:jc w:val="left"/>
              <w:textAlignment w:val="auto"/>
              <w:rPr>
                <w:rFonts w:cs="Arial"/>
                <w:sz w:val="20"/>
              </w:rPr>
            </w:pPr>
          </w:p>
        </w:tc>
        <w:tc>
          <w:tcPr>
            <w:tcW w:w="2709" w:type="dxa"/>
            <w:tcBorders>
              <w:top w:val="nil"/>
              <w:left w:val="nil"/>
              <w:bottom w:val="nil"/>
              <w:right w:val="nil"/>
            </w:tcBorders>
            <w:noWrap/>
            <w:vAlign w:val="bottom"/>
          </w:tcPr>
          <w:p w14:paraId="6D1E8655" w14:textId="77777777" w:rsidR="006D3AD5" w:rsidRPr="00874BFF" w:rsidRDefault="006D3AD5" w:rsidP="00443B8F">
            <w:pPr>
              <w:overflowPunct/>
              <w:autoSpaceDE/>
              <w:autoSpaceDN/>
              <w:adjustRightInd/>
              <w:jc w:val="left"/>
              <w:textAlignment w:val="auto"/>
              <w:rPr>
                <w:rFonts w:cs="Arial"/>
                <w:sz w:val="20"/>
              </w:rPr>
            </w:pPr>
          </w:p>
        </w:tc>
        <w:tc>
          <w:tcPr>
            <w:tcW w:w="883" w:type="dxa"/>
            <w:tcBorders>
              <w:top w:val="nil"/>
              <w:left w:val="nil"/>
              <w:bottom w:val="nil"/>
              <w:right w:val="nil"/>
            </w:tcBorders>
            <w:noWrap/>
            <w:vAlign w:val="bottom"/>
          </w:tcPr>
          <w:p w14:paraId="47146084" w14:textId="77777777" w:rsidR="006D3AD5" w:rsidRPr="00874BFF" w:rsidRDefault="006D3AD5" w:rsidP="00443B8F">
            <w:pPr>
              <w:overflowPunct/>
              <w:autoSpaceDE/>
              <w:autoSpaceDN/>
              <w:adjustRightInd/>
              <w:jc w:val="left"/>
              <w:textAlignment w:val="auto"/>
              <w:rPr>
                <w:rFonts w:cs="Arial"/>
                <w:sz w:val="20"/>
              </w:rPr>
            </w:pPr>
          </w:p>
        </w:tc>
      </w:tr>
    </w:tbl>
    <w:p w14:paraId="48D38E85" w14:textId="77777777" w:rsidR="006D3AD5" w:rsidRPr="00874BFF" w:rsidRDefault="006D3AD5" w:rsidP="006D3AD5">
      <w:r w:rsidRPr="00874BFF">
        <w:t xml:space="preserve">The total share of potentially viable companies with difficult access to financing in the number of respondents was 19.3 %. More than 55 % of them state that their major problem consists in limited securitisation possibilities. This sub-optimal investment situation can be thus resolved by a financial instrument of equity investments (for more see SO 2.1) or even the guarantee financial instrument combined with e.g. grants for technical preparation of projects, repayable assistance (repayable support converted to not repayable if project objectives are achieved) or subsidy of the interest rate. </w:t>
      </w:r>
    </w:p>
    <w:p w14:paraId="770F6259" w14:textId="77777777" w:rsidR="006D3AD5" w:rsidRPr="00874BFF" w:rsidRDefault="006D3AD5" w:rsidP="006D3AD5"/>
    <w:p w14:paraId="243CEEF6" w14:textId="38A81D2D" w:rsidR="006D3AD5" w:rsidRPr="00874BFF" w:rsidRDefault="006D3AD5" w:rsidP="006D3AD5">
      <w:pPr>
        <w:pStyle w:val="Titulek"/>
        <w:keepNext/>
      </w:pPr>
      <w:r w:rsidRPr="00874BFF">
        <w:lastRenderedPageBreak/>
        <w:t>Figure</w:t>
      </w:r>
      <w:r w:rsidR="00AE6275">
        <w:t xml:space="preserve"> </w:t>
      </w:r>
      <w:r w:rsidR="00AE6275">
        <w:rPr>
          <w:noProof/>
        </w:rPr>
        <w:t>8</w:t>
      </w:r>
      <w:r w:rsidRPr="00874BFF">
        <w:t>: Economically viable companies with difficult access to financing and specification of major reasons for their difficult access (multiple answers could be given).</w:t>
      </w:r>
    </w:p>
    <w:p w14:paraId="50A82C4E" w14:textId="77777777" w:rsidR="006D3AD5" w:rsidRPr="00874BFF" w:rsidRDefault="006D3AD5" w:rsidP="006D3AD5">
      <w:pPr>
        <w:rPr>
          <w:sz w:val="24"/>
        </w:rPr>
      </w:pPr>
      <w:r w:rsidRPr="00874BFF">
        <w:rPr>
          <w:noProof/>
          <w:sz w:val="24"/>
        </w:rPr>
        <mc:AlternateContent>
          <mc:Choice Requires="wpc">
            <w:drawing>
              <wp:inline distT="0" distB="0" distL="0" distR="0" wp14:anchorId="2C69A85C" wp14:editId="6C6CAC4F">
                <wp:extent cx="5669280" cy="2632075"/>
                <wp:effectExtent l="0" t="0" r="0" b="0"/>
                <wp:docPr id="194" name="Plátno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195"/>
                        <wps:cNvSpPr>
                          <a:spLocks noChangeArrowheads="1"/>
                        </wps:cNvSpPr>
                        <wps:spPr bwMode="auto">
                          <a:xfrm>
                            <a:off x="45720" y="45720"/>
                            <a:ext cx="5568950" cy="25406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87" name="Freeform 196"/>
                        <wps:cNvSpPr>
                          <a:spLocks/>
                        </wps:cNvSpPr>
                        <wps:spPr bwMode="auto">
                          <a:xfrm>
                            <a:off x="2825750" y="849630"/>
                            <a:ext cx="511810" cy="301625"/>
                          </a:xfrm>
                          <a:custGeom>
                            <a:avLst/>
                            <a:gdLst>
                              <a:gd name="T0" fmla="*/ 0 w 806"/>
                              <a:gd name="T1" fmla="*/ 0 h 475"/>
                              <a:gd name="T2" fmla="*/ 72 w 806"/>
                              <a:gd name="T3" fmla="*/ 0 h 475"/>
                              <a:gd name="T4" fmla="*/ 100 w 806"/>
                              <a:gd name="T5" fmla="*/ 0 h 475"/>
                              <a:gd name="T6" fmla="*/ 158 w 806"/>
                              <a:gd name="T7" fmla="*/ 0 h 475"/>
                              <a:gd name="T8" fmla="*/ 230 w 806"/>
                              <a:gd name="T9" fmla="*/ 0 h 475"/>
                              <a:gd name="T10" fmla="*/ 288 w 806"/>
                              <a:gd name="T11" fmla="*/ 0 h 475"/>
                              <a:gd name="T12" fmla="*/ 316 w 806"/>
                              <a:gd name="T13" fmla="*/ 0 h 475"/>
                              <a:gd name="T14" fmla="*/ 388 w 806"/>
                              <a:gd name="T15" fmla="*/ 0 h 475"/>
                              <a:gd name="T16" fmla="*/ 446 w 806"/>
                              <a:gd name="T17" fmla="*/ 15 h 475"/>
                              <a:gd name="T18" fmla="*/ 504 w 806"/>
                              <a:gd name="T19" fmla="*/ 15 h 475"/>
                              <a:gd name="T20" fmla="*/ 547 w 806"/>
                              <a:gd name="T21" fmla="*/ 15 h 475"/>
                              <a:gd name="T22" fmla="*/ 604 w 806"/>
                              <a:gd name="T23" fmla="*/ 29 h 475"/>
                              <a:gd name="T24" fmla="*/ 662 w 806"/>
                              <a:gd name="T25" fmla="*/ 29 h 475"/>
                              <a:gd name="T26" fmla="*/ 720 w 806"/>
                              <a:gd name="T27" fmla="*/ 29 h 475"/>
                              <a:gd name="T28" fmla="*/ 748 w 806"/>
                              <a:gd name="T29" fmla="*/ 44 h 475"/>
                              <a:gd name="T30" fmla="*/ 806 w 806"/>
                              <a:gd name="T31" fmla="*/ 44 h 475"/>
                              <a:gd name="T32" fmla="*/ 0 w 806"/>
                              <a:gd name="T33" fmla="*/ 475 h 475"/>
                              <a:gd name="T34" fmla="*/ 0 w 806"/>
                              <a:gd name="T35"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6" h="475">
                                <a:moveTo>
                                  <a:pt x="0" y="0"/>
                                </a:moveTo>
                                <a:lnTo>
                                  <a:pt x="72" y="0"/>
                                </a:lnTo>
                                <a:lnTo>
                                  <a:pt x="100" y="0"/>
                                </a:lnTo>
                                <a:lnTo>
                                  <a:pt x="158" y="0"/>
                                </a:lnTo>
                                <a:lnTo>
                                  <a:pt x="230" y="0"/>
                                </a:lnTo>
                                <a:lnTo>
                                  <a:pt x="288" y="0"/>
                                </a:lnTo>
                                <a:lnTo>
                                  <a:pt x="316" y="0"/>
                                </a:lnTo>
                                <a:lnTo>
                                  <a:pt x="388" y="0"/>
                                </a:lnTo>
                                <a:lnTo>
                                  <a:pt x="446" y="15"/>
                                </a:lnTo>
                                <a:lnTo>
                                  <a:pt x="504" y="15"/>
                                </a:lnTo>
                                <a:lnTo>
                                  <a:pt x="547" y="15"/>
                                </a:lnTo>
                                <a:lnTo>
                                  <a:pt x="604" y="29"/>
                                </a:lnTo>
                                <a:lnTo>
                                  <a:pt x="662" y="29"/>
                                </a:lnTo>
                                <a:lnTo>
                                  <a:pt x="720" y="29"/>
                                </a:lnTo>
                                <a:lnTo>
                                  <a:pt x="748" y="44"/>
                                </a:lnTo>
                                <a:lnTo>
                                  <a:pt x="806" y="44"/>
                                </a:lnTo>
                                <a:lnTo>
                                  <a:pt x="0" y="475"/>
                                </a:lnTo>
                                <a:lnTo>
                                  <a:pt x="0" y="0"/>
                                </a:lnTo>
                                <a:close/>
                              </a:path>
                            </a:pathLst>
                          </a:custGeom>
                          <a:solidFill>
                            <a:srgbClr val="9999FF"/>
                          </a:solidFill>
                          <a:ln w="8890">
                            <a:solidFill>
                              <a:srgbClr val="000000"/>
                            </a:solidFill>
                            <a:prstDash val="solid"/>
                            <a:round/>
                            <a:headEnd/>
                            <a:tailEnd/>
                          </a:ln>
                        </wps:spPr>
                        <wps:bodyPr rot="0" vert="horz" wrap="square" lIns="91440" tIns="45720" rIns="91440" bIns="45720" anchor="t" anchorCtr="0" upright="1">
                          <a:noAutofit/>
                        </wps:bodyPr>
                      </wps:wsp>
                      <wps:wsp>
                        <wps:cNvPr id="88" name="Freeform 197"/>
                        <wps:cNvSpPr>
                          <a:spLocks/>
                        </wps:cNvSpPr>
                        <wps:spPr bwMode="auto">
                          <a:xfrm>
                            <a:off x="3090545" y="584835"/>
                            <a:ext cx="91440" cy="274320"/>
                          </a:xfrm>
                          <a:custGeom>
                            <a:avLst/>
                            <a:gdLst>
                              <a:gd name="T0" fmla="*/ 10 w 10"/>
                              <a:gd name="T1" fmla="*/ 0 h 30"/>
                              <a:gd name="T2" fmla="*/ 2 w 10"/>
                              <a:gd name="T3" fmla="*/ 0 h 30"/>
                              <a:gd name="T4" fmla="*/ 0 w 10"/>
                              <a:gd name="T5" fmla="*/ 30 h 30"/>
                            </a:gdLst>
                            <a:ahLst/>
                            <a:cxnLst>
                              <a:cxn ang="0">
                                <a:pos x="T0" y="T1"/>
                              </a:cxn>
                              <a:cxn ang="0">
                                <a:pos x="T2" y="T3"/>
                              </a:cxn>
                              <a:cxn ang="0">
                                <a:pos x="T4" y="T5"/>
                              </a:cxn>
                            </a:cxnLst>
                            <a:rect l="0" t="0" r="r" b="b"/>
                            <a:pathLst>
                              <a:path w="10" h="30">
                                <a:moveTo>
                                  <a:pt x="10" y="0"/>
                                </a:moveTo>
                                <a:lnTo>
                                  <a:pt x="2" y="0"/>
                                </a:lnTo>
                                <a:lnTo>
                                  <a:pt x="0" y="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98"/>
                        <wps:cNvSpPr>
                          <a:spLocks/>
                        </wps:cNvSpPr>
                        <wps:spPr bwMode="auto">
                          <a:xfrm>
                            <a:off x="1673225" y="849630"/>
                            <a:ext cx="1152525" cy="301625"/>
                          </a:xfrm>
                          <a:custGeom>
                            <a:avLst/>
                            <a:gdLst>
                              <a:gd name="T0" fmla="*/ 0 w 1815"/>
                              <a:gd name="T1" fmla="*/ 418 h 475"/>
                              <a:gd name="T2" fmla="*/ 0 w 1815"/>
                              <a:gd name="T3" fmla="*/ 403 h 475"/>
                              <a:gd name="T4" fmla="*/ 15 w 1815"/>
                              <a:gd name="T5" fmla="*/ 375 h 475"/>
                              <a:gd name="T6" fmla="*/ 29 w 1815"/>
                              <a:gd name="T7" fmla="*/ 360 h 475"/>
                              <a:gd name="T8" fmla="*/ 43 w 1815"/>
                              <a:gd name="T9" fmla="*/ 346 h 475"/>
                              <a:gd name="T10" fmla="*/ 58 w 1815"/>
                              <a:gd name="T11" fmla="*/ 332 h 475"/>
                              <a:gd name="T12" fmla="*/ 87 w 1815"/>
                              <a:gd name="T13" fmla="*/ 317 h 475"/>
                              <a:gd name="T14" fmla="*/ 101 w 1815"/>
                              <a:gd name="T15" fmla="*/ 303 h 475"/>
                              <a:gd name="T16" fmla="*/ 130 w 1815"/>
                              <a:gd name="T17" fmla="*/ 288 h 475"/>
                              <a:gd name="T18" fmla="*/ 159 w 1815"/>
                              <a:gd name="T19" fmla="*/ 274 h 475"/>
                              <a:gd name="T20" fmla="*/ 187 w 1815"/>
                              <a:gd name="T21" fmla="*/ 260 h 475"/>
                              <a:gd name="T22" fmla="*/ 216 w 1815"/>
                              <a:gd name="T23" fmla="*/ 245 h 475"/>
                              <a:gd name="T24" fmla="*/ 245 w 1815"/>
                              <a:gd name="T25" fmla="*/ 231 h 475"/>
                              <a:gd name="T26" fmla="*/ 274 w 1815"/>
                              <a:gd name="T27" fmla="*/ 216 h 475"/>
                              <a:gd name="T28" fmla="*/ 317 w 1815"/>
                              <a:gd name="T29" fmla="*/ 202 h 475"/>
                              <a:gd name="T30" fmla="*/ 346 w 1815"/>
                              <a:gd name="T31" fmla="*/ 188 h 475"/>
                              <a:gd name="T32" fmla="*/ 389 w 1815"/>
                              <a:gd name="T33" fmla="*/ 173 h 475"/>
                              <a:gd name="T34" fmla="*/ 432 w 1815"/>
                              <a:gd name="T35" fmla="*/ 159 h 475"/>
                              <a:gd name="T36" fmla="*/ 475 w 1815"/>
                              <a:gd name="T37" fmla="*/ 144 h 475"/>
                              <a:gd name="T38" fmla="*/ 519 w 1815"/>
                              <a:gd name="T39" fmla="*/ 130 h 475"/>
                              <a:gd name="T40" fmla="*/ 562 w 1815"/>
                              <a:gd name="T41" fmla="*/ 130 h 475"/>
                              <a:gd name="T42" fmla="*/ 619 w 1815"/>
                              <a:gd name="T43" fmla="*/ 116 h 475"/>
                              <a:gd name="T44" fmla="*/ 634 w 1815"/>
                              <a:gd name="T45" fmla="*/ 101 h 475"/>
                              <a:gd name="T46" fmla="*/ 691 w 1815"/>
                              <a:gd name="T47" fmla="*/ 101 h 475"/>
                              <a:gd name="T48" fmla="*/ 735 w 1815"/>
                              <a:gd name="T49" fmla="*/ 87 h 475"/>
                              <a:gd name="T50" fmla="*/ 792 w 1815"/>
                              <a:gd name="T51" fmla="*/ 72 h 475"/>
                              <a:gd name="T52" fmla="*/ 850 w 1815"/>
                              <a:gd name="T53" fmla="*/ 72 h 475"/>
                              <a:gd name="T54" fmla="*/ 893 w 1815"/>
                              <a:gd name="T55" fmla="*/ 58 h 475"/>
                              <a:gd name="T56" fmla="*/ 951 w 1815"/>
                              <a:gd name="T57" fmla="*/ 58 h 475"/>
                              <a:gd name="T58" fmla="*/ 1008 w 1815"/>
                              <a:gd name="T59" fmla="*/ 44 h 475"/>
                              <a:gd name="T60" fmla="*/ 1066 w 1815"/>
                              <a:gd name="T61" fmla="*/ 44 h 475"/>
                              <a:gd name="T62" fmla="*/ 1123 w 1815"/>
                              <a:gd name="T63" fmla="*/ 29 h 475"/>
                              <a:gd name="T64" fmla="*/ 1195 w 1815"/>
                              <a:gd name="T65" fmla="*/ 29 h 475"/>
                              <a:gd name="T66" fmla="*/ 1253 w 1815"/>
                              <a:gd name="T67" fmla="*/ 15 h 475"/>
                              <a:gd name="T68" fmla="*/ 1311 w 1815"/>
                              <a:gd name="T69" fmla="*/ 15 h 475"/>
                              <a:gd name="T70" fmla="*/ 1368 w 1815"/>
                              <a:gd name="T71" fmla="*/ 15 h 475"/>
                              <a:gd name="T72" fmla="*/ 1440 w 1815"/>
                              <a:gd name="T73" fmla="*/ 0 h 475"/>
                              <a:gd name="T74" fmla="*/ 1498 w 1815"/>
                              <a:gd name="T75" fmla="*/ 0 h 475"/>
                              <a:gd name="T76" fmla="*/ 1570 w 1815"/>
                              <a:gd name="T77" fmla="*/ 0 h 475"/>
                              <a:gd name="T78" fmla="*/ 1627 w 1815"/>
                              <a:gd name="T79" fmla="*/ 0 h 475"/>
                              <a:gd name="T80" fmla="*/ 1685 w 1815"/>
                              <a:gd name="T81" fmla="*/ 0 h 475"/>
                              <a:gd name="T82" fmla="*/ 1757 w 1815"/>
                              <a:gd name="T83" fmla="*/ 0 h 475"/>
                              <a:gd name="T84" fmla="*/ 1815 w 1815"/>
                              <a:gd name="T85" fmla="*/ 0 h 475"/>
                              <a:gd name="T86" fmla="*/ 1815 w 1815"/>
                              <a:gd name="T87" fmla="*/ 475 h 475"/>
                              <a:gd name="T88" fmla="*/ 0 w 1815"/>
                              <a:gd name="T89" fmla="*/ 418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15" h="475">
                                <a:moveTo>
                                  <a:pt x="0" y="418"/>
                                </a:moveTo>
                                <a:lnTo>
                                  <a:pt x="0" y="403"/>
                                </a:lnTo>
                                <a:lnTo>
                                  <a:pt x="15" y="375"/>
                                </a:lnTo>
                                <a:lnTo>
                                  <a:pt x="29" y="360"/>
                                </a:lnTo>
                                <a:lnTo>
                                  <a:pt x="43" y="346"/>
                                </a:lnTo>
                                <a:lnTo>
                                  <a:pt x="58" y="332"/>
                                </a:lnTo>
                                <a:lnTo>
                                  <a:pt x="87" y="317"/>
                                </a:lnTo>
                                <a:lnTo>
                                  <a:pt x="101" y="303"/>
                                </a:lnTo>
                                <a:lnTo>
                                  <a:pt x="130" y="288"/>
                                </a:lnTo>
                                <a:lnTo>
                                  <a:pt x="159" y="274"/>
                                </a:lnTo>
                                <a:lnTo>
                                  <a:pt x="187" y="260"/>
                                </a:lnTo>
                                <a:lnTo>
                                  <a:pt x="216" y="245"/>
                                </a:lnTo>
                                <a:lnTo>
                                  <a:pt x="245" y="231"/>
                                </a:lnTo>
                                <a:lnTo>
                                  <a:pt x="274" y="216"/>
                                </a:lnTo>
                                <a:lnTo>
                                  <a:pt x="317" y="202"/>
                                </a:lnTo>
                                <a:lnTo>
                                  <a:pt x="346" y="188"/>
                                </a:lnTo>
                                <a:lnTo>
                                  <a:pt x="389" y="173"/>
                                </a:lnTo>
                                <a:lnTo>
                                  <a:pt x="432" y="159"/>
                                </a:lnTo>
                                <a:lnTo>
                                  <a:pt x="475" y="144"/>
                                </a:lnTo>
                                <a:lnTo>
                                  <a:pt x="519" y="130"/>
                                </a:lnTo>
                                <a:lnTo>
                                  <a:pt x="562" y="130"/>
                                </a:lnTo>
                                <a:lnTo>
                                  <a:pt x="619" y="116"/>
                                </a:lnTo>
                                <a:lnTo>
                                  <a:pt x="634" y="101"/>
                                </a:lnTo>
                                <a:lnTo>
                                  <a:pt x="691" y="101"/>
                                </a:lnTo>
                                <a:lnTo>
                                  <a:pt x="735" y="87"/>
                                </a:lnTo>
                                <a:lnTo>
                                  <a:pt x="792" y="72"/>
                                </a:lnTo>
                                <a:lnTo>
                                  <a:pt x="850" y="72"/>
                                </a:lnTo>
                                <a:lnTo>
                                  <a:pt x="893" y="58"/>
                                </a:lnTo>
                                <a:lnTo>
                                  <a:pt x="951" y="58"/>
                                </a:lnTo>
                                <a:lnTo>
                                  <a:pt x="1008" y="44"/>
                                </a:lnTo>
                                <a:lnTo>
                                  <a:pt x="1066" y="44"/>
                                </a:lnTo>
                                <a:lnTo>
                                  <a:pt x="1123" y="29"/>
                                </a:lnTo>
                                <a:lnTo>
                                  <a:pt x="1195" y="29"/>
                                </a:lnTo>
                                <a:lnTo>
                                  <a:pt x="1253" y="15"/>
                                </a:lnTo>
                                <a:lnTo>
                                  <a:pt x="1311" y="15"/>
                                </a:lnTo>
                                <a:lnTo>
                                  <a:pt x="1368" y="15"/>
                                </a:lnTo>
                                <a:lnTo>
                                  <a:pt x="1440" y="0"/>
                                </a:lnTo>
                                <a:lnTo>
                                  <a:pt x="1498" y="0"/>
                                </a:lnTo>
                                <a:lnTo>
                                  <a:pt x="1570" y="0"/>
                                </a:lnTo>
                                <a:lnTo>
                                  <a:pt x="1627" y="0"/>
                                </a:lnTo>
                                <a:lnTo>
                                  <a:pt x="1685" y="0"/>
                                </a:lnTo>
                                <a:lnTo>
                                  <a:pt x="1757" y="0"/>
                                </a:lnTo>
                                <a:lnTo>
                                  <a:pt x="1815" y="0"/>
                                </a:lnTo>
                                <a:lnTo>
                                  <a:pt x="1815" y="475"/>
                                </a:lnTo>
                                <a:lnTo>
                                  <a:pt x="0" y="418"/>
                                </a:lnTo>
                                <a:close/>
                              </a:path>
                            </a:pathLst>
                          </a:custGeom>
                          <a:solidFill>
                            <a:srgbClr val="CCFFFF"/>
                          </a:solidFill>
                          <a:ln w="8890">
                            <a:solidFill>
                              <a:srgbClr val="000000"/>
                            </a:solidFill>
                            <a:prstDash val="solid"/>
                            <a:round/>
                            <a:headEnd/>
                            <a:tailEnd/>
                          </a:ln>
                        </wps:spPr>
                        <wps:bodyPr rot="0" vert="horz" wrap="square" lIns="91440" tIns="45720" rIns="91440" bIns="45720" anchor="t" anchorCtr="0" upright="1">
                          <a:noAutofit/>
                        </wps:bodyPr>
                      </wps:wsp>
                      <wps:wsp>
                        <wps:cNvPr id="90" name="Freeform 199"/>
                        <wps:cNvSpPr>
                          <a:spLocks/>
                        </wps:cNvSpPr>
                        <wps:spPr bwMode="auto">
                          <a:xfrm>
                            <a:off x="3547745" y="1151255"/>
                            <a:ext cx="448310" cy="567055"/>
                          </a:xfrm>
                          <a:custGeom>
                            <a:avLst/>
                            <a:gdLst>
                              <a:gd name="T0" fmla="*/ 706 w 706"/>
                              <a:gd name="T1" fmla="*/ 0 h 893"/>
                              <a:gd name="T2" fmla="*/ 706 w 706"/>
                              <a:gd name="T3" fmla="*/ 15 h 893"/>
                              <a:gd name="T4" fmla="*/ 691 w 706"/>
                              <a:gd name="T5" fmla="*/ 29 h 893"/>
                              <a:gd name="T6" fmla="*/ 691 w 706"/>
                              <a:gd name="T7" fmla="*/ 44 h 893"/>
                              <a:gd name="T8" fmla="*/ 691 w 706"/>
                              <a:gd name="T9" fmla="*/ 58 h 893"/>
                              <a:gd name="T10" fmla="*/ 677 w 706"/>
                              <a:gd name="T11" fmla="*/ 72 h 893"/>
                              <a:gd name="T12" fmla="*/ 663 w 706"/>
                              <a:gd name="T13" fmla="*/ 101 h 893"/>
                              <a:gd name="T14" fmla="*/ 648 w 706"/>
                              <a:gd name="T15" fmla="*/ 101 h 893"/>
                              <a:gd name="T16" fmla="*/ 634 w 706"/>
                              <a:gd name="T17" fmla="*/ 116 h 893"/>
                              <a:gd name="T18" fmla="*/ 619 w 706"/>
                              <a:gd name="T19" fmla="*/ 130 h 893"/>
                              <a:gd name="T20" fmla="*/ 605 w 706"/>
                              <a:gd name="T21" fmla="*/ 144 h 893"/>
                              <a:gd name="T22" fmla="*/ 576 w 706"/>
                              <a:gd name="T23" fmla="*/ 173 h 893"/>
                              <a:gd name="T24" fmla="*/ 562 w 706"/>
                              <a:gd name="T25" fmla="*/ 188 h 893"/>
                              <a:gd name="T26" fmla="*/ 533 w 706"/>
                              <a:gd name="T27" fmla="*/ 202 h 893"/>
                              <a:gd name="T28" fmla="*/ 504 w 706"/>
                              <a:gd name="T29" fmla="*/ 216 h 893"/>
                              <a:gd name="T30" fmla="*/ 475 w 706"/>
                              <a:gd name="T31" fmla="*/ 231 h 893"/>
                              <a:gd name="T32" fmla="*/ 447 w 706"/>
                              <a:gd name="T33" fmla="*/ 245 h 893"/>
                              <a:gd name="T34" fmla="*/ 403 w 706"/>
                              <a:gd name="T35" fmla="*/ 260 h 893"/>
                              <a:gd name="T36" fmla="*/ 375 w 706"/>
                              <a:gd name="T37" fmla="*/ 274 h 893"/>
                              <a:gd name="T38" fmla="*/ 331 w 706"/>
                              <a:gd name="T39" fmla="*/ 288 h 893"/>
                              <a:gd name="T40" fmla="*/ 288 w 706"/>
                              <a:gd name="T41" fmla="*/ 303 h 893"/>
                              <a:gd name="T42" fmla="*/ 274 w 706"/>
                              <a:gd name="T43" fmla="*/ 303 h 893"/>
                              <a:gd name="T44" fmla="*/ 231 w 706"/>
                              <a:gd name="T45" fmla="*/ 317 h 893"/>
                              <a:gd name="T46" fmla="*/ 187 w 706"/>
                              <a:gd name="T47" fmla="*/ 331 h 893"/>
                              <a:gd name="T48" fmla="*/ 144 w 706"/>
                              <a:gd name="T49" fmla="*/ 331 h 893"/>
                              <a:gd name="T50" fmla="*/ 101 w 706"/>
                              <a:gd name="T51" fmla="*/ 346 h 893"/>
                              <a:gd name="T52" fmla="*/ 43 w 706"/>
                              <a:gd name="T53" fmla="*/ 360 h 893"/>
                              <a:gd name="T54" fmla="*/ 0 w 706"/>
                              <a:gd name="T55" fmla="*/ 375 h 893"/>
                              <a:gd name="T56" fmla="*/ 0 w 706"/>
                              <a:gd name="T57" fmla="*/ 893 h 893"/>
                              <a:gd name="T58" fmla="*/ 43 w 706"/>
                              <a:gd name="T59" fmla="*/ 878 h 893"/>
                              <a:gd name="T60" fmla="*/ 101 w 706"/>
                              <a:gd name="T61" fmla="*/ 864 h 893"/>
                              <a:gd name="T62" fmla="*/ 144 w 706"/>
                              <a:gd name="T63" fmla="*/ 850 h 893"/>
                              <a:gd name="T64" fmla="*/ 187 w 706"/>
                              <a:gd name="T65" fmla="*/ 850 h 893"/>
                              <a:gd name="T66" fmla="*/ 231 w 706"/>
                              <a:gd name="T67" fmla="*/ 835 h 893"/>
                              <a:gd name="T68" fmla="*/ 274 w 706"/>
                              <a:gd name="T69" fmla="*/ 821 h 893"/>
                              <a:gd name="T70" fmla="*/ 288 w 706"/>
                              <a:gd name="T71" fmla="*/ 821 h 893"/>
                              <a:gd name="T72" fmla="*/ 331 w 706"/>
                              <a:gd name="T73" fmla="*/ 806 h 893"/>
                              <a:gd name="T74" fmla="*/ 375 w 706"/>
                              <a:gd name="T75" fmla="*/ 792 h 893"/>
                              <a:gd name="T76" fmla="*/ 403 w 706"/>
                              <a:gd name="T77" fmla="*/ 778 h 893"/>
                              <a:gd name="T78" fmla="*/ 447 w 706"/>
                              <a:gd name="T79" fmla="*/ 763 h 893"/>
                              <a:gd name="T80" fmla="*/ 475 w 706"/>
                              <a:gd name="T81" fmla="*/ 749 h 893"/>
                              <a:gd name="T82" fmla="*/ 504 w 706"/>
                              <a:gd name="T83" fmla="*/ 734 h 893"/>
                              <a:gd name="T84" fmla="*/ 533 w 706"/>
                              <a:gd name="T85" fmla="*/ 720 h 893"/>
                              <a:gd name="T86" fmla="*/ 562 w 706"/>
                              <a:gd name="T87" fmla="*/ 706 h 893"/>
                              <a:gd name="T88" fmla="*/ 576 w 706"/>
                              <a:gd name="T89" fmla="*/ 691 h 893"/>
                              <a:gd name="T90" fmla="*/ 605 w 706"/>
                              <a:gd name="T91" fmla="*/ 662 h 893"/>
                              <a:gd name="T92" fmla="*/ 619 w 706"/>
                              <a:gd name="T93" fmla="*/ 648 h 893"/>
                              <a:gd name="T94" fmla="*/ 634 w 706"/>
                              <a:gd name="T95" fmla="*/ 634 h 893"/>
                              <a:gd name="T96" fmla="*/ 648 w 706"/>
                              <a:gd name="T97" fmla="*/ 619 h 893"/>
                              <a:gd name="T98" fmla="*/ 663 w 706"/>
                              <a:gd name="T99" fmla="*/ 619 h 893"/>
                              <a:gd name="T100" fmla="*/ 677 w 706"/>
                              <a:gd name="T101" fmla="*/ 591 h 893"/>
                              <a:gd name="T102" fmla="*/ 691 w 706"/>
                              <a:gd name="T103" fmla="*/ 576 h 893"/>
                              <a:gd name="T104" fmla="*/ 691 w 706"/>
                              <a:gd name="T105" fmla="*/ 562 h 893"/>
                              <a:gd name="T106" fmla="*/ 691 w 706"/>
                              <a:gd name="T107" fmla="*/ 547 h 893"/>
                              <a:gd name="T108" fmla="*/ 706 w 706"/>
                              <a:gd name="T109" fmla="*/ 533 h 893"/>
                              <a:gd name="T110" fmla="*/ 706 w 706"/>
                              <a:gd name="T111" fmla="*/ 519 h 893"/>
                              <a:gd name="T112" fmla="*/ 706 w 706"/>
                              <a:gd name="T113"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6" h="893">
                                <a:moveTo>
                                  <a:pt x="706" y="0"/>
                                </a:moveTo>
                                <a:lnTo>
                                  <a:pt x="706" y="15"/>
                                </a:lnTo>
                                <a:lnTo>
                                  <a:pt x="691" y="29"/>
                                </a:lnTo>
                                <a:lnTo>
                                  <a:pt x="691" y="44"/>
                                </a:lnTo>
                                <a:lnTo>
                                  <a:pt x="691" y="58"/>
                                </a:lnTo>
                                <a:lnTo>
                                  <a:pt x="677" y="72"/>
                                </a:lnTo>
                                <a:lnTo>
                                  <a:pt x="663" y="101"/>
                                </a:lnTo>
                                <a:lnTo>
                                  <a:pt x="648" y="101"/>
                                </a:lnTo>
                                <a:lnTo>
                                  <a:pt x="634" y="116"/>
                                </a:lnTo>
                                <a:lnTo>
                                  <a:pt x="619" y="130"/>
                                </a:lnTo>
                                <a:lnTo>
                                  <a:pt x="605" y="144"/>
                                </a:lnTo>
                                <a:lnTo>
                                  <a:pt x="576" y="173"/>
                                </a:lnTo>
                                <a:lnTo>
                                  <a:pt x="562" y="188"/>
                                </a:lnTo>
                                <a:lnTo>
                                  <a:pt x="533" y="202"/>
                                </a:lnTo>
                                <a:lnTo>
                                  <a:pt x="504" y="216"/>
                                </a:lnTo>
                                <a:lnTo>
                                  <a:pt x="475" y="231"/>
                                </a:lnTo>
                                <a:lnTo>
                                  <a:pt x="447" y="245"/>
                                </a:lnTo>
                                <a:lnTo>
                                  <a:pt x="403" y="260"/>
                                </a:lnTo>
                                <a:lnTo>
                                  <a:pt x="375" y="274"/>
                                </a:lnTo>
                                <a:lnTo>
                                  <a:pt x="331" y="288"/>
                                </a:lnTo>
                                <a:lnTo>
                                  <a:pt x="288" y="303"/>
                                </a:lnTo>
                                <a:lnTo>
                                  <a:pt x="274" y="303"/>
                                </a:lnTo>
                                <a:lnTo>
                                  <a:pt x="231" y="317"/>
                                </a:lnTo>
                                <a:lnTo>
                                  <a:pt x="187" y="331"/>
                                </a:lnTo>
                                <a:lnTo>
                                  <a:pt x="144" y="331"/>
                                </a:lnTo>
                                <a:lnTo>
                                  <a:pt x="101" y="346"/>
                                </a:lnTo>
                                <a:lnTo>
                                  <a:pt x="43" y="360"/>
                                </a:lnTo>
                                <a:lnTo>
                                  <a:pt x="0" y="375"/>
                                </a:lnTo>
                                <a:lnTo>
                                  <a:pt x="0" y="893"/>
                                </a:lnTo>
                                <a:lnTo>
                                  <a:pt x="43" y="878"/>
                                </a:lnTo>
                                <a:lnTo>
                                  <a:pt x="101" y="864"/>
                                </a:lnTo>
                                <a:lnTo>
                                  <a:pt x="144" y="850"/>
                                </a:lnTo>
                                <a:lnTo>
                                  <a:pt x="187" y="850"/>
                                </a:lnTo>
                                <a:lnTo>
                                  <a:pt x="231" y="835"/>
                                </a:lnTo>
                                <a:lnTo>
                                  <a:pt x="274" y="821"/>
                                </a:lnTo>
                                <a:lnTo>
                                  <a:pt x="288" y="821"/>
                                </a:lnTo>
                                <a:lnTo>
                                  <a:pt x="331" y="806"/>
                                </a:lnTo>
                                <a:lnTo>
                                  <a:pt x="375" y="792"/>
                                </a:lnTo>
                                <a:lnTo>
                                  <a:pt x="403" y="778"/>
                                </a:lnTo>
                                <a:lnTo>
                                  <a:pt x="447" y="763"/>
                                </a:lnTo>
                                <a:lnTo>
                                  <a:pt x="475" y="749"/>
                                </a:lnTo>
                                <a:lnTo>
                                  <a:pt x="504" y="734"/>
                                </a:lnTo>
                                <a:lnTo>
                                  <a:pt x="533" y="720"/>
                                </a:lnTo>
                                <a:lnTo>
                                  <a:pt x="562" y="706"/>
                                </a:lnTo>
                                <a:lnTo>
                                  <a:pt x="576" y="691"/>
                                </a:lnTo>
                                <a:lnTo>
                                  <a:pt x="605" y="662"/>
                                </a:lnTo>
                                <a:lnTo>
                                  <a:pt x="619" y="648"/>
                                </a:lnTo>
                                <a:lnTo>
                                  <a:pt x="634" y="634"/>
                                </a:lnTo>
                                <a:lnTo>
                                  <a:pt x="648" y="619"/>
                                </a:lnTo>
                                <a:lnTo>
                                  <a:pt x="663" y="619"/>
                                </a:lnTo>
                                <a:lnTo>
                                  <a:pt x="677" y="591"/>
                                </a:lnTo>
                                <a:lnTo>
                                  <a:pt x="691" y="576"/>
                                </a:lnTo>
                                <a:lnTo>
                                  <a:pt x="691" y="562"/>
                                </a:lnTo>
                                <a:lnTo>
                                  <a:pt x="691" y="547"/>
                                </a:lnTo>
                                <a:lnTo>
                                  <a:pt x="706" y="533"/>
                                </a:lnTo>
                                <a:lnTo>
                                  <a:pt x="706" y="519"/>
                                </a:lnTo>
                                <a:lnTo>
                                  <a:pt x="706" y="0"/>
                                </a:lnTo>
                                <a:close/>
                              </a:path>
                            </a:pathLst>
                          </a:custGeom>
                          <a:solidFill>
                            <a:srgbClr val="4D1A33"/>
                          </a:solidFill>
                          <a:ln w="8890">
                            <a:solidFill>
                              <a:srgbClr val="000000"/>
                            </a:solidFill>
                            <a:prstDash val="solid"/>
                            <a:round/>
                            <a:headEnd/>
                            <a:tailEnd/>
                          </a:ln>
                        </wps:spPr>
                        <wps:bodyPr rot="0" vert="horz" wrap="square" lIns="91440" tIns="45720" rIns="91440" bIns="45720" anchor="t" anchorCtr="0" upright="1">
                          <a:noAutofit/>
                        </wps:bodyPr>
                      </wps:wsp>
                      <wps:wsp>
                        <wps:cNvPr id="91" name="Freeform 200"/>
                        <wps:cNvSpPr>
                          <a:spLocks/>
                        </wps:cNvSpPr>
                        <wps:spPr bwMode="auto">
                          <a:xfrm>
                            <a:off x="2825750" y="877570"/>
                            <a:ext cx="1170305" cy="511810"/>
                          </a:xfrm>
                          <a:custGeom>
                            <a:avLst/>
                            <a:gdLst>
                              <a:gd name="T0" fmla="*/ 806 w 1843"/>
                              <a:gd name="T1" fmla="*/ 0 h 806"/>
                              <a:gd name="T2" fmla="*/ 864 w 1843"/>
                              <a:gd name="T3" fmla="*/ 14 h 806"/>
                              <a:gd name="T4" fmla="*/ 921 w 1843"/>
                              <a:gd name="T5" fmla="*/ 14 h 806"/>
                              <a:gd name="T6" fmla="*/ 979 w 1843"/>
                              <a:gd name="T7" fmla="*/ 28 h 806"/>
                              <a:gd name="T8" fmla="*/ 1036 w 1843"/>
                              <a:gd name="T9" fmla="*/ 28 h 806"/>
                              <a:gd name="T10" fmla="*/ 1080 w 1843"/>
                              <a:gd name="T11" fmla="*/ 43 h 806"/>
                              <a:gd name="T12" fmla="*/ 1137 w 1843"/>
                              <a:gd name="T13" fmla="*/ 57 h 806"/>
                              <a:gd name="T14" fmla="*/ 1180 w 1843"/>
                              <a:gd name="T15" fmla="*/ 57 h 806"/>
                              <a:gd name="T16" fmla="*/ 1209 w 1843"/>
                              <a:gd name="T17" fmla="*/ 72 h 806"/>
                              <a:gd name="T18" fmla="*/ 1252 w 1843"/>
                              <a:gd name="T19" fmla="*/ 86 h 806"/>
                              <a:gd name="T20" fmla="*/ 1296 w 1843"/>
                              <a:gd name="T21" fmla="*/ 86 h 806"/>
                              <a:gd name="T22" fmla="*/ 1339 w 1843"/>
                              <a:gd name="T23" fmla="*/ 100 h 806"/>
                              <a:gd name="T24" fmla="*/ 1382 w 1843"/>
                              <a:gd name="T25" fmla="*/ 115 h 806"/>
                              <a:gd name="T26" fmla="*/ 1425 w 1843"/>
                              <a:gd name="T27" fmla="*/ 129 h 806"/>
                              <a:gd name="T28" fmla="*/ 1468 w 1843"/>
                              <a:gd name="T29" fmla="*/ 144 h 806"/>
                              <a:gd name="T30" fmla="*/ 1512 w 1843"/>
                              <a:gd name="T31" fmla="*/ 158 h 806"/>
                              <a:gd name="T32" fmla="*/ 1540 w 1843"/>
                              <a:gd name="T33" fmla="*/ 172 h 806"/>
                              <a:gd name="T34" fmla="*/ 1584 w 1843"/>
                              <a:gd name="T35" fmla="*/ 187 h 806"/>
                              <a:gd name="T36" fmla="*/ 1612 w 1843"/>
                              <a:gd name="T37" fmla="*/ 201 h 806"/>
                              <a:gd name="T38" fmla="*/ 1641 w 1843"/>
                              <a:gd name="T39" fmla="*/ 216 h 806"/>
                              <a:gd name="T40" fmla="*/ 1670 w 1843"/>
                              <a:gd name="T41" fmla="*/ 230 h 806"/>
                              <a:gd name="T42" fmla="*/ 1699 w 1843"/>
                              <a:gd name="T43" fmla="*/ 244 h 806"/>
                              <a:gd name="T44" fmla="*/ 1713 w 1843"/>
                              <a:gd name="T45" fmla="*/ 259 h 806"/>
                              <a:gd name="T46" fmla="*/ 1728 w 1843"/>
                              <a:gd name="T47" fmla="*/ 259 h 806"/>
                              <a:gd name="T48" fmla="*/ 1756 w 1843"/>
                              <a:gd name="T49" fmla="*/ 288 h 806"/>
                              <a:gd name="T50" fmla="*/ 1771 w 1843"/>
                              <a:gd name="T51" fmla="*/ 302 h 806"/>
                              <a:gd name="T52" fmla="*/ 1785 w 1843"/>
                              <a:gd name="T53" fmla="*/ 316 h 806"/>
                              <a:gd name="T54" fmla="*/ 1800 w 1843"/>
                              <a:gd name="T55" fmla="*/ 331 h 806"/>
                              <a:gd name="T56" fmla="*/ 1814 w 1843"/>
                              <a:gd name="T57" fmla="*/ 345 h 806"/>
                              <a:gd name="T58" fmla="*/ 1828 w 1843"/>
                              <a:gd name="T59" fmla="*/ 359 h 806"/>
                              <a:gd name="T60" fmla="*/ 1828 w 1843"/>
                              <a:gd name="T61" fmla="*/ 374 h 806"/>
                              <a:gd name="T62" fmla="*/ 1828 w 1843"/>
                              <a:gd name="T63" fmla="*/ 388 h 806"/>
                              <a:gd name="T64" fmla="*/ 1843 w 1843"/>
                              <a:gd name="T65" fmla="*/ 417 h 806"/>
                              <a:gd name="T66" fmla="*/ 1843 w 1843"/>
                              <a:gd name="T67" fmla="*/ 431 h 806"/>
                              <a:gd name="T68" fmla="*/ 1843 w 1843"/>
                              <a:gd name="T69" fmla="*/ 446 h 806"/>
                              <a:gd name="T70" fmla="*/ 1828 w 1843"/>
                              <a:gd name="T71" fmla="*/ 460 h 806"/>
                              <a:gd name="T72" fmla="*/ 1828 w 1843"/>
                              <a:gd name="T73" fmla="*/ 475 h 806"/>
                              <a:gd name="T74" fmla="*/ 1828 w 1843"/>
                              <a:gd name="T75" fmla="*/ 489 h 806"/>
                              <a:gd name="T76" fmla="*/ 1814 w 1843"/>
                              <a:gd name="T77" fmla="*/ 503 h 806"/>
                              <a:gd name="T78" fmla="*/ 1800 w 1843"/>
                              <a:gd name="T79" fmla="*/ 518 h 806"/>
                              <a:gd name="T80" fmla="*/ 1785 w 1843"/>
                              <a:gd name="T81" fmla="*/ 532 h 806"/>
                              <a:gd name="T82" fmla="*/ 1771 w 1843"/>
                              <a:gd name="T83" fmla="*/ 547 h 806"/>
                              <a:gd name="T84" fmla="*/ 1756 w 1843"/>
                              <a:gd name="T85" fmla="*/ 561 h 806"/>
                              <a:gd name="T86" fmla="*/ 1742 w 1843"/>
                              <a:gd name="T87" fmla="*/ 575 h 806"/>
                              <a:gd name="T88" fmla="*/ 1713 w 1843"/>
                              <a:gd name="T89" fmla="*/ 604 h 806"/>
                              <a:gd name="T90" fmla="*/ 1699 w 1843"/>
                              <a:gd name="T91" fmla="*/ 619 h 806"/>
                              <a:gd name="T92" fmla="*/ 1670 w 1843"/>
                              <a:gd name="T93" fmla="*/ 633 h 806"/>
                              <a:gd name="T94" fmla="*/ 1641 w 1843"/>
                              <a:gd name="T95" fmla="*/ 647 h 806"/>
                              <a:gd name="T96" fmla="*/ 1612 w 1843"/>
                              <a:gd name="T97" fmla="*/ 662 h 806"/>
                              <a:gd name="T98" fmla="*/ 1584 w 1843"/>
                              <a:gd name="T99" fmla="*/ 676 h 806"/>
                              <a:gd name="T100" fmla="*/ 1540 w 1843"/>
                              <a:gd name="T101" fmla="*/ 691 h 806"/>
                              <a:gd name="T102" fmla="*/ 1512 w 1843"/>
                              <a:gd name="T103" fmla="*/ 705 h 806"/>
                              <a:gd name="T104" fmla="*/ 1468 w 1843"/>
                              <a:gd name="T105" fmla="*/ 719 h 806"/>
                              <a:gd name="T106" fmla="*/ 1454 w 1843"/>
                              <a:gd name="T107" fmla="*/ 719 h 806"/>
                              <a:gd name="T108" fmla="*/ 1411 w 1843"/>
                              <a:gd name="T109" fmla="*/ 734 h 806"/>
                              <a:gd name="T110" fmla="*/ 1368 w 1843"/>
                              <a:gd name="T111" fmla="*/ 748 h 806"/>
                              <a:gd name="T112" fmla="*/ 1324 w 1843"/>
                              <a:gd name="T113" fmla="*/ 762 h 806"/>
                              <a:gd name="T114" fmla="*/ 1281 w 1843"/>
                              <a:gd name="T115" fmla="*/ 762 h 806"/>
                              <a:gd name="T116" fmla="*/ 1238 w 1843"/>
                              <a:gd name="T117" fmla="*/ 777 h 806"/>
                              <a:gd name="T118" fmla="*/ 1180 w 1843"/>
                              <a:gd name="T119" fmla="*/ 791 h 806"/>
                              <a:gd name="T120" fmla="*/ 1137 w 1843"/>
                              <a:gd name="T121" fmla="*/ 806 h 806"/>
                              <a:gd name="T122" fmla="*/ 0 w 1843"/>
                              <a:gd name="T123" fmla="*/ 431 h 806"/>
                              <a:gd name="T124" fmla="*/ 806 w 1843"/>
                              <a:gd name="T125"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43" h="806">
                                <a:moveTo>
                                  <a:pt x="806" y="0"/>
                                </a:moveTo>
                                <a:lnTo>
                                  <a:pt x="864" y="14"/>
                                </a:lnTo>
                                <a:lnTo>
                                  <a:pt x="921" y="14"/>
                                </a:lnTo>
                                <a:lnTo>
                                  <a:pt x="979" y="28"/>
                                </a:lnTo>
                                <a:lnTo>
                                  <a:pt x="1036" y="28"/>
                                </a:lnTo>
                                <a:lnTo>
                                  <a:pt x="1080" y="43"/>
                                </a:lnTo>
                                <a:lnTo>
                                  <a:pt x="1137" y="57"/>
                                </a:lnTo>
                                <a:lnTo>
                                  <a:pt x="1180" y="57"/>
                                </a:lnTo>
                                <a:lnTo>
                                  <a:pt x="1209" y="72"/>
                                </a:lnTo>
                                <a:lnTo>
                                  <a:pt x="1252" y="86"/>
                                </a:lnTo>
                                <a:lnTo>
                                  <a:pt x="1296" y="86"/>
                                </a:lnTo>
                                <a:lnTo>
                                  <a:pt x="1339" y="100"/>
                                </a:lnTo>
                                <a:lnTo>
                                  <a:pt x="1382" y="115"/>
                                </a:lnTo>
                                <a:lnTo>
                                  <a:pt x="1425" y="129"/>
                                </a:lnTo>
                                <a:lnTo>
                                  <a:pt x="1468" y="144"/>
                                </a:lnTo>
                                <a:lnTo>
                                  <a:pt x="1512" y="158"/>
                                </a:lnTo>
                                <a:lnTo>
                                  <a:pt x="1540" y="172"/>
                                </a:lnTo>
                                <a:lnTo>
                                  <a:pt x="1584" y="187"/>
                                </a:lnTo>
                                <a:lnTo>
                                  <a:pt x="1612" y="201"/>
                                </a:lnTo>
                                <a:lnTo>
                                  <a:pt x="1641" y="216"/>
                                </a:lnTo>
                                <a:lnTo>
                                  <a:pt x="1670" y="230"/>
                                </a:lnTo>
                                <a:lnTo>
                                  <a:pt x="1699" y="244"/>
                                </a:lnTo>
                                <a:lnTo>
                                  <a:pt x="1713" y="259"/>
                                </a:lnTo>
                                <a:lnTo>
                                  <a:pt x="1728" y="259"/>
                                </a:lnTo>
                                <a:lnTo>
                                  <a:pt x="1756" y="288"/>
                                </a:lnTo>
                                <a:lnTo>
                                  <a:pt x="1771" y="302"/>
                                </a:lnTo>
                                <a:lnTo>
                                  <a:pt x="1785" y="316"/>
                                </a:lnTo>
                                <a:lnTo>
                                  <a:pt x="1800" y="331"/>
                                </a:lnTo>
                                <a:lnTo>
                                  <a:pt x="1814" y="345"/>
                                </a:lnTo>
                                <a:lnTo>
                                  <a:pt x="1828" y="359"/>
                                </a:lnTo>
                                <a:lnTo>
                                  <a:pt x="1828" y="374"/>
                                </a:lnTo>
                                <a:lnTo>
                                  <a:pt x="1828" y="388"/>
                                </a:lnTo>
                                <a:lnTo>
                                  <a:pt x="1843" y="417"/>
                                </a:lnTo>
                                <a:lnTo>
                                  <a:pt x="1843" y="431"/>
                                </a:lnTo>
                                <a:lnTo>
                                  <a:pt x="1843" y="446"/>
                                </a:lnTo>
                                <a:lnTo>
                                  <a:pt x="1828" y="460"/>
                                </a:lnTo>
                                <a:lnTo>
                                  <a:pt x="1828" y="475"/>
                                </a:lnTo>
                                <a:lnTo>
                                  <a:pt x="1828" y="489"/>
                                </a:lnTo>
                                <a:lnTo>
                                  <a:pt x="1814" y="503"/>
                                </a:lnTo>
                                <a:lnTo>
                                  <a:pt x="1800" y="518"/>
                                </a:lnTo>
                                <a:lnTo>
                                  <a:pt x="1785" y="532"/>
                                </a:lnTo>
                                <a:lnTo>
                                  <a:pt x="1771" y="547"/>
                                </a:lnTo>
                                <a:lnTo>
                                  <a:pt x="1756" y="561"/>
                                </a:lnTo>
                                <a:lnTo>
                                  <a:pt x="1742" y="575"/>
                                </a:lnTo>
                                <a:lnTo>
                                  <a:pt x="1713" y="604"/>
                                </a:lnTo>
                                <a:lnTo>
                                  <a:pt x="1699" y="619"/>
                                </a:lnTo>
                                <a:lnTo>
                                  <a:pt x="1670" y="633"/>
                                </a:lnTo>
                                <a:lnTo>
                                  <a:pt x="1641" y="647"/>
                                </a:lnTo>
                                <a:lnTo>
                                  <a:pt x="1612" y="662"/>
                                </a:lnTo>
                                <a:lnTo>
                                  <a:pt x="1584" y="676"/>
                                </a:lnTo>
                                <a:lnTo>
                                  <a:pt x="1540" y="691"/>
                                </a:lnTo>
                                <a:lnTo>
                                  <a:pt x="1512" y="705"/>
                                </a:lnTo>
                                <a:lnTo>
                                  <a:pt x="1468" y="719"/>
                                </a:lnTo>
                                <a:lnTo>
                                  <a:pt x="1454" y="719"/>
                                </a:lnTo>
                                <a:lnTo>
                                  <a:pt x="1411" y="734"/>
                                </a:lnTo>
                                <a:lnTo>
                                  <a:pt x="1368" y="748"/>
                                </a:lnTo>
                                <a:lnTo>
                                  <a:pt x="1324" y="762"/>
                                </a:lnTo>
                                <a:lnTo>
                                  <a:pt x="1281" y="762"/>
                                </a:lnTo>
                                <a:lnTo>
                                  <a:pt x="1238" y="777"/>
                                </a:lnTo>
                                <a:lnTo>
                                  <a:pt x="1180" y="791"/>
                                </a:lnTo>
                                <a:lnTo>
                                  <a:pt x="1137" y="806"/>
                                </a:lnTo>
                                <a:lnTo>
                                  <a:pt x="0" y="431"/>
                                </a:lnTo>
                                <a:lnTo>
                                  <a:pt x="806" y="0"/>
                                </a:lnTo>
                                <a:close/>
                              </a:path>
                            </a:pathLst>
                          </a:custGeom>
                          <a:solidFill>
                            <a:srgbClr val="993366"/>
                          </a:solidFill>
                          <a:ln w="8890">
                            <a:solidFill>
                              <a:srgbClr val="000000"/>
                            </a:solidFill>
                            <a:prstDash val="solid"/>
                            <a:round/>
                            <a:headEnd/>
                            <a:tailEnd/>
                          </a:ln>
                        </wps:spPr>
                        <wps:bodyPr rot="0" vert="horz" wrap="square" lIns="91440" tIns="45720" rIns="91440" bIns="45720" anchor="t" anchorCtr="0" upright="1">
                          <a:noAutofit/>
                        </wps:bodyPr>
                      </wps:wsp>
                      <wps:wsp>
                        <wps:cNvPr id="92" name="Freeform 201"/>
                        <wps:cNvSpPr>
                          <a:spLocks/>
                        </wps:cNvSpPr>
                        <wps:spPr bwMode="auto">
                          <a:xfrm>
                            <a:off x="3986530" y="1123950"/>
                            <a:ext cx="165100" cy="0"/>
                          </a:xfrm>
                          <a:custGeom>
                            <a:avLst/>
                            <a:gdLst>
                              <a:gd name="T0" fmla="*/ 18 w 18"/>
                              <a:gd name="T1" fmla="*/ 10 w 18"/>
                              <a:gd name="T2" fmla="*/ 0 w 18"/>
                            </a:gdLst>
                            <a:ahLst/>
                            <a:cxnLst>
                              <a:cxn ang="0">
                                <a:pos x="T0" y="0"/>
                              </a:cxn>
                              <a:cxn ang="0">
                                <a:pos x="T1" y="0"/>
                              </a:cxn>
                              <a:cxn ang="0">
                                <a:pos x="T2" y="0"/>
                              </a:cxn>
                            </a:cxnLst>
                            <a:rect l="0" t="0" r="r" b="b"/>
                            <a:pathLst>
                              <a:path w="18">
                                <a:moveTo>
                                  <a:pt x="18" y="0"/>
                                </a:moveTo>
                                <a:lnTo>
                                  <a:pt x="1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02"/>
                        <wps:cNvSpPr>
                          <a:spLocks/>
                        </wps:cNvSpPr>
                        <wps:spPr bwMode="auto">
                          <a:xfrm>
                            <a:off x="1664335" y="1151255"/>
                            <a:ext cx="1883410" cy="631190"/>
                          </a:xfrm>
                          <a:custGeom>
                            <a:avLst/>
                            <a:gdLst>
                              <a:gd name="T0" fmla="*/ 2865 w 2966"/>
                              <a:gd name="T1" fmla="*/ 389 h 994"/>
                              <a:gd name="T2" fmla="*/ 2693 w 2966"/>
                              <a:gd name="T3" fmla="*/ 418 h 994"/>
                              <a:gd name="T4" fmla="*/ 2520 w 2966"/>
                              <a:gd name="T5" fmla="*/ 432 h 994"/>
                              <a:gd name="T6" fmla="*/ 2376 w 2966"/>
                              <a:gd name="T7" fmla="*/ 447 h 994"/>
                              <a:gd name="T8" fmla="*/ 2189 w 2966"/>
                              <a:gd name="T9" fmla="*/ 461 h 994"/>
                              <a:gd name="T10" fmla="*/ 1987 w 2966"/>
                              <a:gd name="T11" fmla="*/ 475 h 994"/>
                              <a:gd name="T12" fmla="*/ 1800 w 2966"/>
                              <a:gd name="T13" fmla="*/ 475 h 994"/>
                              <a:gd name="T14" fmla="*/ 1613 w 2966"/>
                              <a:gd name="T15" fmla="*/ 475 h 994"/>
                              <a:gd name="T16" fmla="*/ 1454 w 2966"/>
                              <a:gd name="T17" fmla="*/ 461 h 994"/>
                              <a:gd name="T18" fmla="*/ 1267 w 2966"/>
                              <a:gd name="T19" fmla="*/ 447 h 994"/>
                              <a:gd name="T20" fmla="*/ 1080 w 2966"/>
                              <a:gd name="T21" fmla="*/ 432 h 994"/>
                              <a:gd name="T22" fmla="*/ 907 w 2966"/>
                              <a:gd name="T23" fmla="*/ 403 h 994"/>
                              <a:gd name="T24" fmla="*/ 749 w 2966"/>
                              <a:gd name="T25" fmla="*/ 375 h 994"/>
                              <a:gd name="T26" fmla="*/ 605 w 2966"/>
                              <a:gd name="T27" fmla="*/ 346 h 994"/>
                              <a:gd name="T28" fmla="*/ 489 w 2966"/>
                              <a:gd name="T29" fmla="*/ 317 h 994"/>
                              <a:gd name="T30" fmla="*/ 360 w 2966"/>
                              <a:gd name="T31" fmla="*/ 288 h 994"/>
                              <a:gd name="T32" fmla="*/ 259 w 2966"/>
                              <a:gd name="T33" fmla="*/ 245 h 994"/>
                              <a:gd name="T34" fmla="*/ 173 w 2966"/>
                              <a:gd name="T35" fmla="*/ 202 h 994"/>
                              <a:gd name="T36" fmla="*/ 101 w 2966"/>
                              <a:gd name="T37" fmla="*/ 144 h 994"/>
                              <a:gd name="T38" fmla="*/ 57 w 2966"/>
                              <a:gd name="T39" fmla="*/ 116 h 994"/>
                              <a:gd name="T40" fmla="*/ 14 w 2966"/>
                              <a:gd name="T41" fmla="*/ 58 h 994"/>
                              <a:gd name="T42" fmla="*/ 0 w 2966"/>
                              <a:gd name="T43" fmla="*/ 15 h 994"/>
                              <a:gd name="T44" fmla="*/ 0 w 2966"/>
                              <a:gd name="T45" fmla="*/ 533 h 994"/>
                              <a:gd name="T46" fmla="*/ 14 w 2966"/>
                              <a:gd name="T47" fmla="*/ 576 h 994"/>
                              <a:gd name="T48" fmla="*/ 57 w 2966"/>
                              <a:gd name="T49" fmla="*/ 634 h 994"/>
                              <a:gd name="T50" fmla="*/ 101 w 2966"/>
                              <a:gd name="T51" fmla="*/ 662 h 994"/>
                              <a:gd name="T52" fmla="*/ 173 w 2966"/>
                              <a:gd name="T53" fmla="*/ 720 h 994"/>
                              <a:gd name="T54" fmla="*/ 259 w 2966"/>
                              <a:gd name="T55" fmla="*/ 763 h 994"/>
                              <a:gd name="T56" fmla="*/ 360 w 2966"/>
                              <a:gd name="T57" fmla="*/ 806 h 994"/>
                              <a:gd name="T58" fmla="*/ 489 w 2966"/>
                              <a:gd name="T59" fmla="*/ 835 h 994"/>
                              <a:gd name="T60" fmla="*/ 605 w 2966"/>
                              <a:gd name="T61" fmla="*/ 864 h 994"/>
                              <a:gd name="T62" fmla="*/ 749 w 2966"/>
                              <a:gd name="T63" fmla="*/ 893 h 994"/>
                              <a:gd name="T64" fmla="*/ 907 w 2966"/>
                              <a:gd name="T65" fmla="*/ 922 h 994"/>
                              <a:gd name="T66" fmla="*/ 1080 w 2966"/>
                              <a:gd name="T67" fmla="*/ 950 h 994"/>
                              <a:gd name="T68" fmla="*/ 1267 w 2966"/>
                              <a:gd name="T69" fmla="*/ 965 h 994"/>
                              <a:gd name="T70" fmla="*/ 1454 w 2966"/>
                              <a:gd name="T71" fmla="*/ 979 h 994"/>
                              <a:gd name="T72" fmla="*/ 1613 w 2966"/>
                              <a:gd name="T73" fmla="*/ 994 h 994"/>
                              <a:gd name="T74" fmla="*/ 1800 w 2966"/>
                              <a:gd name="T75" fmla="*/ 994 h 994"/>
                              <a:gd name="T76" fmla="*/ 1987 w 2966"/>
                              <a:gd name="T77" fmla="*/ 994 h 994"/>
                              <a:gd name="T78" fmla="*/ 2189 w 2966"/>
                              <a:gd name="T79" fmla="*/ 979 h 994"/>
                              <a:gd name="T80" fmla="*/ 2376 w 2966"/>
                              <a:gd name="T81" fmla="*/ 965 h 994"/>
                              <a:gd name="T82" fmla="*/ 2520 w 2966"/>
                              <a:gd name="T83" fmla="*/ 950 h 994"/>
                              <a:gd name="T84" fmla="*/ 2693 w 2966"/>
                              <a:gd name="T85" fmla="*/ 936 h 994"/>
                              <a:gd name="T86" fmla="*/ 2865 w 2966"/>
                              <a:gd name="T87" fmla="*/ 907 h 994"/>
                              <a:gd name="T88" fmla="*/ 2966 w 2966"/>
                              <a:gd name="T89" fmla="*/ 375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66" h="994">
                                <a:moveTo>
                                  <a:pt x="2966" y="375"/>
                                </a:moveTo>
                                <a:lnTo>
                                  <a:pt x="2909" y="375"/>
                                </a:lnTo>
                                <a:lnTo>
                                  <a:pt x="2865" y="389"/>
                                </a:lnTo>
                                <a:lnTo>
                                  <a:pt x="2808" y="403"/>
                                </a:lnTo>
                                <a:lnTo>
                                  <a:pt x="2750" y="403"/>
                                </a:lnTo>
                                <a:lnTo>
                                  <a:pt x="2693" y="418"/>
                                </a:lnTo>
                                <a:lnTo>
                                  <a:pt x="2635" y="418"/>
                                </a:lnTo>
                                <a:lnTo>
                                  <a:pt x="2577" y="432"/>
                                </a:lnTo>
                                <a:lnTo>
                                  <a:pt x="2520" y="432"/>
                                </a:lnTo>
                                <a:lnTo>
                                  <a:pt x="2491" y="447"/>
                                </a:lnTo>
                                <a:lnTo>
                                  <a:pt x="2433" y="447"/>
                                </a:lnTo>
                                <a:lnTo>
                                  <a:pt x="2376" y="447"/>
                                </a:lnTo>
                                <a:lnTo>
                                  <a:pt x="2304" y="461"/>
                                </a:lnTo>
                                <a:lnTo>
                                  <a:pt x="2246" y="461"/>
                                </a:lnTo>
                                <a:lnTo>
                                  <a:pt x="2189" y="461"/>
                                </a:lnTo>
                                <a:lnTo>
                                  <a:pt x="2117" y="461"/>
                                </a:lnTo>
                                <a:lnTo>
                                  <a:pt x="2059" y="475"/>
                                </a:lnTo>
                                <a:lnTo>
                                  <a:pt x="1987" y="475"/>
                                </a:lnTo>
                                <a:lnTo>
                                  <a:pt x="1929" y="475"/>
                                </a:lnTo>
                                <a:lnTo>
                                  <a:pt x="1857" y="475"/>
                                </a:lnTo>
                                <a:lnTo>
                                  <a:pt x="1800" y="475"/>
                                </a:lnTo>
                                <a:lnTo>
                                  <a:pt x="1742" y="475"/>
                                </a:lnTo>
                                <a:lnTo>
                                  <a:pt x="1670" y="475"/>
                                </a:lnTo>
                                <a:lnTo>
                                  <a:pt x="1613" y="475"/>
                                </a:lnTo>
                                <a:lnTo>
                                  <a:pt x="1541" y="461"/>
                                </a:lnTo>
                                <a:lnTo>
                                  <a:pt x="1512" y="461"/>
                                </a:lnTo>
                                <a:lnTo>
                                  <a:pt x="1454" y="461"/>
                                </a:lnTo>
                                <a:lnTo>
                                  <a:pt x="1382" y="461"/>
                                </a:lnTo>
                                <a:lnTo>
                                  <a:pt x="1325" y="447"/>
                                </a:lnTo>
                                <a:lnTo>
                                  <a:pt x="1267" y="447"/>
                                </a:lnTo>
                                <a:lnTo>
                                  <a:pt x="1209" y="447"/>
                                </a:lnTo>
                                <a:lnTo>
                                  <a:pt x="1137" y="432"/>
                                </a:lnTo>
                                <a:lnTo>
                                  <a:pt x="1080" y="432"/>
                                </a:lnTo>
                                <a:lnTo>
                                  <a:pt x="1022" y="418"/>
                                </a:lnTo>
                                <a:lnTo>
                                  <a:pt x="965" y="418"/>
                                </a:lnTo>
                                <a:lnTo>
                                  <a:pt x="907" y="403"/>
                                </a:lnTo>
                                <a:lnTo>
                                  <a:pt x="864" y="403"/>
                                </a:lnTo>
                                <a:lnTo>
                                  <a:pt x="806" y="389"/>
                                </a:lnTo>
                                <a:lnTo>
                                  <a:pt x="749" y="375"/>
                                </a:lnTo>
                                <a:lnTo>
                                  <a:pt x="705" y="375"/>
                                </a:lnTo>
                                <a:lnTo>
                                  <a:pt x="648" y="360"/>
                                </a:lnTo>
                                <a:lnTo>
                                  <a:pt x="605" y="346"/>
                                </a:lnTo>
                                <a:lnTo>
                                  <a:pt x="576" y="346"/>
                                </a:lnTo>
                                <a:lnTo>
                                  <a:pt x="533" y="331"/>
                                </a:lnTo>
                                <a:lnTo>
                                  <a:pt x="489" y="317"/>
                                </a:lnTo>
                                <a:lnTo>
                                  <a:pt x="446" y="303"/>
                                </a:lnTo>
                                <a:lnTo>
                                  <a:pt x="403" y="303"/>
                                </a:lnTo>
                                <a:lnTo>
                                  <a:pt x="360" y="288"/>
                                </a:lnTo>
                                <a:lnTo>
                                  <a:pt x="331" y="274"/>
                                </a:lnTo>
                                <a:lnTo>
                                  <a:pt x="288" y="260"/>
                                </a:lnTo>
                                <a:lnTo>
                                  <a:pt x="259" y="245"/>
                                </a:lnTo>
                                <a:lnTo>
                                  <a:pt x="230" y="231"/>
                                </a:lnTo>
                                <a:lnTo>
                                  <a:pt x="201" y="216"/>
                                </a:lnTo>
                                <a:lnTo>
                                  <a:pt x="173" y="202"/>
                                </a:lnTo>
                                <a:lnTo>
                                  <a:pt x="144" y="188"/>
                                </a:lnTo>
                                <a:lnTo>
                                  <a:pt x="115" y="173"/>
                                </a:lnTo>
                                <a:lnTo>
                                  <a:pt x="101" y="144"/>
                                </a:lnTo>
                                <a:lnTo>
                                  <a:pt x="72" y="130"/>
                                </a:lnTo>
                                <a:lnTo>
                                  <a:pt x="72" y="130"/>
                                </a:lnTo>
                                <a:lnTo>
                                  <a:pt x="57" y="116"/>
                                </a:lnTo>
                                <a:lnTo>
                                  <a:pt x="43" y="101"/>
                                </a:lnTo>
                                <a:lnTo>
                                  <a:pt x="29" y="72"/>
                                </a:lnTo>
                                <a:lnTo>
                                  <a:pt x="14" y="58"/>
                                </a:lnTo>
                                <a:lnTo>
                                  <a:pt x="0" y="44"/>
                                </a:lnTo>
                                <a:lnTo>
                                  <a:pt x="0" y="29"/>
                                </a:lnTo>
                                <a:lnTo>
                                  <a:pt x="0" y="15"/>
                                </a:lnTo>
                                <a:lnTo>
                                  <a:pt x="0" y="0"/>
                                </a:lnTo>
                                <a:lnTo>
                                  <a:pt x="0" y="519"/>
                                </a:lnTo>
                                <a:lnTo>
                                  <a:pt x="0" y="533"/>
                                </a:lnTo>
                                <a:lnTo>
                                  <a:pt x="0" y="547"/>
                                </a:lnTo>
                                <a:lnTo>
                                  <a:pt x="0" y="562"/>
                                </a:lnTo>
                                <a:lnTo>
                                  <a:pt x="14" y="576"/>
                                </a:lnTo>
                                <a:lnTo>
                                  <a:pt x="29" y="591"/>
                                </a:lnTo>
                                <a:lnTo>
                                  <a:pt x="43" y="619"/>
                                </a:lnTo>
                                <a:lnTo>
                                  <a:pt x="57" y="634"/>
                                </a:lnTo>
                                <a:lnTo>
                                  <a:pt x="72" y="648"/>
                                </a:lnTo>
                                <a:lnTo>
                                  <a:pt x="72" y="648"/>
                                </a:lnTo>
                                <a:lnTo>
                                  <a:pt x="101" y="662"/>
                                </a:lnTo>
                                <a:lnTo>
                                  <a:pt x="115" y="691"/>
                                </a:lnTo>
                                <a:lnTo>
                                  <a:pt x="144" y="706"/>
                                </a:lnTo>
                                <a:lnTo>
                                  <a:pt x="173" y="720"/>
                                </a:lnTo>
                                <a:lnTo>
                                  <a:pt x="201" y="734"/>
                                </a:lnTo>
                                <a:lnTo>
                                  <a:pt x="230" y="749"/>
                                </a:lnTo>
                                <a:lnTo>
                                  <a:pt x="259" y="763"/>
                                </a:lnTo>
                                <a:lnTo>
                                  <a:pt x="288" y="778"/>
                                </a:lnTo>
                                <a:lnTo>
                                  <a:pt x="331" y="792"/>
                                </a:lnTo>
                                <a:lnTo>
                                  <a:pt x="360" y="806"/>
                                </a:lnTo>
                                <a:lnTo>
                                  <a:pt x="403" y="821"/>
                                </a:lnTo>
                                <a:lnTo>
                                  <a:pt x="446" y="821"/>
                                </a:lnTo>
                                <a:lnTo>
                                  <a:pt x="489" y="835"/>
                                </a:lnTo>
                                <a:lnTo>
                                  <a:pt x="533" y="850"/>
                                </a:lnTo>
                                <a:lnTo>
                                  <a:pt x="576" y="864"/>
                                </a:lnTo>
                                <a:lnTo>
                                  <a:pt x="605" y="864"/>
                                </a:lnTo>
                                <a:lnTo>
                                  <a:pt x="648" y="878"/>
                                </a:lnTo>
                                <a:lnTo>
                                  <a:pt x="705" y="893"/>
                                </a:lnTo>
                                <a:lnTo>
                                  <a:pt x="749" y="893"/>
                                </a:lnTo>
                                <a:lnTo>
                                  <a:pt x="806" y="907"/>
                                </a:lnTo>
                                <a:lnTo>
                                  <a:pt x="864" y="922"/>
                                </a:lnTo>
                                <a:lnTo>
                                  <a:pt x="907" y="922"/>
                                </a:lnTo>
                                <a:lnTo>
                                  <a:pt x="965" y="936"/>
                                </a:lnTo>
                                <a:lnTo>
                                  <a:pt x="1022" y="936"/>
                                </a:lnTo>
                                <a:lnTo>
                                  <a:pt x="1080" y="950"/>
                                </a:lnTo>
                                <a:lnTo>
                                  <a:pt x="1137" y="950"/>
                                </a:lnTo>
                                <a:lnTo>
                                  <a:pt x="1209" y="965"/>
                                </a:lnTo>
                                <a:lnTo>
                                  <a:pt x="1267" y="965"/>
                                </a:lnTo>
                                <a:lnTo>
                                  <a:pt x="1325" y="965"/>
                                </a:lnTo>
                                <a:lnTo>
                                  <a:pt x="1382" y="979"/>
                                </a:lnTo>
                                <a:lnTo>
                                  <a:pt x="1454" y="979"/>
                                </a:lnTo>
                                <a:lnTo>
                                  <a:pt x="1512" y="979"/>
                                </a:lnTo>
                                <a:lnTo>
                                  <a:pt x="1541" y="979"/>
                                </a:lnTo>
                                <a:lnTo>
                                  <a:pt x="1613" y="994"/>
                                </a:lnTo>
                                <a:lnTo>
                                  <a:pt x="1670" y="994"/>
                                </a:lnTo>
                                <a:lnTo>
                                  <a:pt x="1742" y="994"/>
                                </a:lnTo>
                                <a:lnTo>
                                  <a:pt x="1800" y="994"/>
                                </a:lnTo>
                                <a:lnTo>
                                  <a:pt x="1857" y="994"/>
                                </a:lnTo>
                                <a:lnTo>
                                  <a:pt x="1929" y="994"/>
                                </a:lnTo>
                                <a:lnTo>
                                  <a:pt x="1987" y="994"/>
                                </a:lnTo>
                                <a:lnTo>
                                  <a:pt x="2059" y="994"/>
                                </a:lnTo>
                                <a:lnTo>
                                  <a:pt x="2117" y="979"/>
                                </a:lnTo>
                                <a:lnTo>
                                  <a:pt x="2189" y="979"/>
                                </a:lnTo>
                                <a:lnTo>
                                  <a:pt x="2246" y="979"/>
                                </a:lnTo>
                                <a:lnTo>
                                  <a:pt x="2304" y="979"/>
                                </a:lnTo>
                                <a:lnTo>
                                  <a:pt x="2376" y="965"/>
                                </a:lnTo>
                                <a:lnTo>
                                  <a:pt x="2433" y="965"/>
                                </a:lnTo>
                                <a:lnTo>
                                  <a:pt x="2491" y="965"/>
                                </a:lnTo>
                                <a:lnTo>
                                  <a:pt x="2520" y="950"/>
                                </a:lnTo>
                                <a:lnTo>
                                  <a:pt x="2577" y="950"/>
                                </a:lnTo>
                                <a:lnTo>
                                  <a:pt x="2635" y="936"/>
                                </a:lnTo>
                                <a:lnTo>
                                  <a:pt x="2693" y="936"/>
                                </a:lnTo>
                                <a:lnTo>
                                  <a:pt x="2750" y="922"/>
                                </a:lnTo>
                                <a:lnTo>
                                  <a:pt x="2808" y="922"/>
                                </a:lnTo>
                                <a:lnTo>
                                  <a:pt x="2865" y="907"/>
                                </a:lnTo>
                                <a:lnTo>
                                  <a:pt x="2909" y="893"/>
                                </a:lnTo>
                                <a:lnTo>
                                  <a:pt x="2966" y="893"/>
                                </a:lnTo>
                                <a:lnTo>
                                  <a:pt x="2966" y="375"/>
                                </a:lnTo>
                                <a:close/>
                              </a:path>
                            </a:pathLst>
                          </a:custGeom>
                          <a:solidFill>
                            <a:srgbClr val="808066"/>
                          </a:solidFill>
                          <a:ln w="8890">
                            <a:solidFill>
                              <a:srgbClr val="000000"/>
                            </a:solidFill>
                            <a:prstDash val="solid"/>
                            <a:round/>
                            <a:headEnd/>
                            <a:tailEnd/>
                          </a:ln>
                        </wps:spPr>
                        <wps:bodyPr rot="0" vert="horz" wrap="square" lIns="91440" tIns="45720" rIns="91440" bIns="45720" anchor="t" anchorCtr="0" upright="1">
                          <a:noAutofit/>
                        </wps:bodyPr>
                      </wps:wsp>
                      <wps:wsp>
                        <wps:cNvPr id="94" name="Freeform 203"/>
                        <wps:cNvSpPr>
                          <a:spLocks/>
                        </wps:cNvSpPr>
                        <wps:spPr bwMode="auto">
                          <a:xfrm>
                            <a:off x="1664335" y="1115060"/>
                            <a:ext cx="1883410" cy="337820"/>
                          </a:xfrm>
                          <a:custGeom>
                            <a:avLst/>
                            <a:gdLst>
                              <a:gd name="T0" fmla="*/ 2909 w 2966"/>
                              <a:gd name="T1" fmla="*/ 432 h 532"/>
                              <a:gd name="T2" fmla="*/ 2808 w 2966"/>
                              <a:gd name="T3" fmla="*/ 460 h 532"/>
                              <a:gd name="T4" fmla="*/ 2693 w 2966"/>
                              <a:gd name="T5" fmla="*/ 475 h 532"/>
                              <a:gd name="T6" fmla="*/ 2577 w 2966"/>
                              <a:gd name="T7" fmla="*/ 489 h 532"/>
                              <a:gd name="T8" fmla="*/ 2462 w 2966"/>
                              <a:gd name="T9" fmla="*/ 504 h 532"/>
                              <a:gd name="T10" fmla="*/ 2333 w 2966"/>
                              <a:gd name="T11" fmla="*/ 504 h 532"/>
                              <a:gd name="T12" fmla="*/ 2246 w 2966"/>
                              <a:gd name="T13" fmla="*/ 518 h 532"/>
                              <a:gd name="T14" fmla="*/ 2117 w 2966"/>
                              <a:gd name="T15" fmla="*/ 518 h 532"/>
                              <a:gd name="T16" fmla="*/ 1987 w 2966"/>
                              <a:gd name="T17" fmla="*/ 532 h 532"/>
                              <a:gd name="T18" fmla="*/ 1857 w 2966"/>
                              <a:gd name="T19" fmla="*/ 532 h 532"/>
                              <a:gd name="T20" fmla="*/ 1742 w 2966"/>
                              <a:gd name="T21" fmla="*/ 532 h 532"/>
                              <a:gd name="T22" fmla="*/ 1613 w 2966"/>
                              <a:gd name="T23" fmla="*/ 532 h 532"/>
                              <a:gd name="T24" fmla="*/ 1483 w 2966"/>
                              <a:gd name="T25" fmla="*/ 518 h 532"/>
                              <a:gd name="T26" fmla="*/ 1353 w 2966"/>
                              <a:gd name="T27" fmla="*/ 518 h 532"/>
                              <a:gd name="T28" fmla="*/ 1238 w 2966"/>
                              <a:gd name="T29" fmla="*/ 504 h 532"/>
                              <a:gd name="T30" fmla="*/ 1109 w 2966"/>
                              <a:gd name="T31" fmla="*/ 489 h 532"/>
                              <a:gd name="T32" fmla="*/ 993 w 2966"/>
                              <a:gd name="T33" fmla="*/ 475 h 532"/>
                              <a:gd name="T34" fmla="*/ 907 w 2966"/>
                              <a:gd name="T35" fmla="*/ 460 h 532"/>
                              <a:gd name="T36" fmla="*/ 806 w 2966"/>
                              <a:gd name="T37" fmla="*/ 446 h 532"/>
                              <a:gd name="T38" fmla="*/ 705 w 2966"/>
                              <a:gd name="T39" fmla="*/ 432 h 532"/>
                              <a:gd name="T40" fmla="*/ 605 w 2966"/>
                              <a:gd name="T41" fmla="*/ 403 h 532"/>
                              <a:gd name="T42" fmla="*/ 518 w 2966"/>
                              <a:gd name="T43" fmla="*/ 388 h 532"/>
                              <a:gd name="T44" fmla="*/ 432 w 2966"/>
                              <a:gd name="T45" fmla="*/ 360 h 532"/>
                              <a:gd name="T46" fmla="*/ 345 w 2966"/>
                              <a:gd name="T47" fmla="*/ 331 h 532"/>
                              <a:gd name="T48" fmla="*/ 273 w 2966"/>
                              <a:gd name="T49" fmla="*/ 302 h 532"/>
                              <a:gd name="T50" fmla="*/ 216 w 2966"/>
                              <a:gd name="T51" fmla="*/ 273 h 532"/>
                              <a:gd name="T52" fmla="*/ 158 w 2966"/>
                              <a:gd name="T53" fmla="*/ 245 h 532"/>
                              <a:gd name="T54" fmla="*/ 101 w 2966"/>
                              <a:gd name="T55" fmla="*/ 216 h 532"/>
                              <a:gd name="T56" fmla="*/ 72 w 2966"/>
                              <a:gd name="T57" fmla="*/ 187 h 532"/>
                              <a:gd name="T58" fmla="*/ 43 w 2966"/>
                              <a:gd name="T59" fmla="*/ 158 h 532"/>
                              <a:gd name="T60" fmla="*/ 14 w 2966"/>
                              <a:gd name="T61" fmla="*/ 129 h 532"/>
                              <a:gd name="T62" fmla="*/ 0 w 2966"/>
                              <a:gd name="T63" fmla="*/ 101 h 532"/>
                              <a:gd name="T64" fmla="*/ 0 w 2966"/>
                              <a:gd name="T65" fmla="*/ 57 h 532"/>
                              <a:gd name="T66" fmla="*/ 0 w 2966"/>
                              <a:gd name="T67" fmla="*/ 29 h 532"/>
                              <a:gd name="T68" fmla="*/ 14 w 2966"/>
                              <a:gd name="T69" fmla="*/ 0 h 532"/>
                              <a:gd name="T70" fmla="*/ 2966 w 2966"/>
                              <a:gd name="T71" fmla="*/ 43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66" h="532">
                                <a:moveTo>
                                  <a:pt x="2966" y="432"/>
                                </a:moveTo>
                                <a:lnTo>
                                  <a:pt x="2909" y="432"/>
                                </a:lnTo>
                                <a:lnTo>
                                  <a:pt x="2865" y="446"/>
                                </a:lnTo>
                                <a:lnTo>
                                  <a:pt x="2808" y="460"/>
                                </a:lnTo>
                                <a:lnTo>
                                  <a:pt x="2750" y="460"/>
                                </a:lnTo>
                                <a:lnTo>
                                  <a:pt x="2693" y="475"/>
                                </a:lnTo>
                                <a:lnTo>
                                  <a:pt x="2635" y="475"/>
                                </a:lnTo>
                                <a:lnTo>
                                  <a:pt x="2577" y="489"/>
                                </a:lnTo>
                                <a:lnTo>
                                  <a:pt x="2520" y="489"/>
                                </a:lnTo>
                                <a:lnTo>
                                  <a:pt x="2462" y="504"/>
                                </a:lnTo>
                                <a:lnTo>
                                  <a:pt x="2405" y="504"/>
                                </a:lnTo>
                                <a:lnTo>
                                  <a:pt x="2333" y="504"/>
                                </a:lnTo>
                                <a:lnTo>
                                  <a:pt x="2304" y="518"/>
                                </a:lnTo>
                                <a:lnTo>
                                  <a:pt x="2246" y="518"/>
                                </a:lnTo>
                                <a:lnTo>
                                  <a:pt x="2189" y="518"/>
                                </a:lnTo>
                                <a:lnTo>
                                  <a:pt x="2117" y="518"/>
                                </a:lnTo>
                                <a:lnTo>
                                  <a:pt x="2059" y="532"/>
                                </a:lnTo>
                                <a:lnTo>
                                  <a:pt x="1987" y="532"/>
                                </a:lnTo>
                                <a:lnTo>
                                  <a:pt x="1929" y="532"/>
                                </a:lnTo>
                                <a:lnTo>
                                  <a:pt x="1857" y="532"/>
                                </a:lnTo>
                                <a:lnTo>
                                  <a:pt x="1800" y="532"/>
                                </a:lnTo>
                                <a:lnTo>
                                  <a:pt x="1742" y="532"/>
                                </a:lnTo>
                                <a:lnTo>
                                  <a:pt x="1670" y="532"/>
                                </a:lnTo>
                                <a:lnTo>
                                  <a:pt x="1613" y="532"/>
                                </a:lnTo>
                                <a:lnTo>
                                  <a:pt x="1541" y="518"/>
                                </a:lnTo>
                                <a:lnTo>
                                  <a:pt x="1483" y="518"/>
                                </a:lnTo>
                                <a:lnTo>
                                  <a:pt x="1425" y="518"/>
                                </a:lnTo>
                                <a:lnTo>
                                  <a:pt x="1353" y="518"/>
                                </a:lnTo>
                                <a:lnTo>
                                  <a:pt x="1296" y="504"/>
                                </a:lnTo>
                                <a:lnTo>
                                  <a:pt x="1238" y="504"/>
                                </a:lnTo>
                                <a:lnTo>
                                  <a:pt x="1181" y="504"/>
                                </a:lnTo>
                                <a:lnTo>
                                  <a:pt x="1109" y="489"/>
                                </a:lnTo>
                                <a:lnTo>
                                  <a:pt x="1051" y="489"/>
                                </a:lnTo>
                                <a:lnTo>
                                  <a:pt x="993" y="475"/>
                                </a:lnTo>
                                <a:lnTo>
                                  <a:pt x="936" y="475"/>
                                </a:lnTo>
                                <a:lnTo>
                                  <a:pt x="907" y="460"/>
                                </a:lnTo>
                                <a:lnTo>
                                  <a:pt x="864" y="460"/>
                                </a:lnTo>
                                <a:lnTo>
                                  <a:pt x="806" y="446"/>
                                </a:lnTo>
                                <a:lnTo>
                                  <a:pt x="749" y="432"/>
                                </a:lnTo>
                                <a:lnTo>
                                  <a:pt x="705" y="432"/>
                                </a:lnTo>
                                <a:lnTo>
                                  <a:pt x="648" y="417"/>
                                </a:lnTo>
                                <a:lnTo>
                                  <a:pt x="605" y="403"/>
                                </a:lnTo>
                                <a:lnTo>
                                  <a:pt x="561" y="388"/>
                                </a:lnTo>
                                <a:lnTo>
                                  <a:pt x="518" y="388"/>
                                </a:lnTo>
                                <a:lnTo>
                                  <a:pt x="461" y="374"/>
                                </a:lnTo>
                                <a:lnTo>
                                  <a:pt x="432" y="360"/>
                                </a:lnTo>
                                <a:lnTo>
                                  <a:pt x="389" y="345"/>
                                </a:lnTo>
                                <a:lnTo>
                                  <a:pt x="345" y="331"/>
                                </a:lnTo>
                                <a:lnTo>
                                  <a:pt x="317" y="317"/>
                                </a:lnTo>
                                <a:lnTo>
                                  <a:pt x="273" y="302"/>
                                </a:lnTo>
                                <a:lnTo>
                                  <a:pt x="245" y="288"/>
                                </a:lnTo>
                                <a:lnTo>
                                  <a:pt x="216" y="273"/>
                                </a:lnTo>
                                <a:lnTo>
                                  <a:pt x="187" y="259"/>
                                </a:lnTo>
                                <a:lnTo>
                                  <a:pt x="158" y="245"/>
                                </a:lnTo>
                                <a:lnTo>
                                  <a:pt x="129" y="230"/>
                                </a:lnTo>
                                <a:lnTo>
                                  <a:pt x="101" y="216"/>
                                </a:lnTo>
                                <a:lnTo>
                                  <a:pt x="86" y="201"/>
                                </a:lnTo>
                                <a:lnTo>
                                  <a:pt x="72" y="187"/>
                                </a:lnTo>
                                <a:lnTo>
                                  <a:pt x="57" y="173"/>
                                </a:lnTo>
                                <a:lnTo>
                                  <a:pt x="43" y="158"/>
                                </a:lnTo>
                                <a:lnTo>
                                  <a:pt x="29" y="144"/>
                                </a:lnTo>
                                <a:lnTo>
                                  <a:pt x="14" y="129"/>
                                </a:lnTo>
                                <a:lnTo>
                                  <a:pt x="14" y="115"/>
                                </a:lnTo>
                                <a:lnTo>
                                  <a:pt x="0" y="101"/>
                                </a:lnTo>
                                <a:lnTo>
                                  <a:pt x="0" y="72"/>
                                </a:lnTo>
                                <a:lnTo>
                                  <a:pt x="0" y="57"/>
                                </a:lnTo>
                                <a:lnTo>
                                  <a:pt x="0" y="43"/>
                                </a:lnTo>
                                <a:lnTo>
                                  <a:pt x="0" y="29"/>
                                </a:lnTo>
                                <a:lnTo>
                                  <a:pt x="0" y="14"/>
                                </a:lnTo>
                                <a:lnTo>
                                  <a:pt x="14" y="0"/>
                                </a:lnTo>
                                <a:lnTo>
                                  <a:pt x="1829" y="57"/>
                                </a:lnTo>
                                <a:lnTo>
                                  <a:pt x="2966" y="432"/>
                                </a:lnTo>
                                <a:close/>
                              </a:path>
                            </a:pathLst>
                          </a:custGeom>
                          <a:solidFill>
                            <a:srgbClr val="FFFFCC"/>
                          </a:solidFill>
                          <a:ln w="8890">
                            <a:solidFill>
                              <a:srgbClr val="000000"/>
                            </a:solidFill>
                            <a:prstDash val="solid"/>
                            <a:round/>
                            <a:headEnd/>
                            <a:tailEnd/>
                          </a:ln>
                        </wps:spPr>
                        <wps:bodyPr rot="0" vert="horz" wrap="square" lIns="91440" tIns="45720" rIns="91440" bIns="45720" anchor="t" anchorCtr="0" upright="1">
                          <a:noAutofit/>
                        </wps:bodyPr>
                      </wps:wsp>
                      <wps:wsp>
                        <wps:cNvPr id="95" name="Rectangle 204"/>
                        <wps:cNvSpPr>
                          <a:spLocks noChangeArrowheads="1"/>
                        </wps:cNvSpPr>
                        <wps:spPr bwMode="auto">
                          <a:xfrm>
                            <a:off x="3401695" y="356235"/>
                            <a:ext cx="10617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62F7" w14:textId="77777777" w:rsidR="0012136C" w:rsidRDefault="0012136C" w:rsidP="006D3AD5">
                              <w:r>
                                <w:rPr>
                                  <w:rFonts w:ascii="Arial" w:hAnsi="Arial"/>
                                  <w:color w:val="000000"/>
                                  <w:sz w:val="18"/>
                                </w:rPr>
                                <w:t xml:space="preserve">Long payback period </w:t>
                              </w:r>
                            </w:p>
                          </w:txbxContent>
                        </wps:txbx>
                        <wps:bodyPr rot="0" vert="horz" wrap="none" lIns="0" tIns="0" rIns="0" bIns="0" anchor="t" anchorCtr="0">
                          <a:spAutoFit/>
                        </wps:bodyPr>
                      </wps:wsp>
                      <wps:wsp>
                        <wps:cNvPr id="96" name="Rectangle 205"/>
                        <wps:cNvSpPr>
                          <a:spLocks noChangeArrowheads="1"/>
                        </wps:cNvSpPr>
                        <wps:spPr bwMode="auto">
                          <a:xfrm>
                            <a:off x="3200400" y="511810"/>
                            <a:ext cx="692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141A" w14:textId="77777777" w:rsidR="0012136C" w:rsidRDefault="0012136C" w:rsidP="006D3AD5">
                              <w:r>
                                <w:rPr>
                                  <w:rFonts w:ascii="Arial" w:hAnsi="Arial"/>
                                  <w:color w:val="000000"/>
                                  <w:sz w:val="18"/>
                                </w:rPr>
                                <w:t xml:space="preserve">of the project; </w:t>
                              </w:r>
                            </w:p>
                          </w:txbxContent>
                        </wps:txbx>
                        <wps:bodyPr rot="0" vert="horz" wrap="none" lIns="0" tIns="0" rIns="0" bIns="0" anchor="t" anchorCtr="0">
                          <a:spAutoFit/>
                        </wps:bodyPr>
                      </wps:wsp>
                      <wps:wsp>
                        <wps:cNvPr id="97" name="Rectangle 206"/>
                        <wps:cNvSpPr>
                          <a:spLocks noChangeArrowheads="1"/>
                        </wps:cNvSpPr>
                        <wps:spPr bwMode="auto">
                          <a:xfrm>
                            <a:off x="3566160" y="667385"/>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A999" w14:textId="77777777" w:rsidR="0012136C" w:rsidRDefault="0012136C" w:rsidP="006D3AD5">
                              <w:r>
                                <w:rPr>
                                  <w:rFonts w:ascii="Arial" w:hAnsi="Arial"/>
                                  <w:color w:val="000000"/>
                                  <w:sz w:val="18"/>
                                </w:rPr>
                                <w:t>10.8%</w:t>
                              </w:r>
                            </w:p>
                          </w:txbxContent>
                        </wps:txbx>
                        <wps:bodyPr rot="0" vert="horz" wrap="none" lIns="0" tIns="0" rIns="0" bIns="0" anchor="t" anchorCtr="0">
                          <a:spAutoFit/>
                        </wps:bodyPr>
                      </wps:wsp>
                      <wps:wsp>
                        <wps:cNvPr id="98" name="Rectangle 207"/>
                        <wps:cNvSpPr>
                          <a:spLocks noChangeArrowheads="1"/>
                        </wps:cNvSpPr>
                        <wps:spPr bwMode="auto">
                          <a:xfrm>
                            <a:off x="4398010" y="89535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9EB8" w14:textId="77777777" w:rsidR="0012136C" w:rsidRDefault="0012136C" w:rsidP="006D3AD5">
                              <w:r>
                                <w:rPr>
                                  <w:rFonts w:ascii="Arial" w:hAnsi="Arial"/>
                                  <w:color w:val="000000"/>
                                  <w:sz w:val="18"/>
                                </w:rPr>
                                <w:t xml:space="preserve">Short </w:t>
                              </w:r>
                            </w:p>
                          </w:txbxContent>
                        </wps:txbx>
                        <wps:bodyPr rot="0" vert="horz" wrap="none" lIns="0" tIns="0" rIns="0" bIns="0" anchor="t" anchorCtr="0">
                          <a:spAutoFit/>
                        </wps:bodyPr>
                      </wps:wsp>
                      <wps:wsp>
                        <wps:cNvPr id="99" name="Rectangle 208"/>
                        <wps:cNvSpPr>
                          <a:spLocks noChangeArrowheads="1"/>
                        </wps:cNvSpPr>
                        <wps:spPr bwMode="auto">
                          <a:xfrm>
                            <a:off x="4206240" y="105092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312EB" w14:textId="77777777" w:rsidR="0012136C" w:rsidRDefault="0012136C" w:rsidP="006D3AD5">
                              <w:r>
                                <w:rPr>
                                  <w:rFonts w:ascii="Arial" w:hAnsi="Arial"/>
                                  <w:color w:val="000000"/>
                                  <w:sz w:val="18"/>
                                </w:rPr>
                                <w:t xml:space="preserve">business </w:t>
                              </w:r>
                            </w:p>
                          </w:txbxContent>
                        </wps:txbx>
                        <wps:bodyPr rot="0" vert="horz" wrap="none" lIns="0" tIns="0" rIns="0" bIns="0" anchor="t" anchorCtr="0">
                          <a:spAutoFit/>
                        </wps:bodyPr>
                      </wps:wsp>
                      <wps:wsp>
                        <wps:cNvPr id="100" name="Rectangle 209"/>
                        <wps:cNvSpPr>
                          <a:spLocks noChangeArrowheads="1"/>
                        </wps:cNvSpPr>
                        <wps:spPr bwMode="auto">
                          <a:xfrm>
                            <a:off x="4169410" y="120650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B4AC" w14:textId="77777777" w:rsidR="0012136C" w:rsidRDefault="0012136C" w:rsidP="006D3AD5">
                              <w:r>
                                <w:rPr>
                                  <w:rFonts w:ascii="Arial" w:hAnsi="Arial"/>
                                  <w:color w:val="000000"/>
                                  <w:sz w:val="18"/>
                                </w:rPr>
                                <w:t>history; 47.3 %</w:t>
                              </w:r>
                            </w:p>
                          </w:txbxContent>
                        </wps:txbx>
                        <wps:bodyPr rot="0" vert="horz" wrap="none" lIns="0" tIns="0" rIns="0" bIns="0" anchor="t" anchorCtr="0">
                          <a:spAutoFit/>
                        </wps:bodyPr>
                      </wps:wsp>
                      <wps:wsp>
                        <wps:cNvPr id="101" name="Rectangle 210"/>
                        <wps:cNvSpPr>
                          <a:spLocks noChangeArrowheads="1"/>
                        </wps:cNvSpPr>
                        <wps:spPr bwMode="auto">
                          <a:xfrm>
                            <a:off x="1234440" y="1782445"/>
                            <a:ext cx="133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3954" w14:textId="77777777" w:rsidR="0012136C" w:rsidRDefault="0012136C" w:rsidP="006D3AD5">
                              <w:r>
                                <w:rPr>
                                  <w:rFonts w:ascii="Arial" w:hAnsi="Arial"/>
                                  <w:color w:val="000000"/>
                                  <w:sz w:val="18"/>
                                </w:rPr>
                                <w:t xml:space="preserve">Securitisation possibilities; </w:t>
                              </w:r>
                            </w:p>
                          </w:txbxContent>
                        </wps:txbx>
                        <wps:bodyPr rot="0" vert="horz" wrap="none" lIns="0" tIns="0" rIns="0" bIns="0" anchor="t" anchorCtr="0">
                          <a:spAutoFit/>
                        </wps:bodyPr>
                      </wps:wsp>
                      <wps:wsp>
                        <wps:cNvPr id="102" name="Rectangle 211"/>
                        <wps:cNvSpPr>
                          <a:spLocks noChangeArrowheads="1"/>
                        </wps:cNvSpPr>
                        <wps:spPr bwMode="auto">
                          <a:xfrm>
                            <a:off x="1563370" y="1937385"/>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9F74" w14:textId="77777777" w:rsidR="0012136C" w:rsidRDefault="0012136C" w:rsidP="006D3AD5">
                              <w:r>
                                <w:rPr>
                                  <w:rFonts w:ascii="Arial" w:hAnsi="Arial"/>
                                  <w:color w:val="000000"/>
                                  <w:sz w:val="18"/>
                                </w:rPr>
                                <w:t>55.4%</w:t>
                              </w:r>
                            </w:p>
                          </w:txbxContent>
                        </wps:txbx>
                        <wps:bodyPr rot="0" vert="horz" wrap="none" lIns="0" tIns="0" rIns="0" bIns="0" anchor="t" anchorCtr="0">
                          <a:spAutoFit/>
                        </wps:bodyPr>
                      </wps:wsp>
                      <wps:wsp>
                        <wps:cNvPr id="103" name="Rectangle 212"/>
                        <wps:cNvSpPr>
                          <a:spLocks noChangeArrowheads="1"/>
                        </wps:cNvSpPr>
                        <wps:spPr bwMode="auto">
                          <a:xfrm>
                            <a:off x="1069975" y="584835"/>
                            <a:ext cx="788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E693" w14:textId="77777777" w:rsidR="0012136C" w:rsidRDefault="0012136C" w:rsidP="006D3AD5">
                              <w:r>
                                <w:rPr>
                                  <w:rFonts w:ascii="Arial" w:hAnsi="Arial"/>
                                  <w:color w:val="000000"/>
                                  <w:sz w:val="18"/>
                                </w:rPr>
                                <w:t xml:space="preserve">Financial costs; </w:t>
                              </w:r>
                            </w:p>
                          </w:txbxContent>
                        </wps:txbx>
                        <wps:bodyPr rot="0" vert="horz" wrap="none" lIns="0" tIns="0" rIns="0" bIns="0" anchor="t" anchorCtr="0">
                          <a:spAutoFit/>
                        </wps:bodyPr>
                      </wps:wsp>
                      <wps:wsp>
                        <wps:cNvPr id="104" name="Rectangle 213"/>
                        <wps:cNvSpPr>
                          <a:spLocks noChangeArrowheads="1"/>
                        </wps:cNvSpPr>
                        <wps:spPr bwMode="auto">
                          <a:xfrm>
                            <a:off x="1371600" y="74041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62BA" w14:textId="77777777" w:rsidR="0012136C" w:rsidRDefault="0012136C" w:rsidP="006D3AD5">
                              <w:r>
                                <w:rPr>
                                  <w:rFonts w:ascii="Arial" w:hAnsi="Arial"/>
                                  <w:color w:val="000000"/>
                                  <w:sz w:val="18"/>
                                </w:rPr>
                                <w:t>33.8%</w:t>
                              </w:r>
                            </w:p>
                          </w:txbxContent>
                        </wps:txbx>
                        <wps:bodyPr rot="0" vert="horz" wrap="none" lIns="0" tIns="0" rIns="0" bIns="0" anchor="t" anchorCtr="0">
                          <a:spAutoFit/>
                        </wps:bodyPr>
                      </wps:wsp>
                      <wps:wsp>
                        <wps:cNvPr id="105" name="Rectangle 214"/>
                        <wps:cNvSpPr>
                          <a:spLocks noChangeArrowheads="1"/>
                        </wps:cNvSpPr>
                        <wps:spPr bwMode="auto">
                          <a:xfrm>
                            <a:off x="45720" y="45720"/>
                            <a:ext cx="5568950" cy="254063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C69A85C" id="Plátno 194" o:spid="_x0000_s1026" editas="canvas" style="width:446.4pt;height:207.25pt;mso-position-horizontal-relative:char;mso-position-vertical-relative:line" coordsize="56692,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3PVCUAAPYLAQAOAAAAZHJzL2Uyb0RvYy54bWzsXW1vW8mt/n6B+x8Ef7xAap1XScZmi60d&#10;FwW2vYuu7w9QbCUWKkuupMTZFv3v9+G8aRiRw3M3Xt/dRim6UmyGZ4bkcDjkMzzf/P7Tw2r0cbHd&#10;LTfr12fV78Zno8X6dnO3XL9/ffY/N9evpmej3X6+vpuvNuvF67OfFruz33/7n//xzdPjxaLe3G9W&#10;d4vtCEzWu4unx9dn9/v948X5+e72fvEw3/1u87hY45fvNtuH+R5/3b4/v9vOn8D9YXVej8f9+dNm&#10;e/e43dwudjv89Mr/8uxbx//du8Xt/r/fvdst9qPV6zOMbe/+u3X/fUv/Pf/2m/nF++388X55G4Yx&#10;/xmjeJgv13hoYnU1389HH7bLI1YPy9vtZrd5t//d7ebhfPPu3fJ24eaA2VTjz2ZzOV9/nO/cZG4h&#10;nThAfHtGvm/f07jXm+vlagVpnIP7Bf2MPp+gnwX9erXmRP4njjbQPD1CgbvHpMrdlw3xx/v548LN&#10;fHdx+5ePP2xHy7vXZ9P+bLSeP8CO/grNztfvV4tRNetIi/R8EP74+MOWhrp7/H5z+7fdaL25vAfd&#10;4rvtdvN0v5jfYVwV0WPs2T+gv+zwT0dvn/68uQP/+Yf9xin007vtAzGEqkafXp+13aSGHf0Uvzn7&#10;WXzaj27xy67rp7MOv77F7+uuHfeNG9v5/CKyedzu9n9cbB5G9OX12RbTcI+Zf/x+t6dhzS8iiZvG&#10;ZrW8I824v2zfv71cbUcf5zDma/fHzQSzzclW69ETRDWdjR1n9rtdzmLs/kgsHpZ7rMrV8gF8EtH8&#10;guT3Zn3n5ryfL1f+O4ZM5uEESjL0uni7ufsJ8txu/JKDi8CX+832H2ejJyy312e7v3+Ybxdno9Wf&#10;1tDJrGpbWp/uL0HI2/w3b/PfzNe3YPX6bH828l8v935Nf3jcLt/f40mVm/t68x30+G7pJEs69qMK&#10;g4W5+rH+8nY7iXZ7vV0syJvBbHvdbH++fdbTupuQCcICp+2sb4KLSyZaVdMqWGgzrvr6cwO9/eAN&#10;lAwuGiXc2h3Mk370/i4swBswefewgrP8r/PRePQ0mo7dhHKSipHcj9qJe1pOUmckk1pm02Q045HI&#10;ps1IqrEynC4jUvjAv6RJVd1UHg+UmYgUPtj1EkndKOOZZUQKH1LVgdFUGVA1QNBVLumm6uWpVQNk&#10;XeXCbtQxDZB2lYu7bbUx5fKuOtkAqlzi3bhVppeLXGNF/j3JvGsnMqs6l7nKKhd6r42qzoVez+QJ&#10;1rnU+15ZKljOh7GrrHKxYztTJpiLXWWVi33SKvZZ52JvW3mC8FSHocOZyKNqcrGrrHKxK9NrcqHD&#10;MSmDyqWuccplnq1j7IvJbc7v/fY+v7j9tA6uFN+weyFM9vv042ZHAQb5VfjuGx+kOHryuwoxJkrE&#10;TdjEQVUgxlyIOHr8MjFshIgngzjDCoh4NoiYfBpRw2v5gKc8EHJcjnzYJMk7OfJh0yQX5MiHTZTc&#10;jCMfNtUQKt7AWQyZah2mCocwiDxMNe3hZUHWYar1sKnWYapYvEMGQ8uXJIMFOog8Wu6wqTZhqime&#10;dlPFCsNnWE4USn9+ytuejXDKe0sjQlw939MqjF9dkIyYZXSPWB6BCf38YfNxcbNxFHtajH5OLoTC&#10;sw6/Xa1zqomfSySLv4yfj44VohInIIOq81IvUyGiGMCrng7hhVBgAC9s8wOosIU7qiquvSiC+OlF&#10;ge15EFmLHQgmZXDDturIkp3Gh8VP/1BsmUPI4unO4IatznFr22Dt8WHx0z+UYmKagkHmtRmiY3ec&#10;8ubFmck6v11tdgu/4sjA/QkyWjotkCye14+CM/y5vg5zYWTPcJqkA+3VfHfvD66Ou1+R282HcJo8&#10;nSzNZJCSEYEd+oxIdrJ0Dp7lN1JChCyF/WZw5qMZz8Zdi1gH9txN26l3xfOLeLIMJ3iX+pi0DbY+&#10;b5Ux85Eb4uCDZUUxFwIGsMpPjXkQSBFXPOUeTqdY7CmGp1j5mEce/8k84FcSD3kceeSHU14cCJbd&#10;rz/yI9/wRZsnxXHYOyF7aesMUV60Am3vHLJ1esfndZy8I76Y/i4lNSlDRfv9z8+IfakPc+skRB+0&#10;Ylxu+J+z8ezN9M20fdXW/ZtX7fjq6tV315ftq/66mnRXzdXl5VX1LxJv1V7cL+/uFmvKBcY8ddUO&#10;y7GGjLnPMKdMNfPyLC+opRbP+TDcVoO5xE83u1MWkMoQiq/GMfjIV0/JtzGP/Ay+uuonTU25APhq&#10;KQtYVV2N//lE9fOmAZFePEry5e66rabyUTv32M7bCoxyn92OG5lR7raRmIHvFzgxz62d/hG8pQ0A&#10;GRCZU54mafrs/J9vWNilE6e2UTjlWZIG2TAx00l+NbFyGUppeiwj2DS1wiuX+ZQSXSKvXOpNNVF4&#10;MbGPK40ZE7ymQpYYrFz+VBxZLnscd5SR5cKvOk2PVS7+eqJkqehEn8RfqTJj2cFaswo67ydmtcvJ&#10;StPk+cFWSVWxBGENKlmbPEPYVLLMKFdwGBmEoTBjCsAERJOlTEJiRgakMGMKGCs2S0ffAzOXM5Zk&#10;xvKElWYaTa6AZqqZBssVVhPF71COIo0MAbAyTcTNBzIyR1FmTa4ASk/KMmtyBaCEpjDLFdBV6jRz&#10;BdCqE0dGZbo0zc4loiUFtLnT15nlCujVkbW5C6o0O8Mp+zCyvtGMls4waQIVPJU8zVwB/UzzZ5Sj&#10;GMAsV8Ck0bTZ5gqAbxEHRsW99MTJTDOzLpc/Kmsyr1z8007bdrtc/CqvXPrTmbbJdbn0sX/J48qF&#10;P+s04Xe58FVeueyRhaMahWSwXS58bSX1ufCrcU9VColZn0tfZZZLv6pqTWR9Ln6tEtPn4q8AitBG&#10;lstfZZbLv6o7dWS5ArQiWM8U0FSaNvtcARqzCVNA02vanOQKUJkxBQCAoMhskitAcYsTJv92pg4s&#10;l7/Gi4m/m6jjysWv8WLS72tt953k0ld4TZnw+6lmY9Nc+BovJvtJp41rOkD2UyZ7RPuKHqcDZE8Q&#10;o+ReaWlrvHLZq/VDSpsnbpoap7no2fnoN5FIUouTkCTOn6cSIq/vnkqIWjGbQnsymJcsIarGSwG4&#10;G8ywammDhe7Ih1VLKYgmckTJPkteLt22cJaOfFi1lAJhRx7rcAb3MFXEsoMGE6aKaHUIeQCj3SAg&#10;HUQepoqYcxB5mCrCykHkYaqIHAeRh6kiNhxCTtEhyR3R3yDyMFXEd4PIw1T7YVPtw1T7YVOlKM2N&#10;fdhUKQ4jcsRZQ8YeSuQ3iKQGkYeperygr1RQkQF2LEFmJmGqk2FTnYSpIuQZMhiKemiqiGoGkQet&#10;InAZRB6mithkEHmY6nTYVEPZ/gYhRsbdC/QLcBPuyGMDJxDLhMdq5R8vWqRyA12seMfPgJ1A3AYN&#10;NMkc4q/jpycjmBmRYRn6ycZfx09PRskEIgNYoUQWkBhInhbJoAjHrYoKiQ+Ln2EKY8TE9FRrqmET&#10;JPBGaXRIHDl+SFSW6cL4kIMs0iH76PkhO1J6LhKLni5t0nGe8TPogs5DmC/xLfFDOtDTjctiJm0R&#10;P6TyyvwomCa65GniuOJnNAK/TEmOpfERKMPxMyAcyKp5us/KlFR5zLFCSJgNokMuzNMZ8kOay9PB&#10;vkrzQAZrEB2SU44u+Zc4/PjpxYe8kyODXy89FSmlQWQzvySx5ErckAhy3AwyyvE4OkNllL4ZRIfM&#10;jKMzMEGUdBlEh3yKozOATRVSJcPowt5t8XM3LLA2yp6gQu7CPdYgQ1piCBkyDoPI6Gxujw15giFk&#10;VPAbwC2SDUNeHXazuBaeB3t1eUkF92D5rCp/wl79qm/14ILVcT3fbSfPXc9vcA1hEnZe1O6RkXW7&#10;9AF81QKPRZVhQl91/WScjkNfhL6aOBQ+/kvGmZez4ZeyrNb9COn+z0mwPyQSlQ/8YCJySVqBEfa3&#10;ROPrMMKAsNwTkUtqC4zg7BONygjuJRG5vL3ACO4x0aiMsH0nIleaEBixWn4/oRSoMDdWy3fVF4lV&#10;Lu++p4S9xIoJ3JW+JF5M5O5Sh8Qrl7kvo0m8mNRdTU7ilYvd1/ckXkzwrlgo8col7wuPAi9Wx+/H&#10;lOUVeLEyvi+vSrxy2XcTqglJvJjsXRFZ4pXL3ldXJV5M9q66LfHKZd81ik3Q/pwstXZld4lXLnt/&#10;v0oaVy57AjSIroGV8H1tW+DFKvi1AyoI42IV/NZd1pJ45bInbIQ8rlz2BC8S9cjq9x7aIY0rlz0O&#10;rgovJnuHOZF45bJvIAl5XEz2mk2w6j1BZkRerHiPI6ssL8pKHizHgUQE2bPavc4rlz1pWx5Xbvce&#10;iiTIi46KaVweoyONK5c9SVW0CcL5H3hhR5DHlcte5cUq9+QxRV6scO9hYMIcu1z2DlEmTJHV7T02&#10;TWKVi55qVBInJniHl5M45YLXOOViBw9Z7JR8SWJXp5dLfTohLIEwqM9K9orUWcF+2hOQRuKVS532&#10;A1FYrF5PqAqZVy521UqR7D0IQueVC15dPcgEZ7yAQpHHlYuecHDyHJnsa2X1sGq96m1YrX6q8spl&#10;r3pBVqqnW6TiHFmxXvXOlPpJRkhIG5lXLnt110BqOuOl2SplptMT1d2MleoniPXEcbFivbrLslL9&#10;pCU0mmD301z26u7PSvUTxHoyr9zu1aiElerpjrLMK5e9Gi1RCjRJFc5N4ZXLXo3iWK2egn9xXHQy&#10;TE9Uo0tKyR2ogKSTeeWy9xA5wUFTBu3ACzG7zCuXvUfISbxyuycqmVcu+147Jcxy2dPoZV657NXT&#10;yyz3OSovd9HyIAr1VEUJ+UTWaZqskJc+kKmnvQpp/QMZWY84z4ruKqaHFrjlGiC7VrgxFTiMoqDO&#10;apzrgBoaKNxyJdAyER1/Nc61QOtX5sbOtjo3drglaKrCLddCgVuuhcxnnHA0cuGUlISM0ekq/lEX&#10;htNVfK3YLl/FV2vzJxyNJshwhfzmhKOJFzNjC5QTjkazmROORpMMYYBpK3tJHI3q9Cj+p8EgwvcF&#10;7TIALxTTb3wVxYQ7zcJUfeNDmxxRohtMRKgYg0EY6MgjMKJMHvua3CChNWiyLqKmB1DMPEQ6Lmj2&#10;/yBiU6whhRlT5DvsCWHOFNwO+geHwGngpFMXI3RYy57wxUgsivcJiEWHdukavvs9hBeL+RoQK9IZ&#10;GAIcWZx1GFCISGYgMCKZAehAZcw91ACb4NzoyA6GGOv08dNjV3BWHUYXoTUWBCdCdQzoD/IA/rmG&#10;VHB69HQGhClBiQxIFM5ojh9qO8H0ojzip5dLbMtjQbYiJAp5xiI/5K/8cw1IGaH/yONYEDWC/zk6&#10;A/KG3KCnM+RCEDviZ0HyCGI3iC48lyBtfolH+cZPL2fkej0/Q37ILw+ji9BCA9AYcY8GEtBvXRbW&#10;0lOFVCG8WJxi/PRTDY9Ebr4skTAD5N3LdEEiBCsbImGLjiyYNBt62ajTiBaA3HTxudGiLLpooaFl&#10;qvrcaPGEtivNN66giSHnuCKRMy7zCysN+eAiXfQYyPWW6YIHouZapXlEj0abUZEueEjaP0p00eNS&#10;768iXfDgtDMU6cKOQKDLIl3YYQjEWaQLO5ZJFzZAZCnL/MLuTDtI8bmRzpJLpEs3Q+Lyjp9+mcfg&#10;gXaa0nMTnSGXSPe5tTwP3q69qr5LAz3h7X47XbTJGj/rn4NXAJDFPTfejnXRngB06p5ygNtV1WTc&#10;UDjn8Ha+pbY3/C/C2/mut9UU2ya4FQF3x5i8PENOBWy6mH7MKE+QV66yc8wJYUeqUcxQjpU55SUK&#10;jRMC2QOnie87cTymvDxRu8rV8ZgQqiVOODj6e/fHrPLahMaKVSaq8dRfyz3mxUoTwCCgMnE8LtZW&#10;u6oaf41ZYJYLHpedZWa55GFV6shy2avMcuFX9ViTPl3ASKL18EJhmkz+6B2lGAVtpInZ1FXBjpkx&#10;7F1VzzRlMvSdyiy3+6pptGmyJjpIWsgaYE10qmaqzZN10QEiV+HGVNDW/i75sXEwCB4EonBjOmhD&#10;6wOBW66DAFo8VgID4RGkWNEohchJo9QSX7RcBsOr8OYLjVu+DCrN2ijMyp+pOrN8HRCERh4b00Kv&#10;zzRfCHgbi8KNaaFvNffY5FoIUMhjLTA4Hrq2aXJjgDy0/5XHxgB5VT/T1gJs5iDf2sOchbExLUwq&#10;3wTk2N4Il560VbuGRoKj5KC8CZyzvK1Q0mAAN6aFSae5ENZRhwBIooVwYN5koumUQ/M8VPZYbgya&#10;V01Cl4xjuXF0ngfLCtyYFvA2FkVurK9OgCAK3NhamGLflrXAOus0HjArcGNamKo6Za11Gs1COFBP&#10;58ageo0HzR6Pje7ZJTuqCtzytUBvsxAthHfXQVylyI3B9VrXK09YC3TvLBubzi1fC62HqAoz5VrQ&#10;ueUeid62Ic6UQfYKcmOgvdZ1uBNmSvWqbKaqhTDYHoHV5LHxtaBzyz1Si7ZuMjeuBXUtMOhe58HQ&#10;x1pg0D2Ebto6ZeC9zjXDFOTGwHsFH8Lge53r8yhxY1rQ/RsD8AWg0PFMebcd3fcyCF/XK/sp77cz&#10;abU4hIH48IojWaeU0j3Ym75ncRgfXswiWgiD8RX2UzqYpqcGYNqx3KjKl6gKez2H8nmAlcCNrQU9&#10;DqE7qempvQd/CdzYWtBjJA7n88A0gRvTApqFK96SA/o8aO6YGwf0FYJLKvxkc/WQPokfU4Qe+nJQ&#10;Hy7VyVbCQX2VHphXlDFIuph4sJs0PqaMttPEx4F9BX5MHW1owHYckHBoXwDwCuPjB+jYg03gx07Q&#10;9HYgcZWh810mlqqp1fmyt1NNNOur2AuqqnqqhXM4t2UPLvBj+qgbLXRFVijnB+SpMl+mj8Ixn52m&#10;J6o98/N0IQfBD9QeCC3ol7Wl1fYxdyk+GbManFTsRI29SXEFuNKayS4736A48uvvpa8CQWA5qC/d&#10;xIJgGbcAsyDiWDMoEx8QCCHlbpBjjRFzDj9Qx316i5KGM/r3e4uSagQn6KZmBCfopiaZE3RTk8wJ&#10;uqlJ5gTd1CSDdwT7kGBYABEa99zgXOWrkUZMEF5Jd4Jult6a6Y4nLnQaGjul4CmBKQ09hN5ruIYz&#10;TM8oDYZoLgEpjCfQEcHNISGYrH8Q48WB76J0cb5/AgPpInzHk76o1SAOlg7hipOKhHClfBfNLYJF&#10;NIQrgcuIDtrxiyNiWOKnx7Kg4D2IjPJ44IZ3W5S4Ual6GF3oMulP0SoijCrMjl9qYBpHHz/9LKh4&#10;PIgOdWFHZ2BrcTzzBoF0XXG+qOY6fhYdCrWOjpI7RYaowXrCtJjiTONnmDHKq57QwCZTgsYTGjhc&#10;Kop6QgOfTCkpT2hJEakwT2i016uQgXOEKEOWxYPEnyc0QMqUb/SEBkqZ0pye0BIPsque0GihiDKv&#10;Fzhqg+XJIJfsORrI3QopbEfYGJBmypx7Qks8SNh7QguUi5qZJzRQzVQ68YTWrBOhgWs+cLTEQ7gf&#10;ck4oQJUFngjNWUeOBsY4jREVIePRQTyEJi86gCge1HEMwqAZlGgMwqBrVF/KhNF6UFgxCIM9omZi&#10;EAYLRznEIAwtv1HpMAjDKqTX4BblGNe1BTZNnqJPIMnoaeNn8LjR96CqYDw6eDMLhwt4iV9cvQFg&#10;TR7XQgAnH47sfXmMcVdAGt0g7PwYbUJKf2MVWujoChl0T2jAjyk17gkN3C7lvAcShr71ExQ5i9YT&#10;4wlkoQ3CEKCEMqQayXh3i7xxkd3nwV20wOdBAs9mTYNavJ/4CQn8G0ICIzo6QgI7S3puJHAzm/Yd&#10;YeXo5ICax8xfPcmgwH3nCpSEBI5b3heBgAEJIEwOWaWGAPZvRT4igVBSQcaXbYJp//wCSpyRcVp0&#10;4hlG6+NaRvsMZ0TxZBhOyfFZ2sEwVFIiWXQx8dNvdt4COA3GfXoF8ekVxBs0Kd6f4b0Ut/eb7eX+&#10;192yGAeDI8fpgtvndpxV37dNaCYvtixGJ/+mpbVHnrNHr3OgbfxO/EXus4a/hgNFHsJt7JoLpZd9&#10;3o9muEr/mZ/NnWjdu9cYSrwgx+Rr/Su7BF6I1hIREijkkyVeeeWb3hsqjgsn4wOvxjWZlXjlCARq&#10;ICfyQrh54FW5155KvJAHSGStw28Jc+RgkJl7I67EjGFBPMJP4paLHzGnJjI69BzG5tBgErdcAcip&#10;EGpTHBvTgMotV0HlYTkiN6YDVW65Eqq6p4sjIjemBU2jHALi77RI3BgCRLU1BgCZjbWhsSsV1PlQ&#10;NDYGAKEOg/I8Gf6DWjLKzHId+MZ64jRzFfgeqoJ5UAbiYETqMqDXyiQy33RWYMbuU1CvVXma7DqF&#10;B6RLzPJlQJB6hVm+CnxbY4kZWwVoPK0wyxeB7wMtMcsV4HvYSgoQ3kssMcsV4N4AKfLK5e+bgwu8&#10;+E0KgpBJvNg9CneZRWKVS19TJCXEklW4C0ASp1z0Kqdc8L6hnsSKCV6dX274vg2hxGuQ3NndCd8G&#10;UuDF7064psaS4NnVCeSB5OX92dUJzVTZzQnfHFQaWS58fRGxixO+m6rELBe/vrzZvQlCu4lejHc3&#10;Vh0PuzaBHgUyM3ZtQneJ7NaEb3AsTJPdmtCdNe9w7Jo4S8xyBejbCLszMasV0+B3JvQdjjU5xmld&#10;EVq+Agq7L3sn8QyRpahPfmdCjwzYnYkZ7sPK3HL3U4ha2J0JiF/hliuhEFFRy4fkz3Ru+TKo9GiP&#10;3ZnQueVaqPVAlN2ZUOXG7kzUeojM7kyoOmUtjwvBO7szodobuzNROFawOxMzXHMWLYTdmSgceNid&#10;CVqAMjemBZyblL2T3ZlgERoSIT8/xXQTM8DlHBMWBc6JN7G0UyaGzRNxTPmXiWHSRBwT4GViyIqI&#10;Y42gTHzC6GrAplN7VU0yocXMDVInPhtSNrETRlcT5Amjq0nmhNHVJHPC6GqS+f/A6H5xXcgdRAk7&#10;SIcTCTvoCbChH9rdaVWiehaQcgfSWCGKn75SRPGYCxKQYg4uPBLEz0gY31NqAFbqCR2yMUrq8+Y3&#10;hcgpfgaOyFd7QgPZUvchM3/8TsvPOHah9RhyheVHI73tH20RtqGpGDWjK04G5QPP0SJEqD+QkF6/&#10;QHI00Dd1Td0qhhDizDKQkO4GDuE4plM/EVrAHxy+BhJSAnMIx2l4uar56AiWMwlxnXvYoyM60eSI&#10;JP4wjl0ARlq6TgghkxDnev9ow3qobdBAwgBZtZYCJSg8R2MpUJunYYQRR2yta+qP5Tka6xptncOs&#10;Dd+DE7dnaNHRa0vIbA2nF3HdJl3AiVtumZpe0nMtP0+IsiF0sd2w9Vr62KzSfC998HYmXXCf1Gy0&#10;5GcJV+nmYYBF0THE0xn6ID04fgYdyYPoqGlqaXyxWar1pvvYfNVqI0woZPdcA8CLLkuezpAfQbQd&#10;PwtiTPk6mq+FWQ5Nbq033bvb6+BnvenedUUgOgPPHWJfvDG1qI6BZGErQbmmyC3Aiq2W3WEHs+D1&#10;3j8baP3gzspo2aD6cgDniYx7CZ6oLFNPg7cfFWUVqAxUbqAyNopAZeFIg0ANNG7QjtWdNujawh8H&#10;y7F67AY7tFr2DiSLi8REKFPLCCwmE3ccFrHVyZgWL/GzOiNHJ2NhiaPTsjo3RydodYKOTtXqLB2d&#10;tNWpOjp9Cx0cNxGrk3bclEy6sMlZnb5jr3yrc3js0U/BR2nzipu6SReyVVan9Bh0WI3XYxBj0UV8&#10;NYoDxXnEIAvluSId8SF7NulCEIgSR5FfiiptwhCnBoAucgfxJBs//Rk53aAzCWMsTQFrSccpOjcJ&#10;mxDv24ThBIFaV/nR8UxiEsa7bDZhODeZhPEkRrmVonji2c4kjKdFkzCeP23CsJmYhLOwh9mE4dRt&#10;EdbxHG8Suq5BtGQMXVN91K8tizBmL0yOTciH2IThzGEZbh1zNjZhyAKZhDGvZC3XOmaqTMKY+7Jc&#10;CpVpvcANJ5Xyc5bXq6ch42cTRv9o+OWUlbQcfcp0DiY8Pv8+z6UbyGB8unSDANwDxn9D2HGcBo6w&#10;4y4h/ctix6tu7C+TZpducux400ymSD77PejLsOPI8SvgB5zxEzrG42bDpdAcYI4EWCKita7wgldJ&#10;ZL5zqsALwk5EBcAIjiOJDMlTIDwEXkjcJCLyk8q4ELolMt81VeDFwCItgHwy0BJbVeJFLwwXx8Ww&#10;43WDVpcyM4Yd17kx8WMT1Ljl8vcdWIV50mXiNIMam7TGLdeAzi1XQQE3RVWC9FSMSpFbroQKaXtt&#10;bEwLGjeOHfcdWCUIJ8OOq2Nj2PECeo2Bx3VuuRaqdqpZCEOPq1qg3m1JulXTqdyYFlyPXsFCGHwc&#10;VwO15U6hZXqqar0MP16hFaeiUwYgV1cpkvWHZ+Kaq8YsXwqq+2Dt+HUcJ5UU0zxVv0aAlURFCFl5&#10;yTMAuW9WLaiAbi8nZtSgVWGWa0D13gxBrgNpGYQceQp5ibJW/GSQ8sgYitx3HxemScmkNE0av8Is&#10;VwBhlEWnyxrxU2t3hVm+Bnw/eWlkuQJq9W4Bg5KjaYc8MgYlp1cmyCNjUHJ6pjhNDiUH1F9hlq8A&#10;f4VCmCZV/pIC9FsPDEru3/kgMctXAF6BoQwsl79/t4XEK5e/6/wueW4GJPfv8BB4MSC564Yu8WI4&#10;cv+uEolX7n+0iw8MRU5SFRXJWu+rrHLTd2/EkQaVC17llMvdvYpF4pSLXRdV7naU1cig4yRvxRwY&#10;dJy5sBP49tMaZ6n3n79E/AS+1bBcJ/CtJpkT+FaTTCj+36S6YhmWfALfaoL86sG3z4fqpI25iOrE&#10;PhnSQiaq80Aay0XxM4I1I2wJK6FU7kg5XqsDWsoam4QxD22B4w6oTgM7mHLlVk81uvfkUuAmITJB&#10;jpBeCVwUTxtgUyYh0kHDOMYqBk5Z5UfHuohJGCstNmFAdZqEsRoUYkm9OhlRnTZhRF0kG48GGz9D&#10;vTOiOk2OsapmEsY6nUkYK382YUB1moQR1WkJnFJF3noMo6hi21CTI9JFwzgiih9kuJQyGkZYhXZu&#10;1pqhtJHjaC1XvInGg9YsQqSOPEPDo1Atjer+louK+ADL50W8gUkXQJ2EAym5nYiHsNx8xFdYdBHU&#10;aXXYjPgPC5xK/SBJfkgBFedBVjqEjsDMjs7oKUrzdHS+wqL6JQLNOjoDNIl8kqczQJNoo+HpDNAp&#10;0juezgBNInPj6CwwKZIyng58S/aChIunQ+qkSEdX+aE3en6RLnhrwmcV6QaCSekGMD3WaA8cwZqY&#10;TempEaxpCCWCNQ2AZZiqhTcN3VqRQiqOLZINgllaOFIfzBgw0oCNLIsshEVlK/JExgQ9EaZZ0lCQ&#10;gmE80yB66LPEzKX1yHyOvdzzlPiv8efyMozh1FfzN1Tihxf1Jf6/Lm73SKqtFqPaR/RyjX+03lze&#10;g27x3Xa7ebpfzO92QJo7zbN/QH/ZPf6wHb19+vPmbvH6bP5hv3GHt1iw37x7N/qEDbAdowN52ES6&#10;vvbXoLPK/7hHP3GsGeoaVzVwMtHxRkaP293+j4vNw4i+vD7bYiLuQfOPeAuBXxaRhA6P6831crXC&#10;zwkwyH7gNkP6yeLTPrzAAN9GH7bL12f/BFLgzfTNtH3V1v2bV+346urVd9eX7av+upp0V83V5eVV&#10;9S96btVe3C/v7hZreszo08NqvbvAD38lbRO9YMOU8A6H8R/q2avrfjp51V633avZZDx9Na5mf5ih&#10;vfSsvbrmU/p+uV58+ZRGTwC/dajgkqyZt9ht37+9XG1HH+crZHfdH8mpPCz3i+1otXx4fYYzDP4Q&#10;0fyCrPHN+s5938+XK//9/KARGv6330DNUGv8dIo+j+b67Tf0bf/p7Sdwoa9vN3c/wYq3G1gWjPDj&#10;YosvaPv4j7PR03b++PpsvVkvzkarP62xDkCwj1+28cvb+EWD/zgpPH6H9XG9dPZ6eC4GSX952j36&#10;0eBLED9+PMyinjbbu3OEDeNz+va43dwudrvl+v2P9/PHBTRA/G//8hFzXN5BLQgzjv2BW3GB8Ecs&#10;aj/i7ze3f9s9vz+ox+M29WvHQSgol1biLfxFP6tdl/aTO1itnB7yJUP78PX18ZLJ1gB5pWj79O8z&#10;D3dyB8HvC+7ArY7UcPpr8wo4Gx17BXcAfymv0PV9FTLpfT9p0DbJufnoFdAov6VWSievcPIKzsHN&#10;L14iSHBeIXVT/tq8AjIhx17BnURfyCu0aNaPyMZlRqazrvm8VT+SSf3JKyzv/J6PWPsUK7yYV0g4&#10;+a/NKyBvfOwVXJL7pbxCPe5xsHVeAXWP8QwnTRYstB2qRadg4eQWDp7xxdyCy/rSQvjK3IJ7Zc6x&#10;X3ClgJfyC8gzuvdPUCIRPqKLeaN4iMDbCOuTXzgsilO48HKHiJRi++r8AurWR37BJ/1eyC8AltG2&#10;MV7AzcJQYfCpMUo5Vg3eW0OXXU7ZhVN24aWzCynL9tU5BgBVjh1DSsGiZvFLlyKqDm9EDW9RrmbN&#10;Kev4hLqRryU9zJdro3x3qkX8UqVJl3VMebavzi8AIHbsF1IS9iX8whivVqbXZ+AggRcYhxZTh3hh&#10;Mp2OT+HC6RyxOojgxfILKdH21bkF3Ng9dgspC/sSbqGZoETp846TdkypBpZ2PNUoC2CfU7Twi0YL&#10;Kc/21bkFbNPHbiFlYV/ALbSdgy8iVvDfmE/ouh6FS/gMSi3UXTumXmWgAEbtOeCNhLSbTvGeXYcU&#10;2mQbEsvtOdOLUGMGyPs/7lsBUYmE6r8rftKDByXQoLmydn//MN8uIlZwBiQr9O7xgsFGPGYw/Mbj&#10;BsNvNOzg6MPjdvn+HpjEyul4vSEc4bsSjhDgptsL/N8Z2XtgGO+Xt1fz/Tz/O74/PV4s6s39ZnW3&#10;2H77vwIAAAD//wMAUEsDBBQABgAIAAAAIQA3nt9x3AAAAAUBAAAPAAAAZHJzL2Rvd25yZXYueG1s&#10;TI9BSwMxEIXvgv8hjOBFbLallXXdbJGCXsVWCr1NNzGJ3UyWTdqu/97Ri708GN7w3vfq5Rg6cTJD&#10;8pEUTCcFCENt1J6sgo/Ny30JImUkjV0ko+DbJFg211c1Vjqe6d2c1tkKDqFUoQKXc19JmVpnAqZJ&#10;7A2x9xmHgJnPwUo94JnDQydnRfEgA3riBoe9WTnTHtbHoMBaj36rS5futq/xa/W2220OC6Vub8bn&#10;JxDZjPn/GX7xGR0aZtrHI+kkOgU8JP8pe+XjjGfsFcyn8wXIppaX9M0PAAAA//8DAFBLAQItABQA&#10;BgAIAAAAIQC2gziS/gAAAOEBAAATAAAAAAAAAAAAAAAAAAAAAABbQ29udGVudF9UeXBlc10ueG1s&#10;UEsBAi0AFAAGAAgAAAAhADj9If/WAAAAlAEAAAsAAAAAAAAAAAAAAAAALwEAAF9yZWxzLy5yZWxz&#10;UEsBAi0AFAAGAAgAAAAhAGrG7c9UJQAA9gsBAA4AAAAAAAAAAAAAAAAALgIAAGRycy9lMm9Eb2Mu&#10;eG1sUEsBAi0AFAAGAAgAAAAhADee33HcAAAABQEAAA8AAAAAAAAAAAAAAAAAricAAGRycy9kb3du&#10;cmV2LnhtbFBLBQYAAAAABAAEAPMAAAC3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26320;visibility:visible;mso-wrap-style:square">
                  <v:fill o:detectmouseclick="t"/>
                  <v:path o:connecttype="none"/>
                </v:shape>
                <v:rect id="Rectangle 195" o:spid="_x0000_s1028" style="position:absolute;left:457;top:457;width:55689;height:2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rI8EA&#10;AADbAAAADwAAAGRycy9kb3ducmV2LnhtbESPQWuDQBSE74X+h+UVemvW9iDBZiOpkOAxasn5xX11&#10;Je5bcbdq/n23UOhxmJlvmF2+2kHMNPnesYLXTQKCuHW6507BZ3N82YLwAVnj4JgU3MlDvn982GGm&#10;3cIVzXXoRISwz1CBCWHMpPStIYt+40bi6H25yWKIcuqknnCJcDvItyRJpcWe44LBkQpD7a3+tgrO&#10;xeWq6dRcj2XjapmePkziKqWen9bDO4hAa/gP/7VLrWCbwu+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6yPBAAAA2wAAAA8AAAAAAAAAAAAAAAAAmAIAAGRycy9kb3du&#10;cmV2LnhtbFBLBQYAAAAABAAEAPUAAACGAwAAAAA=&#10;" strokeweight=".7pt"/>
                <v:shape id="Freeform 196" o:spid="_x0000_s1029" style="position:absolute;left:28257;top:8496;width:5118;height:3016;visibility:visible;mso-wrap-style:square;v-text-anchor:top" coordsize="8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U8UA&#10;AADbAAAADwAAAGRycy9kb3ducmV2LnhtbESP3WrCQBSE74W+w3IKvdONhbYaXSVNCVRQSm0f4Jg9&#10;+cHs2ZDdxujTu0LBy2FmvmGW68E0oqfO1ZYVTCcRCOLc6ppLBb8/2XgGwnlkjY1lUnAmB+vVw2iJ&#10;sbYn/qZ+70sRIOxiVFB538ZSurwig25iW+LgFbYz6IPsSqk7PAW4aeRzFL1KgzWHhQpbSivKj/s/&#10;o4BNUmYf6df2hebF5TB/15tC75R6ehySBQhPg7+H/9ufWsHsDW5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v5TxQAAANsAAAAPAAAAAAAAAAAAAAAAAJgCAABkcnMv&#10;ZG93bnJldi54bWxQSwUGAAAAAAQABAD1AAAAigMAAAAA&#10;" path="m,l72,r28,l158,r72,l288,r28,l388,r58,15l504,15r43,l604,29r58,l720,29r28,15l806,44,,475,,xe" fillcolor="#99f" strokeweight=".7pt">
                  <v:path arrowok="t" o:connecttype="custom" o:connectlocs="0,0;45720,0;63500,0;100330,0;146050,0;182880,0;200660,0;246380,0;283210,9525;320040,9525;347345,9525;383540,18415;420370,18415;457200,18415;474980,27940;511810,27940;0,301625;0,0" o:connectangles="0,0,0,0,0,0,0,0,0,0,0,0,0,0,0,0,0,0"/>
                </v:shape>
                <v:shape id="Freeform 197" o:spid="_x0000_s1030" style="position:absolute;left:30905;top:5848;width:914;height:2743;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D8r4A&#10;AADbAAAADwAAAGRycy9kb3ducmV2LnhtbERPTYvCMBC9C/sfwizsTVM9SKlGUWGhV13R69iMTWsz&#10;CU221n+/OSx4fLzv9Xa0nRioD41jBfNZBoK4crrhWsH553uagwgRWWPnmBS8KMB28zFZY6Hdk480&#10;nGItUgiHAhWYGH0hZagMWQwz54kTd3e9xZhgX0vd4zOF204usmwpLTacGgx6OhiqHqdfq2BZDrpt&#10;wyu/tqNvbpe9exhfKvX1Oe5WICKN8S3+d5daQZ7Gpi/pB8j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cw/K+AAAA2wAAAA8AAAAAAAAAAAAAAAAAmAIAAGRycy9kb3ducmV2&#10;LnhtbFBLBQYAAAAABAAEAPUAAACDAwAAAAA=&#10;" path="m10,l2,,,30e" filled="f" strokeweight="0">
                  <v:path arrowok="t" o:connecttype="custom" o:connectlocs="91440,0;18288,0;0,274320" o:connectangles="0,0,0"/>
                </v:shape>
                <v:shape id="Freeform 198" o:spid="_x0000_s1031" style="position:absolute;left:16732;top:8496;width:11525;height:3016;visibility:visible;mso-wrap-style:square;v-text-anchor:top" coordsize="181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TL8QA&#10;AADbAAAADwAAAGRycy9kb3ducmV2LnhtbESPQWvCQBSE7wX/w/IEb81GDzamrmKEFG+lMUh7e2Rf&#10;k2D2bchuY+yv7xYKPQ4z8w2z3U+mEyMNrrWsYBnFIIgrq1uuFZTn/DEB4Tyyxs4yKbiTg/1u9rDF&#10;VNsbv9FY+FoECLsUFTTe96mUrmrIoItsTxy8TzsY9EEOtdQD3gLcdHIVx2tpsOWw0GBPx4aqa/Fl&#10;FLxmyTLLy4+iiL/z95YvL0+VNUot5tPhGYSnyf+H/9onrSDZwO+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Ey/EAAAA2wAAAA8AAAAAAAAAAAAAAAAAmAIAAGRycy9k&#10;b3ducmV2LnhtbFBLBQYAAAAABAAEAPUAAACJAwAAAAA=&#10;" path="m,418l,403,15,375,29,360,43,346,58,332,87,317r14,-14l130,288r29,-14l187,260r29,-15l245,231r29,-15l317,202r29,-14l389,173r43,-14l475,144r44,-14l562,130r57,-14l634,101r57,l735,87,792,72r58,l893,58r58,l1008,44r58,l1123,29r72,l1253,15r58,l1368,15,1440,r58,l1570,r57,l1685,r72,l1815,r,475l,418xe" fillcolor="#cff" strokeweight=".7pt">
                  <v:path arrowok="t" o:connecttype="custom" o:connectlocs="0,265430;0,255905;9525,238125;18415,228600;27305,219710;36830,210820;55245,201295;64135,192405;82550,182880;100965,173990;118745,165100;137160,155575;155575,146685;173990,137160;201295,128270;219710,119380;247015,109855;274320,100965;301625,91440;329565,82550;356870,82550;393065,73660;402590,64135;438785,64135;466725,55245;502920,45720;539750,45720;567055,36830;603885,36830;640080,27940;676910,27940;713105,18415;758825,18415;795655,9525;832485,9525;868680,9525;914400,0;951230,0;996950,0;1033145,0;1069975,0;1115695,0;1152525,0;1152525,301625;0,265430" o:connectangles="0,0,0,0,0,0,0,0,0,0,0,0,0,0,0,0,0,0,0,0,0,0,0,0,0,0,0,0,0,0,0,0,0,0,0,0,0,0,0,0,0,0,0,0,0"/>
                </v:shape>
                <v:shape id="Freeform 199" o:spid="_x0000_s1032" style="position:absolute;left:35477;top:11512;width:4483;height:5671;visibility:visible;mso-wrap-style:square;v-text-anchor:top" coordsize="70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SYsIA&#10;AADbAAAADwAAAGRycy9kb3ducmV2LnhtbERPy2qDQBTdF/oPwy10U5KxXaSNcZRSyIMsCkkTsr04&#10;tyo6d9QZjfn7zKLQ5eG8k2wyjRipd5VlBa/zCARxbnXFhYLTz3r2AcJ5ZI2NZVJwIwdZ+viQYKzt&#10;lQ80Hn0hQgi7GBWU3rexlC4vyaCb25Y4cL+2N+gD7Aupe7yGcNPItyhaSIMVh4YSW/oqKa+Pg1Ew&#10;WuSNM+fupauj6n172X/LAZV6fpo+VyA8Tf5f/OfeaQXLsD58CT9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lJiwgAAANsAAAAPAAAAAAAAAAAAAAAAAJgCAABkcnMvZG93&#10;bnJldi54bWxQSwUGAAAAAAQABAD1AAAAhwMAAAAA&#10;" path="m706,r,15l691,29r,15l691,58,677,72r-14,29l648,101r-14,15l619,130r-14,14l576,173r-14,15l533,202r-29,14l475,231r-28,14l403,260r-28,14l331,288r-43,15l274,303r-43,14l187,331r-43,l101,346,43,360,,375,,893,43,878r58,-14l144,850r43,l231,835r43,-14l288,821r43,-15l375,792r28,-14l447,763r28,-14l504,734r29,-14l562,706r14,-15l605,662r14,-14l634,634r14,-15l663,619r14,-28l691,576r,-14l691,547r15,-14l706,519,706,xe" fillcolor="#4d1a33" strokeweight=".7pt">
                  <v:path arrowok="t" o:connecttype="custom" o:connectlocs="448310,0;448310,9525;438785,18415;438785,27940;438785,36830;429895,45720;421005,64135;411480,64135;402590,73660;393065,82550;384175,91440;365760,109855;356870,119380;338455,128270;320040,137160;301625,146685;283845,155575;255905,165100;238125,173990;210185,182880;182880,192405;173990,192405;146685,201295;118745,210185;91440,210185;64135,219710;27305,228600;0,238125;0,567055;27305,557530;64135,548640;91440,539750;118745,539750;146685,530225;173990,521335;182880,521335;210185,511810;238125,502920;255905,494030;283845,484505;301625,475615;320040,466090;338455,457200;356870,448310;365760,438785;384175,420370;393065,411480;402590,402590;411480,393065;421005,393065;429895,375285;438785,365760;438785,356870;438785,347345;448310,338455;448310,329565;448310,0" o:connectangles="0,0,0,0,0,0,0,0,0,0,0,0,0,0,0,0,0,0,0,0,0,0,0,0,0,0,0,0,0,0,0,0,0,0,0,0,0,0,0,0,0,0,0,0,0,0,0,0,0,0,0,0,0,0,0,0,0"/>
                </v:shape>
                <v:shape id="Freeform 200" o:spid="_x0000_s1033" style="position:absolute;left:28257;top:8775;width:11703;height:5118;visibility:visible;mso-wrap-style:square;v-text-anchor:top" coordsize="184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1IcMA&#10;AADbAAAADwAAAGRycy9kb3ducmV2LnhtbESPX2vCMBTF3wf7DuEOfJGZ6INs1bTIxsAHEVbHnm+T&#10;a1ttbkqTaf32ZjDY4+H8+XHWxeg6caEhtJ41zGcKBLHxtuVaw9fh4/kFRIjIFjvPpOFGAYr88WGN&#10;mfVX/qRLGWuRRjhkqKGJsc+kDKYhh2Hme+LkHf3gMCY51NIOeE3jrpMLpZbSYcuJ0GBPbw2Zc/nj&#10;ErfcuerbvE9xcVLnqlTTvTd7rSdP42YFItIY/8N/7a3V8DqH3y/p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1IcMAAADbAAAADwAAAAAAAAAAAAAAAACYAgAAZHJzL2Rv&#10;d25yZXYueG1sUEsFBgAAAAAEAAQA9QAAAIgDAAAAAA==&#10;" path="m806,r58,14l921,14r58,14l1036,28r44,15l1137,57r43,l1209,72r43,14l1296,86r43,14l1382,115r43,14l1468,144r44,14l1540,172r44,15l1612,201r29,15l1670,230r29,14l1713,259r15,l1756,288r15,14l1785,316r15,15l1814,345r14,14l1828,374r,14l1843,417r,14l1843,446r-15,14l1828,475r,14l1814,503r-14,15l1785,532r-14,15l1756,561r-14,14l1713,604r-14,15l1670,633r-29,14l1612,662r-28,14l1540,691r-28,14l1468,719r-14,l1411,734r-43,14l1324,762r-43,l1238,777r-58,14l1137,806,,431,806,xe" fillcolor="#936" strokeweight=".7pt">
                  <v:path arrowok="t" o:connecttype="custom" o:connectlocs="511810,0;548640,8890;584835,8890;621665,17780;657860,17780;685800,27305;721995,36195;749300,36195;767715,45720;795020,54610;822960,54610;850265,63500;877570,73025;904875,81915;932180,91440;960120,100330;977900,109220;1005840,118745;1023620,127635;1042035,137160;1060450,146050;1078865,154940;1087755,164465;1097280,164465;1115060,182880;1124585,191770;1133475,200660;1143000,210185;1151890,219075;1160780,227965;1160780,237490;1160780,246380;1170305,264795;1170305,273685;1170305,283210;1160780,292100;1160780,301625;1160780,310515;1151890,319405;1143000,328930;1133475,337820;1124585,347345;1115060,356235;1106170,365125;1087755,383540;1078865,393065;1060450,401955;1042035,410845;1023620,420370;1005840,429260;977900,438785;960120,447675;932180,456565;923290,456565;895985,466090;868680,474980;840740,483870;813435,483870;786130,493395;749300,502285;721995,511810;0,273685;511810,0" o:connectangles="0,0,0,0,0,0,0,0,0,0,0,0,0,0,0,0,0,0,0,0,0,0,0,0,0,0,0,0,0,0,0,0,0,0,0,0,0,0,0,0,0,0,0,0,0,0,0,0,0,0,0,0,0,0,0,0,0,0,0,0,0,0,0"/>
                </v:shape>
                <v:shape id="Freeform 201" o:spid="_x0000_s1034" style="position:absolute;left:39865;top:11239;width:1651;height:0;visibility:visible;mso-wrap-style:square;v-text-anchor:top" coordsize="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DwMQA&#10;AADbAAAADwAAAGRycy9kb3ducmV2LnhtbESPQWsCMRSE74L/ITyhN83WUtHtZkXEQnsqWkF6e2ye&#10;m9DNy7KJ6+qvbwqFHoeZ+YYp1oNrRE9dsJ4VPM4yEMSV15ZrBcfP1+kSRIjIGhvPpOBGAdbleFRg&#10;rv2V99QfYi0ShEOOCkyMbS5lqAw5DDPfEifv7DuHMcmulrrDa4K7Rs6zbCEdWk4LBlvaGqq+Dxen&#10;4P6EH89n6y9Wf73HfiNPO7M8KfUwGTYvICIN8T/8137TClZz+P2Sf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w8DEAAAA2wAAAA8AAAAAAAAAAAAAAAAAmAIAAGRycy9k&#10;b3ducmV2LnhtbFBLBQYAAAAABAAEAPUAAACJAwAAAAA=&#10;" path="m18,l10,,,e" filled="f" strokeweight="0">
                  <v:path arrowok="t" o:connecttype="custom" o:connectlocs="165100,0;91722,0;0,0" o:connectangles="0,0,0"/>
                </v:shape>
                <v:shape id="Freeform 202" o:spid="_x0000_s1035" style="position:absolute;left:16643;top:11512;width:18834;height:6312;visibility:visible;mso-wrap-style:square;v-text-anchor:top" coordsize="296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HjsMA&#10;AADbAAAADwAAAGRycy9kb3ducmV2LnhtbESPzWrDMBCE74G+g9hCboncBNrUjWxKIJBLaPPX82Jt&#10;bFNrZaRN4rx9VSj0OMzMN8yyHFynrhRi69nA0zQDRVx523Jt4HhYTxagoiBb7DyTgTtFKIuH0RJz&#10;62+8o+teapUgHHM00Ij0udaxashhnPqeOHlnHxxKkqHWNuAtwV2nZ1n2rB22nBYa7GnVUPW9vzgD&#10;54WXzeBltvuYX8LXJ4f19vRizPhxeH8DJTTIf/ivvbEGXufw+yX9AF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HjsMAAADbAAAADwAAAAAAAAAAAAAAAACYAgAAZHJzL2Rv&#10;d25yZXYueG1sUEsFBgAAAAAEAAQA9QAAAIgDAAAAAA==&#10;" path="m2966,375r-57,l2865,389r-57,14l2750,403r-57,15l2635,418r-58,14l2520,432r-29,15l2433,447r-57,l2304,461r-58,l2189,461r-72,l2059,475r-72,l1929,475r-72,l1800,475r-58,l1670,475r-57,l1541,461r-29,l1454,461r-72,l1325,447r-58,l1209,447r-72,-15l1080,432r-58,-14l965,418,907,403r-43,l806,389,749,375r-44,l648,360,605,346r-29,l533,331,489,317,446,303r-43,l360,288,331,274,288,260,259,245,230,231,201,216,173,202,144,188,115,173,101,144,72,130r,l57,116,43,101,29,72,14,58,,44,,29,,15,,,,519r,14l,547r,15l14,576r15,15l43,619r14,15l72,648r,l101,662r14,29l144,706r29,14l201,734r29,15l259,763r29,15l331,792r29,14l403,821r43,l489,835r44,15l576,864r29,l648,878r57,15l749,893r57,14l864,922r43,l965,936r57,l1080,950r57,l1209,965r58,l1325,965r57,14l1454,979r58,l1541,979r72,15l1670,994r72,l1800,994r57,l1929,994r58,l2059,994r58,-15l2189,979r57,l2304,979r72,-14l2433,965r58,l2520,950r57,l2635,936r58,l2750,922r58,l2865,907r44,-14l2966,893r,-518xe" fillcolor="#808066" strokeweight=".7pt">
                  <v:path arrowok="t" o:connecttype="custom" o:connectlocs="1819275,247015;1710055,265430;1600200,274320;1508760,283845;1390015,292735;1261745,301625;1143000,301625;1024255,301625;923290,292735;804545,283845;685800,274320;575945,255905;475615,238125;384175,219710;310515,201295;228600,182880;164465,155575;109855,128270;64135,91440;36195,73660;8890,36830;0,9525;0,338455;8890,365760;36195,402590;64135,420370;109855,457200;164465,484505;228600,511810;310515,530225;384175,548640;475615,567055;575945,585470;685800,603250;804545,612775;923290,621665;1024255,631190;1143000,631190;1261745,631190;1390015,621665;1508760,612775;1600200,603250;1710055,594360;1819275,575945;1883410,238125" o:connectangles="0,0,0,0,0,0,0,0,0,0,0,0,0,0,0,0,0,0,0,0,0,0,0,0,0,0,0,0,0,0,0,0,0,0,0,0,0,0,0,0,0,0,0,0,0"/>
                </v:shape>
                <v:shape id="Freeform 203" o:spid="_x0000_s1036" style="position:absolute;left:16643;top:11150;width:18834;height:3378;visibility:visible;mso-wrap-style:square;v-text-anchor:top" coordsize="296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f/MUA&#10;AADbAAAADwAAAGRycy9kb3ducmV2LnhtbESPT2vCQBTE70K/w/IKvZS6aTHSRtcQCpUcKvgPz6/Z&#10;ZxKbfRuyq4nfvisUPA4z8xtmng6mERfqXG1Zwes4AkFcWF1zqWC/+3p5B+E8ssbGMim4koN08TCa&#10;Y6Jtzxu6bH0pAoRdggoq79tESldUZNCNbUscvKPtDPogu1LqDvsAN418i6KpNFhzWKiwpc+Kit/t&#10;2ShYxlYX8ffKnZ6zXXY45tr8rL1ST49DNgPhafD38H871wo+JnD7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p/8xQAAANsAAAAPAAAAAAAAAAAAAAAAAJgCAABkcnMv&#10;ZG93bnJldi54bWxQSwUGAAAAAAQABAD1AAAAigMAAAAA&#10;" path="m2966,432r-57,l2865,446r-57,14l2750,460r-57,15l2635,475r-58,14l2520,489r-58,15l2405,504r-72,l2304,518r-58,l2189,518r-72,l2059,532r-72,l1929,532r-72,l1800,532r-58,l1670,532r-57,l1541,518r-58,l1425,518r-72,l1296,504r-58,l1181,504r-72,-15l1051,489,993,475r-57,l907,460r-43,l806,446,749,432r-44,l648,417,605,403,561,388r-43,l461,374,432,360,389,345,345,331,317,317,273,302,245,288,216,273,187,259,158,245,129,230,101,216,86,201,72,187,57,173,43,158,29,144,14,129r,-14l,101,,72,,57,,43,,29,,14,14,,1829,57,2966,432xe" fillcolor="#ffc" strokeweight=".7pt">
                  <v:path arrowok="t" o:connecttype="custom" o:connectlocs="1847215,274320;1783080,292100;1710055,301625;1636395,310515;1563370,320040;1481455,320040;1426210,328930;1344295,328930;1261745,337820;1179195,337820;1106170,337820;1024255,337820;941705,328930;859155,328930;786130,320040;704215,310515;630555,301625;575945,292100;511810,283210;447675,274320;384175,255905;328930,246380;274320,228600;219075,210185;173355,191770;137160,173355;100330,155575;64135,137160;45720,118745;27305,100330;8890,81915;0,64135;0,36195;0,18415;8890,0;1883410,274320" o:connectangles="0,0,0,0,0,0,0,0,0,0,0,0,0,0,0,0,0,0,0,0,0,0,0,0,0,0,0,0,0,0,0,0,0,0,0,0"/>
                </v:shape>
                <v:rect id="Rectangle 204" o:spid="_x0000_s1037" style="position:absolute;left:34016;top:3562;width:106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63A562F7" w14:textId="77777777" w:rsidR="0012136C" w:rsidRDefault="0012136C" w:rsidP="006D3AD5">
                        <w:r>
                          <w:rPr>
                            <w:rFonts w:ascii="Arial" w:hAnsi="Arial"/>
                            <w:color w:val="000000"/>
                            <w:sz w:val="18"/>
                          </w:rPr>
                          <w:t xml:space="preserve">Long payback period </w:t>
                        </w:r>
                      </w:p>
                    </w:txbxContent>
                  </v:textbox>
                </v:rect>
                <v:rect id="Rectangle 205" o:spid="_x0000_s1038" style="position:absolute;left:32004;top:5118;width:69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97B141A" w14:textId="77777777" w:rsidR="0012136C" w:rsidRDefault="0012136C" w:rsidP="006D3AD5">
                        <w:r>
                          <w:rPr>
                            <w:rFonts w:ascii="Arial" w:hAnsi="Arial"/>
                            <w:color w:val="000000"/>
                            <w:sz w:val="18"/>
                          </w:rPr>
                          <w:t xml:space="preserve">of the project; </w:t>
                        </w:r>
                      </w:p>
                    </w:txbxContent>
                  </v:textbox>
                </v:rect>
                <v:rect id="Rectangle 206" o:spid="_x0000_s1039" style="position:absolute;left:35661;top:6673;width:32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7C0FA999" w14:textId="77777777" w:rsidR="0012136C" w:rsidRDefault="0012136C" w:rsidP="006D3AD5">
                        <w:r>
                          <w:rPr>
                            <w:rFonts w:ascii="Arial" w:hAnsi="Arial"/>
                            <w:color w:val="000000"/>
                            <w:sz w:val="18"/>
                          </w:rPr>
                          <w:t>10.8%</w:t>
                        </w:r>
                      </w:p>
                    </w:txbxContent>
                  </v:textbox>
                </v:rect>
                <v:rect id="Rectangle 207" o:spid="_x0000_s1040" style="position:absolute;left:43980;top:8953;width:27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58579EB8" w14:textId="77777777" w:rsidR="0012136C" w:rsidRDefault="0012136C" w:rsidP="006D3AD5">
                        <w:r>
                          <w:rPr>
                            <w:rFonts w:ascii="Arial" w:hAnsi="Arial"/>
                            <w:color w:val="000000"/>
                            <w:sz w:val="18"/>
                          </w:rPr>
                          <w:t xml:space="preserve">Short </w:t>
                        </w:r>
                      </w:p>
                    </w:txbxContent>
                  </v:textbox>
                </v:rect>
                <v:rect id="Rectangle 208" o:spid="_x0000_s1041" style="position:absolute;left:42062;top:10509;width:451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678312EB" w14:textId="77777777" w:rsidR="0012136C" w:rsidRDefault="0012136C" w:rsidP="006D3AD5">
                        <w:r>
                          <w:rPr>
                            <w:rFonts w:ascii="Arial" w:hAnsi="Arial"/>
                            <w:color w:val="000000"/>
                            <w:sz w:val="18"/>
                          </w:rPr>
                          <w:t xml:space="preserve">business </w:t>
                        </w:r>
                      </w:p>
                    </w:txbxContent>
                  </v:textbox>
                </v:rect>
                <v:rect id="Rectangle 209" o:spid="_x0000_s1042" style="position:absolute;left:41694;top:12065;width:75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1694B4AC" w14:textId="77777777" w:rsidR="0012136C" w:rsidRDefault="0012136C" w:rsidP="006D3AD5">
                        <w:r>
                          <w:rPr>
                            <w:rFonts w:ascii="Arial" w:hAnsi="Arial"/>
                            <w:color w:val="000000"/>
                            <w:sz w:val="18"/>
                          </w:rPr>
                          <w:t>history; 47.3 %</w:t>
                        </w:r>
                      </w:p>
                    </w:txbxContent>
                  </v:textbox>
                </v:rect>
                <v:rect id="Rectangle 210" o:spid="_x0000_s1043" style="position:absolute;left:12344;top:17824;width:133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7DAA3954" w14:textId="77777777" w:rsidR="0012136C" w:rsidRDefault="0012136C" w:rsidP="006D3AD5">
                        <w:r>
                          <w:rPr>
                            <w:rFonts w:ascii="Arial" w:hAnsi="Arial"/>
                            <w:color w:val="000000"/>
                            <w:sz w:val="18"/>
                          </w:rPr>
                          <w:t xml:space="preserve">Securitisation possibilities; </w:t>
                        </w:r>
                      </w:p>
                    </w:txbxContent>
                  </v:textbox>
                </v:rect>
                <v:rect id="Rectangle 211" o:spid="_x0000_s1044" style="position:absolute;left:15633;top:19373;width:324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1DCF9F74" w14:textId="77777777" w:rsidR="0012136C" w:rsidRDefault="0012136C" w:rsidP="006D3AD5">
                        <w:r>
                          <w:rPr>
                            <w:rFonts w:ascii="Arial" w:hAnsi="Arial"/>
                            <w:color w:val="000000"/>
                            <w:sz w:val="18"/>
                          </w:rPr>
                          <w:t>55.4%</w:t>
                        </w:r>
                      </w:p>
                    </w:txbxContent>
                  </v:textbox>
                </v:rect>
                <v:rect id="Rectangle 212" o:spid="_x0000_s1045" style="position:absolute;left:10699;top:5848;width:78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41CCE693" w14:textId="77777777" w:rsidR="0012136C" w:rsidRDefault="0012136C" w:rsidP="006D3AD5">
                        <w:r>
                          <w:rPr>
                            <w:rFonts w:ascii="Arial" w:hAnsi="Arial"/>
                            <w:color w:val="000000"/>
                            <w:sz w:val="18"/>
                          </w:rPr>
                          <w:t xml:space="preserve">Financial costs; </w:t>
                        </w:r>
                      </w:p>
                    </w:txbxContent>
                  </v:textbox>
                </v:rect>
                <v:rect id="Rectangle 213" o:spid="_x0000_s1046" style="position:absolute;left:13716;top:7404;width:32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C2462BA" w14:textId="77777777" w:rsidR="0012136C" w:rsidRDefault="0012136C" w:rsidP="006D3AD5">
                        <w:r>
                          <w:rPr>
                            <w:rFonts w:ascii="Arial" w:hAnsi="Arial"/>
                            <w:color w:val="000000"/>
                            <w:sz w:val="18"/>
                          </w:rPr>
                          <w:t>33.8%</w:t>
                        </w:r>
                      </w:p>
                    </w:txbxContent>
                  </v:textbox>
                </v:rect>
                <v:rect id="Rectangle 214" o:spid="_x0000_s1047" style="position:absolute;left:457;top:457;width:55689;height:25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II8MA&#10;AADcAAAADwAAAGRycy9kb3ducmV2LnhtbERPTWvCQBC9C/6HZQQvUje1KCW6ig1WAkJBLfQ6ZMck&#10;mJ2N2VWjv94VhN7m8T5ntmhNJS7UuNKygvdhBII4s7rkXMHv/vvtE4TzyBory6TgRg4W825nhrG2&#10;V97SZedzEULYxaig8L6OpXRZQQbd0NbEgTvYxqAPsMmlbvAawk0lR1E0kQZLDg0F1pQUlB13Z6Pg&#10;ZzBJxyud2/Rv/TU6bWSy/rgnSvV77XIKwlPr/8Uvd6rD/GgM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RII8MAAADcAAAADwAAAAAAAAAAAAAAAACYAgAAZHJzL2Rv&#10;d25yZXYueG1sUEsFBgAAAAAEAAQA9QAAAIgDAAAAAA==&#10;" filled="f" strokeweight=".7pt"/>
                <w10:anchorlock/>
              </v:group>
            </w:pict>
          </mc:Fallback>
        </mc:AlternateContent>
      </w:r>
    </w:p>
    <w:p w14:paraId="5EB89D7A" w14:textId="77777777" w:rsidR="006D3AD5" w:rsidRPr="00874BFF" w:rsidRDefault="006D3AD5" w:rsidP="006D3AD5">
      <w:pPr>
        <w:rPr>
          <w:sz w:val="24"/>
        </w:rPr>
      </w:pPr>
    </w:p>
    <w:p w14:paraId="6B7E35CC" w14:textId="77777777" w:rsidR="006D3AD5" w:rsidRPr="00874BFF" w:rsidRDefault="006D3AD5" w:rsidP="006D3AD5">
      <w:pPr>
        <w:pStyle w:val="Nadpis4"/>
        <w:rPr>
          <w:rFonts w:ascii="Calibri" w:hAnsi="Calibri"/>
        </w:rPr>
      </w:pPr>
      <w:r w:rsidRPr="00874BFF">
        <w:rPr>
          <w:rFonts w:ascii="Calibri" w:hAnsi="Calibri"/>
        </w:rPr>
        <w:t>Estimate of absorption capacity of public support and financial instrument</w:t>
      </w:r>
    </w:p>
    <w:p w14:paraId="63E2C333" w14:textId="77777777" w:rsidR="006D3AD5" w:rsidRPr="00874BFF" w:rsidRDefault="006D3AD5" w:rsidP="006D3AD5">
      <w:r w:rsidRPr="00874BFF">
        <w:t>The absorption capacity of investments in industrial RDI in the business sector in the next  period can be estimated only roughly. We have based the estimate on the above-mentioned information on expenditures on R&amp;D and innovations and the existing demand for support in the previous period that likely represented a substantial part of the total demand of eligible activities under SO 1.1. With respect to the RDI statistics of the CSO, a model estimate has been made that 80 % of the projects of corporate industrial applied R&amp;D requested support from the TIP programme and 60 % of the projects of corporate innovations of eligible codes requested support from the Innovation programme of the OPEI (with regard to differences in costs and commercial feasibility of both areas) and the overlap among individual calls for projects reduced the number of unique projects by 20 %.  The general trend of increasing corporate expenditures for RDI and the current moderate economic growth should contribute to further development of RDI activities in the new programming period, however, a variation (+/-20 %) even for negative development in case of economic decline has been also taken into consideration.</w:t>
      </w:r>
    </w:p>
    <w:p w14:paraId="0D67718B" w14:textId="77777777" w:rsidR="006D3AD5" w:rsidRPr="00874BFF" w:rsidRDefault="006D3AD5" w:rsidP="006D3AD5"/>
    <w:tbl>
      <w:tblPr>
        <w:tblW w:w="7503" w:type="dxa"/>
        <w:tblInd w:w="80" w:type="dxa"/>
        <w:tblBorders>
          <w:top w:val="single" w:sz="4" w:space="0" w:color="auto"/>
          <w:left w:val="single" w:sz="4" w:space="0" w:color="auto"/>
          <w:bottom w:val="single" w:sz="4" w:space="0" w:color="auto"/>
          <w:right w:val="single" w:sz="4" w:space="0" w:color="auto"/>
          <w:insideH w:val="single" w:sz="4" w:space="0" w:color="4F81BD"/>
        </w:tblBorders>
        <w:tblCellMar>
          <w:left w:w="70" w:type="dxa"/>
          <w:right w:w="70" w:type="dxa"/>
        </w:tblCellMar>
        <w:tblLook w:val="04A0" w:firstRow="1" w:lastRow="0" w:firstColumn="1" w:lastColumn="0" w:noHBand="0" w:noVBand="1"/>
      </w:tblPr>
      <w:tblGrid>
        <w:gridCol w:w="4840"/>
        <w:gridCol w:w="2663"/>
      </w:tblGrid>
      <w:tr w:rsidR="006D3AD5" w:rsidRPr="00874BFF" w14:paraId="707322AC" w14:textId="77777777" w:rsidTr="00443B8F">
        <w:trPr>
          <w:trHeight w:val="300"/>
        </w:trPr>
        <w:tc>
          <w:tcPr>
            <w:tcW w:w="4840" w:type="dxa"/>
            <w:shd w:val="clear" w:color="4F81BD" w:fill="4F81BD"/>
            <w:noWrap/>
            <w:vAlign w:val="bottom"/>
          </w:tcPr>
          <w:p w14:paraId="547B9831" w14:textId="77777777" w:rsidR="006D3AD5" w:rsidRPr="00874BFF" w:rsidRDefault="006D3AD5" w:rsidP="00443B8F">
            <w:pPr>
              <w:overflowPunct/>
              <w:autoSpaceDE/>
              <w:autoSpaceDN/>
              <w:adjustRightInd/>
              <w:jc w:val="left"/>
              <w:textAlignment w:val="auto"/>
              <w:rPr>
                <w:b/>
                <w:bCs/>
                <w:color w:val="FFFFFF"/>
                <w:szCs w:val="22"/>
              </w:rPr>
            </w:pPr>
            <w:r w:rsidRPr="00874BFF">
              <w:rPr>
                <w:b/>
                <w:color w:val="FFFFFF"/>
              </w:rPr>
              <w:t>Companies' industrial R&amp;D</w:t>
            </w:r>
          </w:p>
        </w:tc>
        <w:tc>
          <w:tcPr>
            <w:tcW w:w="2663" w:type="dxa"/>
            <w:shd w:val="clear" w:color="4F81BD" w:fill="4F81BD"/>
            <w:noWrap/>
            <w:vAlign w:val="bottom"/>
          </w:tcPr>
          <w:p w14:paraId="248A8092" w14:textId="77777777" w:rsidR="006D3AD5" w:rsidRPr="00874BFF" w:rsidRDefault="006D3AD5" w:rsidP="00443B8F">
            <w:pPr>
              <w:overflowPunct/>
              <w:autoSpaceDE/>
              <w:autoSpaceDN/>
              <w:adjustRightInd/>
              <w:jc w:val="right"/>
              <w:textAlignment w:val="auto"/>
              <w:rPr>
                <w:b/>
                <w:bCs/>
                <w:color w:val="FFFFFF"/>
                <w:szCs w:val="22"/>
              </w:rPr>
            </w:pPr>
            <w:r w:rsidRPr="00874BFF">
              <w:rPr>
                <w:b/>
                <w:color w:val="FFFFFF"/>
              </w:rPr>
              <w:t>Billions CZK</w:t>
            </w:r>
          </w:p>
        </w:tc>
      </w:tr>
      <w:tr w:rsidR="006D3AD5" w:rsidRPr="00874BFF" w14:paraId="7899D85E" w14:textId="77777777" w:rsidTr="00443B8F">
        <w:trPr>
          <w:trHeight w:val="300"/>
        </w:trPr>
        <w:tc>
          <w:tcPr>
            <w:tcW w:w="4840" w:type="dxa"/>
            <w:shd w:val="clear" w:color="auto" w:fill="auto"/>
            <w:noWrap/>
            <w:vAlign w:val="bottom"/>
          </w:tcPr>
          <w:p w14:paraId="0C062530" w14:textId="77777777" w:rsidR="006D3AD5" w:rsidRPr="00874BFF" w:rsidRDefault="006D3AD5" w:rsidP="00443B8F">
            <w:pPr>
              <w:overflowPunct/>
              <w:autoSpaceDE/>
              <w:autoSpaceDN/>
              <w:adjustRightInd/>
              <w:jc w:val="left"/>
              <w:textAlignment w:val="auto"/>
              <w:rPr>
                <w:color w:val="000000"/>
                <w:szCs w:val="22"/>
              </w:rPr>
            </w:pPr>
            <w:r w:rsidRPr="00874BFF">
              <w:rPr>
                <w:color w:val="000000"/>
              </w:rPr>
              <w:t>Estimated investments in eligible activities of the Application programme</w:t>
            </w:r>
          </w:p>
        </w:tc>
        <w:tc>
          <w:tcPr>
            <w:tcW w:w="2663" w:type="dxa"/>
            <w:shd w:val="clear" w:color="auto" w:fill="auto"/>
            <w:noWrap/>
            <w:vAlign w:val="bottom"/>
          </w:tcPr>
          <w:p w14:paraId="62CD49EC" w14:textId="77777777" w:rsidR="006D3AD5" w:rsidRPr="00874BFF" w:rsidRDefault="006D3AD5" w:rsidP="00443B8F">
            <w:pPr>
              <w:overflowPunct/>
              <w:autoSpaceDE/>
              <w:autoSpaceDN/>
              <w:adjustRightInd/>
              <w:jc w:val="right"/>
              <w:textAlignment w:val="auto"/>
              <w:rPr>
                <w:color w:val="000000"/>
                <w:szCs w:val="22"/>
              </w:rPr>
            </w:pPr>
            <w:r w:rsidRPr="00874BFF">
              <w:rPr>
                <w:color w:val="000000"/>
              </w:rPr>
              <w:t>80–120</w:t>
            </w:r>
          </w:p>
        </w:tc>
      </w:tr>
      <w:tr w:rsidR="006D3AD5" w:rsidRPr="00874BFF" w14:paraId="6544DD91" w14:textId="77777777" w:rsidTr="00443B8F">
        <w:trPr>
          <w:trHeight w:val="300"/>
        </w:trPr>
        <w:tc>
          <w:tcPr>
            <w:tcW w:w="4840" w:type="dxa"/>
            <w:shd w:val="clear" w:color="auto" w:fill="auto"/>
            <w:noWrap/>
            <w:vAlign w:val="bottom"/>
          </w:tcPr>
          <w:p w14:paraId="410E9518" w14:textId="77777777" w:rsidR="006D3AD5" w:rsidRPr="00874BFF" w:rsidRDefault="006D3AD5" w:rsidP="00443B8F">
            <w:pPr>
              <w:overflowPunct/>
              <w:autoSpaceDE/>
              <w:autoSpaceDN/>
              <w:adjustRightInd/>
              <w:jc w:val="left"/>
              <w:textAlignment w:val="auto"/>
              <w:rPr>
                <w:color w:val="000000"/>
                <w:szCs w:val="22"/>
              </w:rPr>
            </w:pPr>
            <w:r w:rsidRPr="00874BFF">
              <w:rPr>
                <w:color w:val="000000"/>
              </w:rPr>
              <w:t>For companies with difficult access to financing</w:t>
            </w:r>
          </w:p>
        </w:tc>
        <w:tc>
          <w:tcPr>
            <w:tcW w:w="2663" w:type="dxa"/>
            <w:shd w:val="clear" w:color="auto" w:fill="auto"/>
            <w:noWrap/>
            <w:vAlign w:val="bottom"/>
          </w:tcPr>
          <w:p w14:paraId="677A98CD" w14:textId="77777777" w:rsidR="006D3AD5" w:rsidRPr="00874BFF" w:rsidRDefault="006D3AD5" w:rsidP="00443B8F">
            <w:pPr>
              <w:keepNext/>
              <w:overflowPunct/>
              <w:autoSpaceDE/>
              <w:autoSpaceDN/>
              <w:adjustRightInd/>
              <w:jc w:val="right"/>
              <w:textAlignment w:val="auto"/>
              <w:rPr>
                <w:color w:val="000000"/>
                <w:szCs w:val="22"/>
              </w:rPr>
            </w:pPr>
            <w:r w:rsidRPr="00874BFF">
              <w:rPr>
                <w:color w:val="000000"/>
              </w:rPr>
              <w:t>15–23</w:t>
            </w:r>
          </w:p>
        </w:tc>
      </w:tr>
    </w:tbl>
    <w:p w14:paraId="1DF4EF80" w14:textId="24740B4F" w:rsidR="006D3AD5" w:rsidRPr="00874BFF" w:rsidRDefault="006D3AD5" w:rsidP="006D3AD5">
      <w:pPr>
        <w:pStyle w:val="Titulek"/>
      </w:pPr>
      <w:r w:rsidRPr="00874BFF">
        <w:t xml:space="preserve">Table </w:t>
      </w:r>
      <w:r w:rsidR="001F7E48">
        <w:t>7</w:t>
      </w:r>
      <w:r w:rsidRPr="00874BFF">
        <w:t>: Estimated absorption capacity of SO 1.1 R&amp;D</w:t>
      </w:r>
    </w:p>
    <w:p w14:paraId="5894C396" w14:textId="77777777" w:rsidR="006D3AD5" w:rsidRPr="00874BFF" w:rsidRDefault="006D3AD5" w:rsidP="006D3AD5"/>
    <w:tbl>
      <w:tblPr>
        <w:tblW w:w="7508" w:type="dxa"/>
        <w:tblInd w:w="75" w:type="dxa"/>
        <w:tblBorders>
          <w:top w:val="single" w:sz="4" w:space="0" w:color="auto"/>
          <w:left w:val="single" w:sz="4" w:space="0" w:color="auto"/>
          <w:bottom w:val="single" w:sz="4" w:space="0" w:color="auto"/>
          <w:right w:val="single" w:sz="4" w:space="0" w:color="auto"/>
          <w:insideH w:val="single" w:sz="4" w:space="0" w:color="4F81BD"/>
        </w:tblBorders>
        <w:tblCellMar>
          <w:left w:w="70" w:type="dxa"/>
          <w:right w:w="70" w:type="dxa"/>
        </w:tblCellMar>
        <w:tblLook w:val="04A0" w:firstRow="1" w:lastRow="0" w:firstColumn="1" w:lastColumn="0" w:noHBand="0" w:noVBand="1"/>
      </w:tblPr>
      <w:tblGrid>
        <w:gridCol w:w="4842"/>
        <w:gridCol w:w="2666"/>
      </w:tblGrid>
      <w:tr w:rsidR="006D3AD5" w:rsidRPr="00874BFF" w14:paraId="23A72C06" w14:textId="77777777" w:rsidTr="00443B8F">
        <w:trPr>
          <w:trHeight w:val="300"/>
        </w:trPr>
        <w:tc>
          <w:tcPr>
            <w:tcW w:w="4842" w:type="dxa"/>
            <w:shd w:val="clear" w:color="4F81BD" w:fill="4F81BD"/>
            <w:noWrap/>
            <w:vAlign w:val="bottom"/>
          </w:tcPr>
          <w:p w14:paraId="5E203346" w14:textId="77777777" w:rsidR="006D3AD5" w:rsidRPr="00874BFF" w:rsidRDefault="006D3AD5" w:rsidP="00443B8F">
            <w:pPr>
              <w:overflowPunct/>
              <w:autoSpaceDE/>
              <w:autoSpaceDN/>
              <w:adjustRightInd/>
              <w:jc w:val="left"/>
              <w:textAlignment w:val="auto"/>
              <w:rPr>
                <w:b/>
                <w:bCs/>
                <w:color w:val="FFFFFF"/>
                <w:szCs w:val="22"/>
              </w:rPr>
            </w:pPr>
            <w:r w:rsidRPr="00874BFF">
              <w:rPr>
                <w:b/>
                <w:color w:val="FFFFFF"/>
              </w:rPr>
              <w:t>Companies' industrial R&amp;D</w:t>
            </w:r>
          </w:p>
        </w:tc>
        <w:tc>
          <w:tcPr>
            <w:tcW w:w="2666" w:type="dxa"/>
            <w:shd w:val="clear" w:color="4F81BD" w:fill="4F81BD"/>
            <w:noWrap/>
            <w:vAlign w:val="bottom"/>
          </w:tcPr>
          <w:p w14:paraId="145BDFD8" w14:textId="77777777" w:rsidR="006D3AD5" w:rsidRPr="00874BFF" w:rsidRDefault="006D3AD5" w:rsidP="00443B8F">
            <w:pPr>
              <w:overflowPunct/>
              <w:autoSpaceDE/>
              <w:autoSpaceDN/>
              <w:adjustRightInd/>
              <w:jc w:val="right"/>
              <w:textAlignment w:val="auto"/>
              <w:rPr>
                <w:b/>
                <w:bCs/>
                <w:color w:val="FFFFFF"/>
                <w:szCs w:val="22"/>
              </w:rPr>
            </w:pPr>
            <w:r w:rsidRPr="00874BFF">
              <w:rPr>
                <w:b/>
                <w:color w:val="FFFFFF"/>
              </w:rPr>
              <w:t>Billions CZK</w:t>
            </w:r>
          </w:p>
        </w:tc>
      </w:tr>
      <w:tr w:rsidR="006D3AD5" w:rsidRPr="00874BFF" w14:paraId="241432C8" w14:textId="77777777" w:rsidTr="00443B8F">
        <w:trPr>
          <w:trHeight w:val="300"/>
        </w:trPr>
        <w:tc>
          <w:tcPr>
            <w:tcW w:w="4842" w:type="dxa"/>
            <w:shd w:val="clear" w:color="auto" w:fill="auto"/>
            <w:noWrap/>
            <w:vAlign w:val="bottom"/>
          </w:tcPr>
          <w:p w14:paraId="5F50B1C0" w14:textId="77777777" w:rsidR="006D3AD5" w:rsidRPr="00874BFF" w:rsidRDefault="006D3AD5" w:rsidP="00443B8F">
            <w:pPr>
              <w:overflowPunct/>
              <w:autoSpaceDE/>
              <w:autoSpaceDN/>
              <w:adjustRightInd/>
              <w:jc w:val="left"/>
              <w:textAlignment w:val="auto"/>
              <w:rPr>
                <w:color w:val="000000"/>
                <w:szCs w:val="22"/>
              </w:rPr>
            </w:pPr>
            <w:r w:rsidRPr="00874BFF">
              <w:rPr>
                <w:color w:val="000000"/>
              </w:rPr>
              <w:t>Estimated investments in eligible activities of the Innovations programme</w:t>
            </w:r>
          </w:p>
        </w:tc>
        <w:tc>
          <w:tcPr>
            <w:tcW w:w="2666" w:type="dxa"/>
            <w:shd w:val="clear" w:color="auto" w:fill="auto"/>
            <w:noWrap/>
            <w:vAlign w:val="bottom"/>
          </w:tcPr>
          <w:p w14:paraId="35C00F35" w14:textId="77777777" w:rsidR="006D3AD5" w:rsidRPr="00874BFF" w:rsidRDefault="006D3AD5" w:rsidP="00443B8F">
            <w:pPr>
              <w:overflowPunct/>
              <w:autoSpaceDE/>
              <w:autoSpaceDN/>
              <w:adjustRightInd/>
              <w:jc w:val="right"/>
              <w:textAlignment w:val="auto"/>
              <w:rPr>
                <w:color w:val="000000"/>
                <w:szCs w:val="22"/>
              </w:rPr>
            </w:pPr>
            <w:r w:rsidRPr="00874BFF">
              <w:rPr>
                <w:color w:val="000000"/>
              </w:rPr>
              <w:t>110–170</w:t>
            </w:r>
          </w:p>
        </w:tc>
      </w:tr>
      <w:tr w:rsidR="006D3AD5" w:rsidRPr="00874BFF" w14:paraId="36D9E374" w14:textId="77777777" w:rsidTr="00443B8F">
        <w:trPr>
          <w:trHeight w:val="300"/>
        </w:trPr>
        <w:tc>
          <w:tcPr>
            <w:tcW w:w="4842" w:type="dxa"/>
            <w:shd w:val="clear" w:color="auto" w:fill="auto"/>
            <w:noWrap/>
            <w:vAlign w:val="bottom"/>
          </w:tcPr>
          <w:p w14:paraId="35ECE3EB" w14:textId="77777777" w:rsidR="006D3AD5" w:rsidRPr="00874BFF" w:rsidRDefault="006D3AD5" w:rsidP="00443B8F">
            <w:pPr>
              <w:overflowPunct/>
              <w:autoSpaceDE/>
              <w:autoSpaceDN/>
              <w:adjustRightInd/>
              <w:jc w:val="left"/>
              <w:textAlignment w:val="auto"/>
              <w:rPr>
                <w:color w:val="000000"/>
                <w:szCs w:val="22"/>
              </w:rPr>
            </w:pPr>
            <w:r w:rsidRPr="00874BFF">
              <w:rPr>
                <w:color w:val="000000"/>
              </w:rPr>
              <w:t>For companies with difficult access to financing</w:t>
            </w:r>
          </w:p>
        </w:tc>
        <w:tc>
          <w:tcPr>
            <w:tcW w:w="2666" w:type="dxa"/>
            <w:shd w:val="clear" w:color="auto" w:fill="auto"/>
            <w:noWrap/>
            <w:vAlign w:val="bottom"/>
          </w:tcPr>
          <w:p w14:paraId="5BF0903A" w14:textId="77777777" w:rsidR="006D3AD5" w:rsidRPr="00874BFF" w:rsidRDefault="006D3AD5" w:rsidP="00443B8F">
            <w:pPr>
              <w:keepNext/>
              <w:overflowPunct/>
              <w:autoSpaceDE/>
              <w:autoSpaceDN/>
              <w:adjustRightInd/>
              <w:jc w:val="right"/>
              <w:textAlignment w:val="auto"/>
              <w:rPr>
                <w:color w:val="000000"/>
                <w:szCs w:val="22"/>
              </w:rPr>
            </w:pPr>
            <w:r w:rsidRPr="00874BFF">
              <w:rPr>
                <w:color w:val="000000"/>
              </w:rPr>
              <w:t>22–32</w:t>
            </w:r>
          </w:p>
        </w:tc>
      </w:tr>
    </w:tbl>
    <w:p w14:paraId="5FF79F92" w14:textId="12E2A5E0" w:rsidR="006D3AD5" w:rsidRPr="00874BFF" w:rsidRDefault="006D3AD5" w:rsidP="006D3AD5">
      <w:pPr>
        <w:pStyle w:val="Titulek"/>
      </w:pPr>
      <w:r w:rsidRPr="00874BFF">
        <w:t xml:space="preserve">Table </w:t>
      </w:r>
      <w:r w:rsidR="001F7E48">
        <w:t>8</w:t>
      </w:r>
      <w:r w:rsidRPr="00874BFF">
        <w:t>: Estimated absorption capacity of SO 1.1  Innovations</w:t>
      </w:r>
    </w:p>
    <w:p w14:paraId="39B19A5A" w14:textId="77777777" w:rsidR="006D3AD5" w:rsidRPr="00874BFF" w:rsidRDefault="006D3AD5" w:rsidP="006D3AD5"/>
    <w:p w14:paraId="6D7B4144" w14:textId="77777777" w:rsidR="006D3AD5" w:rsidRPr="00874BFF" w:rsidRDefault="006D3AD5" w:rsidP="006D3AD5">
      <w:r w:rsidRPr="00874BFF">
        <w:t xml:space="preserve">Based on these assumptions, the investment activity in the new period can be estimated in the range of </w:t>
      </w:r>
      <w:r w:rsidRPr="00874BFF">
        <w:rPr>
          <w:b/>
        </w:rPr>
        <w:t>CZK 80-120 billion</w:t>
      </w:r>
      <w:r w:rsidRPr="00874BFF">
        <w:t xml:space="preserve"> for activities supported in the Application programme and </w:t>
      </w:r>
      <w:r w:rsidRPr="00874BFF">
        <w:rPr>
          <w:b/>
        </w:rPr>
        <w:t>CZK 110-170 billion for Innovations programme activities.</w:t>
      </w:r>
      <w:r w:rsidRPr="00874BFF">
        <w:t xml:space="preserve"> Based on the survey sample, </w:t>
      </w:r>
      <w:r w:rsidRPr="00874BFF">
        <w:rPr>
          <w:b/>
        </w:rPr>
        <w:t>we estimate about one fifth of these corporate investments have difficult access to financing</w:t>
      </w:r>
      <w:r w:rsidRPr="00874BFF">
        <w:t xml:space="preserve"> which could be helped by the financial instrument primarily. Nevertheless, with regard to these figures, it is necessary to take into account </w:t>
      </w:r>
      <w:r w:rsidRPr="00874BFF">
        <w:lastRenderedPageBreak/>
        <w:t>greatly that it is a forecast of investment demand influenced by subsidy support. Only a limited part of the above-mentioned absorption will positively respond to the support by the financial instrument.</w:t>
      </w:r>
    </w:p>
    <w:p w14:paraId="2C83ADFD" w14:textId="77777777" w:rsidR="006D3AD5" w:rsidRPr="00874BFF" w:rsidRDefault="006D3AD5" w:rsidP="006D3AD5"/>
    <w:p w14:paraId="52B6861F" w14:textId="77777777" w:rsidR="006D3AD5" w:rsidRPr="00874BFF" w:rsidRDefault="006D3AD5" w:rsidP="006D3AD5">
      <w:r w:rsidRPr="00874BFF">
        <w:t>As also shown by experience from the Inostart programme (though specifically focused on companies fewer than three years in existence), the number of projects of strongly innovative nature, which apply for softer support by financial instruments, need not to be high. The same applies even more for projects of industrial R&amp;D, where the risk, payback period and costs of the project usually stand even one order of magnitude higher.</w:t>
      </w:r>
    </w:p>
    <w:p w14:paraId="3F442A7B" w14:textId="77777777" w:rsidR="006D3AD5" w:rsidRPr="00874BFF" w:rsidRDefault="006D3AD5" w:rsidP="006D3AD5">
      <w:pPr>
        <w:pStyle w:val="Nadpis4"/>
        <w:rPr>
          <w:rFonts w:ascii="Calibri" w:hAnsi="Calibri"/>
        </w:rPr>
      </w:pPr>
      <w:r w:rsidRPr="00874BFF">
        <w:rPr>
          <w:rFonts w:ascii="Calibri" w:hAnsi="Calibri"/>
        </w:rPr>
        <w:t>Identification of market failures and sub-optimal investment situations</w:t>
      </w:r>
    </w:p>
    <w:p w14:paraId="351E74A5" w14:textId="77777777" w:rsidR="006D3AD5" w:rsidRPr="00874BFF" w:rsidRDefault="006D3AD5" w:rsidP="006D3AD5"/>
    <w:p w14:paraId="6C6DAE1D" w14:textId="77777777" w:rsidR="006D3AD5" w:rsidRPr="00874BFF" w:rsidRDefault="006D3AD5" w:rsidP="006D3AD5">
      <w:r w:rsidRPr="00874BFF">
        <w:t xml:space="preserve">The above-mentioned statistics of the Innovation Union show relatively high innovative activities of Czech companies in terms of acquisition of new machinery and equipment, supported by public funding as well. By contrast, corporate R&amp;D activities are significantly lower, even though they are supported by subsidies rather massively. The data from the international comparison Global Competitiveness Index of the World Economic Forum indicate a </w:t>
      </w:r>
      <w:r w:rsidRPr="00874BFF">
        <w:rPr>
          <w:b/>
        </w:rPr>
        <w:t>still low position of Czech SMEs in international value chains.</w:t>
      </w:r>
      <w:r w:rsidRPr="00874BFF">
        <w:t xml:space="preserve"> This is also related to lower activities in innovations and R&amp;D, going beyond improvements in efficiency of the existing production. There do exist active and ground-breaking companies in the field of research, nevertheless, their number is relatively low.</w:t>
      </w:r>
    </w:p>
    <w:p w14:paraId="46BD7603" w14:textId="77777777" w:rsidR="006D3AD5" w:rsidRPr="00874BFF" w:rsidRDefault="006D3AD5" w:rsidP="006D3AD5"/>
    <w:p w14:paraId="6D652515" w14:textId="77777777" w:rsidR="006D3AD5" w:rsidRPr="00874BFF" w:rsidRDefault="006D3AD5" w:rsidP="006D3AD5">
      <w:pPr>
        <w:rPr>
          <w:color w:val="FF0000"/>
        </w:rPr>
      </w:pPr>
      <w:r w:rsidRPr="00874BFF">
        <w:rPr>
          <w:b/>
        </w:rPr>
        <w:t>These conclusions are also proven by the companies' demand for services of ROs which continues to be very limited</w:t>
      </w:r>
      <w:r w:rsidRPr="00874BFF">
        <w:t xml:space="preserve"> and largely oriented, even in active companies, at short-term technical activities of a routine nature (measurement, testing), or at projects supported by public  funding – as also shown by the questionnaire  sent to companies and ROs by the MIT in 2014. Most frequently, it is not a strategic research, but rather a partial testing of some innovative elements and  correction of drawbacks  of the current technological solution.</w:t>
      </w:r>
    </w:p>
    <w:p w14:paraId="5C4C8838" w14:textId="77777777" w:rsidR="006D3AD5" w:rsidRPr="00874BFF" w:rsidRDefault="006D3AD5" w:rsidP="006D3AD5"/>
    <w:p w14:paraId="7F12B444" w14:textId="77777777" w:rsidR="006D3AD5" w:rsidRPr="00874BFF" w:rsidRDefault="006D3AD5" w:rsidP="006D3AD5">
      <w:r w:rsidRPr="00874BFF">
        <w:rPr>
          <w:b/>
        </w:rPr>
        <w:t>A natural barrier to industrial research and development and advanced innovations in the business sector is their high financial demands, difficult valuation and related risks in general.</w:t>
      </w:r>
      <w:r w:rsidRPr="00874BFF">
        <w:t xml:space="preserve"> In companies in the Czech Republic, insufficient budgets for RDI activities are not overcome by pooling, as e.g. in Germany, where some competitive companies address research problems together and create thus a concentrated demand for research services.</w:t>
      </w:r>
    </w:p>
    <w:p w14:paraId="0B9A9270" w14:textId="77777777" w:rsidR="006D3AD5" w:rsidRPr="00874BFF" w:rsidRDefault="006D3AD5" w:rsidP="006D3AD5"/>
    <w:p w14:paraId="43F07E5F" w14:textId="77777777" w:rsidR="006D3AD5" w:rsidRPr="00874BFF" w:rsidRDefault="006D3AD5" w:rsidP="006D3AD5">
      <w:r w:rsidRPr="00874BFF">
        <w:t>In the CSO survey for 2010–2012, the addressed companies mention the most frequent factors limiting their innovations to  be a lack of funds in the company (55 %), too high innovation costs (52 %) and uncertain demand for innovated products (43 %). A lack of external sources is mentioned by 24 % of companies</w:t>
      </w:r>
      <w:r w:rsidRPr="00874BFF">
        <w:rPr>
          <w:rStyle w:val="Znakapoznpodarou"/>
          <w:rFonts w:ascii="Calibri" w:hAnsi="Calibri"/>
        </w:rPr>
        <w:footnoteReference w:id="18"/>
      </w:r>
      <w:r w:rsidRPr="00874BFF">
        <w:t>.</w:t>
      </w:r>
    </w:p>
    <w:p w14:paraId="7C2CD860" w14:textId="77777777" w:rsidR="006D3AD5" w:rsidRPr="00874BFF" w:rsidRDefault="006D3AD5" w:rsidP="006D3AD5"/>
    <w:p w14:paraId="5F75E138" w14:textId="77777777" w:rsidR="006D3AD5" w:rsidRPr="00874BFF" w:rsidRDefault="006D3AD5" w:rsidP="006D3AD5">
      <w:r w:rsidRPr="00874BFF">
        <w:t>Nevertheless, the  companies that carry on business in the sectors sensitive to technological advantage over competitors have to take into account continuous costs of further research and development from the very beginning. Irrespective of a subsidy offer, these investments are forced on them and they make them with a clear plan of profit making and create corresponding funds and reserves for its funding. The other companies opt for their own research and innovations mainly when innovative competitors exert pressure on their market position or at the moment when they feel opportunity for a substantial strengthening of their position in the market and for filling the niche that had been so far filled by e.g. foreign imports. Typical innovations aim for purchases of technologies that will enable supplementing the company's product assortment, or radical improvement in efficiency of the manufacturing process. Such activities have a much more foreseeable outlook  that the research and development projects, despite many related uncertainties and business risks.</w:t>
      </w:r>
    </w:p>
    <w:p w14:paraId="484E1568" w14:textId="77777777" w:rsidR="006D3AD5" w:rsidRPr="00874BFF" w:rsidRDefault="006D3AD5" w:rsidP="006D3AD5"/>
    <w:p w14:paraId="76981E7B" w14:textId="77777777" w:rsidR="006D3AD5" w:rsidRPr="00874BFF" w:rsidRDefault="006D3AD5" w:rsidP="006D3AD5">
      <w:pPr>
        <w:rPr>
          <w:b/>
        </w:rPr>
      </w:pPr>
      <w:r w:rsidRPr="00874BFF">
        <w:lastRenderedPageBreak/>
        <w:t xml:space="preserve">In this case, we definitely mean stabilised companies that are eligible for drawing bank loans. A problem occurs particularly with SMEs, where success of an innovative project and return of the costs invested may have a significant influence on the company's stability and the degree of risk for banks. </w:t>
      </w:r>
      <w:r w:rsidRPr="00874BFF">
        <w:rPr>
          <w:b/>
        </w:rPr>
        <w:t xml:space="preserve">The risk of SMEs' innovation projects for banks is high and limits creditworthiness of projects without due security and stability of the company. </w:t>
      </w:r>
      <w:r w:rsidRPr="00874BFF">
        <w:t xml:space="preserve">For this reason, availability and the cost of bank guarantees for loans for a substantial number of innovation projects represent a critical issue. </w:t>
      </w:r>
      <w:r w:rsidRPr="00874BFF">
        <w:rPr>
          <w:b/>
        </w:rPr>
        <w:t>In case of industrial R&amp;D, this risk and valuation of projects are even more complicated and the project investment financing by lending institutions is hardly feasible.</w:t>
      </w:r>
    </w:p>
    <w:p w14:paraId="44D63D82" w14:textId="77777777" w:rsidR="006D3AD5" w:rsidRPr="00874BFF" w:rsidRDefault="006D3AD5" w:rsidP="006D3AD5">
      <w:pPr>
        <w:rPr>
          <w:b/>
        </w:rPr>
      </w:pPr>
    </w:p>
    <w:p w14:paraId="6A02828F" w14:textId="77777777" w:rsidR="006D3AD5" w:rsidRPr="00874BFF" w:rsidRDefault="006D3AD5" w:rsidP="006D3AD5">
      <w:pPr>
        <w:rPr>
          <w:b/>
        </w:rPr>
      </w:pPr>
      <w:r w:rsidRPr="00874BFF">
        <w:t>Difficulties with access to financing of innovation projects  are mostly experienced by small and medium sized enterprises, while large companies, even with generally higher-risk RDI projects,  can rely on relatively easier access to financing.</w:t>
      </w:r>
    </w:p>
    <w:p w14:paraId="7D579C16" w14:textId="77777777" w:rsidR="006D3AD5" w:rsidRPr="00874BFF" w:rsidRDefault="006D3AD5" w:rsidP="006D3AD5"/>
    <w:p w14:paraId="250BE6AA" w14:textId="77777777" w:rsidR="006D3AD5" w:rsidRPr="00874BFF" w:rsidRDefault="006D3AD5" w:rsidP="006D3AD5">
      <w:r w:rsidRPr="00874BFF">
        <w:t xml:space="preserve">An in-depth survey carried out among 138 companies active in R&amp;D under the INKA TACR Innovation capacity project indicate by its results up to now that </w:t>
      </w:r>
      <w:r w:rsidRPr="00874BFF">
        <w:rPr>
          <w:b/>
        </w:rPr>
        <w:t>availability of financing as such is not the only obstacle of a properly functioning system of R&amp;D activities.</w:t>
      </w:r>
      <w:r w:rsidRPr="00874BFF">
        <w:t xml:space="preserve"> By far the strongest barrier consists in </w:t>
      </w:r>
      <w:r w:rsidRPr="00874BFF">
        <w:rPr>
          <w:b/>
        </w:rPr>
        <w:t>a lack of quality human resources</w:t>
      </w:r>
      <w:r w:rsidRPr="00874BFF">
        <w:t xml:space="preserve"> in technical and natural scientific occupations, which is, to a certain degree, also a problem of the Czech educational system and its linkage with company practice. This problem is evident in the field of innovations as well, when 34 % of companies in the CSO survey mention it among the barriers.</w:t>
      </w:r>
    </w:p>
    <w:p w14:paraId="549CC62C" w14:textId="77777777" w:rsidR="006D3AD5" w:rsidRPr="00874BFF" w:rsidRDefault="006D3AD5" w:rsidP="006D3AD5"/>
    <w:p w14:paraId="1D6B6B97" w14:textId="77777777" w:rsidR="006D3AD5" w:rsidRPr="00874BFF" w:rsidRDefault="006D3AD5" w:rsidP="006D3AD5">
      <w:r w:rsidRPr="00874BFF">
        <w:t>On the other hand, it can be rightly assumed that thanks to publicity given to commercially successful projects an increase in capital facilities for the Czech RDI sector and international awareness of it will make it more attractive in the eyes of research workers, experts and new students and will help, at least partially, to resolve this problem as well.</w:t>
      </w:r>
    </w:p>
    <w:p w14:paraId="3D0B3F05" w14:textId="77777777" w:rsidR="006D3AD5" w:rsidRPr="00874BFF" w:rsidRDefault="006D3AD5" w:rsidP="006D3AD5"/>
    <w:p w14:paraId="737D8160" w14:textId="77777777" w:rsidR="006D3AD5" w:rsidRPr="00874BFF" w:rsidRDefault="006D3AD5" w:rsidP="006D3AD5">
      <w:pPr>
        <w:keepNext/>
      </w:pPr>
      <w:r w:rsidRPr="00874BFF">
        <w:rPr>
          <w:noProof/>
        </w:rPr>
        <w:drawing>
          <wp:inline distT="0" distB="0" distL="0" distR="0" wp14:anchorId="201B3934" wp14:editId="4F6E45F3">
            <wp:extent cx="5589905" cy="2966085"/>
            <wp:effectExtent l="0" t="0" r="0" b="5715"/>
            <wp:docPr id="9" name="Obráze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905" cy="2966085"/>
                    </a:xfrm>
                    <a:prstGeom prst="rect">
                      <a:avLst/>
                    </a:prstGeom>
                    <a:noFill/>
                    <a:ln>
                      <a:noFill/>
                    </a:ln>
                  </pic:spPr>
                </pic:pic>
              </a:graphicData>
            </a:graphic>
          </wp:inline>
        </w:drawing>
      </w:r>
    </w:p>
    <w:p w14:paraId="30D9228F" w14:textId="1DE3E655" w:rsidR="006D3AD5" w:rsidRPr="00874BFF" w:rsidRDefault="00AE6275" w:rsidP="006D3AD5">
      <w:pPr>
        <w:pStyle w:val="Titulek"/>
      </w:pPr>
      <w:r>
        <w:t>Figure</w:t>
      </w:r>
      <w:r w:rsidRPr="00874BFF">
        <w:t xml:space="preserve"> </w:t>
      </w:r>
      <w:r>
        <w:t>9</w:t>
      </w:r>
      <w:r w:rsidR="006D3AD5" w:rsidRPr="00874BFF">
        <w:t xml:space="preserve"> – Barriers to R&amp;D</w:t>
      </w:r>
    </w:p>
    <w:p w14:paraId="150F83F8" w14:textId="77777777" w:rsidR="006D3AD5" w:rsidRPr="00874BFF" w:rsidRDefault="006D3AD5" w:rsidP="006D3AD5">
      <w:pPr>
        <w:pStyle w:val="Titulek"/>
      </w:pPr>
      <w:r w:rsidRPr="00874BFF">
        <w:t xml:space="preserve">(Source: INKA survey - preliminary outputs) </w:t>
      </w:r>
    </w:p>
    <w:p w14:paraId="0F468788" w14:textId="77777777" w:rsidR="006D3AD5" w:rsidRPr="00874BFF" w:rsidRDefault="006D3AD5" w:rsidP="006D3AD5"/>
    <w:p w14:paraId="1FCA15FE" w14:textId="77777777" w:rsidR="006D3AD5" w:rsidRPr="00874BFF" w:rsidRDefault="006D3AD5" w:rsidP="006D3AD5">
      <w:pPr>
        <w:spacing w:line="300" w:lineRule="exact"/>
      </w:pPr>
      <w:r w:rsidRPr="00874BFF">
        <w:t xml:space="preserve">System difficulties with promotion of RDI activities are also caused by insufficient cooperation of companies and research organisations (ROs). Therefore, there is largely not the necessary synergy which would reduce companies' research costs by partial outsourcing and utilization of professional capacities of ROs. Continuous efforts are thus needed to refine the environment towards mutual cooperation, and common R&amp;D projects of ROs and companies need a subsidy support to be in place </w:t>
      </w:r>
      <w:r w:rsidRPr="00874BFF">
        <w:lastRenderedPageBreak/>
        <w:t>which may give an impulse for such cooperation. However, the support alone cannot suffice without efficient cooperation on both sides.</w:t>
      </w:r>
    </w:p>
    <w:p w14:paraId="26BA83D9" w14:textId="77777777" w:rsidR="006D3AD5" w:rsidRPr="00874BFF" w:rsidRDefault="006D3AD5" w:rsidP="006D3AD5">
      <w:pPr>
        <w:pStyle w:val="Nadpis4"/>
        <w:rPr>
          <w:rFonts w:ascii="Calibri" w:hAnsi="Calibri"/>
        </w:rPr>
      </w:pPr>
      <w:r w:rsidRPr="00874BFF">
        <w:rPr>
          <w:rFonts w:ascii="Calibri" w:hAnsi="Calibri"/>
        </w:rPr>
        <w:t>Proposal of solutions for the identified market failures</w:t>
      </w:r>
    </w:p>
    <w:p w14:paraId="5C60D5C0" w14:textId="77777777" w:rsidR="006D3AD5" w:rsidRPr="00874BFF" w:rsidRDefault="006D3AD5" w:rsidP="006D3AD5"/>
    <w:p w14:paraId="09F51041" w14:textId="77777777" w:rsidR="006D3AD5" w:rsidRPr="00874BFF" w:rsidRDefault="006D3AD5" w:rsidP="006D3AD5">
      <w:r w:rsidRPr="00874BFF">
        <w:t>In case of industrial RDI in the business sector it  concerns investments for which companies should be able to assess their potential economic benefit and make them with a clearly profit-making plan, to strengthen their own competitiveness. From this perspective, these activities are thus potentially suitable for application of a financial instrument.</w:t>
      </w:r>
    </w:p>
    <w:p w14:paraId="197D3780" w14:textId="77777777" w:rsidR="006D3AD5" w:rsidRPr="00874BFF" w:rsidRDefault="006D3AD5" w:rsidP="006D3AD5"/>
    <w:p w14:paraId="73C6F194" w14:textId="77777777" w:rsidR="006D3AD5" w:rsidRPr="00874BFF" w:rsidRDefault="006D3AD5" w:rsidP="006D3AD5">
      <w:pPr>
        <w:rPr>
          <w:color w:val="FF0000"/>
        </w:rPr>
      </w:pPr>
      <w:r w:rsidRPr="00874BFF">
        <w:t>In reality, however, substantial barriers turn out that are associated with the use of the classic financing by soft loans. In the field of industrial R&amp;D, these activities are excessively dangerous and without any clear outlook for their result and measurable value. A loan granted by a bank is naturally a possibility, but only against creditworthiness of the company itself and guarantees provided. At the generally poor R&amp;D activity of companies, it seems that subsidy support is more useful, giving stronger impulses and partially compensating the risk. Another argument for it is the required outcome of more intensive cooperation between companies and public research institutions that are not eligible to use loans. Utilisation of financial instruments for corporate activities is not excluded; the potential demand can be met by the alternative of European instruments HORIZONT 2020 INNOVFIN that are complementary to the subsidy support.</w:t>
      </w:r>
    </w:p>
    <w:p w14:paraId="322EB0EE" w14:textId="77777777" w:rsidR="006D3AD5" w:rsidRPr="00874BFF" w:rsidRDefault="006D3AD5" w:rsidP="006D3AD5"/>
    <w:p w14:paraId="44465F2C" w14:textId="77777777" w:rsidR="006D3AD5" w:rsidRPr="00874BFF" w:rsidRDefault="006D3AD5" w:rsidP="006D3AD5">
      <w:r w:rsidRPr="00874BFF">
        <w:t>A more suitable area for application of financial instruments seems to be innovations that more closely connected with generation of predictable income, generally pose a little bit less risk and the instrument in the form of a guarantee can substantially facilitate access to market financing for some projects, which particularly applies to SMEs.</w:t>
      </w:r>
    </w:p>
    <w:p w14:paraId="5ABDE41D" w14:textId="77777777" w:rsidR="006D3AD5" w:rsidRPr="00874BFF" w:rsidRDefault="006D3AD5" w:rsidP="006D3AD5"/>
    <w:p w14:paraId="41E5112A" w14:textId="77777777" w:rsidR="006D3AD5" w:rsidRPr="00874BFF" w:rsidRDefault="006D3AD5" w:rsidP="006D3AD5">
      <w:r w:rsidRPr="00874BFF">
        <w:rPr>
          <w:b/>
        </w:rPr>
        <w:t xml:space="preserve">To make financing accessible by the guarantee instrument is thus primarily applicable for innovation projects, where it will reduce lending risks for banks substantially and expand the portfolio of creditworthy projects. </w:t>
      </w:r>
      <w:r w:rsidRPr="00874BFF">
        <w:t>Awareness of available funding should thus encourage companies to pursue innovations continuously and not to wait for immediate threats to their market positions.</w:t>
      </w:r>
    </w:p>
    <w:p w14:paraId="0BD04FED" w14:textId="77777777" w:rsidR="006D3AD5" w:rsidRPr="00874BFF" w:rsidRDefault="006D3AD5" w:rsidP="006D3AD5"/>
    <w:p w14:paraId="5196FE81" w14:textId="77777777" w:rsidR="006D3AD5" w:rsidRPr="00874BFF" w:rsidRDefault="006D3AD5" w:rsidP="006D3AD5">
      <w:r w:rsidRPr="00874BFF">
        <w:t>Interventions of the OP EIC should predominantly focus on the branches with a high added value and a potential advancement in global value chains in accordance with the RIS3 Strategy. We recommend greater attention to be paid to projects establishing cooperation between companies and the scientific and research sector.</w:t>
      </w:r>
    </w:p>
    <w:p w14:paraId="28AE78AD" w14:textId="77777777" w:rsidR="006D3AD5" w:rsidRPr="00874BFF" w:rsidRDefault="006D3AD5" w:rsidP="006D3AD5">
      <w:pPr>
        <w:pStyle w:val="Nadpis3"/>
        <w:rPr>
          <w:rFonts w:ascii="Calibri" w:hAnsi="Calibri"/>
        </w:rPr>
      </w:pPr>
      <w:bookmarkStart w:id="40" w:name="_Toc422312100"/>
      <w:r w:rsidRPr="00874BFF">
        <w:rPr>
          <w:rFonts w:ascii="Calibri" w:hAnsi="Calibri"/>
        </w:rPr>
        <w:t>Assessment of added value of financial instruments</w:t>
      </w:r>
      <w:bookmarkEnd w:id="40"/>
    </w:p>
    <w:p w14:paraId="48584835" w14:textId="77777777" w:rsidR="006D3AD5" w:rsidRPr="00874BFF" w:rsidRDefault="006D3AD5" w:rsidP="006D3AD5">
      <w:pPr>
        <w:pStyle w:val="Nadpis4"/>
        <w:rPr>
          <w:rFonts w:ascii="Calibri" w:hAnsi="Calibri"/>
        </w:rPr>
      </w:pPr>
      <w:r w:rsidRPr="00874BFF">
        <w:rPr>
          <w:rFonts w:ascii="Calibri" w:hAnsi="Calibri"/>
        </w:rPr>
        <w:t>Introduction of model projects</w:t>
      </w:r>
    </w:p>
    <w:p w14:paraId="7DD6FE67" w14:textId="77777777" w:rsidR="006D3AD5" w:rsidRPr="00874BFF" w:rsidRDefault="006D3AD5" w:rsidP="006D3AD5">
      <w:r w:rsidRPr="00874BFF">
        <w:t>A model project for innovation support is a company in the category of medium sized enterprises based in the Zlín region. In the monitored year, new or innovative products account for more than half of the total turnover. The subject of the investment project is acquisition of technology for mass production of new products that are a result of their own research and their launch on the Czech and EU markets. The total project costs are CZK 45 million. The economic objective of the project is to increase the turnover by at least 30 % and to increase the margin by at least 20 %. The table below shows impacts of various forms of support on the project economy.</w:t>
      </w:r>
    </w:p>
    <w:p w14:paraId="3BEABDDD" w14:textId="77777777" w:rsidR="006D3AD5" w:rsidRPr="00874BFF" w:rsidRDefault="006D3AD5" w:rsidP="006D3AD5">
      <w:pPr>
        <w:pStyle w:val="BodyText1"/>
        <w:jc w:val="both"/>
        <w:rPr>
          <w:rFonts w:ascii="Calibri" w:hAnsi="Calibri"/>
        </w:rPr>
      </w:pPr>
    </w:p>
    <w:tbl>
      <w:tblPr>
        <w:tblW w:w="8834" w:type="dxa"/>
        <w:tblInd w:w="55" w:type="dxa"/>
        <w:tblCellMar>
          <w:left w:w="0" w:type="dxa"/>
          <w:right w:w="0" w:type="dxa"/>
        </w:tblCellMar>
        <w:tblLook w:val="00A0" w:firstRow="1" w:lastRow="0" w:firstColumn="1" w:lastColumn="0" w:noHBand="0" w:noVBand="0"/>
      </w:tblPr>
      <w:tblGrid>
        <w:gridCol w:w="2372"/>
        <w:gridCol w:w="1554"/>
        <w:gridCol w:w="1546"/>
        <w:gridCol w:w="1716"/>
        <w:gridCol w:w="1694"/>
      </w:tblGrid>
      <w:tr w:rsidR="006D3AD5" w:rsidRPr="00874BFF" w14:paraId="743BC8AB" w14:textId="77777777" w:rsidTr="00443B8F">
        <w:trPr>
          <w:trHeight w:val="20"/>
        </w:trPr>
        <w:tc>
          <w:tcPr>
            <w:tcW w:w="2364" w:type="dxa"/>
            <w:tcBorders>
              <w:top w:val="single" w:sz="4" w:space="0" w:color="002776"/>
              <w:left w:val="single" w:sz="4" w:space="0" w:color="002776"/>
              <w:bottom w:val="nil"/>
              <w:right w:val="nil"/>
            </w:tcBorders>
            <w:shd w:val="clear" w:color="auto" w:fill="002776"/>
            <w:noWrap/>
            <w:vAlign w:val="center"/>
          </w:tcPr>
          <w:p w14:paraId="37829849" w14:textId="4B080F23" w:rsidR="006D3AD5" w:rsidRPr="00874BFF" w:rsidRDefault="006D3AD5" w:rsidP="00443B8F">
            <w:pPr>
              <w:jc w:val="center"/>
              <w:rPr>
                <w:rFonts w:cs="Arial"/>
                <w:b/>
                <w:bCs/>
                <w:color w:val="FFFFFF"/>
                <w:sz w:val="18"/>
                <w:szCs w:val="18"/>
              </w:rPr>
            </w:pPr>
          </w:p>
        </w:tc>
        <w:tc>
          <w:tcPr>
            <w:tcW w:w="1538" w:type="dxa"/>
            <w:tcBorders>
              <w:top w:val="single" w:sz="4" w:space="0" w:color="002776"/>
              <w:left w:val="nil"/>
              <w:bottom w:val="nil"/>
              <w:right w:val="nil"/>
            </w:tcBorders>
            <w:shd w:val="clear" w:color="auto" w:fill="002776"/>
            <w:noWrap/>
            <w:vAlign w:val="bottom"/>
          </w:tcPr>
          <w:p w14:paraId="2818E98F" w14:textId="77777777" w:rsidR="006D3AD5" w:rsidRPr="00874BFF" w:rsidRDefault="006D3AD5" w:rsidP="00443B8F">
            <w:pPr>
              <w:jc w:val="left"/>
              <w:rPr>
                <w:rFonts w:cs="Arial"/>
                <w:b/>
                <w:bCs/>
                <w:color w:val="FFFFFF"/>
                <w:sz w:val="18"/>
                <w:szCs w:val="18"/>
              </w:rPr>
            </w:pPr>
            <w:r w:rsidRPr="00874BFF">
              <w:rPr>
                <w:b/>
                <w:color w:val="FFFFFF"/>
                <w:sz w:val="18"/>
              </w:rPr>
              <w:t> </w:t>
            </w:r>
          </w:p>
        </w:tc>
        <w:tc>
          <w:tcPr>
            <w:tcW w:w="4932" w:type="dxa"/>
            <w:gridSpan w:val="3"/>
            <w:tcBorders>
              <w:top w:val="single" w:sz="4" w:space="0" w:color="002776"/>
              <w:left w:val="nil"/>
              <w:bottom w:val="nil"/>
              <w:right w:val="single" w:sz="4" w:space="0" w:color="002776"/>
            </w:tcBorders>
            <w:shd w:val="clear" w:color="auto" w:fill="002776"/>
            <w:noWrap/>
            <w:vAlign w:val="bottom"/>
          </w:tcPr>
          <w:p w14:paraId="5EC4DFE6" w14:textId="77777777" w:rsidR="006D3AD5" w:rsidRPr="00874BFF" w:rsidRDefault="006D3AD5" w:rsidP="00443B8F">
            <w:pPr>
              <w:jc w:val="left"/>
              <w:rPr>
                <w:rFonts w:cs="Arial"/>
                <w:b/>
                <w:bCs/>
                <w:color w:val="FFFFFF"/>
                <w:sz w:val="18"/>
                <w:szCs w:val="18"/>
              </w:rPr>
            </w:pPr>
            <w:r w:rsidRPr="00874BFF">
              <w:rPr>
                <w:b/>
                <w:color w:val="FFFFFF"/>
                <w:sz w:val="18"/>
              </w:rPr>
              <w:t> </w:t>
            </w:r>
          </w:p>
          <w:p w14:paraId="41CE694D" w14:textId="77777777" w:rsidR="006D3AD5" w:rsidRPr="00874BFF" w:rsidRDefault="006D3AD5" w:rsidP="00443B8F">
            <w:pPr>
              <w:jc w:val="right"/>
              <w:rPr>
                <w:b/>
                <w:bCs/>
                <w:i/>
                <w:iCs/>
                <w:color w:val="FFFFFF"/>
                <w:sz w:val="18"/>
                <w:szCs w:val="18"/>
              </w:rPr>
            </w:pPr>
            <w:r w:rsidRPr="00874BFF">
              <w:rPr>
                <w:b/>
                <w:i/>
                <w:color w:val="FFFFFF"/>
                <w:sz w:val="18"/>
              </w:rPr>
              <w:t>Investment: CZK 45,000,000</w:t>
            </w:r>
            <w:r w:rsidRPr="00874BFF">
              <w:rPr>
                <w:b/>
                <w:bCs/>
                <w:i/>
                <w:iCs/>
                <w:color w:val="FFFFFF"/>
                <w:sz w:val="18"/>
                <w:szCs w:val="18"/>
              </w:rPr>
              <w:br/>
            </w:r>
            <w:r w:rsidRPr="00874BFF">
              <w:rPr>
                <w:b/>
                <w:i/>
                <w:color w:val="FFFFFF"/>
                <w:sz w:val="18"/>
              </w:rPr>
              <w:t>Annual operating yield/saving: CZK 5,281,900</w:t>
            </w:r>
            <w:r w:rsidRPr="00874BFF">
              <w:rPr>
                <w:b/>
                <w:bCs/>
                <w:i/>
                <w:iCs/>
                <w:color w:val="FFFFFF"/>
                <w:sz w:val="18"/>
                <w:szCs w:val="18"/>
              </w:rPr>
              <w:br/>
            </w:r>
            <w:r w:rsidRPr="00874BFF">
              <w:rPr>
                <w:b/>
                <w:i/>
                <w:color w:val="FFFFFF"/>
                <w:sz w:val="18"/>
              </w:rPr>
              <w:t>Commercial loan – interest rate: 4.0%</w:t>
            </w:r>
          </w:p>
          <w:p w14:paraId="26AA7448" w14:textId="77777777" w:rsidR="006D3AD5" w:rsidRPr="00874BFF" w:rsidRDefault="006D3AD5" w:rsidP="00443B8F">
            <w:pPr>
              <w:jc w:val="right"/>
              <w:rPr>
                <w:rFonts w:cs="Arial"/>
                <w:b/>
                <w:bCs/>
                <w:i/>
                <w:iCs/>
                <w:color w:val="FFFFFF"/>
                <w:sz w:val="18"/>
                <w:szCs w:val="18"/>
              </w:rPr>
            </w:pPr>
            <w:r w:rsidRPr="00874BFF">
              <w:rPr>
                <w:b/>
                <w:i/>
                <w:color w:val="FFFFFF"/>
                <w:sz w:val="18"/>
              </w:rPr>
              <w:t xml:space="preserve">Soft loan: interest rate 1.0%  </w:t>
            </w:r>
          </w:p>
        </w:tc>
      </w:tr>
      <w:tr w:rsidR="006D3AD5" w:rsidRPr="00874BFF" w14:paraId="0DFF58E9" w14:textId="77777777" w:rsidTr="00443B8F">
        <w:trPr>
          <w:trHeight w:val="20"/>
        </w:trPr>
        <w:tc>
          <w:tcPr>
            <w:tcW w:w="2364" w:type="dxa"/>
            <w:tcBorders>
              <w:top w:val="nil"/>
              <w:left w:val="single" w:sz="4" w:space="0" w:color="002776"/>
              <w:bottom w:val="single" w:sz="4" w:space="0" w:color="002776"/>
              <w:right w:val="nil"/>
            </w:tcBorders>
            <w:shd w:val="clear" w:color="auto" w:fill="002776"/>
            <w:noWrap/>
            <w:vAlign w:val="center"/>
          </w:tcPr>
          <w:p w14:paraId="348E3225" w14:textId="77777777" w:rsidR="006D3AD5" w:rsidRPr="00874BFF" w:rsidRDefault="006D3AD5" w:rsidP="00443B8F">
            <w:pPr>
              <w:jc w:val="left"/>
              <w:rPr>
                <w:rFonts w:cs="Arial"/>
                <w:b/>
                <w:bCs/>
                <w:color w:val="FFFFFF"/>
                <w:sz w:val="18"/>
                <w:szCs w:val="18"/>
              </w:rPr>
            </w:pPr>
            <w:r w:rsidRPr="00874BFF">
              <w:rPr>
                <w:b/>
                <w:color w:val="FFFFFF"/>
                <w:sz w:val="18"/>
              </w:rPr>
              <w:lastRenderedPageBreak/>
              <w:t> </w:t>
            </w:r>
          </w:p>
        </w:tc>
        <w:tc>
          <w:tcPr>
            <w:tcW w:w="1538" w:type="dxa"/>
            <w:tcBorders>
              <w:top w:val="single" w:sz="4" w:space="0" w:color="FFFFFF"/>
              <w:left w:val="nil"/>
              <w:bottom w:val="single" w:sz="4" w:space="0" w:color="002776"/>
              <w:right w:val="nil"/>
            </w:tcBorders>
            <w:shd w:val="clear" w:color="auto" w:fill="002776"/>
            <w:noWrap/>
            <w:vAlign w:val="center"/>
          </w:tcPr>
          <w:p w14:paraId="4E26902E" w14:textId="77777777" w:rsidR="006D3AD5" w:rsidRPr="00874BFF" w:rsidRDefault="006D3AD5" w:rsidP="00443B8F">
            <w:pPr>
              <w:jc w:val="center"/>
              <w:rPr>
                <w:rFonts w:cs="Arial"/>
                <w:b/>
                <w:bCs/>
                <w:color w:val="FFFFFF"/>
                <w:sz w:val="18"/>
                <w:szCs w:val="18"/>
              </w:rPr>
            </w:pPr>
            <w:r w:rsidRPr="00874BFF">
              <w:rPr>
                <w:b/>
                <w:color w:val="FFFFFF"/>
                <w:sz w:val="18"/>
              </w:rPr>
              <w:t>100% market loan</w:t>
            </w:r>
          </w:p>
        </w:tc>
        <w:tc>
          <w:tcPr>
            <w:tcW w:w="1538" w:type="dxa"/>
            <w:tcBorders>
              <w:top w:val="single" w:sz="4" w:space="0" w:color="FFFFFF"/>
              <w:left w:val="nil"/>
              <w:bottom w:val="single" w:sz="4" w:space="0" w:color="002776"/>
              <w:right w:val="nil"/>
            </w:tcBorders>
            <w:shd w:val="clear" w:color="auto" w:fill="002776"/>
            <w:vAlign w:val="center"/>
          </w:tcPr>
          <w:p w14:paraId="38760D47" w14:textId="77777777" w:rsidR="006D3AD5" w:rsidRPr="00874BFF" w:rsidRDefault="006D3AD5" w:rsidP="00443B8F">
            <w:pPr>
              <w:jc w:val="center"/>
              <w:rPr>
                <w:rFonts w:cs="Arial"/>
                <w:b/>
                <w:bCs/>
                <w:color w:val="FFFFFF"/>
                <w:sz w:val="18"/>
                <w:szCs w:val="18"/>
              </w:rPr>
            </w:pPr>
            <w:r w:rsidRPr="00874BFF">
              <w:rPr>
                <w:b/>
                <w:color w:val="FFFFFF"/>
                <w:sz w:val="18"/>
              </w:rPr>
              <w:t>50% market loan, 50% subsidy</w:t>
            </w:r>
          </w:p>
        </w:tc>
        <w:tc>
          <w:tcPr>
            <w:tcW w:w="1708" w:type="dxa"/>
            <w:tcBorders>
              <w:top w:val="single" w:sz="4" w:space="0" w:color="FFFFFF"/>
              <w:left w:val="nil"/>
              <w:bottom w:val="single" w:sz="4" w:space="0" w:color="002776"/>
              <w:right w:val="nil"/>
            </w:tcBorders>
            <w:shd w:val="clear" w:color="auto" w:fill="002776"/>
            <w:vAlign w:val="center"/>
          </w:tcPr>
          <w:p w14:paraId="23E82B18" w14:textId="77777777" w:rsidR="006D3AD5" w:rsidRPr="00874BFF" w:rsidRDefault="006D3AD5" w:rsidP="00443B8F">
            <w:pPr>
              <w:jc w:val="center"/>
              <w:rPr>
                <w:rFonts w:cs="Arial"/>
                <w:b/>
                <w:bCs/>
                <w:color w:val="FFFFFF"/>
                <w:sz w:val="18"/>
                <w:szCs w:val="18"/>
              </w:rPr>
            </w:pPr>
            <w:r w:rsidRPr="00874BFF">
              <w:rPr>
                <w:b/>
                <w:color w:val="FFFFFF"/>
                <w:sz w:val="18"/>
              </w:rPr>
              <w:t>20% subsidy, 80% soft loan</w:t>
            </w:r>
          </w:p>
        </w:tc>
        <w:tc>
          <w:tcPr>
            <w:tcW w:w="1686" w:type="dxa"/>
            <w:tcBorders>
              <w:top w:val="single" w:sz="4" w:space="0" w:color="FFFFFF"/>
              <w:left w:val="nil"/>
              <w:bottom w:val="single" w:sz="4" w:space="0" w:color="002776"/>
              <w:right w:val="single" w:sz="4" w:space="0" w:color="002776"/>
            </w:tcBorders>
            <w:shd w:val="clear" w:color="auto" w:fill="002776"/>
            <w:vAlign w:val="center"/>
          </w:tcPr>
          <w:p w14:paraId="1CCA0A71" w14:textId="77777777" w:rsidR="006D3AD5" w:rsidRPr="00874BFF" w:rsidRDefault="006D3AD5" w:rsidP="00443B8F">
            <w:pPr>
              <w:jc w:val="center"/>
              <w:rPr>
                <w:rFonts w:cs="Arial"/>
                <w:b/>
                <w:bCs/>
                <w:color w:val="FFFFFF"/>
                <w:sz w:val="18"/>
                <w:szCs w:val="18"/>
              </w:rPr>
            </w:pPr>
            <w:r w:rsidRPr="00874BFF">
              <w:rPr>
                <w:b/>
                <w:color w:val="FFFFFF"/>
                <w:sz w:val="18"/>
              </w:rPr>
              <w:t>100 % soft loan</w:t>
            </w:r>
          </w:p>
        </w:tc>
      </w:tr>
      <w:tr w:rsidR="006D3AD5" w:rsidRPr="00874BFF" w14:paraId="659D9371" w14:textId="77777777" w:rsidTr="00443B8F">
        <w:trPr>
          <w:trHeight w:val="20"/>
        </w:trPr>
        <w:tc>
          <w:tcPr>
            <w:tcW w:w="2364" w:type="dxa"/>
            <w:tcBorders>
              <w:top w:val="nil"/>
              <w:left w:val="single" w:sz="4" w:space="0" w:color="002776"/>
              <w:bottom w:val="single" w:sz="4" w:space="0" w:color="002776"/>
              <w:right w:val="nil"/>
            </w:tcBorders>
            <w:noWrap/>
            <w:vAlign w:val="center"/>
          </w:tcPr>
          <w:p w14:paraId="18029D8A" w14:textId="77777777" w:rsidR="006D3AD5" w:rsidRPr="00874BFF" w:rsidRDefault="006D3AD5" w:rsidP="00443B8F">
            <w:pPr>
              <w:jc w:val="left"/>
              <w:rPr>
                <w:rFonts w:cs="Arial"/>
                <w:color w:val="000000"/>
                <w:sz w:val="18"/>
                <w:szCs w:val="18"/>
              </w:rPr>
            </w:pPr>
            <w:r w:rsidRPr="00874BFF">
              <w:rPr>
                <w:color w:val="000000"/>
                <w:sz w:val="18"/>
              </w:rPr>
              <w:t>Internal rate of return (IRR)</w:t>
            </w:r>
          </w:p>
        </w:tc>
        <w:tc>
          <w:tcPr>
            <w:tcW w:w="1538" w:type="dxa"/>
            <w:tcBorders>
              <w:top w:val="nil"/>
              <w:left w:val="nil"/>
              <w:bottom w:val="single" w:sz="4" w:space="0" w:color="002776"/>
              <w:right w:val="nil"/>
            </w:tcBorders>
            <w:noWrap/>
            <w:vAlign w:val="center"/>
          </w:tcPr>
          <w:p w14:paraId="37628822" w14:textId="77777777" w:rsidR="006D3AD5" w:rsidRPr="00874BFF" w:rsidRDefault="006D3AD5" w:rsidP="00443B8F">
            <w:pPr>
              <w:jc w:val="right"/>
              <w:rPr>
                <w:rFonts w:cs="Arial"/>
                <w:color w:val="000000"/>
                <w:sz w:val="18"/>
                <w:szCs w:val="18"/>
              </w:rPr>
            </w:pPr>
            <w:r w:rsidRPr="00874BFF">
              <w:rPr>
                <w:sz w:val="18"/>
              </w:rPr>
              <w:t>9.72%</w:t>
            </w:r>
          </w:p>
        </w:tc>
        <w:tc>
          <w:tcPr>
            <w:tcW w:w="1538" w:type="dxa"/>
            <w:tcBorders>
              <w:top w:val="nil"/>
              <w:left w:val="nil"/>
              <w:bottom w:val="single" w:sz="4" w:space="0" w:color="002776"/>
              <w:right w:val="nil"/>
            </w:tcBorders>
            <w:noWrap/>
            <w:vAlign w:val="center"/>
          </w:tcPr>
          <w:p w14:paraId="5A0D4163" w14:textId="77777777" w:rsidR="006D3AD5" w:rsidRPr="00874BFF" w:rsidRDefault="006D3AD5" w:rsidP="00443B8F">
            <w:pPr>
              <w:jc w:val="right"/>
              <w:rPr>
                <w:rFonts w:cs="Arial"/>
                <w:color w:val="000000"/>
                <w:sz w:val="18"/>
                <w:szCs w:val="18"/>
              </w:rPr>
            </w:pPr>
            <w:r w:rsidRPr="00874BFF">
              <w:rPr>
                <w:sz w:val="18"/>
              </w:rPr>
              <w:t>23.02%</w:t>
            </w:r>
          </w:p>
        </w:tc>
        <w:tc>
          <w:tcPr>
            <w:tcW w:w="1708" w:type="dxa"/>
            <w:tcBorders>
              <w:top w:val="nil"/>
              <w:left w:val="nil"/>
              <w:bottom w:val="single" w:sz="4" w:space="0" w:color="002776"/>
              <w:right w:val="nil"/>
            </w:tcBorders>
            <w:noWrap/>
            <w:vAlign w:val="center"/>
          </w:tcPr>
          <w:p w14:paraId="49926647" w14:textId="77777777" w:rsidR="006D3AD5" w:rsidRPr="00874BFF" w:rsidRDefault="006D3AD5" w:rsidP="00443B8F">
            <w:pPr>
              <w:jc w:val="right"/>
              <w:rPr>
                <w:rFonts w:cs="Arial"/>
                <w:color w:val="000000"/>
                <w:sz w:val="18"/>
                <w:szCs w:val="18"/>
              </w:rPr>
            </w:pPr>
            <w:r w:rsidRPr="00874BFF">
              <w:rPr>
                <w:sz w:val="18"/>
              </w:rPr>
              <w:t>13.30%</w:t>
            </w:r>
          </w:p>
        </w:tc>
        <w:tc>
          <w:tcPr>
            <w:tcW w:w="1686" w:type="dxa"/>
            <w:tcBorders>
              <w:top w:val="nil"/>
              <w:left w:val="nil"/>
              <w:bottom w:val="single" w:sz="4" w:space="0" w:color="002776"/>
              <w:right w:val="single" w:sz="4" w:space="0" w:color="002776"/>
            </w:tcBorders>
            <w:noWrap/>
            <w:vAlign w:val="center"/>
          </w:tcPr>
          <w:p w14:paraId="106AA08A" w14:textId="77777777" w:rsidR="006D3AD5" w:rsidRPr="00874BFF" w:rsidRDefault="006D3AD5" w:rsidP="00443B8F">
            <w:pPr>
              <w:jc w:val="right"/>
              <w:rPr>
                <w:rFonts w:cs="Arial"/>
                <w:color w:val="000000"/>
                <w:sz w:val="18"/>
                <w:szCs w:val="18"/>
              </w:rPr>
            </w:pPr>
            <w:r w:rsidRPr="00874BFF">
              <w:rPr>
                <w:sz w:val="18"/>
              </w:rPr>
              <w:t>9.72%</w:t>
            </w:r>
          </w:p>
        </w:tc>
      </w:tr>
      <w:tr w:rsidR="006D3AD5" w:rsidRPr="00874BFF" w14:paraId="24DA153E" w14:textId="77777777" w:rsidTr="00443B8F">
        <w:trPr>
          <w:trHeight w:val="20"/>
        </w:trPr>
        <w:tc>
          <w:tcPr>
            <w:tcW w:w="2364" w:type="dxa"/>
            <w:tcBorders>
              <w:top w:val="nil"/>
              <w:left w:val="single" w:sz="4" w:space="0" w:color="002776"/>
              <w:bottom w:val="single" w:sz="4" w:space="0" w:color="002776"/>
              <w:right w:val="nil"/>
            </w:tcBorders>
            <w:noWrap/>
            <w:vAlign w:val="center"/>
          </w:tcPr>
          <w:p w14:paraId="692E3090" w14:textId="77777777" w:rsidR="006D3AD5" w:rsidRPr="00874BFF" w:rsidRDefault="006D3AD5" w:rsidP="00443B8F">
            <w:pPr>
              <w:jc w:val="left"/>
              <w:rPr>
                <w:rFonts w:cs="Arial"/>
                <w:color w:val="000000"/>
                <w:sz w:val="18"/>
                <w:szCs w:val="18"/>
              </w:rPr>
            </w:pPr>
            <w:r w:rsidRPr="00874BFF">
              <w:rPr>
                <w:color w:val="000000"/>
                <w:sz w:val="18"/>
              </w:rPr>
              <w:t>Net present value (NPV in CZK)</w:t>
            </w:r>
          </w:p>
        </w:tc>
        <w:tc>
          <w:tcPr>
            <w:tcW w:w="1538" w:type="dxa"/>
            <w:tcBorders>
              <w:top w:val="nil"/>
              <w:left w:val="nil"/>
              <w:bottom w:val="single" w:sz="4" w:space="0" w:color="002776"/>
              <w:right w:val="nil"/>
            </w:tcBorders>
            <w:noWrap/>
            <w:vAlign w:val="center"/>
          </w:tcPr>
          <w:p w14:paraId="2C09EE56" w14:textId="77777777" w:rsidR="006D3AD5" w:rsidRPr="00874BFF" w:rsidRDefault="006D3AD5" w:rsidP="00443B8F">
            <w:pPr>
              <w:jc w:val="right"/>
              <w:rPr>
                <w:rFonts w:cs="Arial"/>
                <w:color w:val="000000"/>
                <w:sz w:val="18"/>
                <w:szCs w:val="18"/>
              </w:rPr>
            </w:pPr>
            <w:r w:rsidRPr="00874BFF">
              <w:rPr>
                <w:sz w:val="18"/>
              </w:rPr>
              <w:t>23,434,764</w:t>
            </w:r>
          </w:p>
        </w:tc>
        <w:tc>
          <w:tcPr>
            <w:tcW w:w="1538" w:type="dxa"/>
            <w:tcBorders>
              <w:top w:val="nil"/>
              <w:left w:val="nil"/>
              <w:bottom w:val="single" w:sz="4" w:space="0" w:color="002776"/>
              <w:right w:val="nil"/>
            </w:tcBorders>
            <w:noWrap/>
            <w:vAlign w:val="center"/>
          </w:tcPr>
          <w:p w14:paraId="140933E9" w14:textId="77777777" w:rsidR="006D3AD5" w:rsidRPr="00874BFF" w:rsidRDefault="006D3AD5" w:rsidP="00443B8F">
            <w:pPr>
              <w:jc w:val="right"/>
              <w:rPr>
                <w:rFonts w:cs="Arial"/>
                <w:color w:val="000000"/>
                <w:sz w:val="18"/>
                <w:szCs w:val="18"/>
              </w:rPr>
            </w:pPr>
            <w:r w:rsidRPr="00874BFF">
              <w:rPr>
                <w:sz w:val="18"/>
              </w:rPr>
              <w:t>45,069,379</w:t>
            </w:r>
          </w:p>
        </w:tc>
        <w:tc>
          <w:tcPr>
            <w:tcW w:w="1708" w:type="dxa"/>
            <w:tcBorders>
              <w:top w:val="nil"/>
              <w:left w:val="nil"/>
              <w:bottom w:val="single" w:sz="4" w:space="0" w:color="002776"/>
              <w:right w:val="nil"/>
            </w:tcBorders>
            <w:noWrap/>
            <w:vAlign w:val="center"/>
          </w:tcPr>
          <w:p w14:paraId="40191CE1" w14:textId="77777777" w:rsidR="006D3AD5" w:rsidRPr="00874BFF" w:rsidRDefault="006D3AD5" w:rsidP="00443B8F">
            <w:pPr>
              <w:jc w:val="right"/>
              <w:rPr>
                <w:rFonts w:cs="Arial"/>
                <w:color w:val="000000"/>
                <w:sz w:val="18"/>
                <w:szCs w:val="18"/>
              </w:rPr>
            </w:pPr>
            <w:r w:rsidRPr="00874BFF">
              <w:rPr>
                <w:sz w:val="18"/>
              </w:rPr>
              <w:t>54,441,638</w:t>
            </w:r>
          </w:p>
        </w:tc>
        <w:tc>
          <w:tcPr>
            <w:tcW w:w="1686" w:type="dxa"/>
            <w:tcBorders>
              <w:top w:val="nil"/>
              <w:left w:val="nil"/>
              <w:bottom w:val="single" w:sz="4" w:space="0" w:color="002776"/>
              <w:right w:val="single" w:sz="4" w:space="0" w:color="002776"/>
            </w:tcBorders>
            <w:noWrap/>
            <w:vAlign w:val="center"/>
          </w:tcPr>
          <w:p w14:paraId="1E75B629" w14:textId="77777777" w:rsidR="006D3AD5" w:rsidRPr="00874BFF" w:rsidRDefault="006D3AD5" w:rsidP="00443B8F">
            <w:pPr>
              <w:jc w:val="right"/>
              <w:rPr>
                <w:rFonts w:cs="Arial"/>
                <w:color w:val="000000"/>
                <w:sz w:val="18"/>
                <w:szCs w:val="18"/>
              </w:rPr>
            </w:pPr>
            <w:r w:rsidRPr="00874BFF">
              <w:rPr>
                <w:sz w:val="18"/>
              </w:rPr>
              <w:t>45,530,747</w:t>
            </w:r>
          </w:p>
        </w:tc>
      </w:tr>
      <w:tr w:rsidR="006D3AD5" w:rsidRPr="00874BFF" w14:paraId="26098750" w14:textId="77777777" w:rsidTr="00443B8F">
        <w:trPr>
          <w:trHeight w:val="20"/>
        </w:trPr>
        <w:tc>
          <w:tcPr>
            <w:tcW w:w="2364" w:type="dxa"/>
            <w:tcBorders>
              <w:top w:val="nil"/>
              <w:left w:val="single" w:sz="4" w:space="0" w:color="002776"/>
              <w:bottom w:val="single" w:sz="4" w:space="0" w:color="002776"/>
              <w:right w:val="nil"/>
            </w:tcBorders>
            <w:noWrap/>
            <w:vAlign w:val="center"/>
          </w:tcPr>
          <w:p w14:paraId="5D6DB6E6" w14:textId="77777777" w:rsidR="006D3AD5" w:rsidRPr="00874BFF" w:rsidRDefault="006D3AD5" w:rsidP="00443B8F">
            <w:pPr>
              <w:jc w:val="left"/>
              <w:rPr>
                <w:rFonts w:cs="Arial"/>
                <w:color w:val="000000"/>
                <w:sz w:val="18"/>
                <w:szCs w:val="18"/>
              </w:rPr>
            </w:pPr>
            <w:r w:rsidRPr="00874BFF">
              <w:rPr>
                <w:color w:val="000000"/>
                <w:sz w:val="18"/>
              </w:rPr>
              <w:t>Simple payback period (years)</w:t>
            </w:r>
          </w:p>
        </w:tc>
        <w:tc>
          <w:tcPr>
            <w:tcW w:w="1538" w:type="dxa"/>
            <w:tcBorders>
              <w:top w:val="nil"/>
              <w:left w:val="nil"/>
              <w:bottom w:val="single" w:sz="4" w:space="0" w:color="002776"/>
              <w:right w:val="nil"/>
            </w:tcBorders>
            <w:noWrap/>
            <w:vAlign w:val="center"/>
          </w:tcPr>
          <w:p w14:paraId="550E8B6A" w14:textId="77777777" w:rsidR="006D3AD5" w:rsidRPr="00874BFF" w:rsidRDefault="006D3AD5" w:rsidP="00443B8F">
            <w:pPr>
              <w:jc w:val="right"/>
              <w:rPr>
                <w:rFonts w:cs="Arial"/>
                <w:color w:val="000000"/>
                <w:sz w:val="18"/>
                <w:szCs w:val="18"/>
              </w:rPr>
            </w:pPr>
            <w:r w:rsidRPr="00874BFF">
              <w:rPr>
                <w:sz w:val="18"/>
              </w:rPr>
              <w:t>8.52</w:t>
            </w:r>
          </w:p>
        </w:tc>
        <w:tc>
          <w:tcPr>
            <w:tcW w:w="1538" w:type="dxa"/>
            <w:tcBorders>
              <w:top w:val="nil"/>
              <w:left w:val="nil"/>
              <w:bottom w:val="single" w:sz="4" w:space="0" w:color="002776"/>
              <w:right w:val="nil"/>
            </w:tcBorders>
            <w:noWrap/>
            <w:vAlign w:val="center"/>
          </w:tcPr>
          <w:p w14:paraId="2A0756FF" w14:textId="77777777" w:rsidR="006D3AD5" w:rsidRPr="00874BFF" w:rsidRDefault="006D3AD5" w:rsidP="00443B8F">
            <w:pPr>
              <w:jc w:val="right"/>
              <w:rPr>
                <w:rFonts w:cs="Arial"/>
                <w:color w:val="000000"/>
                <w:sz w:val="18"/>
                <w:szCs w:val="18"/>
              </w:rPr>
            </w:pPr>
            <w:r w:rsidRPr="00874BFF">
              <w:rPr>
                <w:sz w:val="18"/>
              </w:rPr>
              <w:t>4.26</w:t>
            </w:r>
          </w:p>
        </w:tc>
        <w:tc>
          <w:tcPr>
            <w:tcW w:w="1708" w:type="dxa"/>
            <w:tcBorders>
              <w:top w:val="nil"/>
              <w:left w:val="nil"/>
              <w:bottom w:val="single" w:sz="4" w:space="0" w:color="002776"/>
              <w:right w:val="nil"/>
            </w:tcBorders>
            <w:noWrap/>
            <w:vAlign w:val="center"/>
          </w:tcPr>
          <w:p w14:paraId="76A14748" w14:textId="77777777" w:rsidR="006D3AD5" w:rsidRPr="00874BFF" w:rsidRDefault="006D3AD5" w:rsidP="00443B8F">
            <w:pPr>
              <w:jc w:val="right"/>
              <w:rPr>
                <w:rFonts w:cs="Arial"/>
                <w:color w:val="000000"/>
                <w:sz w:val="18"/>
                <w:szCs w:val="18"/>
              </w:rPr>
            </w:pPr>
            <w:r w:rsidRPr="00874BFF">
              <w:rPr>
                <w:sz w:val="18"/>
              </w:rPr>
              <w:t>6.82</w:t>
            </w:r>
          </w:p>
        </w:tc>
        <w:tc>
          <w:tcPr>
            <w:tcW w:w="1686" w:type="dxa"/>
            <w:tcBorders>
              <w:top w:val="nil"/>
              <w:left w:val="nil"/>
              <w:bottom w:val="single" w:sz="4" w:space="0" w:color="002776"/>
              <w:right w:val="single" w:sz="4" w:space="0" w:color="002776"/>
            </w:tcBorders>
            <w:noWrap/>
            <w:vAlign w:val="center"/>
          </w:tcPr>
          <w:p w14:paraId="24387C69" w14:textId="77777777" w:rsidR="006D3AD5" w:rsidRPr="00874BFF" w:rsidRDefault="006D3AD5" w:rsidP="00443B8F">
            <w:pPr>
              <w:jc w:val="right"/>
              <w:rPr>
                <w:rFonts w:cs="Arial"/>
                <w:color w:val="000000"/>
                <w:sz w:val="18"/>
                <w:szCs w:val="18"/>
              </w:rPr>
            </w:pPr>
            <w:r w:rsidRPr="00874BFF">
              <w:rPr>
                <w:sz w:val="18"/>
              </w:rPr>
              <w:t>8.52</w:t>
            </w:r>
          </w:p>
        </w:tc>
      </w:tr>
      <w:tr w:rsidR="006D3AD5" w:rsidRPr="00874BFF" w14:paraId="057162DF" w14:textId="77777777" w:rsidTr="00443B8F">
        <w:trPr>
          <w:trHeight w:val="20"/>
        </w:trPr>
        <w:tc>
          <w:tcPr>
            <w:tcW w:w="2364" w:type="dxa"/>
            <w:tcBorders>
              <w:top w:val="nil"/>
              <w:left w:val="single" w:sz="4" w:space="0" w:color="002776"/>
              <w:bottom w:val="single" w:sz="4" w:space="0" w:color="002776"/>
              <w:right w:val="nil"/>
            </w:tcBorders>
            <w:noWrap/>
            <w:vAlign w:val="center"/>
          </w:tcPr>
          <w:p w14:paraId="5698C042" w14:textId="77777777" w:rsidR="006D3AD5" w:rsidRPr="00874BFF" w:rsidRDefault="006D3AD5" w:rsidP="00443B8F">
            <w:pPr>
              <w:jc w:val="left"/>
              <w:rPr>
                <w:rFonts w:cs="Arial"/>
                <w:color w:val="000000"/>
                <w:sz w:val="18"/>
                <w:szCs w:val="18"/>
              </w:rPr>
            </w:pPr>
            <w:r w:rsidRPr="00874BFF">
              <w:rPr>
                <w:color w:val="000000"/>
                <w:sz w:val="18"/>
              </w:rPr>
              <w:t>Discounted payback period (years)</w:t>
            </w:r>
          </w:p>
        </w:tc>
        <w:tc>
          <w:tcPr>
            <w:tcW w:w="1538" w:type="dxa"/>
            <w:tcBorders>
              <w:top w:val="nil"/>
              <w:left w:val="nil"/>
              <w:bottom w:val="single" w:sz="4" w:space="0" w:color="002776"/>
              <w:right w:val="nil"/>
            </w:tcBorders>
            <w:noWrap/>
            <w:vAlign w:val="center"/>
          </w:tcPr>
          <w:p w14:paraId="3D1486A8" w14:textId="77777777" w:rsidR="006D3AD5" w:rsidRPr="00874BFF" w:rsidRDefault="006D3AD5" w:rsidP="00443B8F">
            <w:pPr>
              <w:jc w:val="right"/>
              <w:rPr>
                <w:rFonts w:cs="Arial"/>
                <w:color w:val="000000"/>
                <w:sz w:val="18"/>
                <w:szCs w:val="18"/>
              </w:rPr>
            </w:pPr>
            <w:r w:rsidRPr="00874BFF">
              <w:rPr>
                <w:sz w:val="18"/>
              </w:rPr>
              <w:t>11.6</w:t>
            </w:r>
          </w:p>
        </w:tc>
        <w:tc>
          <w:tcPr>
            <w:tcW w:w="1538" w:type="dxa"/>
            <w:tcBorders>
              <w:top w:val="nil"/>
              <w:left w:val="nil"/>
              <w:bottom w:val="single" w:sz="4" w:space="0" w:color="002776"/>
              <w:right w:val="nil"/>
            </w:tcBorders>
            <w:noWrap/>
            <w:vAlign w:val="center"/>
          </w:tcPr>
          <w:p w14:paraId="577EBD56" w14:textId="77777777" w:rsidR="006D3AD5" w:rsidRPr="00874BFF" w:rsidRDefault="006D3AD5" w:rsidP="00443B8F">
            <w:pPr>
              <w:jc w:val="right"/>
              <w:rPr>
                <w:rFonts w:cs="Arial"/>
                <w:color w:val="000000"/>
                <w:sz w:val="18"/>
                <w:szCs w:val="18"/>
              </w:rPr>
            </w:pPr>
            <w:r w:rsidRPr="00874BFF">
              <w:rPr>
                <w:sz w:val="18"/>
              </w:rPr>
              <w:t>5.8</w:t>
            </w:r>
          </w:p>
        </w:tc>
        <w:tc>
          <w:tcPr>
            <w:tcW w:w="1708" w:type="dxa"/>
            <w:tcBorders>
              <w:top w:val="nil"/>
              <w:left w:val="nil"/>
              <w:bottom w:val="single" w:sz="4" w:space="0" w:color="002776"/>
              <w:right w:val="nil"/>
            </w:tcBorders>
            <w:noWrap/>
            <w:vAlign w:val="center"/>
          </w:tcPr>
          <w:p w14:paraId="34327212" w14:textId="77777777" w:rsidR="006D3AD5" w:rsidRPr="00874BFF" w:rsidRDefault="006D3AD5" w:rsidP="00443B8F">
            <w:pPr>
              <w:jc w:val="right"/>
              <w:rPr>
                <w:rFonts w:cs="Arial"/>
                <w:color w:val="000000"/>
                <w:sz w:val="18"/>
                <w:szCs w:val="18"/>
              </w:rPr>
            </w:pPr>
            <w:r w:rsidRPr="00874BFF">
              <w:rPr>
                <w:sz w:val="18"/>
              </w:rPr>
              <w:t>8.1</w:t>
            </w:r>
          </w:p>
        </w:tc>
        <w:tc>
          <w:tcPr>
            <w:tcW w:w="1686" w:type="dxa"/>
            <w:tcBorders>
              <w:top w:val="nil"/>
              <w:left w:val="nil"/>
              <w:bottom w:val="single" w:sz="4" w:space="0" w:color="002776"/>
              <w:right w:val="single" w:sz="4" w:space="0" w:color="002776"/>
            </w:tcBorders>
            <w:noWrap/>
            <w:vAlign w:val="center"/>
          </w:tcPr>
          <w:p w14:paraId="0E4EF09D" w14:textId="77777777" w:rsidR="006D3AD5" w:rsidRPr="00874BFF" w:rsidRDefault="006D3AD5" w:rsidP="00443B8F">
            <w:pPr>
              <w:keepNext/>
              <w:jc w:val="right"/>
              <w:rPr>
                <w:rFonts w:cs="Arial"/>
                <w:color w:val="000000"/>
                <w:sz w:val="18"/>
                <w:szCs w:val="18"/>
              </w:rPr>
            </w:pPr>
            <w:r w:rsidRPr="00874BFF">
              <w:rPr>
                <w:sz w:val="18"/>
              </w:rPr>
              <w:t>9.9</w:t>
            </w:r>
          </w:p>
        </w:tc>
      </w:tr>
    </w:tbl>
    <w:p w14:paraId="69EAC273" w14:textId="0F399DC4" w:rsidR="006D3AD5" w:rsidRPr="00874BFF" w:rsidRDefault="006D3AD5" w:rsidP="006D3AD5">
      <w:pPr>
        <w:pStyle w:val="Titulek"/>
        <w:jc w:val="center"/>
      </w:pPr>
      <w:r w:rsidRPr="00874BFF">
        <w:t xml:space="preserve">Table </w:t>
      </w:r>
      <w:r w:rsidR="001F7E48">
        <w:t>9</w:t>
      </w:r>
      <w:r w:rsidRPr="00874BFF">
        <w:t>: Impact of the support on the project economy</w:t>
      </w:r>
    </w:p>
    <w:p w14:paraId="6E32B3E1" w14:textId="77777777" w:rsidR="006D3AD5" w:rsidRPr="00874BFF" w:rsidRDefault="006D3AD5" w:rsidP="006D3AD5">
      <w:pPr>
        <w:pStyle w:val="BodyText1"/>
        <w:rPr>
          <w:rFonts w:ascii="Calibri" w:hAnsi="Calibri"/>
        </w:rPr>
      </w:pPr>
    </w:p>
    <w:p w14:paraId="2A2BB37A" w14:textId="34072598" w:rsidR="006D3AD5" w:rsidRPr="00874BFF" w:rsidRDefault="006D3AD5" w:rsidP="006D3AD5">
      <w:pPr>
        <w:jc w:val="left"/>
      </w:pPr>
      <w:r w:rsidRPr="00874BFF">
        <w:t xml:space="preserve">To grant a subsidy at the volume of 50 % of eligible expenditures would result in a marked increase in the yield which is only moderate if the soft loan </w:t>
      </w:r>
      <w:r w:rsidR="008C457B" w:rsidRPr="00874BFF">
        <w:t>is used</w:t>
      </w:r>
      <w:r w:rsidRPr="00874BFF">
        <w:t>. A guarantee with partial conditioned payment of interest fees will have a similar effect on economy.</w:t>
      </w:r>
    </w:p>
    <w:p w14:paraId="69912928" w14:textId="77777777" w:rsidR="006D3AD5" w:rsidRPr="00874BFF" w:rsidRDefault="006D3AD5" w:rsidP="006D3AD5"/>
    <w:p w14:paraId="00E4DB92" w14:textId="77777777" w:rsidR="006D3AD5" w:rsidRPr="00874BFF" w:rsidRDefault="006D3AD5" w:rsidP="006D3AD5">
      <w:r w:rsidRPr="00874BFF">
        <w:t>A support by a guarantee with a contribution to cover interest is provided under the de minimis system and therefore its total amount consisting of the cost of the guarantee and the interest covering contribution must not exceed €200 thousand (CZK 5.6 million)</w:t>
      </w:r>
      <w:r w:rsidRPr="00874BFF">
        <w:rPr>
          <w:rStyle w:val="Znakapoznpodarou"/>
          <w:rFonts w:ascii="Calibri" w:hAnsi="Calibri"/>
        </w:rPr>
        <w:footnoteReference w:id="19"/>
      </w:r>
      <w:r w:rsidRPr="00874BFF">
        <w:t xml:space="preserve">. </w:t>
      </w:r>
    </w:p>
    <w:p w14:paraId="66C82310" w14:textId="77777777" w:rsidR="006D3AD5" w:rsidRPr="00874BFF" w:rsidRDefault="006D3AD5" w:rsidP="006D3AD5"/>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68"/>
        <w:gridCol w:w="2114"/>
        <w:gridCol w:w="2292"/>
        <w:gridCol w:w="2288"/>
      </w:tblGrid>
      <w:tr w:rsidR="006D3AD5" w:rsidRPr="00874BFF" w14:paraId="6CA823CA" w14:textId="77777777" w:rsidTr="001F7E48">
        <w:tc>
          <w:tcPr>
            <w:tcW w:w="2368" w:type="dxa"/>
            <w:shd w:val="clear" w:color="auto" w:fill="auto"/>
            <w:vAlign w:val="center"/>
          </w:tcPr>
          <w:p w14:paraId="26F61167" w14:textId="77777777" w:rsidR="006D3AD5" w:rsidRPr="00874BFF" w:rsidRDefault="006D3AD5" w:rsidP="00443B8F">
            <w:pPr>
              <w:jc w:val="left"/>
              <w:rPr>
                <w:szCs w:val="19"/>
              </w:rPr>
            </w:pPr>
            <w:r w:rsidRPr="00874BFF">
              <w:t>Volume of investment/loan</w:t>
            </w:r>
          </w:p>
        </w:tc>
        <w:tc>
          <w:tcPr>
            <w:tcW w:w="2114" w:type="dxa"/>
            <w:shd w:val="clear" w:color="auto" w:fill="auto"/>
            <w:vAlign w:val="center"/>
          </w:tcPr>
          <w:p w14:paraId="490673A2" w14:textId="77777777" w:rsidR="006D3AD5" w:rsidRPr="00874BFF" w:rsidRDefault="006D3AD5" w:rsidP="00443B8F">
            <w:pPr>
              <w:jc w:val="center"/>
              <w:rPr>
                <w:szCs w:val="19"/>
              </w:rPr>
            </w:pPr>
            <w:r w:rsidRPr="00874BFF">
              <w:t>CZK 45,000 thousand</w:t>
            </w:r>
          </w:p>
        </w:tc>
        <w:tc>
          <w:tcPr>
            <w:tcW w:w="2292" w:type="dxa"/>
            <w:shd w:val="clear" w:color="auto" w:fill="auto"/>
            <w:vAlign w:val="center"/>
          </w:tcPr>
          <w:p w14:paraId="178EF82D" w14:textId="77777777" w:rsidR="006D3AD5" w:rsidRPr="00874BFF" w:rsidRDefault="006D3AD5" w:rsidP="00443B8F">
            <w:pPr>
              <w:jc w:val="left"/>
              <w:rPr>
                <w:szCs w:val="19"/>
              </w:rPr>
            </w:pPr>
            <w:r w:rsidRPr="00874BFF">
              <w:t>Remaining support</w:t>
            </w:r>
          </w:p>
        </w:tc>
        <w:tc>
          <w:tcPr>
            <w:tcW w:w="2288" w:type="dxa"/>
            <w:shd w:val="clear" w:color="auto" w:fill="auto"/>
            <w:vAlign w:val="center"/>
          </w:tcPr>
          <w:p w14:paraId="62D3A685" w14:textId="77777777" w:rsidR="006D3AD5" w:rsidRPr="00874BFF" w:rsidRDefault="006D3AD5" w:rsidP="00443B8F">
            <w:pPr>
              <w:jc w:val="center"/>
              <w:rPr>
                <w:szCs w:val="19"/>
              </w:rPr>
            </w:pPr>
            <w:r w:rsidRPr="00874BFF">
              <w:t>CZK 5,312 thousand</w:t>
            </w:r>
          </w:p>
        </w:tc>
      </w:tr>
      <w:tr w:rsidR="006D3AD5" w:rsidRPr="00874BFF" w14:paraId="152728C1" w14:textId="77777777" w:rsidTr="001F7E48">
        <w:tc>
          <w:tcPr>
            <w:tcW w:w="2368" w:type="dxa"/>
            <w:shd w:val="clear" w:color="auto" w:fill="auto"/>
            <w:vAlign w:val="center"/>
          </w:tcPr>
          <w:p w14:paraId="0971F6AB" w14:textId="77777777" w:rsidR="006D3AD5" w:rsidRPr="00874BFF" w:rsidRDefault="006D3AD5" w:rsidP="00443B8F">
            <w:pPr>
              <w:jc w:val="left"/>
              <w:rPr>
                <w:szCs w:val="19"/>
              </w:rPr>
            </w:pPr>
            <w:r w:rsidRPr="00874BFF">
              <w:t>Guaranteed principle (80 %)</w:t>
            </w:r>
          </w:p>
        </w:tc>
        <w:tc>
          <w:tcPr>
            <w:tcW w:w="2114" w:type="dxa"/>
            <w:shd w:val="clear" w:color="auto" w:fill="auto"/>
            <w:vAlign w:val="center"/>
          </w:tcPr>
          <w:p w14:paraId="7410C261" w14:textId="77777777" w:rsidR="006D3AD5" w:rsidRPr="00874BFF" w:rsidRDefault="006D3AD5" w:rsidP="00443B8F">
            <w:pPr>
              <w:jc w:val="center"/>
              <w:rPr>
                <w:szCs w:val="19"/>
              </w:rPr>
            </w:pPr>
            <w:r w:rsidRPr="00874BFF">
              <w:t>CZK  36,000 thousand</w:t>
            </w:r>
          </w:p>
        </w:tc>
        <w:tc>
          <w:tcPr>
            <w:tcW w:w="2292" w:type="dxa"/>
            <w:shd w:val="clear" w:color="auto" w:fill="auto"/>
            <w:vAlign w:val="center"/>
          </w:tcPr>
          <w:p w14:paraId="41FDEF49" w14:textId="77777777" w:rsidR="006D3AD5" w:rsidRPr="00874BFF" w:rsidRDefault="006D3AD5" w:rsidP="00443B8F">
            <w:pPr>
              <w:jc w:val="left"/>
              <w:rPr>
                <w:szCs w:val="19"/>
              </w:rPr>
            </w:pPr>
            <w:r w:rsidRPr="00874BFF">
              <w:t>Contribution for interest coverage</w:t>
            </w:r>
          </w:p>
        </w:tc>
        <w:tc>
          <w:tcPr>
            <w:tcW w:w="2288" w:type="dxa"/>
            <w:shd w:val="clear" w:color="auto" w:fill="auto"/>
            <w:vAlign w:val="center"/>
          </w:tcPr>
          <w:p w14:paraId="45D19AA9" w14:textId="77777777" w:rsidR="006D3AD5" w:rsidRPr="00874BFF" w:rsidRDefault="006D3AD5" w:rsidP="00443B8F">
            <w:pPr>
              <w:jc w:val="center"/>
              <w:rPr>
                <w:szCs w:val="19"/>
              </w:rPr>
            </w:pPr>
            <w:r w:rsidRPr="00874BFF">
              <w:t>CZK 4,182 thousand</w:t>
            </w:r>
          </w:p>
        </w:tc>
      </w:tr>
      <w:tr w:rsidR="006D3AD5" w:rsidRPr="00874BFF" w14:paraId="1220CA8D" w14:textId="77777777" w:rsidTr="001F7E48">
        <w:tc>
          <w:tcPr>
            <w:tcW w:w="2368" w:type="dxa"/>
            <w:shd w:val="clear" w:color="auto" w:fill="auto"/>
            <w:vAlign w:val="center"/>
          </w:tcPr>
          <w:p w14:paraId="1A53220C" w14:textId="77777777" w:rsidR="006D3AD5" w:rsidRPr="00874BFF" w:rsidRDefault="006D3AD5" w:rsidP="00443B8F">
            <w:pPr>
              <w:jc w:val="left"/>
              <w:rPr>
                <w:szCs w:val="19"/>
              </w:rPr>
            </w:pPr>
            <w:r w:rsidRPr="00874BFF">
              <w:t>Cost of guarantee</w:t>
            </w:r>
          </w:p>
        </w:tc>
        <w:tc>
          <w:tcPr>
            <w:tcW w:w="2114" w:type="dxa"/>
            <w:shd w:val="clear" w:color="auto" w:fill="auto"/>
            <w:vAlign w:val="center"/>
          </w:tcPr>
          <w:p w14:paraId="024DE71A" w14:textId="77777777" w:rsidR="006D3AD5" w:rsidRPr="00874BFF" w:rsidRDefault="006D3AD5" w:rsidP="00443B8F">
            <w:pPr>
              <w:jc w:val="center"/>
              <w:rPr>
                <w:szCs w:val="19"/>
              </w:rPr>
            </w:pPr>
            <w:r w:rsidRPr="00874BFF">
              <w:t>0.8 %</w:t>
            </w:r>
          </w:p>
        </w:tc>
        <w:tc>
          <w:tcPr>
            <w:tcW w:w="4580" w:type="dxa"/>
            <w:gridSpan w:val="2"/>
            <w:vMerge w:val="restart"/>
            <w:shd w:val="clear" w:color="auto" w:fill="auto"/>
            <w:vAlign w:val="center"/>
          </w:tcPr>
          <w:p w14:paraId="01A78187" w14:textId="77777777" w:rsidR="006D3AD5" w:rsidRPr="00874BFF" w:rsidRDefault="006D3AD5" w:rsidP="00443B8F">
            <w:pPr>
              <w:jc w:val="center"/>
              <w:rPr>
                <w:szCs w:val="19"/>
              </w:rPr>
            </w:pPr>
            <w:r w:rsidRPr="00874BFF">
              <w:t>The project is in compliance with the de minimis rules.</w:t>
            </w:r>
          </w:p>
        </w:tc>
      </w:tr>
      <w:tr w:rsidR="006D3AD5" w:rsidRPr="00874BFF" w14:paraId="67ED5B23" w14:textId="77777777" w:rsidTr="001F7E48">
        <w:tc>
          <w:tcPr>
            <w:tcW w:w="2368" w:type="dxa"/>
            <w:shd w:val="clear" w:color="auto" w:fill="auto"/>
            <w:vAlign w:val="center"/>
          </w:tcPr>
          <w:p w14:paraId="0F0737AC" w14:textId="77777777" w:rsidR="006D3AD5" w:rsidRPr="00874BFF" w:rsidRDefault="006D3AD5" w:rsidP="00443B8F">
            <w:pPr>
              <w:jc w:val="left"/>
              <w:rPr>
                <w:szCs w:val="19"/>
              </w:rPr>
            </w:pPr>
            <w:r w:rsidRPr="00874BFF">
              <w:t>Total volume of support</w:t>
            </w:r>
          </w:p>
        </w:tc>
        <w:tc>
          <w:tcPr>
            <w:tcW w:w="2114" w:type="dxa"/>
            <w:shd w:val="clear" w:color="auto" w:fill="auto"/>
            <w:vAlign w:val="center"/>
          </w:tcPr>
          <w:p w14:paraId="22EF6788" w14:textId="77777777" w:rsidR="006D3AD5" w:rsidRPr="00874BFF" w:rsidRDefault="006D3AD5" w:rsidP="00443B8F">
            <w:pPr>
              <w:jc w:val="center"/>
              <w:rPr>
                <w:szCs w:val="19"/>
              </w:rPr>
            </w:pPr>
            <w:r w:rsidRPr="00874BFF">
              <w:t>CZK 288 thousand</w:t>
            </w:r>
          </w:p>
        </w:tc>
        <w:tc>
          <w:tcPr>
            <w:tcW w:w="4580" w:type="dxa"/>
            <w:gridSpan w:val="2"/>
            <w:vMerge/>
            <w:shd w:val="clear" w:color="auto" w:fill="auto"/>
          </w:tcPr>
          <w:p w14:paraId="55639238" w14:textId="77777777" w:rsidR="006D3AD5" w:rsidRPr="00874BFF" w:rsidRDefault="006D3AD5" w:rsidP="00443B8F">
            <w:pPr>
              <w:rPr>
                <w:szCs w:val="19"/>
              </w:rPr>
            </w:pPr>
          </w:p>
        </w:tc>
      </w:tr>
    </w:tbl>
    <w:p w14:paraId="5514B075" w14:textId="5430CD62" w:rsidR="001F7E48" w:rsidRPr="00874BFF" w:rsidRDefault="001F7E48" w:rsidP="001F7E48">
      <w:pPr>
        <w:pStyle w:val="Titulek"/>
        <w:jc w:val="center"/>
      </w:pPr>
      <w:r w:rsidRPr="00874BFF">
        <w:t xml:space="preserve">Table </w:t>
      </w:r>
      <w:r>
        <w:t>10</w:t>
      </w:r>
      <w:r w:rsidRPr="00874BFF">
        <w:t xml:space="preserve">: Impact of the </w:t>
      </w:r>
      <w:r>
        <w:t>guarantee support</w:t>
      </w:r>
    </w:p>
    <w:p w14:paraId="17CE4408" w14:textId="77777777" w:rsidR="006D3AD5" w:rsidRPr="00874BFF" w:rsidRDefault="006D3AD5" w:rsidP="006D3AD5"/>
    <w:p w14:paraId="5F14931D" w14:textId="77777777" w:rsidR="006D3AD5" w:rsidRPr="00874BFF" w:rsidRDefault="006D3AD5" w:rsidP="006D3AD5">
      <w:pPr>
        <w:rPr>
          <w:vertAlign w:val="subscript"/>
        </w:rPr>
      </w:pPr>
      <w:r w:rsidRPr="00874BFF">
        <w:t>If the support is overdrawn, the interest coverage contribution could be granted only in the amount which would correspond to the maximum support provided in the de minimis system. The typical examples presented below meet the de minimis rule unless otherwise stated.</w:t>
      </w:r>
    </w:p>
    <w:p w14:paraId="335C9FD2" w14:textId="77777777" w:rsidR="006D3AD5" w:rsidRPr="00874BFF" w:rsidRDefault="006D3AD5" w:rsidP="006D3AD5"/>
    <w:p w14:paraId="610C6BD8" w14:textId="77777777" w:rsidR="006D3AD5" w:rsidRPr="00874BFF" w:rsidRDefault="006D3AD5" w:rsidP="006D3AD5">
      <w:r w:rsidRPr="00874BFF">
        <w:t>For illustration,  we also mention a project from the Inostart programme which is not standard within the support of innovations in SO 1.1 because of the age of the company being not more than three years from establishment. It is a small enterprise from the food industry. The investment included construction work and installation of a corresponding innovative technology. The loan was partially used for a purchase of material stock necessary to launch a trial and subsequently to start the routine operation.</w:t>
      </w:r>
    </w:p>
    <w:p w14:paraId="34922BEA" w14:textId="77777777" w:rsidR="006D3AD5" w:rsidRPr="00874BFF" w:rsidRDefault="006D3AD5" w:rsidP="006D3AD5"/>
    <w:tbl>
      <w:tblPr>
        <w:tblpPr w:leftFromText="141" w:rightFromText="141" w:vertAnchor="text" w:horzAnchor="margin" w:tblpY="-50"/>
        <w:tblW w:w="8962" w:type="dxa"/>
        <w:tblCellMar>
          <w:left w:w="0" w:type="dxa"/>
          <w:right w:w="0" w:type="dxa"/>
        </w:tblCellMar>
        <w:tblLook w:val="00A0" w:firstRow="1" w:lastRow="0" w:firstColumn="1" w:lastColumn="0" w:noHBand="0" w:noVBand="0"/>
      </w:tblPr>
      <w:tblGrid>
        <w:gridCol w:w="2396"/>
        <w:gridCol w:w="1578"/>
        <w:gridCol w:w="1586"/>
        <w:gridCol w:w="1740"/>
        <w:gridCol w:w="1718"/>
      </w:tblGrid>
      <w:tr w:rsidR="006D3AD5" w:rsidRPr="00874BFF" w14:paraId="7E456C8F" w14:textId="77777777" w:rsidTr="00443B8F">
        <w:trPr>
          <w:trHeight w:val="20"/>
        </w:trPr>
        <w:tc>
          <w:tcPr>
            <w:tcW w:w="2388" w:type="dxa"/>
            <w:tcBorders>
              <w:top w:val="single" w:sz="4" w:space="0" w:color="002776"/>
              <w:left w:val="single" w:sz="4" w:space="0" w:color="002776"/>
              <w:bottom w:val="nil"/>
              <w:right w:val="nil"/>
            </w:tcBorders>
            <w:shd w:val="clear" w:color="000000" w:fill="002776"/>
            <w:noWrap/>
            <w:vAlign w:val="center"/>
          </w:tcPr>
          <w:p w14:paraId="66AB7FCE" w14:textId="306618D5" w:rsidR="006D3AD5" w:rsidRPr="00874BFF" w:rsidRDefault="006D3AD5" w:rsidP="00443B8F">
            <w:pPr>
              <w:jc w:val="center"/>
              <w:rPr>
                <w:b/>
                <w:bCs/>
                <w:color w:val="FFFFFF"/>
                <w:sz w:val="18"/>
                <w:szCs w:val="18"/>
              </w:rPr>
            </w:pPr>
          </w:p>
        </w:tc>
        <w:tc>
          <w:tcPr>
            <w:tcW w:w="1562" w:type="dxa"/>
            <w:tcBorders>
              <w:top w:val="single" w:sz="4" w:space="0" w:color="002776"/>
              <w:left w:val="nil"/>
              <w:bottom w:val="nil"/>
              <w:right w:val="nil"/>
            </w:tcBorders>
            <w:shd w:val="clear" w:color="000000" w:fill="002776"/>
            <w:noWrap/>
            <w:vAlign w:val="bottom"/>
          </w:tcPr>
          <w:p w14:paraId="5C52ECD5" w14:textId="77777777" w:rsidR="006D3AD5" w:rsidRPr="00874BFF" w:rsidRDefault="006D3AD5" w:rsidP="00443B8F">
            <w:pPr>
              <w:jc w:val="left"/>
              <w:rPr>
                <w:b/>
                <w:bCs/>
                <w:color w:val="FFFFFF"/>
                <w:sz w:val="18"/>
                <w:szCs w:val="18"/>
              </w:rPr>
            </w:pPr>
            <w:r w:rsidRPr="00874BFF">
              <w:rPr>
                <w:b/>
                <w:color w:val="FFFFFF"/>
                <w:sz w:val="18"/>
              </w:rPr>
              <w:t> </w:t>
            </w:r>
          </w:p>
        </w:tc>
        <w:tc>
          <w:tcPr>
            <w:tcW w:w="1570" w:type="dxa"/>
            <w:tcBorders>
              <w:top w:val="single" w:sz="4" w:space="0" w:color="002776"/>
              <w:left w:val="nil"/>
              <w:bottom w:val="nil"/>
              <w:right w:val="nil"/>
            </w:tcBorders>
            <w:shd w:val="clear" w:color="000000" w:fill="002776"/>
            <w:noWrap/>
            <w:vAlign w:val="bottom"/>
          </w:tcPr>
          <w:p w14:paraId="74548FE7" w14:textId="77777777" w:rsidR="006D3AD5" w:rsidRPr="00874BFF" w:rsidRDefault="006D3AD5" w:rsidP="00443B8F">
            <w:pPr>
              <w:jc w:val="left"/>
              <w:rPr>
                <w:b/>
                <w:bCs/>
                <w:color w:val="FFFFFF"/>
                <w:sz w:val="18"/>
                <w:szCs w:val="18"/>
              </w:rPr>
            </w:pPr>
            <w:r w:rsidRPr="00874BFF">
              <w:rPr>
                <w:b/>
                <w:color w:val="FFFFFF"/>
                <w:sz w:val="18"/>
              </w:rPr>
              <w:t> </w:t>
            </w:r>
          </w:p>
        </w:tc>
        <w:tc>
          <w:tcPr>
            <w:tcW w:w="3442" w:type="dxa"/>
            <w:gridSpan w:val="2"/>
            <w:tcBorders>
              <w:top w:val="single" w:sz="4" w:space="0" w:color="002776"/>
              <w:left w:val="nil"/>
              <w:bottom w:val="single" w:sz="4" w:space="0" w:color="FFFFFF"/>
              <w:right w:val="single" w:sz="4" w:space="0" w:color="002776"/>
            </w:tcBorders>
            <w:shd w:val="clear" w:color="000000" w:fill="002776"/>
            <w:vAlign w:val="bottom"/>
          </w:tcPr>
          <w:p w14:paraId="6B2179AA" w14:textId="77777777" w:rsidR="006D3AD5" w:rsidRPr="00874BFF" w:rsidRDefault="006D3AD5" w:rsidP="00443B8F">
            <w:pPr>
              <w:ind w:left="-678"/>
              <w:jc w:val="right"/>
              <w:rPr>
                <w:b/>
                <w:bCs/>
                <w:i/>
                <w:iCs/>
                <w:color w:val="FFFFFF"/>
                <w:sz w:val="18"/>
                <w:szCs w:val="18"/>
              </w:rPr>
            </w:pPr>
            <w:r w:rsidRPr="00874BFF">
              <w:rPr>
                <w:b/>
                <w:i/>
                <w:color w:val="FFFFFF"/>
                <w:sz w:val="18"/>
              </w:rPr>
              <w:t>Investment: CZK 12,500,000</w:t>
            </w:r>
            <w:r w:rsidRPr="00874BFF">
              <w:rPr>
                <w:b/>
                <w:bCs/>
                <w:i/>
                <w:iCs/>
                <w:color w:val="FFFFFF"/>
                <w:sz w:val="18"/>
                <w:szCs w:val="18"/>
              </w:rPr>
              <w:br/>
            </w:r>
            <w:r w:rsidRPr="00874BFF">
              <w:rPr>
                <w:b/>
                <w:i/>
                <w:color w:val="FFFFFF"/>
                <w:sz w:val="18"/>
              </w:rPr>
              <w:t>Annual yield/saving: CZK  2,733,031</w:t>
            </w:r>
            <w:r w:rsidRPr="00874BFF">
              <w:rPr>
                <w:b/>
                <w:bCs/>
                <w:i/>
                <w:iCs/>
                <w:color w:val="FFFFFF"/>
                <w:sz w:val="18"/>
                <w:szCs w:val="18"/>
              </w:rPr>
              <w:br/>
            </w:r>
            <w:r w:rsidRPr="00874BFF">
              <w:rPr>
                <w:b/>
                <w:i/>
                <w:color w:val="FFFFFF"/>
                <w:sz w:val="18"/>
              </w:rPr>
              <w:t xml:space="preserve">Commercial loan – interest rate: 4.0 % soft loan: interest rate: 2.0 % </w:t>
            </w:r>
          </w:p>
        </w:tc>
      </w:tr>
      <w:tr w:rsidR="006D3AD5" w:rsidRPr="00874BFF" w14:paraId="04FFD39B" w14:textId="77777777" w:rsidTr="00443B8F">
        <w:trPr>
          <w:trHeight w:val="20"/>
        </w:trPr>
        <w:tc>
          <w:tcPr>
            <w:tcW w:w="2388" w:type="dxa"/>
            <w:tcBorders>
              <w:top w:val="nil"/>
              <w:left w:val="single" w:sz="4" w:space="0" w:color="002776"/>
              <w:bottom w:val="single" w:sz="4" w:space="0" w:color="002776"/>
              <w:right w:val="nil"/>
            </w:tcBorders>
            <w:shd w:val="clear" w:color="000000" w:fill="002776"/>
            <w:noWrap/>
            <w:vAlign w:val="center"/>
          </w:tcPr>
          <w:p w14:paraId="4862A941" w14:textId="77777777" w:rsidR="006D3AD5" w:rsidRPr="00874BFF" w:rsidRDefault="006D3AD5" w:rsidP="00443B8F">
            <w:pPr>
              <w:jc w:val="left"/>
              <w:rPr>
                <w:b/>
                <w:bCs/>
                <w:color w:val="FFFFFF"/>
                <w:sz w:val="18"/>
                <w:szCs w:val="18"/>
              </w:rPr>
            </w:pPr>
            <w:r w:rsidRPr="00874BFF">
              <w:rPr>
                <w:b/>
                <w:color w:val="FFFFFF"/>
                <w:sz w:val="18"/>
              </w:rPr>
              <w:t> </w:t>
            </w:r>
          </w:p>
        </w:tc>
        <w:tc>
          <w:tcPr>
            <w:tcW w:w="1562" w:type="dxa"/>
            <w:tcBorders>
              <w:top w:val="single" w:sz="4" w:space="0" w:color="FFFFFF"/>
              <w:left w:val="nil"/>
              <w:bottom w:val="single" w:sz="4" w:space="0" w:color="002776"/>
              <w:right w:val="nil"/>
            </w:tcBorders>
            <w:shd w:val="clear" w:color="000000" w:fill="002776"/>
            <w:noWrap/>
            <w:vAlign w:val="center"/>
          </w:tcPr>
          <w:p w14:paraId="0C03ED78" w14:textId="77777777" w:rsidR="006D3AD5" w:rsidRPr="00874BFF" w:rsidRDefault="006D3AD5" w:rsidP="00443B8F">
            <w:pPr>
              <w:jc w:val="center"/>
              <w:rPr>
                <w:b/>
                <w:bCs/>
                <w:color w:val="FFFFFF"/>
                <w:sz w:val="18"/>
                <w:szCs w:val="18"/>
              </w:rPr>
            </w:pPr>
            <w:r w:rsidRPr="00874BFF">
              <w:rPr>
                <w:b/>
                <w:color w:val="FFFFFF"/>
                <w:sz w:val="18"/>
              </w:rPr>
              <w:t>100% market loan</w:t>
            </w:r>
          </w:p>
        </w:tc>
        <w:tc>
          <w:tcPr>
            <w:tcW w:w="1570" w:type="dxa"/>
            <w:tcBorders>
              <w:top w:val="single" w:sz="4" w:space="0" w:color="FFFFFF"/>
              <w:left w:val="nil"/>
              <w:bottom w:val="single" w:sz="4" w:space="0" w:color="002776"/>
              <w:right w:val="nil"/>
            </w:tcBorders>
            <w:shd w:val="clear" w:color="000000" w:fill="002776"/>
            <w:vAlign w:val="center"/>
          </w:tcPr>
          <w:p w14:paraId="0DB9D9AE" w14:textId="77777777" w:rsidR="006D3AD5" w:rsidRPr="00874BFF" w:rsidRDefault="006D3AD5" w:rsidP="00443B8F">
            <w:pPr>
              <w:jc w:val="center"/>
              <w:rPr>
                <w:b/>
                <w:bCs/>
                <w:color w:val="FFFFFF"/>
                <w:sz w:val="18"/>
                <w:szCs w:val="18"/>
              </w:rPr>
            </w:pPr>
            <w:r w:rsidRPr="00874BFF">
              <w:rPr>
                <w:b/>
                <w:color w:val="FFFFFF"/>
                <w:sz w:val="18"/>
              </w:rPr>
              <w:t>50% market loan, 50% subsidy</w:t>
            </w:r>
          </w:p>
        </w:tc>
        <w:tc>
          <w:tcPr>
            <w:tcW w:w="1732" w:type="dxa"/>
            <w:tcBorders>
              <w:top w:val="nil"/>
              <w:left w:val="nil"/>
              <w:bottom w:val="single" w:sz="4" w:space="0" w:color="002776"/>
              <w:right w:val="nil"/>
            </w:tcBorders>
            <w:shd w:val="clear" w:color="000000" w:fill="002776"/>
            <w:vAlign w:val="center"/>
          </w:tcPr>
          <w:p w14:paraId="2DE0ADD2" w14:textId="77777777" w:rsidR="006D3AD5" w:rsidRPr="00874BFF" w:rsidRDefault="006D3AD5" w:rsidP="00443B8F">
            <w:pPr>
              <w:jc w:val="center"/>
              <w:rPr>
                <w:b/>
                <w:bCs/>
                <w:color w:val="FFFFFF"/>
                <w:sz w:val="18"/>
                <w:szCs w:val="18"/>
              </w:rPr>
            </w:pPr>
            <w:r w:rsidRPr="00874BFF">
              <w:rPr>
                <w:b/>
                <w:color w:val="FFFFFF"/>
                <w:sz w:val="18"/>
              </w:rPr>
              <w:t>20% subsidy, 80% soft loan</w:t>
            </w:r>
          </w:p>
        </w:tc>
        <w:tc>
          <w:tcPr>
            <w:tcW w:w="1710" w:type="dxa"/>
            <w:tcBorders>
              <w:top w:val="nil"/>
              <w:left w:val="nil"/>
              <w:bottom w:val="single" w:sz="4" w:space="0" w:color="002776"/>
              <w:right w:val="single" w:sz="4" w:space="0" w:color="002776"/>
            </w:tcBorders>
            <w:shd w:val="clear" w:color="000000" w:fill="002776"/>
            <w:vAlign w:val="center"/>
          </w:tcPr>
          <w:p w14:paraId="1F792151" w14:textId="77777777" w:rsidR="006D3AD5" w:rsidRPr="00874BFF" w:rsidRDefault="006D3AD5" w:rsidP="00443B8F">
            <w:pPr>
              <w:jc w:val="center"/>
              <w:rPr>
                <w:b/>
                <w:bCs/>
                <w:color w:val="FFFFFF"/>
                <w:sz w:val="18"/>
                <w:szCs w:val="18"/>
              </w:rPr>
            </w:pPr>
            <w:r w:rsidRPr="00874BFF">
              <w:rPr>
                <w:b/>
                <w:color w:val="FFFFFF"/>
                <w:sz w:val="18"/>
              </w:rPr>
              <w:t>100 % soft loan</w:t>
            </w:r>
          </w:p>
        </w:tc>
      </w:tr>
      <w:tr w:rsidR="006D3AD5" w:rsidRPr="00874BFF" w14:paraId="43AA6930" w14:textId="77777777" w:rsidTr="00443B8F">
        <w:trPr>
          <w:trHeight w:val="20"/>
        </w:trPr>
        <w:tc>
          <w:tcPr>
            <w:tcW w:w="2388" w:type="dxa"/>
            <w:tcBorders>
              <w:top w:val="nil"/>
              <w:left w:val="single" w:sz="4" w:space="0" w:color="002776"/>
              <w:bottom w:val="single" w:sz="4" w:space="0" w:color="002776"/>
              <w:right w:val="nil"/>
            </w:tcBorders>
            <w:noWrap/>
            <w:vAlign w:val="center"/>
          </w:tcPr>
          <w:p w14:paraId="6565971B" w14:textId="77777777" w:rsidR="006D3AD5" w:rsidRPr="00874BFF" w:rsidRDefault="006D3AD5" w:rsidP="00443B8F">
            <w:pPr>
              <w:jc w:val="left"/>
              <w:rPr>
                <w:color w:val="000000"/>
                <w:sz w:val="18"/>
                <w:szCs w:val="18"/>
              </w:rPr>
            </w:pPr>
            <w:r w:rsidRPr="00874BFF">
              <w:rPr>
                <w:color w:val="000000"/>
                <w:sz w:val="18"/>
              </w:rPr>
              <w:t>Internal rate of return (IRR)</w:t>
            </w:r>
          </w:p>
        </w:tc>
        <w:tc>
          <w:tcPr>
            <w:tcW w:w="1562" w:type="dxa"/>
            <w:tcBorders>
              <w:top w:val="nil"/>
              <w:left w:val="nil"/>
              <w:bottom w:val="single" w:sz="4" w:space="0" w:color="002776"/>
              <w:right w:val="nil"/>
            </w:tcBorders>
            <w:noWrap/>
            <w:vAlign w:val="center"/>
          </w:tcPr>
          <w:p w14:paraId="0562D0B0" w14:textId="77777777" w:rsidR="006D3AD5" w:rsidRPr="00874BFF" w:rsidRDefault="006D3AD5" w:rsidP="00443B8F">
            <w:pPr>
              <w:jc w:val="center"/>
              <w:rPr>
                <w:color w:val="000000"/>
                <w:sz w:val="18"/>
                <w:szCs w:val="18"/>
              </w:rPr>
            </w:pPr>
            <w:r w:rsidRPr="00874BFF">
              <w:t>11.93%</w:t>
            </w:r>
          </w:p>
        </w:tc>
        <w:tc>
          <w:tcPr>
            <w:tcW w:w="1570" w:type="dxa"/>
            <w:tcBorders>
              <w:top w:val="nil"/>
              <w:left w:val="nil"/>
              <w:bottom w:val="single" w:sz="4" w:space="0" w:color="002776"/>
              <w:right w:val="nil"/>
            </w:tcBorders>
            <w:noWrap/>
            <w:vAlign w:val="center"/>
          </w:tcPr>
          <w:p w14:paraId="3AEC964D" w14:textId="77777777" w:rsidR="006D3AD5" w:rsidRPr="00874BFF" w:rsidRDefault="006D3AD5" w:rsidP="00443B8F">
            <w:pPr>
              <w:jc w:val="center"/>
              <w:rPr>
                <w:color w:val="000000"/>
                <w:sz w:val="18"/>
                <w:szCs w:val="18"/>
              </w:rPr>
            </w:pPr>
            <w:r w:rsidRPr="00874BFF">
              <w:t>39.47%</w:t>
            </w:r>
          </w:p>
        </w:tc>
        <w:tc>
          <w:tcPr>
            <w:tcW w:w="1732" w:type="dxa"/>
            <w:tcBorders>
              <w:top w:val="nil"/>
              <w:left w:val="nil"/>
              <w:bottom w:val="single" w:sz="4" w:space="0" w:color="002776"/>
              <w:right w:val="nil"/>
            </w:tcBorders>
            <w:noWrap/>
            <w:vAlign w:val="center"/>
          </w:tcPr>
          <w:p w14:paraId="214EE1D0" w14:textId="77777777" w:rsidR="006D3AD5" w:rsidRPr="00874BFF" w:rsidRDefault="006D3AD5" w:rsidP="00443B8F">
            <w:pPr>
              <w:jc w:val="center"/>
              <w:rPr>
                <w:color w:val="000000"/>
                <w:sz w:val="18"/>
                <w:szCs w:val="18"/>
              </w:rPr>
            </w:pPr>
            <w:r w:rsidRPr="00874BFF">
              <w:t>19.46%</w:t>
            </w:r>
          </w:p>
        </w:tc>
        <w:tc>
          <w:tcPr>
            <w:tcW w:w="1710" w:type="dxa"/>
            <w:tcBorders>
              <w:top w:val="nil"/>
              <w:left w:val="nil"/>
              <w:bottom w:val="single" w:sz="4" w:space="0" w:color="002776"/>
              <w:right w:val="single" w:sz="4" w:space="0" w:color="002776"/>
            </w:tcBorders>
            <w:noWrap/>
            <w:vAlign w:val="center"/>
          </w:tcPr>
          <w:p w14:paraId="6A39BA3B" w14:textId="77777777" w:rsidR="006D3AD5" w:rsidRPr="00874BFF" w:rsidRDefault="006D3AD5" w:rsidP="00443B8F">
            <w:pPr>
              <w:jc w:val="center"/>
              <w:rPr>
                <w:color w:val="000000"/>
                <w:sz w:val="18"/>
                <w:szCs w:val="18"/>
              </w:rPr>
            </w:pPr>
            <w:r w:rsidRPr="00874BFF">
              <w:t>11.93%</w:t>
            </w:r>
          </w:p>
        </w:tc>
      </w:tr>
      <w:tr w:rsidR="006D3AD5" w:rsidRPr="00874BFF" w14:paraId="23D0582F" w14:textId="77777777" w:rsidTr="00443B8F">
        <w:trPr>
          <w:trHeight w:val="20"/>
        </w:trPr>
        <w:tc>
          <w:tcPr>
            <w:tcW w:w="2388" w:type="dxa"/>
            <w:tcBorders>
              <w:top w:val="nil"/>
              <w:left w:val="single" w:sz="4" w:space="0" w:color="002776"/>
              <w:bottom w:val="single" w:sz="4" w:space="0" w:color="002776"/>
              <w:right w:val="nil"/>
            </w:tcBorders>
            <w:noWrap/>
            <w:vAlign w:val="center"/>
          </w:tcPr>
          <w:p w14:paraId="7B9224A9" w14:textId="77777777" w:rsidR="006D3AD5" w:rsidRPr="00874BFF" w:rsidRDefault="006D3AD5" w:rsidP="00443B8F">
            <w:pPr>
              <w:jc w:val="left"/>
              <w:rPr>
                <w:color w:val="000000"/>
                <w:sz w:val="18"/>
                <w:szCs w:val="18"/>
              </w:rPr>
            </w:pPr>
            <w:r w:rsidRPr="00874BFF">
              <w:rPr>
                <w:color w:val="000000"/>
                <w:sz w:val="18"/>
              </w:rPr>
              <w:t>Net present value (NPV in CZK)</w:t>
            </w:r>
          </w:p>
        </w:tc>
        <w:tc>
          <w:tcPr>
            <w:tcW w:w="1562" w:type="dxa"/>
            <w:tcBorders>
              <w:top w:val="nil"/>
              <w:left w:val="nil"/>
              <w:bottom w:val="single" w:sz="4" w:space="0" w:color="002776"/>
              <w:right w:val="nil"/>
            </w:tcBorders>
            <w:noWrap/>
            <w:vAlign w:val="center"/>
          </w:tcPr>
          <w:p w14:paraId="30955983" w14:textId="77777777" w:rsidR="006D3AD5" w:rsidRPr="00874BFF" w:rsidRDefault="006D3AD5" w:rsidP="00443B8F">
            <w:pPr>
              <w:jc w:val="center"/>
              <w:rPr>
                <w:color w:val="000000"/>
                <w:sz w:val="18"/>
                <w:szCs w:val="18"/>
              </w:rPr>
            </w:pPr>
            <w:r w:rsidRPr="00874BFF">
              <w:t>3,753,655</w:t>
            </w:r>
          </w:p>
        </w:tc>
        <w:tc>
          <w:tcPr>
            <w:tcW w:w="1570" w:type="dxa"/>
            <w:tcBorders>
              <w:top w:val="nil"/>
              <w:left w:val="nil"/>
              <w:bottom w:val="single" w:sz="4" w:space="0" w:color="002776"/>
              <w:right w:val="nil"/>
            </w:tcBorders>
            <w:noWrap/>
            <w:vAlign w:val="center"/>
          </w:tcPr>
          <w:p w14:paraId="6C97C2A4" w14:textId="77777777" w:rsidR="006D3AD5" w:rsidRPr="00874BFF" w:rsidRDefault="006D3AD5" w:rsidP="00443B8F">
            <w:pPr>
              <w:jc w:val="center"/>
              <w:rPr>
                <w:color w:val="000000"/>
                <w:sz w:val="18"/>
                <w:szCs w:val="18"/>
              </w:rPr>
            </w:pPr>
            <w:r w:rsidRPr="00874BFF">
              <w:t>9,763,271</w:t>
            </w:r>
          </w:p>
        </w:tc>
        <w:tc>
          <w:tcPr>
            <w:tcW w:w="1732" w:type="dxa"/>
            <w:tcBorders>
              <w:top w:val="nil"/>
              <w:left w:val="nil"/>
              <w:bottom w:val="single" w:sz="4" w:space="0" w:color="002776"/>
              <w:right w:val="nil"/>
            </w:tcBorders>
            <w:noWrap/>
            <w:vAlign w:val="center"/>
          </w:tcPr>
          <w:p w14:paraId="1512F56F" w14:textId="77777777" w:rsidR="006D3AD5" w:rsidRPr="00874BFF" w:rsidRDefault="006D3AD5" w:rsidP="00443B8F">
            <w:pPr>
              <w:jc w:val="center"/>
              <w:rPr>
                <w:color w:val="000000"/>
                <w:sz w:val="18"/>
                <w:szCs w:val="18"/>
              </w:rPr>
            </w:pPr>
            <w:r w:rsidRPr="00874BFF">
              <w:t>7,537,404</w:t>
            </w:r>
          </w:p>
        </w:tc>
        <w:tc>
          <w:tcPr>
            <w:tcW w:w="1710" w:type="dxa"/>
            <w:tcBorders>
              <w:top w:val="nil"/>
              <w:left w:val="nil"/>
              <w:bottom w:val="single" w:sz="4" w:space="0" w:color="002776"/>
              <w:right w:val="single" w:sz="4" w:space="0" w:color="002776"/>
            </w:tcBorders>
            <w:noWrap/>
            <w:vAlign w:val="center"/>
          </w:tcPr>
          <w:p w14:paraId="135E4D83" w14:textId="77777777" w:rsidR="006D3AD5" w:rsidRPr="00874BFF" w:rsidRDefault="006D3AD5" w:rsidP="00443B8F">
            <w:pPr>
              <w:jc w:val="center"/>
              <w:rPr>
                <w:color w:val="000000"/>
                <w:sz w:val="18"/>
                <w:szCs w:val="18"/>
              </w:rPr>
            </w:pPr>
            <w:r w:rsidRPr="00874BFF">
              <w:t>5,086,424</w:t>
            </w:r>
          </w:p>
        </w:tc>
      </w:tr>
      <w:tr w:rsidR="006D3AD5" w:rsidRPr="00874BFF" w14:paraId="5BA536A6" w14:textId="77777777" w:rsidTr="00443B8F">
        <w:trPr>
          <w:trHeight w:val="20"/>
        </w:trPr>
        <w:tc>
          <w:tcPr>
            <w:tcW w:w="2388" w:type="dxa"/>
            <w:tcBorders>
              <w:top w:val="nil"/>
              <w:left w:val="single" w:sz="4" w:space="0" w:color="002776"/>
              <w:bottom w:val="single" w:sz="4" w:space="0" w:color="002776"/>
              <w:right w:val="nil"/>
            </w:tcBorders>
            <w:noWrap/>
            <w:vAlign w:val="center"/>
          </w:tcPr>
          <w:p w14:paraId="0AD3C264" w14:textId="77777777" w:rsidR="006D3AD5" w:rsidRPr="00874BFF" w:rsidRDefault="006D3AD5" w:rsidP="00443B8F">
            <w:pPr>
              <w:jc w:val="left"/>
              <w:rPr>
                <w:color w:val="000000"/>
                <w:sz w:val="18"/>
                <w:szCs w:val="18"/>
              </w:rPr>
            </w:pPr>
            <w:r w:rsidRPr="00874BFF">
              <w:rPr>
                <w:color w:val="000000"/>
                <w:sz w:val="18"/>
              </w:rPr>
              <w:t>Simple payback period (years)</w:t>
            </w:r>
          </w:p>
        </w:tc>
        <w:tc>
          <w:tcPr>
            <w:tcW w:w="1562" w:type="dxa"/>
            <w:tcBorders>
              <w:top w:val="nil"/>
              <w:left w:val="nil"/>
              <w:bottom w:val="single" w:sz="4" w:space="0" w:color="002776"/>
              <w:right w:val="nil"/>
            </w:tcBorders>
            <w:noWrap/>
            <w:vAlign w:val="center"/>
          </w:tcPr>
          <w:p w14:paraId="78D53C75" w14:textId="77777777" w:rsidR="006D3AD5" w:rsidRPr="00874BFF" w:rsidRDefault="006D3AD5" w:rsidP="00443B8F">
            <w:pPr>
              <w:jc w:val="center"/>
              <w:rPr>
                <w:color w:val="000000"/>
                <w:sz w:val="18"/>
                <w:szCs w:val="18"/>
              </w:rPr>
            </w:pPr>
            <w:r w:rsidRPr="00874BFF">
              <w:t>4.57</w:t>
            </w:r>
          </w:p>
        </w:tc>
        <w:tc>
          <w:tcPr>
            <w:tcW w:w="1570" w:type="dxa"/>
            <w:tcBorders>
              <w:top w:val="nil"/>
              <w:left w:val="nil"/>
              <w:bottom w:val="single" w:sz="4" w:space="0" w:color="002776"/>
              <w:right w:val="nil"/>
            </w:tcBorders>
            <w:noWrap/>
            <w:vAlign w:val="center"/>
          </w:tcPr>
          <w:p w14:paraId="277D554F" w14:textId="77777777" w:rsidR="006D3AD5" w:rsidRPr="00874BFF" w:rsidRDefault="006D3AD5" w:rsidP="00443B8F">
            <w:pPr>
              <w:jc w:val="center"/>
              <w:rPr>
                <w:color w:val="000000"/>
                <w:sz w:val="18"/>
                <w:szCs w:val="18"/>
              </w:rPr>
            </w:pPr>
            <w:r w:rsidRPr="00874BFF">
              <w:t>2.29</w:t>
            </w:r>
          </w:p>
        </w:tc>
        <w:tc>
          <w:tcPr>
            <w:tcW w:w="1732" w:type="dxa"/>
            <w:tcBorders>
              <w:top w:val="nil"/>
              <w:left w:val="nil"/>
              <w:bottom w:val="single" w:sz="4" w:space="0" w:color="002776"/>
              <w:right w:val="nil"/>
            </w:tcBorders>
            <w:noWrap/>
            <w:vAlign w:val="center"/>
          </w:tcPr>
          <w:p w14:paraId="0E3E7478" w14:textId="77777777" w:rsidR="006D3AD5" w:rsidRPr="00874BFF" w:rsidRDefault="006D3AD5" w:rsidP="00443B8F">
            <w:pPr>
              <w:jc w:val="center"/>
              <w:rPr>
                <w:color w:val="000000"/>
                <w:sz w:val="18"/>
                <w:szCs w:val="18"/>
              </w:rPr>
            </w:pPr>
            <w:r w:rsidRPr="00874BFF">
              <w:t>3.66</w:t>
            </w:r>
          </w:p>
        </w:tc>
        <w:tc>
          <w:tcPr>
            <w:tcW w:w="1710" w:type="dxa"/>
            <w:tcBorders>
              <w:top w:val="nil"/>
              <w:left w:val="nil"/>
              <w:bottom w:val="single" w:sz="4" w:space="0" w:color="002776"/>
              <w:right w:val="single" w:sz="4" w:space="0" w:color="002776"/>
            </w:tcBorders>
            <w:noWrap/>
            <w:vAlign w:val="center"/>
          </w:tcPr>
          <w:p w14:paraId="0D06DEFD" w14:textId="77777777" w:rsidR="006D3AD5" w:rsidRPr="00874BFF" w:rsidRDefault="006D3AD5" w:rsidP="00443B8F">
            <w:pPr>
              <w:jc w:val="center"/>
              <w:rPr>
                <w:color w:val="000000"/>
                <w:sz w:val="18"/>
                <w:szCs w:val="18"/>
              </w:rPr>
            </w:pPr>
            <w:r w:rsidRPr="00874BFF">
              <w:t>4.57</w:t>
            </w:r>
          </w:p>
        </w:tc>
      </w:tr>
      <w:tr w:rsidR="006D3AD5" w:rsidRPr="00874BFF" w14:paraId="13AAC2F0" w14:textId="77777777" w:rsidTr="00443B8F">
        <w:trPr>
          <w:trHeight w:val="20"/>
        </w:trPr>
        <w:tc>
          <w:tcPr>
            <w:tcW w:w="2388" w:type="dxa"/>
            <w:tcBorders>
              <w:top w:val="nil"/>
              <w:left w:val="single" w:sz="4" w:space="0" w:color="002776"/>
              <w:bottom w:val="single" w:sz="4" w:space="0" w:color="002776"/>
              <w:right w:val="nil"/>
            </w:tcBorders>
            <w:noWrap/>
            <w:vAlign w:val="center"/>
          </w:tcPr>
          <w:p w14:paraId="6C2E549F" w14:textId="77777777" w:rsidR="006D3AD5" w:rsidRPr="00874BFF" w:rsidRDefault="006D3AD5" w:rsidP="00443B8F">
            <w:pPr>
              <w:jc w:val="left"/>
              <w:rPr>
                <w:color w:val="000000"/>
                <w:sz w:val="18"/>
                <w:szCs w:val="18"/>
              </w:rPr>
            </w:pPr>
            <w:r w:rsidRPr="00874BFF">
              <w:rPr>
                <w:color w:val="000000"/>
                <w:sz w:val="18"/>
              </w:rPr>
              <w:t>Discounted payback period (years)</w:t>
            </w:r>
          </w:p>
        </w:tc>
        <w:tc>
          <w:tcPr>
            <w:tcW w:w="1562" w:type="dxa"/>
            <w:tcBorders>
              <w:top w:val="nil"/>
              <w:left w:val="nil"/>
              <w:bottom w:val="single" w:sz="4" w:space="0" w:color="002776"/>
              <w:right w:val="nil"/>
            </w:tcBorders>
            <w:noWrap/>
            <w:vAlign w:val="center"/>
          </w:tcPr>
          <w:p w14:paraId="48713B31" w14:textId="77777777" w:rsidR="006D3AD5" w:rsidRPr="00874BFF" w:rsidRDefault="006D3AD5" w:rsidP="00443B8F">
            <w:pPr>
              <w:jc w:val="center"/>
              <w:rPr>
                <w:color w:val="000000"/>
                <w:sz w:val="18"/>
                <w:szCs w:val="18"/>
              </w:rPr>
            </w:pPr>
            <w:r w:rsidRPr="00874BFF">
              <w:t>5.2</w:t>
            </w:r>
          </w:p>
        </w:tc>
        <w:tc>
          <w:tcPr>
            <w:tcW w:w="1570" w:type="dxa"/>
            <w:tcBorders>
              <w:top w:val="nil"/>
              <w:left w:val="nil"/>
              <w:bottom w:val="single" w:sz="4" w:space="0" w:color="002776"/>
              <w:right w:val="nil"/>
            </w:tcBorders>
            <w:noWrap/>
            <w:vAlign w:val="center"/>
          </w:tcPr>
          <w:p w14:paraId="3AF8A224" w14:textId="77777777" w:rsidR="006D3AD5" w:rsidRPr="00874BFF" w:rsidRDefault="006D3AD5" w:rsidP="00443B8F">
            <w:pPr>
              <w:jc w:val="center"/>
              <w:rPr>
                <w:color w:val="000000"/>
                <w:sz w:val="18"/>
                <w:szCs w:val="18"/>
              </w:rPr>
            </w:pPr>
            <w:r w:rsidRPr="00874BFF">
              <w:t>2.5</w:t>
            </w:r>
          </w:p>
        </w:tc>
        <w:tc>
          <w:tcPr>
            <w:tcW w:w="1732" w:type="dxa"/>
            <w:tcBorders>
              <w:top w:val="nil"/>
              <w:left w:val="nil"/>
              <w:bottom w:val="single" w:sz="4" w:space="0" w:color="002776"/>
              <w:right w:val="nil"/>
            </w:tcBorders>
            <w:noWrap/>
            <w:vAlign w:val="center"/>
          </w:tcPr>
          <w:p w14:paraId="6F7102A9" w14:textId="77777777" w:rsidR="006D3AD5" w:rsidRPr="00874BFF" w:rsidRDefault="006D3AD5" w:rsidP="00443B8F">
            <w:pPr>
              <w:jc w:val="center"/>
              <w:rPr>
                <w:color w:val="000000"/>
                <w:sz w:val="18"/>
                <w:szCs w:val="18"/>
              </w:rPr>
            </w:pPr>
            <w:r w:rsidRPr="00874BFF">
              <w:t>3.8</w:t>
            </w:r>
          </w:p>
        </w:tc>
        <w:tc>
          <w:tcPr>
            <w:tcW w:w="1710" w:type="dxa"/>
            <w:tcBorders>
              <w:top w:val="nil"/>
              <w:left w:val="nil"/>
              <w:bottom w:val="single" w:sz="4" w:space="0" w:color="002776"/>
              <w:right w:val="single" w:sz="4" w:space="0" w:color="002776"/>
            </w:tcBorders>
            <w:noWrap/>
            <w:vAlign w:val="center"/>
          </w:tcPr>
          <w:p w14:paraId="5D800774" w14:textId="77777777" w:rsidR="006D3AD5" w:rsidRPr="00874BFF" w:rsidRDefault="006D3AD5" w:rsidP="00443B8F">
            <w:pPr>
              <w:keepNext/>
              <w:jc w:val="center"/>
              <w:rPr>
                <w:color w:val="000000"/>
                <w:sz w:val="18"/>
                <w:szCs w:val="18"/>
              </w:rPr>
            </w:pPr>
            <w:r w:rsidRPr="00874BFF">
              <w:t>4.85</w:t>
            </w:r>
          </w:p>
        </w:tc>
      </w:tr>
    </w:tbl>
    <w:p w14:paraId="190523D7" w14:textId="57D378CC" w:rsidR="006D3AD5" w:rsidRPr="00874BFF" w:rsidRDefault="006D3AD5" w:rsidP="006D3AD5">
      <w:pPr>
        <w:pStyle w:val="Titulek"/>
        <w:jc w:val="center"/>
      </w:pPr>
      <w:r w:rsidRPr="00874BFF">
        <w:t xml:space="preserve">Table </w:t>
      </w:r>
      <w:r w:rsidR="007C6DD6">
        <w:t>11</w:t>
      </w:r>
      <w:r w:rsidRPr="00874BFF">
        <w:t xml:space="preserve"> – Impact of the support on the project economy</w:t>
      </w:r>
    </w:p>
    <w:p w14:paraId="753CC0D9" w14:textId="77777777" w:rsidR="006D3AD5" w:rsidRPr="00874BFF" w:rsidRDefault="006D3AD5" w:rsidP="006D3AD5"/>
    <w:p w14:paraId="56B1B3E3" w14:textId="20A3B544" w:rsidR="008D2B99" w:rsidRPr="00257FE3" w:rsidRDefault="008D2B99" w:rsidP="008D2B99">
      <w:pPr>
        <w:rPr>
          <w:color w:val="000000" w:themeColor="text1"/>
          <w:lang w:val="en-US"/>
        </w:rPr>
      </w:pPr>
      <w:r w:rsidRPr="00257FE3">
        <w:rPr>
          <w:color w:val="000000" w:themeColor="text1"/>
          <w:lang w:val="en-US"/>
        </w:rPr>
        <w:t xml:space="preserve">The project shows relatively short assumed </w:t>
      </w:r>
      <w:r w:rsidR="008C457B">
        <w:rPr>
          <w:color w:val="000000" w:themeColor="text1"/>
          <w:lang w:val="en-US"/>
        </w:rPr>
        <w:t>payback</w:t>
      </w:r>
      <w:r w:rsidRPr="00257FE3">
        <w:rPr>
          <w:color w:val="000000" w:themeColor="text1"/>
          <w:lang w:val="en-US"/>
        </w:rPr>
        <w:t xml:space="preserve"> period and high profitability, therefore the grant support does not seem to be appropriate. In this case the guarantee support with partial conditional interest payments is appropriate the solution with regard to the risk of the project and the access to </w:t>
      </w:r>
      <w:r w:rsidRPr="00257FE3">
        <w:rPr>
          <w:color w:val="000000" w:themeColor="text1"/>
          <w:lang w:val="en-US"/>
        </w:rPr>
        <w:lastRenderedPageBreak/>
        <w:t>the funding. However, the success is depending on generated expenditures in next few years and on credit reimbursement. For an early stage enterprise, reimbursement can represent considerable burden considering the uncertainty of the revenues. Venture capital might be considered as an alternative too, however, the relatively low level of profitability and growth compared to the requirements of investors could become an obstacle.</w:t>
      </w:r>
    </w:p>
    <w:p w14:paraId="63C250D7" w14:textId="77777777" w:rsidR="006D3AD5" w:rsidRPr="00874BFF" w:rsidRDefault="006D3AD5" w:rsidP="006D3AD5">
      <w:pPr>
        <w:pStyle w:val="Nadpis4"/>
        <w:rPr>
          <w:rFonts w:ascii="Calibri" w:hAnsi="Calibri"/>
        </w:rPr>
      </w:pPr>
      <w:r w:rsidRPr="00874BFF">
        <w:rPr>
          <w:rFonts w:ascii="Calibri" w:hAnsi="Calibri"/>
        </w:rPr>
        <w:t>Added value of the financial instrument, problems, risks and comparison with other forms of support</w:t>
      </w:r>
    </w:p>
    <w:p w14:paraId="30A4222C" w14:textId="77777777" w:rsidR="006D3AD5" w:rsidRPr="00874BFF" w:rsidRDefault="006D3AD5" w:rsidP="006D3AD5">
      <w:r w:rsidRPr="00874BFF">
        <w:t>The tables below show an overview of added value, problems and risks from the point of view of the final recipient and the MA (Table 2) and in terms of the overall impact on absorption capacity and achievement of the objectives  in SO 1.1 with attention paid to impacts on the market environment. Comparisons are made of the planned instruments using guarantees, soft loans and subsidies.</w:t>
      </w:r>
    </w:p>
    <w:p w14:paraId="23BFB233" w14:textId="77777777" w:rsidR="006D3AD5" w:rsidRPr="00874BFF" w:rsidRDefault="006D3AD5" w:rsidP="006D3AD5"/>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960"/>
        <w:gridCol w:w="2414"/>
        <w:gridCol w:w="2330"/>
        <w:gridCol w:w="2330"/>
      </w:tblGrid>
      <w:tr w:rsidR="006D3AD5" w:rsidRPr="00874BFF" w14:paraId="33673958" w14:textId="77777777" w:rsidTr="00443B8F">
        <w:trPr>
          <w:trHeight w:val="315"/>
        </w:trPr>
        <w:tc>
          <w:tcPr>
            <w:tcW w:w="960" w:type="dxa"/>
            <w:shd w:val="clear" w:color="auto" w:fill="365F91"/>
            <w:noWrap/>
          </w:tcPr>
          <w:p w14:paraId="0C241B8F" w14:textId="77777777" w:rsidR="006D3AD5" w:rsidRPr="00874BFF" w:rsidRDefault="006D3AD5" w:rsidP="00443B8F">
            <w:pPr>
              <w:jc w:val="left"/>
              <w:rPr>
                <w:sz w:val="24"/>
                <w:szCs w:val="24"/>
              </w:rPr>
            </w:pPr>
          </w:p>
        </w:tc>
        <w:tc>
          <w:tcPr>
            <w:tcW w:w="960" w:type="dxa"/>
            <w:shd w:val="clear" w:color="auto" w:fill="365F91"/>
            <w:noWrap/>
          </w:tcPr>
          <w:p w14:paraId="6041E5EF" w14:textId="77777777" w:rsidR="006D3AD5" w:rsidRPr="00874BFF" w:rsidRDefault="006D3AD5" w:rsidP="00443B8F">
            <w:pPr>
              <w:jc w:val="left"/>
              <w:rPr>
                <w:color w:val="000000"/>
                <w:sz w:val="24"/>
                <w:szCs w:val="24"/>
              </w:rPr>
            </w:pPr>
            <w:r w:rsidRPr="00874BFF">
              <w:rPr>
                <w:color w:val="000000"/>
                <w:sz w:val="24"/>
              </w:rPr>
              <w:t> </w:t>
            </w:r>
          </w:p>
        </w:tc>
        <w:tc>
          <w:tcPr>
            <w:tcW w:w="4744" w:type="dxa"/>
            <w:gridSpan w:val="2"/>
            <w:shd w:val="clear" w:color="auto" w:fill="365F91"/>
            <w:noWrap/>
          </w:tcPr>
          <w:p w14:paraId="5B1EE960" w14:textId="77777777" w:rsidR="006D3AD5" w:rsidRPr="00874BFF" w:rsidRDefault="006D3AD5" w:rsidP="00443B8F">
            <w:pPr>
              <w:jc w:val="center"/>
              <w:rPr>
                <w:b/>
                <w:bCs/>
                <w:color w:val="FFFFFF"/>
                <w:sz w:val="24"/>
                <w:szCs w:val="24"/>
              </w:rPr>
            </w:pPr>
            <w:r w:rsidRPr="00874BFF">
              <w:rPr>
                <w:b/>
                <w:color w:val="FFFFFF"/>
                <w:sz w:val="24"/>
              </w:rPr>
              <w:t>Financial instrument</w:t>
            </w:r>
          </w:p>
        </w:tc>
        <w:tc>
          <w:tcPr>
            <w:tcW w:w="2330" w:type="dxa"/>
            <w:shd w:val="clear" w:color="auto" w:fill="365F91"/>
          </w:tcPr>
          <w:p w14:paraId="4BEBE2C3" w14:textId="77777777" w:rsidR="006D3AD5" w:rsidRPr="00874BFF" w:rsidRDefault="006D3AD5" w:rsidP="00443B8F">
            <w:pPr>
              <w:jc w:val="center"/>
              <w:rPr>
                <w:b/>
                <w:bCs/>
                <w:color w:val="FFFFFF"/>
                <w:sz w:val="24"/>
                <w:szCs w:val="24"/>
              </w:rPr>
            </w:pPr>
            <w:r w:rsidRPr="00874BFF">
              <w:rPr>
                <w:b/>
                <w:color w:val="FFFFFF"/>
                <w:sz w:val="24"/>
              </w:rPr>
              <w:t>Subsidy</w:t>
            </w:r>
          </w:p>
        </w:tc>
      </w:tr>
      <w:tr w:rsidR="006D3AD5" w:rsidRPr="00874BFF" w14:paraId="244C9F58" w14:textId="77777777" w:rsidTr="00443B8F">
        <w:trPr>
          <w:trHeight w:val="315"/>
        </w:trPr>
        <w:tc>
          <w:tcPr>
            <w:tcW w:w="960" w:type="dxa"/>
            <w:shd w:val="clear" w:color="auto" w:fill="365F91"/>
            <w:noWrap/>
          </w:tcPr>
          <w:p w14:paraId="1A0FAB08" w14:textId="77777777" w:rsidR="006D3AD5" w:rsidRPr="00874BFF" w:rsidRDefault="006D3AD5" w:rsidP="00443B8F">
            <w:pPr>
              <w:jc w:val="center"/>
              <w:rPr>
                <w:b/>
                <w:bCs/>
                <w:color w:val="000000"/>
                <w:sz w:val="24"/>
                <w:szCs w:val="24"/>
              </w:rPr>
            </w:pPr>
          </w:p>
        </w:tc>
        <w:tc>
          <w:tcPr>
            <w:tcW w:w="960" w:type="dxa"/>
            <w:shd w:val="clear" w:color="auto" w:fill="365F91"/>
            <w:noWrap/>
          </w:tcPr>
          <w:p w14:paraId="6620FF03" w14:textId="77777777" w:rsidR="006D3AD5" w:rsidRPr="00874BFF" w:rsidRDefault="006D3AD5" w:rsidP="00443B8F">
            <w:pPr>
              <w:jc w:val="left"/>
              <w:rPr>
                <w:color w:val="000000"/>
                <w:sz w:val="24"/>
                <w:szCs w:val="24"/>
              </w:rPr>
            </w:pPr>
            <w:r w:rsidRPr="00874BFF">
              <w:rPr>
                <w:color w:val="000000"/>
                <w:sz w:val="24"/>
              </w:rPr>
              <w:t> </w:t>
            </w:r>
          </w:p>
        </w:tc>
        <w:tc>
          <w:tcPr>
            <w:tcW w:w="2414" w:type="dxa"/>
            <w:shd w:val="clear" w:color="auto" w:fill="365F91"/>
          </w:tcPr>
          <w:p w14:paraId="1AE3FD45" w14:textId="77777777" w:rsidR="006D3AD5" w:rsidRPr="00874BFF" w:rsidRDefault="006D3AD5" w:rsidP="00443B8F">
            <w:pPr>
              <w:jc w:val="center"/>
              <w:rPr>
                <w:b/>
                <w:bCs/>
                <w:color w:val="FFFFFF"/>
                <w:sz w:val="24"/>
                <w:szCs w:val="24"/>
              </w:rPr>
            </w:pPr>
            <w:r w:rsidRPr="00874BFF">
              <w:rPr>
                <w:b/>
                <w:color w:val="FFFFFF"/>
                <w:sz w:val="24"/>
              </w:rPr>
              <w:t>Guarantee instrument</w:t>
            </w:r>
          </w:p>
        </w:tc>
        <w:tc>
          <w:tcPr>
            <w:tcW w:w="2330" w:type="dxa"/>
            <w:shd w:val="clear" w:color="auto" w:fill="365F91"/>
          </w:tcPr>
          <w:p w14:paraId="3777F81D" w14:textId="77777777" w:rsidR="006D3AD5" w:rsidRPr="00874BFF" w:rsidRDefault="006D3AD5" w:rsidP="00443B8F">
            <w:pPr>
              <w:jc w:val="center"/>
              <w:rPr>
                <w:b/>
                <w:bCs/>
                <w:color w:val="FFFFFF"/>
                <w:sz w:val="24"/>
                <w:szCs w:val="24"/>
              </w:rPr>
            </w:pPr>
            <w:r w:rsidRPr="00874BFF">
              <w:rPr>
                <w:b/>
                <w:color w:val="FFFFFF"/>
                <w:sz w:val="24"/>
              </w:rPr>
              <w:t>Soft loan</w:t>
            </w:r>
          </w:p>
        </w:tc>
        <w:tc>
          <w:tcPr>
            <w:tcW w:w="2330" w:type="dxa"/>
            <w:shd w:val="clear" w:color="auto" w:fill="365F91"/>
          </w:tcPr>
          <w:p w14:paraId="10764548" w14:textId="77777777" w:rsidR="006D3AD5" w:rsidRPr="00874BFF" w:rsidRDefault="006D3AD5" w:rsidP="00443B8F">
            <w:pPr>
              <w:jc w:val="center"/>
              <w:rPr>
                <w:b/>
                <w:bCs/>
                <w:color w:val="FFFFFF"/>
                <w:sz w:val="24"/>
                <w:szCs w:val="24"/>
              </w:rPr>
            </w:pPr>
          </w:p>
        </w:tc>
      </w:tr>
      <w:tr w:rsidR="006D3AD5" w:rsidRPr="00874BFF" w14:paraId="42B46267" w14:textId="77777777" w:rsidTr="00443B8F">
        <w:trPr>
          <w:trHeight w:val="720"/>
        </w:trPr>
        <w:tc>
          <w:tcPr>
            <w:tcW w:w="960" w:type="dxa"/>
            <w:vMerge w:val="restart"/>
            <w:shd w:val="clear" w:color="auto" w:fill="8DB3E2"/>
            <w:noWrap/>
            <w:textDirection w:val="btLr"/>
          </w:tcPr>
          <w:p w14:paraId="2A89B1AF" w14:textId="14E24D55" w:rsidR="006D3AD5" w:rsidRPr="00874BFF" w:rsidRDefault="006D3AD5" w:rsidP="00F73DBD">
            <w:pPr>
              <w:jc w:val="center"/>
              <w:rPr>
                <w:b/>
                <w:bCs/>
                <w:color w:val="FFFFFF"/>
                <w:sz w:val="24"/>
                <w:szCs w:val="24"/>
              </w:rPr>
            </w:pPr>
            <w:r w:rsidRPr="00874BFF">
              <w:rPr>
                <w:b/>
                <w:color w:val="FFFFFF"/>
                <w:sz w:val="24"/>
              </w:rPr>
              <w:t xml:space="preserve">Added value of public support for </w:t>
            </w:r>
            <w:r w:rsidR="00F73DBD">
              <w:rPr>
                <w:b/>
                <w:color w:val="FFFFFF"/>
                <w:sz w:val="24"/>
              </w:rPr>
              <w:t>final recipients</w:t>
            </w:r>
            <w:r w:rsidRPr="00874BFF">
              <w:rPr>
                <w:b/>
                <w:color w:val="FFFFFF"/>
                <w:sz w:val="24"/>
              </w:rPr>
              <w:t xml:space="preserve"> and MA</w:t>
            </w:r>
          </w:p>
        </w:tc>
        <w:tc>
          <w:tcPr>
            <w:tcW w:w="960" w:type="dxa"/>
            <w:vMerge w:val="restart"/>
            <w:shd w:val="clear" w:color="auto" w:fill="8DB3E2"/>
            <w:noWrap/>
            <w:textDirection w:val="btLr"/>
          </w:tcPr>
          <w:p w14:paraId="7F7261AF"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8DB3E2"/>
          </w:tcPr>
          <w:p w14:paraId="621A71FB" w14:textId="77777777" w:rsidR="006D3AD5" w:rsidRPr="00874BFF" w:rsidRDefault="006D3AD5" w:rsidP="00443B8F">
            <w:pPr>
              <w:jc w:val="center"/>
              <w:rPr>
                <w:b/>
                <w:color w:val="FFFFFF"/>
                <w:sz w:val="20"/>
              </w:rPr>
            </w:pPr>
            <w:r w:rsidRPr="00874BFF">
              <w:rPr>
                <w:b/>
                <w:color w:val="FFFFFF"/>
                <w:sz w:val="20"/>
              </w:rPr>
              <w:t>Making otherwise unreachable financing accessible</w:t>
            </w:r>
          </w:p>
        </w:tc>
        <w:tc>
          <w:tcPr>
            <w:tcW w:w="2330" w:type="dxa"/>
            <w:shd w:val="clear" w:color="auto" w:fill="8DB3E2"/>
          </w:tcPr>
          <w:p w14:paraId="2B938A51" w14:textId="77777777" w:rsidR="006D3AD5" w:rsidRPr="00874BFF" w:rsidRDefault="006D3AD5" w:rsidP="00443B8F">
            <w:pPr>
              <w:jc w:val="center"/>
              <w:rPr>
                <w:b/>
                <w:color w:val="FFFFFF"/>
                <w:sz w:val="20"/>
              </w:rPr>
            </w:pPr>
            <w:r w:rsidRPr="00874BFF">
              <w:rPr>
                <w:b/>
                <w:color w:val="FFFFFF"/>
                <w:sz w:val="20"/>
              </w:rPr>
              <w:t>Making a lot more external financing accessible</w:t>
            </w:r>
          </w:p>
        </w:tc>
        <w:tc>
          <w:tcPr>
            <w:tcW w:w="2330" w:type="dxa"/>
            <w:shd w:val="clear" w:color="auto" w:fill="8DB3E2"/>
          </w:tcPr>
          <w:p w14:paraId="562E20FD" w14:textId="77777777" w:rsidR="006D3AD5" w:rsidRPr="00874BFF" w:rsidRDefault="006D3AD5" w:rsidP="00443B8F">
            <w:pPr>
              <w:jc w:val="center"/>
              <w:rPr>
                <w:b/>
                <w:color w:val="FFFFFF"/>
                <w:sz w:val="20"/>
              </w:rPr>
            </w:pPr>
            <w:r w:rsidRPr="00874BFF">
              <w:rPr>
                <w:b/>
                <w:color w:val="FFFFFF"/>
                <w:sz w:val="20"/>
              </w:rPr>
              <w:t>Non-repayable contribution for the project</w:t>
            </w:r>
          </w:p>
        </w:tc>
      </w:tr>
      <w:tr w:rsidR="006D3AD5" w:rsidRPr="00874BFF" w14:paraId="6BC74337" w14:textId="77777777" w:rsidTr="00443B8F">
        <w:trPr>
          <w:trHeight w:val="480"/>
        </w:trPr>
        <w:tc>
          <w:tcPr>
            <w:tcW w:w="960" w:type="dxa"/>
            <w:vMerge/>
            <w:shd w:val="clear" w:color="auto" w:fill="8DB3E2"/>
          </w:tcPr>
          <w:p w14:paraId="1D2FD0C1" w14:textId="77777777" w:rsidR="006D3AD5" w:rsidRPr="00874BFF" w:rsidRDefault="006D3AD5" w:rsidP="00443B8F">
            <w:pPr>
              <w:jc w:val="left"/>
              <w:rPr>
                <w:b/>
                <w:bCs/>
                <w:color w:val="FFFFFF"/>
                <w:sz w:val="24"/>
                <w:szCs w:val="24"/>
              </w:rPr>
            </w:pPr>
          </w:p>
        </w:tc>
        <w:tc>
          <w:tcPr>
            <w:tcW w:w="960" w:type="dxa"/>
            <w:vMerge/>
            <w:shd w:val="clear" w:color="auto" w:fill="8DB3E2"/>
          </w:tcPr>
          <w:p w14:paraId="4E682C97" w14:textId="77777777" w:rsidR="006D3AD5" w:rsidRPr="00874BFF" w:rsidRDefault="006D3AD5" w:rsidP="00443B8F">
            <w:pPr>
              <w:jc w:val="left"/>
              <w:rPr>
                <w:b/>
                <w:bCs/>
                <w:color w:val="FFFFFF"/>
                <w:sz w:val="24"/>
                <w:szCs w:val="24"/>
              </w:rPr>
            </w:pPr>
          </w:p>
        </w:tc>
        <w:tc>
          <w:tcPr>
            <w:tcW w:w="2414" w:type="dxa"/>
            <w:shd w:val="clear" w:color="auto" w:fill="8DB3E2"/>
          </w:tcPr>
          <w:p w14:paraId="0D838AB4" w14:textId="77777777" w:rsidR="006D3AD5" w:rsidRPr="00874BFF" w:rsidRDefault="006D3AD5" w:rsidP="00443B8F">
            <w:pPr>
              <w:jc w:val="center"/>
              <w:rPr>
                <w:b/>
                <w:color w:val="FFFFFF"/>
                <w:sz w:val="20"/>
              </w:rPr>
            </w:pPr>
            <w:r w:rsidRPr="00874BFF">
              <w:rPr>
                <w:b/>
                <w:color w:val="FFFFFF"/>
                <w:sz w:val="20"/>
              </w:rPr>
              <w:t>Partial reduction of the interest rate by reducing the risk surcharge</w:t>
            </w:r>
          </w:p>
        </w:tc>
        <w:tc>
          <w:tcPr>
            <w:tcW w:w="2330" w:type="dxa"/>
            <w:shd w:val="clear" w:color="auto" w:fill="8DB3E2"/>
          </w:tcPr>
          <w:p w14:paraId="0A6CD9CF" w14:textId="77777777" w:rsidR="006D3AD5" w:rsidRPr="00874BFF" w:rsidRDefault="006D3AD5" w:rsidP="00443B8F">
            <w:pPr>
              <w:jc w:val="center"/>
              <w:rPr>
                <w:b/>
                <w:color w:val="FFFFFF"/>
                <w:sz w:val="20"/>
              </w:rPr>
            </w:pPr>
            <w:r w:rsidRPr="00874BFF">
              <w:rPr>
                <w:b/>
                <w:color w:val="FFFFFF"/>
                <w:sz w:val="20"/>
              </w:rPr>
              <w:t>Reduction of the interest rate</w:t>
            </w:r>
          </w:p>
        </w:tc>
        <w:tc>
          <w:tcPr>
            <w:tcW w:w="2330" w:type="dxa"/>
            <w:shd w:val="clear" w:color="auto" w:fill="8DB3E2"/>
          </w:tcPr>
          <w:p w14:paraId="0CEC9971" w14:textId="77777777" w:rsidR="006D3AD5" w:rsidRPr="00874BFF" w:rsidRDefault="006D3AD5" w:rsidP="00443B8F">
            <w:pPr>
              <w:jc w:val="center"/>
              <w:rPr>
                <w:b/>
                <w:color w:val="FFFFFF"/>
                <w:sz w:val="20"/>
              </w:rPr>
            </w:pPr>
            <w:r w:rsidRPr="00874BFF">
              <w:rPr>
                <w:b/>
                <w:color w:val="FFFFFF"/>
                <w:sz w:val="20"/>
              </w:rPr>
              <w:t>Highly reduced payback period</w:t>
            </w:r>
          </w:p>
        </w:tc>
      </w:tr>
      <w:tr w:rsidR="006D3AD5" w:rsidRPr="00874BFF" w14:paraId="0A6EEB44" w14:textId="77777777" w:rsidTr="00443B8F">
        <w:trPr>
          <w:trHeight w:val="720"/>
        </w:trPr>
        <w:tc>
          <w:tcPr>
            <w:tcW w:w="960" w:type="dxa"/>
            <w:vMerge/>
            <w:shd w:val="clear" w:color="auto" w:fill="8DB3E2"/>
          </w:tcPr>
          <w:p w14:paraId="566A738A" w14:textId="77777777" w:rsidR="006D3AD5" w:rsidRPr="00874BFF" w:rsidRDefault="006D3AD5" w:rsidP="00443B8F">
            <w:pPr>
              <w:jc w:val="left"/>
              <w:rPr>
                <w:b/>
                <w:bCs/>
                <w:color w:val="FFFFFF"/>
                <w:sz w:val="24"/>
                <w:szCs w:val="24"/>
              </w:rPr>
            </w:pPr>
          </w:p>
        </w:tc>
        <w:tc>
          <w:tcPr>
            <w:tcW w:w="960" w:type="dxa"/>
            <w:vMerge/>
            <w:shd w:val="clear" w:color="auto" w:fill="8DB3E2"/>
          </w:tcPr>
          <w:p w14:paraId="4CDF57F6" w14:textId="77777777" w:rsidR="006D3AD5" w:rsidRPr="00874BFF" w:rsidRDefault="006D3AD5" w:rsidP="00443B8F">
            <w:pPr>
              <w:jc w:val="left"/>
              <w:rPr>
                <w:b/>
                <w:bCs/>
                <w:color w:val="FFFFFF"/>
                <w:sz w:val="24"/>
                <w:szCs w:val="24"/>
              </w:rPr>
            </w:pPr>
          </w:p>
        </w:tc>
        <w:tc>
          <w:tcPr>
            <w:tcW w:w="2414" w:type="dxa"/>
            <w:shd w:val="clear" w:color="auto" w:fill="8DB3E2"/>
          </w:tcPr>
          <w:p w14:paraId="2F3E689C" w14:textId="77777777" w:rsidR="006D3AD5" w:rsidRPr="00874BFF" w:rsidRDefault="006D3AD5" w:rsidP="00443B8F">
            <w:pPr>
              <w:jc w:val="center"/>
              <w:rPr>
                <w:b/>
                <w:color w:val="FFFFFF"/>
                <w:sz w:val="20"/>
              </w:rPr>
            </w:pPr>
            <w:r w:rsidRPr="00874BFF">
              <w:rPr>
                <w:b/>
                <w:color w:val="FFFFFF"/>
                <w:sz w:val="20"/>
              </w:rPr>
              <w:t>Reduction of demands for pledge of the company</w:t>
            </w:r>
          </w:p>
        </w:tc>
        <w:tc>
          <w:tcPr>
            <w:tcW w:w="2330" w:type="dxa"/>
            <w:shd w:val="clear" w:color="auto" w:fill="8DB3E2"/>
          </w:tcPr>
          <w:p w14:paraId="08400643" w14:textId="77777777" w:rsidR="006D3AD5" w:rsidRPr="00874BFF" w:rsidRDefault="006D3AD5" w:rsidP="00443B8F">
            <w:pPr>
              <w:jc w:val="center"/>
              <w:rPr>
                <w:b/>
                <w:color w:val="FFFFFF"/>
                <w:sz w:val="20"/>
              </w:rPr>
            </w:pPr>
            <w:r w:rsidRPr="00874BFF">
              <w:rPr>
                <w:b/>
                <w:color w:val="FFFFFF"/>
                <w:sz w:val="20"/>
              </w:rPr>
              <w:t>Longer payback period</w:t>
            </w:r>
          </w:p>
        </w:tc>
        <w:tc>
          <w:tcPr>
            <w:tcW w:w="2330" w:type="dxa"/>
            <w:shd w:val="clear" w:color="auto" w:fill="8DB3E2"/>
          </w:tcPr>
          <w:p w14:paraId="1B3CE6CC" w14:textId="77777777" w:rsidR="006D3AD5" w:rsidRPr="00874BFF" w:rsidRDefault="006D3AD5" w:rsidP="00443B8F">
            <w:pPr>
              <w:jc w:val="center"/>
              <w:rPr>
                <w:b/>
                <w:color w:val="FFFFFF"/>
                <w:sz w:val="20"/>
              </w:rPr>
            </w:pPr>
            <w:r w:rsidRPr="00874BFF">
              <w:rPr>
                <w:b/>
                <w:color w:val="FFFFFF"/>
                <w:sz w:val="20"/>
              </w:rPr>
              <w:t>Easier finding a loan for the remaining costs of the project</w:t>
            </w:r>
          </w:p>
        </w:tc>
      </w:tr>
      <w:tr w:rsidR="006D3AD5" w:rsidRPr="00874BFF" w14:paraId="1F1AC2B4" w14:textId="77777777" w:rsidTr="00443B8F">
        <w:trPr>
          <w:trHeight w:val="478"/>
        </w:trPr>
        <w:tc>
          <w:tcPr>
            <w:tcW w:w="960" w:type="dxa"/>
            <w:vMerge/>
            <w:shd w:val="clear" w:color="auto" w:fill="8DB3E2"/>
          </w:tcPr>
          <w:p w14:paraId="5C444A4C" w14:textId="77777777" w:rsidR="006D3AD5" w:rsidRPr="00874BFF" w:rsidRDefault="006D3AD5" w:rsidP="00443B8F">
            <w:pPr>
              <w:jc w:val="left"/>
              <w:rPr>
                <w:b/>
                <w:bCs/>
                <w:color w:val="FFFFFF"/>
                <w:sz w:val="24"/>
                <w:szCs w:val="24"/>
              </w:rPr>
            </w:pPr>
          </w:p>
        </w:tc>
        <w:tc>
          <w:tcPr>
            <w:tcW w:w="960" w:type="dxa"/>
            <w:vMerge/>
            <w:shd w:val="clear" w:color="auto" w:fill="8DB3E2"/>
          </w:tcPr>
          <w:p w14:paraId="42E32119" w14:textId="77777777" w:rsidR="006D3AD5" w:rsidRPr="00874BFF" w:rsidRDefault="006D3AD5" w:rsidP="00443B8F">
            <w:pPr>
              <w:jc w:val="left"/>
              <w:rPr>
                <w:b/>
                <w:bCs/>
                <w:color w:val="FFFFFF"/>
                <w:sz w:val="24"/>
                <w:szCs w:val="24"/>
              </w:rPr>
            </w:pPr>
          </w:p>
        </w:tc>
        <w:tc>
          <w:tcPr>
            <w:tcW w:w="2414" w:type="dxa"/>
            <w:shd w:val="clear" w:color="auto" w:fill="8DB3E2"/>
            <w:noWrap/>
          </w:tcPr>
          <w:p w14:paraId="1E798D9B" w14:textId="77777777" w:rsidR="006D3AD5" w:rsidRPr="00874BFF" w:rsidRDefault="006D3AD5" w:rsidP="00443B8F">
            <w:pPr>
              <w:jc w:val="center"/>
              <w:rPr>
                <w:b/>
                <w:color w:val="FFFFFF"/>
                <w:sz w:val="20"/>
              </w:rPr>
            </w:pPr>
          </w:p>
        </w:tc>
        <w:tc>
          <w:tcPr>
            <w:tcW w:w="2330" w:type="dxa"/>
            <w:shd w:val="clear" w:color="auto" w:fill="8DB3E2"/>
          </w:tcPr>
          <w:p w14:paraId="383A3EC3" w14:textId="77777777" w:rsidR="006D3AD5" w:rsidRPr="00874BFF" w:rsidRDefault="006D3AD5" w:rsidP="00443B8F">
            <w:pPr>
              <w:jc w:val="center"/>
              <w:rPr>
                <w:b/>
                <w:color w:val="FFFFFF"/>
                <w:sz w:val="20"/>
              </w:rPr>
            </w:pPr>
            <w:r w:rsidRPr="00874BFF">
              <w:rPr>
                <w:b/>
                <w:color w:val="FFFFFF"/>
                <w:sz w:val="20"/>
              </w:rPr>
              <w:t>Reduced payback period</w:t>
            </w:r>
          </w:p>
        </w:tc>
        <w:tc>
          <w:tcPr>
            <w:tcW w:w="2330" w:type="dxa"/>
            <w:shd w:val="clear" w:color="auto" w:fill="8DB3E2"/>
          </w:tcPr>
          <w:p w14:paraId="2D86954F" w14:textId="77777777" w:rsidR="006D3AD5" w:rsidRPr="00874BFF" w:rsidRDefault="006D3AD5" w:rsidP="00443B8F">
            <w:pPr>
              <w:jc w:val="center"/>
              <w:rPr>
                <w:b/>
                <w:color w:val="FFFFFF"/>
                <w:sz w:val="20"/>
              </w:rPr>
            </w:pPr>
          </w:p>
        </w:tc>
      </w:tr>
      <w:tr w:rsidR="006D3AD5" w:rsidRPr="00874BFF" w14:paraId="22570024" w14:textId="77777777" w:rsidTr="00443B8F">
        <w:trPr>
          <w:trHeight w:val="680"/>
        </w:trPr>
        <w:tc>
          <w:tcPr>
            <w:tcW w:w="960" w:type="dxa"/>
            <w:vMerge/>
            <w:shd w:val="clear" w:color="auto" w:fill="8DB3E2"/>
          </w:tcPr>
          <w:p w14:paraId="60AC4669" w14:textId="77777777" w:rsidR="006D3AD5" w:rsidRPr="00874BFF" w:rsidRDefault="006D3AD5" w:rsidP="00443B8F">
            <w:pPr>
              <w:jc w:val="left"/>
              <w:rPr>
                <w:b/>
                <w:bCs/>
                <w:color w:val="FFFFFF"/>
                <w:sz w:val="24"/>
                <w:szCs w:val="24"/>
              </w:rPr>
            </w:pPr>
          </w:p>
        </w:tc>
        <w:tc>
          <w:tcPr>
            <w:tcW w:w="960" w:type="dxa"/>
            <w:vMerge/>
            <w:shd w:val="clear" w:color="auto" w:fill="8DB3E2"/>
          </w:tcPr>
          <w:p w14:paraId="4C160DE0" w14:textId="77777777" w:rsidR="006D3AD5" w:rsidRPr="00874BFF" w:rsidRDefault="006D3AD5" w:rsidP="00443B8F">
            <w:pPr>
              <w:jc w:val="left"/>
              <w:rPr>
                <w:b/>
                <w:bCs/>
                <w:color w:val="FFFFFF"/>
                <w:sz w:val="24"/>
                <w:szCs w:val="24"/>
              </w:rPr>
            </w:pPr>
          </w:p>
        </w:tc>
        <w:tc>
          <w:tcPr>
            <w:tcW w:w="2414" w:type="dxa"/>
            <w:shd w:val="clear" w:color="auto" w:fill="8DB3E2"/>
          </w:tcPr>
          <w:p w14:paraId="051F1B27"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tcPr>
          <w:p w14:paraId="1561534E"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tcPr>
          <w:p w14:paraId="51C58A49" w14:textId="77777777" w:rsidR="006D3AD5" w:rsidRPr="00874BFF" w:rsidRDefault="006D3AD5" w:rsidP="00443B8F">
            <w:pPr>
              <w:jc w:val="center"/>
              <w:rPr>
                <w:b/>
                <w:color w:val="FFFFFF"/>
                <w:sz w:val="20"/>
              </w:rPr>
            </w:pPr>
          </w:p>
        </w:tc>
      </w:tr>
      <w:tr w:rsidR="006D3AD5" w:rsidRPr="00874BFF" w14:paraId="32D95636" w14:textId="77777777" w:rsidTr="00443B8F">
        <w:trPr>
          <w:trHeight w:val="690"/>
        </w:trPr>
        <w:tc>
          <w:tcPr>
            <w:tcW w:w="960" w:type="dxa"/>
            <w:vMerge/>
            <w:shd w:val="clear" w:color="auto" w:fill="8DB3E2"/>
          </w:tcPr>
          <w:p w14:paraId="7EAD34F3" w14:textId="77777777" w:rsidR="006D3AD5" w:rsidRPr="00874BFF" w:rsidRDefault="006D3AD5" w:rsidP="00443B8F">
            <w:pPr>
              <w:jc w:val="left"/>
              <w:rPr>
                <w:b/>
                <w:bCs/>
                <w:color w:val="FFFFFF"/>
                <w:sz w:val="24"/>
                <w:szCs w:val="24"/>
              </w:rPr>
            </w:pPr>
          </w:p>
        </w:tc>
        <w:tc>
          <w:tcPr>
            <w:tcW w:w="960" w:type="dxa"/>
            <w:vMerge/>
            <w:shd w:val="clear" w:color="auto" w:fill="8DB3E2"/>
          </w:tcPr>
          <w:p w14:paraId="55D5403E" w14:textId="77777777" w:rsidR="006D3AD5" w:rsidRPr="00874BFF" w:rsidRDefault="006D3AD5" w:rsidP="00443B8F">
            <w:pPr>
              <w:jc w:val="left"/>
              <w:rPr>
                <w:b/>
                <w:bCs/>
                <w:color w:val="FFFFFF"/>
                <w:sz w:val="24"/>
                <w:szCs w:val="24"/>
              </w:rPr>
            </w:pPr>
          </w:p>
        </w:tc>
        <w:tc>
          <w:tcPr>
            <w:tcW w:w="2414" w:type="dxa"/>
            <w:shd w:val="clear" w:color="auto" w:fill="8DB3E2"/>
          </w:tcPr>
          <w:p w14:paraId="710E6F00"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tcPr>
          <w:p w14:paraId="51C54318"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tcPr>
          <w:p w14:paraId="17ABBF5F" w14:textId="77777777" w:rsidR="006D3AD5" w:rsidRPr="00874BFF" w:rsidRDefault="006D3AD5" w:rsidP="00443B8F">
            <w:pPr>
              <w:jc w:val="left"/>
              <w:rPr>
                <w:b/>
                <w:color w:val="FFFFFF"/>
                <w:sz w:val="20"/>
              </w:rPr>
            </w:pPr>
          </w:p>
        </w:tc>
      </w:tr>
      <w:tr w:rsidR="006D3AD5" w:rsidRPr="00874BFF" w14:paraId="1C6CB957" w14:textId="77777777" w:rsidTr="00443B8F">
        <w:trPr>
          <w:trHeight w:val="735"/>
        </w:trPr>
        <w:tc>
          <w:tcPr>
            <w:tcW w:w="960" w:type="dxa"/>
            <w:vMerge/>
            <w:shd w:val="clear" w:color="auto" w:fill="8DB3E2"/>
          </w:tcPr>
          <w:p w14:paraId="56CD2005" w14:textId="77777777" w:rsidR="006D3AD5" w:rsidRPr="00874BFF" w:rsidRDefault="006D3AD5" w:rsidP="00443B8F">
            <w:pPr>
              <w:jc w:val="left"/>
              <w:rPr>
                <w:b/>
                <w:bCs/>
                <w:color w:val="FFFFFF"/>
                <w:sz w:val="24"/>
                <w:szCs w:val="24"/>
              </w:rPr>
            </w:pPr>
          </w:p>
        </w:tc>
        <w:tc>
          <w:tcPr>
            <w:tcW w:w="960" w:type="dxa"/>
            <w:vMerge w:val="restart"/>
            <w:shd w:val="clear" w:color="auto" w:fill="8DB3E2"/>
            <w:noWrap/>
            <w:textDirection w:val="btLr"/>
          </w:tcPr>
          <w:p w14:paraId="165247D2"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8DB3E2"/>
          </w:tcPr>
          <w:p w14:paraId="6D99FB42" w14:textId="77777777" w:rsidR="006D3AD5" w:rsidRPr="00874BFF" w:rsidRDefault="006D3AD5" w:rsidP="00443B8F">
            <w:pPr>
              <w:jc w:val="center"/>
              <w:rPr>
                <w:b/>
                <w:color w:val="FFFFFF"/>
                <w:sz w:val="20"/>
              </w:rPr>
            </w:pPr>
            <w:r w:rsidRPr="00874BFF">
              <w:rPr>
                <w:b/>
                <w:color w:val="FFFFFF"/>
                <w:sz w:val="20"/>
              </w:rPr>
              <w:t>High leverage effect and a wider range of supported projects and investments</w:t>
            </w:r>
          </w:p>
        </w:tc>
        <w:tc>
          <w:tcPr>
            <w:tcW w:w="2330" w:type="dxa"/>
            <w:shd w:val="clear" w:color="auto" w:fill="8DB3E2"/>
          </w:tcPr>
          <w:p w14:paraId="4749071E" w14:textId="77777777" w:rsidR="006D3AD5" w:rsidRPr="00874BFF" w:rsidRDefault="006D3AD5" w:rsidP="00443B8F">
            <w:pPr>
              <w:jc w:val="center"/>
              <w:rPr>
                <w:b/>
                <w:color w:val="FFFFFF"/>
                <w:sz w:val="20"/>
              </w:rPr>
            </w:pPr>
            <w:r w:rsidRPr="00874BFF">
              <w:rPr>
                <w:b/>
                <w:color w:val="FFFFFF"/>
                <w:sz w:val="20"/>
              </w:rPr>
              <w:t>High revolving effect and supporting projects in further cycles</w:t>
            </w:r>
          </w:p>
        </w:tc>
        <w:tc>
          <w:tcPr>
            <w:tcW w:w="2330" w:type="dxa"/>
            <w:shd w:val="clear" w:color="auto" w:fill="8DB3E2"/>
          </w:tcPr>
          <w:p w14:paraId="57A2D25A" w14:textId="77777777" w:rsidR="006D3AD5" w:rsidRPr="00874BFF" w:rsidRDefault="006D3AD5" w:rsidP="00443B8F">
            <w:pPr>
              <w:jc w:val="center"/>
              <w:rPr>
                <w:b/>
                <w:color w:val="FFFFFF"/>
                <w:sz w:val="20"/>
              </w:rPr>
            </w:pPr>
            <w:r w:rsidRPr="00874BFF">
              <w:rPr>
                <w:b/>
                <w:color w:val="FFFFFF"/>
                <w:sz w:val="20"/>
              </w:rPr>
              <w:t>Motivational effect encouraging investments in the private sector</w:t>
            </w:r>
          </w:p>
        </w:tc>
      </w:tr>
      <w:tr w:rsidR="006D3AD5" w:rsidRPr="00874BFF" w14:paraId="6BDF78BF" w14:textId="77777777" w:rsidTr="00443B8F">
        <w:trPr>
          <w:trHeight w:val="735"/>
        </w:trPr>
        <w:tc>
          <w:tcPr>
            <w:tcW w:w="960" w:type="dxa"/>
            <w:vMerge/>
            <w:shd w:val="clear" w:color="auto" w:fill="8DB3E2"/>
          </w:tcPr>
          <w:p w14:paraId="120EEEA3"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tcPr>
          <w:p w14:paraId="61E5A73F" w14:textId="77777777" w:rsidR="006D3AD5" w:rsidRPr="00874BFF" w:rsidRDefault="006D3AD5" w:rsidP="00443B8F">
            <w:pPr>
              <w:jc w:val="center"/>
              <w:rPr>
                <w:b/>
                <w:bCs/>
                <w:color w:val="FFFFFF"/>
                <w:sz w:val="18"/>
                <w:szCs w:val="18"/>
              </w:rPr>
            </w:pPr>
          </w:p>
        </w:tc>
        <w:tc>
          <w:tcPr>
            <w:tcW w:w="2414" w:type="dxa"/>
            <w:shd w:val="clear" w:color="auto" w:fill="8DB3E2"/>
          </w:tcPr>
          <w:p w14:paraId="424E1964" w14:textId="77777777" w:rsidR="006D3AD5" w:rsidRPr="00874BFF" w:rsidRDefault="006D3AD5" w:rsidP="00443B8F">
            <w:pPr>
              <w:jc w:val="center"/>
              <w:rPr>
                <w:b/>
                <w:color w:val="FFFFFF"/>
                <w:sz w:val="20"/>
              </w:rPr>
            </w:pPr>
            <w:r w:rsidRPr="00874BFF">
              <w:rPr>
                <w:b/>
                <w:color w:val="FFFFFF"/>
                <w:sz w:val="20"/>
              </w:rPr>
              <w:t>Possibility of revolving depending on the risk strategy</w:t>
            </w:r>
          </w:p>
        </w:tc>
        <w:tc>
          <w:tcPr>
            <w:tcW w:w="2330" w:type="dxa"/>
            <w:shd w:val="clear" w:color="auto" w:fill="8DB3E2"/>
          </w:tcPr>
          <w:p w14:paraId="4930F4AF" w14:textId="77777777" w:rsidR="006D3AD5" w:rsidRPr="00874BFF" w:rsidRDefault="006D3AD5" w:rsidP="00443B8F">
            <w:pPr>
              <w:jc w:val="center"/>
              <w:rPr>
                <w:b/>
                <w:color w:val="FFFFFF"/>
                <w:sz w:val="20"/>
              </w:rPr>
            </w:pPr>
            <w:r w:rsidRPr="00874BFF">
              <w:rPr>
                <w:b/>
                <w:color w:val="FFFFFF"/>
                <w:sz w:val="20"/>
              </w:rPr>
              <w:t>Predictable instalments</w:t>
            </w:r>
          </w:p>
        </w:tc>
        <w:tc>
          <w:tcPr>
            <w:tcW w:w="2330" w:type="dxa"/>
            <w:shd w:val="clear" w:color="auto" w:fill="8DB3E2"/>
          </w:tcPr>
          <w:p w14:paraId="7627B1DE" w14:textId="77777777" w:rsidR="006D3AD5" w:rsidRPr="00874BFF" w:rsidRDefault="006D3AD5" w:rsidP="00443B8F">
            <w:pPr>
              <w:jc w:val="center"/>
              <w:rPr>
                <w:b/>
                <w:color w:val="FFFFFF"/>
                <w:sz w:val="20"/>
              </w:rPr>
            </w:pPr>
            <w:r w:rsidRPr="00874BFF">
              <w:rPr>
                <w:b/>
                <w:color w:val="FFFFFF"/>
                <w:sz w:val="20"/>
              </w:rPr>
              <w:t>High absorption capacity</w:t>
            </w:r>
          </w:p>
        </w:tc>
      </w:tr>
      <w:tr w:rsidR="006D3AD5" w:rsidRPr="00874BFF" w14:paraId="53311A70" w14:textId="77777777" w:rsidTr="00443B8F">
        <w:trPr>
          <w:trHeight w:val="311"/>
        </w:trPr>
        <w:tc>
          <w:tcPr>
            <w:tcW w:w="960" w:type="dxa"/>
            <w:vMerge/>
            <w:shd w:val="clear" w:color="auto" w:fill="8DB3E2"/>
          </w:tcPr>
          <w:p w14:paraId="77283530"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tcPr>
          <w:p w14:paraId="5C8D71BD" w14:textId="77777777" w:rsidR="006D3AD5" w:rsidRPr="00874BFF" w:rsidRDefault="006D3AD5" w:rsidP="00443B8F">
            <w:pPr>
              <w:jc w:val="center"/>
              <w:rPr>
                <w:b/>
                <w:bCs/>
                <w:color w:val="FFFFFF"/>
                <w:sz w:val="18"/>
                <w:szCs w:val="18"/>
              </w:rPr>
            </w:pPr>
          </w:p>
        </w:tc>
        <w:tc>
          <w:tcPr>
            <w:tcW w:w="2414" w:type="dxa"/>
            <w:shd w:val="clear" w:color="auto" w:fill="8DB3E2"/>
          </w:tcPr>
          <w:p w14:paraId="395150E1" w14:textId="77777777" w:rsidR="006D3AD5" w:rsidRPr="00874BFF" w:rsidRDefault="006D3AD5" w:rsidP="00443B8F">
            <w:pPr>
              <w:jc w:val="center"/>
              <w:rPr>
                <w:b/>
                <w:color w:val="FFFFFF"/>
                <w:sz w:val="20"/>
              </w:rPr>
            </w:pPr>
            <w:r w:rsidRPr="00874BFF">
              <w:rPr>
                <w:b/>
                <w:color w:val="FFFFFF"/>
                <w:sz w:val="20"/>
              </w:rPr>
              <w:t>Fast absorption and lower administrative demands</w:t>
            </w:r>
          </w:p>
        </w:tc>
        <w:tc>
          <w:tcPr>
            <w:tcW w:w="2330" w:type="dxa"/>
            <w:shd w:val="clear" w:color="auto" w:fill="8DB3E2"/>
          </w:tcPr>
          <w:p w14:paraId="7F988CD2" w14:textId="77777777" w:rsidR="006D3AD5" w:rsidRPr="00874BFF" w:rsidRDefault="006D3AD5" w:rsidP="00443B8F">
            <w:pPr>
              <w:jc w:val="center"/>
              <w:rPr>
                <w:b/>
                <w:color w:val="FFFFFF"/>
                <w:sz w:val="20"/>
              </w:rPr>
            </w:pPr>
            <w:r w:rsidRPr="00874BFF">
              <w:rPr>
                <w:b/>
                <w:color w:val="FFFFFF"/>
                <w:sz w:val="20"/>
              </w:rPr>
              <w:t>Fast absorption and lower administrative demands</w:t>
            </w:r>
          </w:p>
        </w:tc>
        <w:tc>
          <w:tcPr>
            <w:tcW w:w="2330" w:type="dxa"/>
            <w:shd w:val="clear" w:color="auto" w:fill="8DB3E2"/>
          </w:tcPr>
          <w:p w14:paraId="1A5F4043" w14:textId="77777777" w:rsidR="006D3AD5" w:rsidRPr="00874BFF" w:rsidRDefault="006D3AD5" w:rsidP="00443B8F">
            <w:pPr>
              <w:jc w:val="center"/>
              <w:rPr>
                <w:b/>
                <w:color w:val="FFFFFF"/>
                <w:sz w:val="20"/>
              </w:rPr>
            </w:pPr>
          </w:p>
        </w:tc>
      </w:tr>
      <w:tr w:rsidR="006D3AD5" w:rsidRPr="00874BFF" w14:paraId="2C615CA9" w14:textId="77777777" w:rsidTr="00443B8F">
        <w:trPr>
          <w:trHeight w:val="735"/>
        </w:trPr>
        <w:tc>
          <w:tcPr>
            <w:tcW w:w="960" w:type="dxa"/>
            <w:vMerge w:val="restart"/>
            <w:shd w:val="clear" w:color="auto" w:fill="FF0000"/>
            <w:textDirection w:val="btLr"/>
          </w:tcPr>
          <w:p w14:paraId="1DD01B33" w14:textId="77777777" w:rsidR="006D3AD5" w:rsidRPr="00874BFF" w:rsidRDefault="006D3AD5" w:rsidP="00443B8F">
            <w:pPr>
              <w:ind w:left="113" w:right="113"/>
              <w:jc w:val="center"/>
              <w:rPr>
                <w:b/>
                <w:bCs/>
                <w:color w:val="FFFFFF"/>
                <w:sz w:val="24"/>
                <w:szCs w:val="24"/>
              </w:rPr>
            </w:pPr>
            <w:r w:rsidRPr="00874BFF">
              <w:rPr>
                <w:b/>
                <w:color w:val="FFFFFF"/>
                <w:sz w:val="24"/>
              </w:rPr>
              <w:t>Disadvantages, problems and risks</w:t>
            </w:r>
          </w:p>
        </w:tc>
        <w:tc>
          <w:tcPr>
            <w:tcW w:w="960" w:type="dxa"/>
            <w:vMerge w:val="restart"/>
            <w:shd w:val="clear" w:color="auto" w:fill="FF0000"/>
            <w:noWrap/>
            <w:textDirection w:val="btLr"/>
          </w:tcPr>
          <w:p w14:paraId="53B02534"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FF0000"/>
          </w:tcPr>
          <w:p w14:paraId="27902624" w14:textId="1139FA02" w:rsidR="006D3AD5" w:rsidRPr="00874BFF" w:rsidRDefault="006D3AD5" w:rsidP="008C457B">
            <w:pPr>
              <w:jc w:val="center"/>
              <w:rPr>
                <w:b/>
                <w:color w:val="FFFFFF"/>
                <w:sz w:val="20"/>
              </w:rPr>
            </w:pPr>
            <w:r w:rsidRPr="00874BFF">
              <w:rPr>
                <w:b/>
                <w:color w:val="FFFFFF"/>
                <w:sz w:val="20"/>
              </w:rPr>
              <w:t>Low effect on the return of the project</w:t>
            </w:r>
          </w:p>
        </w:tc>
        <w:tc>
          <w:tcPr>
            <w:tcW w:w="2330" w:type="dxa"/>
            <w:shd w:val="clear" w:color="auto" w:fill="FF0000"/>
          </w:tcPr>
          <w:p w14:paraId="6013FC48" w14:textId="77777777" w:rsidR="006D3AD5" w:rsidRPr="00874BFF" w:rsidRDefault="006D3AD5" w:rsidP="00443B8F">
            <w:pPr>
              <w:jc w:val="center"/>
              <w:rPr>
                <w:b/>
                <w:color w:val="FFFFFF"/>
                <w:sz w:val="20"/>
              </w:rPr>
            </w:pPr>
            <w:r w:rsidRPr="00874BFF">
              <w:rPr>
                <w:b/>
                <w:color w:val="FFFFFF"/>
                <w:sz w:val="20"/>
              </w:rPr>
              <w:t>Lower effect on the return of the project when compared with  a subsidy</w:t>
            </w:r>
          </w:p>
        </w:tc>
        <w:tc>
          <w:tcPr>
            <w:tcW w:w="2330" w:type="dxa"/>
            <w:shd w:val="clear" w:color="auto" w:fill="FF0000"/>
          </w:tcPr>
          <w:p w14:paraId="79C241C0" w14:textId="77777777" w:rsidR="006D3AD5" w:rsidRPr="00874BFF" w:rsidRDefault="006D3AD5" w:rsidP="00443B8F">
            <w:pPr>
              <w:jc w:val="center"/>
              <w:rPr>
                <w:b/>
                <w:color w:val="FFFFFF"/>
                <w:sz w:val="20"/>
              </w:rPr>
            </w:pPr>
            <w:r w:rsidRPr="00874BFF">
              <w:rPr>
                <w:b/>
                <w:color w:val="FFFFFF"/>
                <w:sz w:val="20"/>
              </w:rPr>
              <w:t>High administrative demands</w:t>
            </w:r>
          </w:p>
        </w:tc>
      </w:tr>
      <w:tr w:rsidR="006D3AD5" w:rsidRPr="00874BFF" w14:paraId="4E5D91E5" w14:textId="77777777" w:rsidTr="00443B8F">
        <w:trPr>
          <w:trHeight w:val="735"/>
        </w:trPr>
        <w:tc>
          <w:tcPr>
            <w:tcW w:w="960" w:type="dxa"/>
            <w:vMerge/>
            <w:shd w:val="clear" w:color="auto" w:fill="FF0000"/>
          </w:tcPr>
          <w:p w14:paraId="2E2C8741"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7D4D8381" w14:textId="77777777" w:rsidR="006D3AD5" w:rsidRPr="00874BFF" w:rsidRDefault="006D3AD5" w:rsidP="00443B8F">
            <w:pPr>
              <w:jc w:val="center"/>
              <w:rPr>
                <w:b/>
                <w:bCs/>
                <w:color w:val="000000"/>
                <w:sz w:val="24"/>
                <w:szCs w:val="24"/>
              </w:rPr>
            </w:pPr>
          </w:p>
        </w:tc>
        <w:tc>
          <w:tcPr>
            <w:tcW w:w="2414" w:type="dxa"/>
            <w:shd w:val="clear" w:color="auto" w:fill="FF0000"/>
          </w:tcPr>
          <w:p w14:paraId="21BAE33A" w14:textId="77777777" w:rsidR="006D3AD5" w:rsidRPr="00874BFF" w:rsidRDefault="006D3AD5" w:rsidP="00443B8F">
            <w:pPr>
              <w:jc w:val="center"/>
              <w:rPr>
                <w:b/>
                <w:color w:val="FFFFFF"/>
                <w:sz w:val="20"/>
              </w:rPr>
            </w:pPr>
          </w:p>
        </w:tc>
        <w:tc>
          <w:tcPr>
            <w:tcW w:w="2330" w:type="dxa"/>
            <w:shd w:val="clear" w:color="auto" w:fill="FF0000"/>
          </w:tcPr>
          <w:p w14:paraId="19ABE930" w14:textId="77777777" w:rsidR="006D3AD5" w:rsidRPr="00874BFF" w:rsidRDefault="006D3AD5" w:rsidP="00443B8F">
            <w:pPr>
              <w:jc w:val="center"/>
              <w:rPr>
                <w:b/>
                <w:color w:val="FFFFFF"/>
                <w:sz w:val="20"/>
              </w:rPr>
            </w:pPr>
            <w:r w:rsidRPr="00874BFF">
              <w:rPr>
                <w:b/>
                <w:color w:val="FFFFFF"/>
                <w:sz w:val="20"/>
              </w:rPr>
              <w:t>Lower effect of making financing accessible to high-risk projects</w:t>
            </w:r>
          </w:p>
        </w:tc>
        <w:tc>
          <w:tcPr>
            <w:tcW w:w="2330" w:type="dxa"/>
            <w:shd w:val="clear" w:color="auto" w:fill="FF0000"/>
          </w:tcPr>
          <w:p w14:paraId="731D83FE" w14:textId="77777777" w:rsidR="006D3AD5" w:rsidRPr="00874BFF" w:rsidRDefault="006D3AD5" w:rsidP="00443B8F">
            <w:pPr>
              <w:jc w:val="center"/>
              <w:rPr>
                <w:b/>
                <w:color w:val="FFFFFF"/>
                <w:sz w:val="20"/>
              </w:rPr>
            </w:pPr>
            <w:r w:rsidRPr="00874BFF">
              <w:rPr>
                <w:b/>
                <w:color w:val="FFFFFF"/>
                <w:sz w:val="20"/>
              </w:rPr>
              <w:t>Controlled process of tendering for suppliers – higher costs</w:t>
            </w:r>
          </w:p>
        </w:tc>
      </w:tr>
      <w:tr w:rsidR="006D3AD5" w:rsidRPr="00874BFF" w14:paraId="7D1450FD" w14:textId="77777777" w:rsidTr="00443B8F">
        <w:trPr>
          <w:trHeight w:val="456"/>
        </w:trPr>
        <w:tc>
          <w:tcPr>
            <w:tcW w:w="960" w:type="dxa"/>
            <w:vMerge/>
            <w:shd w:val="clear" w:color="auto" w:fill="FF0000"/>
          </w:tcPr>
          <w:p w14:paraId="76B2EA4F"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48D3DD06" w14:textId="77777777" w:rsidR="006D3AD5" w:rsidRPr="00874BFF" w:rsidRDefault="006D3AD5" w:rsidP="00443B8F">
            <w:pPr>
              <w:jc w:val="center"/>
              <w:rPr>
                <w:b/>
                <w:bCs/>
                <w:color w:val="000000"/>
                <w:sz w:val="24"/>
                <w:szCs w:val="24"/>
              </w:rPr>
            </w:pPr>
          </w:p>
        </w:tc>
        <w:tc>
          <w:tcPr>
            <w:tcW w:w="2414" w:type="dxa"/>
            <w:shd w:val="clear" w:color="auto" w:fill="FF0000"/>
          </w:tcPr>
          <w:p w14:paraId="02D300A1" w14:textId="77777777" w:rsidR="006D3AD5" w:rsidRPr="00874BFF" w:rsidRDefault="006D3AD5" w:rsidP="00443B8F">
            <w:pPr>
              <w:jc w:val="center"/>
              <w:rPr>
                <w:b/>
                <w:color w:val="FFFFFF"/>
                <w:sz w:val="20"/>
              </w:rPr>
            </w:pPr>
          </w:p>
        </w:tc>
        <w:tc>
          <w:tcPr>
            <w:tcW w:w="2330" w:type="dxa"/>
            <w:shd w:val="clear" w:color="auto" w:fill="FF0000"/>
          </w:tcPr>
          <w:p w14:paraId="73CBE4F8" w14:textId="77777777" w:rsidR="006D3AD5" w:rsidRPr="00874BFF" w:rsidRDefault="006D3AD5" w:rsidP="00443B8F">
            <w:pPr>
              <w:jc w:val="center"/>
              <w:rPr>
                <w:b/>
                <w:color w:val="FFFFFF"/>
                <w:sz w:val="20"/>
              </w:rPr>
            </w:pPr>
          </w:p>
        </w:tc>
        <w:tc>
          <w:tcPr>
            <w:tcW w:w="2330" w:type="dxa"/>
            <w:shd w:val="clear" w:color="auto" w:fill="FF0000"/>
          </w:tcPr>
          <w:p w14:paraId="701BFF0C" w14:textId="77777777" w:rsidR="006D3AD5" w:rsidRPr="00874BFF" w:rsidRDefault="006D3AD5" w:rsidP="00443B8F">
            <w:pPr>
              <w:jc w:val="center"/>
              <w:rPr>
                <w:b/>
                <w:color w:val="FFFFFF"/>
                <w:sz w:val="20"/>
              </w:rPr>
            </w:pPr>
            <w:r w:rsidRPr="00874BFF">
              <w:rPr>
                <w:b/>
                <w:color w:val="FFFFFF"/>
                <w:sz w:val="20"/>
              </w:rPr>
              <w:t>Necessity of pre-financing – ex post payment after completion of the project implementation or its stage.</w:t>
            </w:r>
          </w:p>
        </w:tc>
      </w:tr>
      <w:tr w:rsidR="006D3AD5" w:rsidRPr="00874BFF" w14:paraId="35C89C59" w14:textId="77777777" w:rsidTr="00443B8F">
        <w:trPr>
          <w:trHeight w:val="735"/>
        </w:trPr>
        <w:tc>
          <w:tcPr>
            <w:tcW w:w="960" w:type="dxa"/>
            <w:vMerge/>
            <w:shd w:val="clear" w:color="auto" w:fill="FF0000"/>
          </w:tcPr>
          <w:p w14:paraId="0F73EDD4"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6D77917D" w14:textId="77777777" w:rsidR="006D3AD5" w:rsidRPr="00874BFF" w:rsidRDefault="006D3AD5" w:rsidP="00443B8F">
            <w:pPr>
              <w:jc w:val="center"/>
              <w:rPr>
                <w:b/>
                <w:bCs/>
                <w:color w:val="000000"/>
                <w:sz w:val="24"/>
                <w:szCs w:val="24"/>
              </w:rPr>
            </w:pPr>
          </w:p>
        </w:tc>
        <w:tc>
          <w:tcPr>
            <w:tcW w:w="2414" w:type="dxa"/>
            <w:shd w:val="clear" w:color="auto" w:fill="FF0000"/>
          </w:tcPr>
          <w:p w14:paraId="1F156073" w14:textId="77777777" w:rsidR="006D3AD5" w:rsidRPr="00874BFF" w:rsidRDefault="006D3AD5" w:rsidP="00443B8F">
            <w:pPr>
              <w:jc w:val="center"/>
              <w:rPr>
                <w:b/>
                <w:color w:val="FFFFFF"/>
                <w:sz w:val="20"/>
              </w:rPr>
            </w:pPr>
          </w:p>
        </w:tc>
        <w:tc>
          <w:tcPr>
            <w:tcW w:w="2330" w:type="dxa"/>
            <w:shd w:val="clear" w:color="auto" w:fill="FF0000"/>
          </w:tcPr>
          <w:p w14:paraId="1221CEF5" w14:textId="77777777" w:rsidR="006D3AD5" w:rsidRPr="00874BFF" w:rsidRDefault="006D3AD5" w:rsidP="00443B8F">
            <w:pPr>
              <w:jc w:val="center"/>
              <w:rPr>
                <w:b/>
                <w:color w:val="FFFFFF"/>
                <w:sz w:val="20"/>
              </w:rPr>
            </w:pPr>
          </w:p>
        </w:tc>
        <w:tc>
          <w:tcPr>
            <w:tcW w:w="2330" w:type="dxa"/>
            <w:shd w:val="clear" w:color="auto" w:fill="FF0000"/>
          </w:tcPr>
          <w:p w14:paraId="360D42CE" w14:textId="77777777" w:rsidR="006D3AD5" w:rsidRPr="00874BFF" w:rsidRDefault="006D3AD5" w:rsidP="00443B8F">
            <w:pPr>
              <w:jc w:val="center"/>
              <w:rPr>
                <w:b/>
                <w:color w:val="FFFFFF"/>
                <w:sz w:val="20"/>
              </w:rPr>
            </w:pPr>
            <w:r w:rsidRPr="00874BFF">
              <w:rPr>
                <w:b/>
                <w:color w:val="FFFFFF"/>
                <w:sz w:val="20"/>
              </w:rPr>
              <w:t>Risk of subsequent  withdrawal of subsidy due to mistakes in the project</w:t>
            </w:r>
          </w:p>
        </w:tc>
      </w:tr>
      <w:tr w:rsidR="006D3AD5" w:rsidRPr="00874BFF" w14:paraId="6A9EAD63" w14:textId="77777777" w:rsidTr="00443B8F">
        <w:trPr>
          <w:trHeight w:val="735"/>
        </w:trPr>
        <w:tc>
          <w:tcPr>
            <w:tcW w:w="960" w:type="dxa"/>
            <w:vMerge/>
            <w:shd w:val="clear" w:color="auto" w:fill="FF0000"/>
          </w:tcPr>
          <w:p w14:paraId="6C22CF0E" w14:textId="77777777" w:rsidR="006D3AD5" w:rsidRPr="00874BFF" w:rsidRDefault="006D3AD5" w:rsidP="00443B8F">
            <w:pPr>
              <w:jc w:val="left"/>
              <w:rPr>
                <w:b/>
                <w:bCs/>
                <w:color w:val="000000"/>
                <w:sz w:val="24"/>
                <w:szCs w:val="24"/>
              </w:rPr>
            </w:pPr>
          </w:p>
        </w:tc>
        <w:tc>
          <w:tcPr>
            <w:tcW w:w="960" w:type="dxa"/>
            <w:vMerge w:val="restart"/>
            <w:shd w:val="clear" w:color="auto" w:fill="FF0000"/>
            <w:noWrap/>
            <w:textDirection w:val="btLr"/>
          </w:tcPr>
          <w:p w14:paraId="0E6E4C4B"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FF0000"/>
          </w:tcPr>
          <w:p w14:paraId="387184A1" w14:textId="77777777" w:rsidR="006D3AD5" w:rsidRPr="00874BFF" w:rsidRDefault="006D3AD5" w:rsidP="00443B8F">
            <w:pPr>
              <w:jc w:val="center"/>
              <w:rPr>
                <w:b/>
                <w:color w:val="FFFFFF"/>
                <w:sz w:val="20"/>
              </w:rPr>
            </w:pPr>
            <w:r w:rsidRPr="00874BFF">
              <w:rPr>
                <w:b/>
                <w:color w:val="FFFFFF"/>
                <w:sz w:val="20"/>
              </w:rPr>
              <w:t>Decreased absorption capacity when compared with a subsidy</w:t>
            </w:r>
          </w:p>
        </w:tc>
        <w:tc>
          <w:tcPr>
            <w:tcW w:w="2330" w:type="dxa"/>
            <w:shd w:val="clear" w:color="auto" w:fill="FF0000"/>
          </w:tcPr>
          <w:p w14:paraId="75F9F4D8" w14:textId="77777777" w:rsidR="006D3AD5" w:rsidRPr="00874BFF" w:rsidRDefault="006D3AD5" w:rsidP="00443B8F">
            <w:pPr>
              <w:jc w:val="center"/>
              <w:rPr>
                <w:b/>
                <w:color w:val="FFFFFF"/>
                <w:sz w:val="20"/>
              </w:rPr>
            </w:pPr>
            <w:r w:rsidRPr="00874BFF">
              <w:rPr>
                <w:b/>
                <w:color w:val="FFFFFF"/>
                <w:sz w:val="20"/>
              </w:rPr>
              <w:t>Decreased absorption capacity when compared with a subsidy</w:t>
            </w:r>
          </w:p>
        </w:tc>
        <w:tc>
          <w:tcPr>
            <w:tcW w:w="2330" w:type="dxa"/>
            <w:shd w:val="clear" w:color="auto" w:fill="FF0000"/>
          </w:tcPr>
          <w:p w14:paraId="1132F2F0" w14:textId="77777777" w:rsidR="006D3AD5" w:rsidRPr="00874BFF" w:rsidRDefault="006D3AD5" w:rsidP="00443B8F">
            <w:pPr>
              <w:jc w:val="center"/>
              <w:rPr>
                <w:b/>
                <w:color w:val="FFFFFF"/>
                <w:sz w:val="20"/>
              </w:rPr>
            </w:pPr>
            <w:r w:rsidRPr="00874BFF">
              <w:rPr>
                <w:b/>
                <w:color w:val="FFFFFF"/>
                <w:sz w:val="20"/>
              </w:rPr>
              <w:t>Irrecoverable costs</w:t>
            </w:r>
          </w:p>
        </w:tc>
      </w:tr>
      <w:tr w:rsidR="006D3AD5" w:rsidRPr="00874BFF" w14:paraId="4B2B5FD1" w14:textId="77777777" w:rsidTr="00443B8F">
        <w:trPr>
          <w:trHeight w:val="566"/>
        </w:trPr>
        <w:tc>
          <w:tcPr>
            <w:tcW w:w="960" w:type="dxa"/>
            <w:vMerge/>
            <w:shd w:val="clear" w:color="auto" w:fill="FF0000"/>
          </w:tcPr>
          <w:p w14:paraId="646EA4C0" w14:textId="77777777" w:rsidR="006D3AD5" w:rsidRPr="00874BFF" w:rsidRDefault="006D3AD5" w:rsidP="00443B8F">
            <w:pPr>
              <w:jc w:val="left"/>
              <w:rPr>
                <w:b/>
                <w:bCs/>
                <w:color w:val="000000"/>
                <w:sz w:val="18"/>
                <w:szCs w:val="18"/>
              </w:rPr>
            </w:pPr>
          </w:p>
        </w:tc>
        <w:tc>
          <w:tcPr>
            <w:tcW w:w="960" w:type="dxa"/>
            <w:vMerge/>
            <w:shd w:val="clear" w:color="auto" w:fill="FF0000"/>
            <w:noWrap/>
            <w:textDirection w:val="btLr"/>
          </w:tcPr>
          <w:p w14:paraId="03B34846" w14:textId="77777777" w:rsidR="006D3AD5" w:rsidRPr="00874BFF" w:rsidRDefault="006D3AD5" w:rsidP="00443B8F">
            <w:pPr>
              <w:jc w:val="center"/>
              <w:rPr>
                <w:b/>
                <w:bCs/>
                <w:color w:val="000000"/>
                <w:sz w:val="18"/>
                <w:szCs w:val="18"/>
              </w:rPr>
            </w:pPr>
          </w:p>
        </w:tc>
        <w:tc>
          <w:tcPr>
            <w:tcW w:w="2414" w:type="dxa"/>
            <w:shd w:val="clear" w:color="auto" w:fill="FF0000"/>
          </w:tcPr>
          <w:p w14:paraId="0FE855D6" w14:textId="77777777" w:rsidR="006D3AD5" w:rsidRPr="00874BFF" w:rsidRDefault="006D3AD5" w:rsidP="00443B8F">
            <w:pPr>
              <w:jc w:val="center"/>
              <w:rPr>
                <w:b/>
                <w:color w:val="FFFFFF"/>
                <w:sz w:val="20"/>
              </w:rPr>
            </w:pPr>
            <w:r w:rsidRPr="00874BFF">
              <w:rPr>
                <w:b/>
                <w:color w:val="FFFFFF"/>
                <w:sz w:val="20"/>
              </w:rPr>
              <w:t>Very low revolving effect</w:t>
            </w:r>
          </w:p>
        </w:tc>
        <w:tc>
          <w:tcPr>
            <w:tcW w:w="2330" w:type="dxa"/>
            <w:shd w:val="clear" w:color="auto" w:fill="FF0000"/>
          </w:tcPr>
          <w:p w14:paraId="5F31B341" w14:textId="77777777" w:rsidR="006D3AD5" w:rsidRPr="00874BFF" w:rsidRDefault="006D3AD5" w:rsidP="00443B8F">
            <w:pPr>
              <w:jc w:val="center"/>
              <w:rPr>
                <w:b/>
                <w:color w:val="FFFFFF"/>
                <w:sz w:val="20"/>
              </w:rPr>
            </w:pPr>
            <w:r w:rsidRPr="00874BFF">
              <w:rPr>
                <w:b/>
                <w:color w:val="FFFFFF"/>
                <w:sz w:val="20"/>
              </w:rPr>
              <w:t>Lower leverage effect</w:t>
            </w:r>
          </w:p>
        </w:tc>
        <w:tc>
          <w:tcPr>
            <w:tcW w:w="2330" w:type="dxa"/>
            <w:shd w:val="clear" w:color="auto" w:fill="FF0000"/>
          </w:tcPr>
          <w:p w14:paraId="10B6AD84" w14:textId="77777777" w:rsidR="006D3AD5" w:rsidRPr="00874BFF" w:rsidRDefault="006D3AD5" w:rsidP="00443B8F">
            <w:pPr>
              <w:jc w:val="center"/>
              <w:rPr>
                <w:b/>
                <w:color w:val="FFFFFF"/>
                <w:sz w:val="20"/>
              </w:rPr>
            </w:pPr>
            <w:r w:rsidRPr="00874BFF">
              <w:rPr>
                <w:b/>
                <w:color w:val="FFFFFF"/>
                <w:sz w:val="20"/>
              </w:rPr>
              <w:t>Lower number of supported projects</w:t>
            </w:r>
          </w:p>
        </w:tc>
      </w:tr>
      <w:tr w:rsidR="006D3AD5" w:rsidRPr="00874BFF" w14:paraId="511FBE9D" w14:textId="77777777" w:rsidTr="00443B8F">
        <w:trPr>
          <w:trHeight w:val="264"/>
        </w:trPr>
        <w:tc>
          <w:tcPr>
            <w:tcW w:w="960" w:type="dxa"/>
            <w:vMerge/>
            <w:shd w:val="clear" w:color="auto" w:fill="FF0000"/>
          </w:tcPr>
          <w:p w14:paraId="5A07BDF9" w14:textId="77777777" w:rsidR="006D3AD5" w:rsidRPr="00874BFF" w:rsidRDefault="006D3AD5" w:rsidP="00443B8F">
            <w:pPr>
              <w:jc w:val="left"/>
              <w:rPr>
                <w:b/>
                <w:bCs/>
                <w:color w:val="000000"/>
                <w:sz w:val="18"/>
                <w:szCs w:val="18"/>
              </w:rPr>
            </w:pPr>
          </w:p>
        </w:tc>
        <w:tc>
          <w:tcPr>
            <w:tcW w:w="960" w:type="dxa"/>
            <w:vMerge/>
            <w:shd w:val="clear" w:color="auto" w:fill="FF0000"/>
            <w:noWrap/>
            <w:textDirection w:val="btLr"/>
          </w:tcPr>
          <w:p w14:paraId="760FEC9E" w14:textId="77777777" w:rsidR="006D3AD5" w:rsidRPr="00874BFF" w:rsidRDefault="006D3AD5" w:rsidP="00443B8F">
            <w:pPr>
              <w:jc w:val="center"/>
              <w:rPr>
                <w:b/>
                <w:bCs/>
                <w:color w:val="000000"/>
                <w:sz w:val="18"/>
                <w:szCs w:val="18"/>
              </w:rPr>
            </w:pPr>
          </w:p>
        </w:tc>
        <w:tc>
          <w:tcPr>
            <w:tcW w:w="2414" w:type="dxa"/>
            <w:shd w:val="clear" w:color="auto" w:fill="FF0000"/>
          </w:tcPr>
          <w:p w14:paraId="5BF57091"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shd w:val="clear" w:color="auto" w:fill="FF0000"/>
          </w:tcPr>
          <w:p w14:paraId="71EC5E96" w14:textId="77777777" w:rsidR="006D3AD5" w:rsidRPr="00874BFF" w:rsidRDefault="006D3AD5" w:rsidP="00443B8F">
            <w:pPr>
              <w:jc w:val="center"/>
              <w:rPr>
                <w:b/>
                <w:color w:val="FFFFFF"/>
                <w:sz w:val="20"/>
              </w:rPr>
            </w:pPr>
          </w:p>
        </w:tc>
        <w:tc>
          <w:tcPr>
            <w:tcW w:w="2330" w:type="dxa"/>
            <w:shd w:val="clear" w:color="auto" w:fill="FF0000"/>
          </w:tcPr>
          <w:p w14:paraId="13F5A09F" w14:textId="77777777" w:rsidR="006D3AD5" w:rsidRPr="00874BFF" w:rsidRDefault="006D3AD5" w:rsidP="00443B8F">
            <w:pPr>
              <w:keepNext/>
              <w:jc w:val="center"/>
              <w:rPr>
                <w:b/>
                <w:color w:val="FFFFFF"/>
                <w:sz w:val="20"/>
              </w:rPr>
            </w:pPr>
            <w:r w:rsidRPr="00874BFF">
              <w:rPr>
                <w:b/>
                <w:color w:val="FFFFFF"/>
                <w:sz w:val="20"/>
              </w:rPr>
              <w:t>Slower absorption</w:t>
            </w:r>
          </w:p>
        </w:tc>
      </w:tr>
    </w:tbl>
    <w:p w14:paraId="49E0787B" w14:textId="77777777" w:rsidR="006D3AD5" w:rsidRPr="00874BFF" w:rsidRDefault="006D3AD5" w:rsidP="006D3AD5">
      <w:pPr>
        <w:pStyle w:val="Titulek"/>
        <w:framePr w:hSpace="141" w:wrap="around" w:vAnchor="text" w:hAnchor="margin" w:y="-23"/>
      </w:pPr>
      <w:r w:rsidRPr="00874BFF">
        <w:t xml:space="preserve">Table </w:t>
      </w:r>
      <w:r w:rsidR="00AE65A1">
        <w:fldChar w:fldCharType="begin"/>
      </w:r>
      <w:r w:rsidR="00AE65A1">
        <w:instrText xml:space="preserve"> SEQ Tabulka \* ARABIC </w:instrText>
      </w:r>
      <w:r w:rsidR="00AE65A1">
        <w:fldChar w:fldCharType="separate"/>
      </w:r>
      <w:r w:rsidRPr="00874BFF">
        <w:rPr>
          <w:noProof/>
        </w:rPr>
        <w:t>1</w:t>
      </w:r>
      <w:r w:rsidR="00AE65A1">
        <w:rPr>
          <w:noProof/>
        </w:rPr>
        <w:fldChar w:fldCharType="end"/>
      </w:r>
      <w:r w:rsidRPr="00874BFF">
        <w:t xml:space="preserve">:  </w:t>
      </w:r>
    </w:p>
    <w:p w14:paraId="437AF2A8" w14:textId="14D30C50" w:rsidR="006D3AD5" w:rsidRPr="00874BFF" w:rsidRDefault="006D3AD5" w:rsidP="006D3AD5">
      <w:pPr>
        <w:pStyle w:val="Titulek"/>
      </w:pPr>
      <w:r w:rsidRPr="00874BFF">
        <w:t>Table 1</w:t>
      </w:r>
      <w:r w:rsidR="007C6DD6">
        <w:t>2</w:t>
      </w:r>
      <w:r w:rsidRPr="00874BFF">
        <w:t xml:space="preserve">: Added value, disadvantages, problems and risks of selected forms of </w:t>
      </w:r>
      <w:r w:rsidR="008F5F02">
        <w:t>support for final recipients and MA</w:t>
      </w:r>
    </w:p>
    <w:p w14:paraId="5EBBE70E" w14:textId="77777777" w:rsidR="006D3AD5" w:rsidRPr="00874BFF" w:rsidRDefault="006D3AD5" w:rsidP="006D3AD5"/>
    <w:p w14:paraId="699BDD9F" w14:textId="77777777" w:rsidR="006D3AD5" w:rsidRPr="00874BFF" w:rsidRDefault="006D3AD5" w:rsidP="006D3AD5"/>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126"/>
        <w:gridCol w:w="2126"/>
      </w:tblGrid>
      <w:tr w:rsidR="006D3AD5" w:rsidRPr="00874BFF" w14:paraId="7C1F69C9" w14:textId="77777777" w:rsidTr="00443B8F">
        <w:tc>
          <w:tcPr>
            <w:tcW w:w="1729" w:type="dxa"/>
            <w:shd w:val="clear" w:color="auto" w:fill="548DD4"/>
            <w:vAlign w:val="center"/>
          </w:tcPr>
          <w:p w14:paraId="1B921F4A"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Market failures and sub-optimal investment situation</w:t>
            </w:r>
          </w:p>
        </w:tc>
        <w:tc>
          <w:tcPr>
            <w:tcW w:w="2694" w:type="dxa"/>
            <w:shd w:val="clear" w:color="auto" w:fill="548DD4"/>
            <w:vAlign w:val="center"/>
          </w:tcPr>
          <w:p w14:paraId="4FC71D64"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Guarantee instrument</w:t>
            </w:r>
          </w:p>
        </w:tc>
        <w:tc>
          <w:tcPr>
            <w:tcW w:w="2126" w:type="dxa"/>
            <w:shd w:val="clear" w:color="auto" w:fill="548DD4"/>
            <w:vAlign w:val="center"/>
          </w:tcPr>
          <w:p w14:paraId="24BF786C"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Soft loan</w:t>
            </w:r>
          </w:p>
        </w:tc>
        <w:tc>
          <w:tcPr>
            <w:tcW w:w="2126" w:type="dxa"/>
            <w:shd w:val="clear" w:color="auto" w:fill="548DD4"/>
            <w:vAlign w:val="center"/>
          </w:tcPr>
          <w:p w14:paraId="607B7AB5"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Subsidy</w:t>
            </w:r>
          </w:p>
        </w:tc>
      </w:tr>
      <w:tr w:rsidR="006D3AD5" w:rsidRPr="00874BFF" w14:paraId="37703439" w14:textId="77777777" w:rsidTr="00443B8F">
        <w:trPr>
          <w:trHeight w:val="793"/>
        </w:trPr>
        <w:tc>
          <w:tcPr>
            <w:tcW w:w="1729" w:type="dxa"/>
            <w:shd w:val="clear" w:color="auto" w:fill="FFFFFF"/>
            <w:vAlign w:val="center"/>
          </w:tcPr>
          <w:p w14:paraId="5C2A43C5" w14:textId="77777777" w:rsidR="006D3AD5" w:rsidRPr="00874BFF" w:rsidRDefault="006D3AD5" w:rsidP="00443B8F">
            <w:pPr>
              <w:pStyle w:val="Highlight2"/>
              <w:jc w:val="left"/>
              <w:rPr>
                <w:rFonts w:ascii="Calibri" w:hAnsi="Calibri" w:cs="Calibri"/>
              </w:rPr>
            </w:pPr>
            <w:r w:rsidRPr="00874BFF">
              <w:rPr>
                <w:rFonts w:ascii="Calibri" w:hAnsi="Calibri"/>
                <w:color w:val="000000"/>
              </w:rPr>
              <w:t xml:space="preserve">High requirements for security </w:t>
            </w:r>
          </w:p>
        </w:tc>
        <w:tc>
          <w:tcPr>
            <w:tcW w:w="2694" w:type="dxa"/>
            <w:shd w:val="clear" w:color="auto" w:fill="FFFFFF"/>
            <w:vAlign w:val="center"/>
          </w:tcPr>
          <w:p w14:paraId="5C76D13A"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solves the problem of securing up to the amount of the guarantee, makes financing accessible to projects with lower chances of their own funding.</w:t>
            </w:r>
          </w:p>
        </w:tc>
        <w:tc>
          <w:tcPr>
            <w:tcW w:w="2126" w:type="dxa"/>
            <w:shd w:val="clear" w:color="auto" w:fill="FFFFFF"/>
            <w:vAlign w:val="center"/>
          </w:tcPr>
          <w:p w14:paraId="55459727"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t>The necessity of securing the loan remains; possible use of pledge for a commercial and soft loans.</w:t>
            </w:r>
          </w:p>
        </w:tc>
        <w:tc>
          <w:tcPr>
            <w:tcW w:w="2126" w:type="dxa"/>
            <w:shd w:val="clear" w:color="auto" w:fill="FFFFFF"/>
            <w:vAlign w:val="center"/>
          </w:tcPr>
          <w:p w14:paraId="69C4A163"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does not solve the securing directly, it subsidises part of the investment, the problem of securing the loan for pre-financing and participation remains.</w:t>
            </w:r>
          </w:p>
        </w:tc>
      </w:tr>
      <w:tr w:rsidR="006D3AD5" w:rsidRPr="00874BFF" w14:paraId="662F480A" w14:textId="77777777" w:rsidTr="00443B8F">
        <w:tblPrEx>
          <w:tblCellMar>
            <w:top w:w="0" w:type="dxa"/>
            <w:left w:w="108" w:type="dxa"/>
            <w:bottom w:w="0" w:type="dxa"/>
            <w:right w:w="108" w:type="dxa"/>
          </w:tblCellMar>
        </w:tblPrEx>
        <w:trPr>
          <w:trHeight w:val="1521"/>
        </w:trPr>
        <w:tc>
          <w:tcPr>
            <w:tcW w:w="1729" w:type="dxa"/>
          </w:tcPr>
          <w:p w14:paraId="66903FB4"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Risk</w:t>
            </w:r>
          </w:p>
        </w:tc>
        <w:tc>
          <w:tcPr>
            <w:tcW w:w="2694" w:type="dxa"/>
          </w:tcPr>
          <w:p w14:paraId="46E8C3CB" w14:textId="04784B61"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It spreads the risk among the final recipient</w:t>
            </w:r>
            <w:r w:rsidR="006D3AD5" w:rsidRPr="00874BFF">
              <w:rPr>
                <w:rFonts w:ascii="Calibri" w:hAnsi="Calibri"/>
                <w:b w:val="0"/>
                <w:color w:val="000000"/>
              </w:rPr>
              <w:t>, the bank and the FI. More liquid collateral, a marked reduction of the risk for the lending institution</w:t>
            </w:r>
          </w:p>
          <w:p w14:paraId="6AAC0FB2" w14:textId="77777777" w:rsidR="006D3AD5" w:rsidRPr="00874BFF" w:rsidRDefault="006D3AD5" w:rsidP="00443B8F">
            <w:pPr>
              <w:pStyle w:val="Highlight2"/>
              <w:jc w:val="center"/>
              <w:rPr>
                <w:rFonts w:ascii="Calibri" w:hAnsi="Calibri" w:cs="Calibri"/>
                <w:b w:val="0"/>
                <w:color w:val="000000"/>
              </w:rPr>
            </w:pPr>
          </w:p>
          <w:p w14:paraId="65E30E68" w14:textId="77777777" w:rsidR="006D3AD5" w:rsidRPr="00874BFF" w:rsidRDefault="006D3AD5" w:rsidP="00443B8F">
            <w:pPr>
              <w:pStyle w:val="Highlight2"/>
              <w:jc w:val="center"/>
              <w:rPr>
                <w:rFonts w:ascii="Calibri" w:hAnsi="Calibri" w:cs="Calibri"/>
                <w:b w:val="0"/>
                <w:color w:val="000000"/>
              </w:rPr>
            </w:pPr>
          </w:p>
        </w:tc>
        <w:tc>
          <w:tcPr>
            <w:tcW w:w="2126" w:type="dxa"/>
          </w:tcPr>
          <w:p w14:paraId="52AC9774" w14:textId="47FA53CE"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It spreads the risk among the final recipient</w:t>
            </w:r>
            <w:r w:rsidR="006D3AD5" w:rsidRPr="00874BFF">
              <w:rPr>
                <w:rFonts w:ascii="Calibri" w:hAnsi="Calibri"/>
                <w:b w:val="0"/>
                <w:color w:val="000000"/>
              </w:rPr>
              <w:t>, the bank and the FI.</w:t>
            </w:r>
          </w:p>
          <w:p w14:paraId="423B17A7" w14:textId="77777777" w:rsidR="006D3AD5" w:rsidRPr="00874BFF" w:rsidRDefault="006D3AD5" w:rsidP="00443B8F">
            <w:pPr>
              <w:pStyle w:val="Highlight2"/>
              <w:jc w:val="center"/>
              <w:rPr>
                <w:rFonts w:ascii="Calibri" w:hAnsi="Calibri" w:cs="Calibri"/>
                <w:b w:val="0"/>
                <w:color w:val="000000"/>
              </w:rPr>
            </w:pPr>
          </w:p>
        </w:tc>
        <w:tc>
          <w:tcPr>
            <w:tcW w:w="2126" w:type="dxa"/>
          </w:tcPr>
          <w:p w14:paraId="70074BB0" w14:textId="77777777" w:rsidR="006D3AD5" w:rsidRPr="00874BFF" w:rsidRDefault="006D3AD5" w:rsidP="00443B8F">
            <w:pPr>
              <w:jc w:val="center"/>
              <w:rPr>
                <w:sz w:val="20"/>
              </w:rPr>
            </w:pPr>
            <w:r w:rsidRPr="00874BFF">
              <w:rPr>
                <w:sz w:val="20"/>
              </w:rPr>
              <w:t>Improvement of economic parameters of the project reduces the risk of default.  Improved creditworthiness of subsidized projects.</w:t>
            </w:r>
          </w:p>
          <w:p w14:paraId="62EF9FF6" w14:textId="5B4E8613" w:rsidR="006D3AD5" w:rsidRPr="00874BFF" w:rsidRDefault="008F5F02" w:rsidP="00443B8F">
            <w:pPr>
              <w:jc w:val="center"/>
              <w:rPr>
                <w:sz w:val="20"/>
              </w:rPr>
            </w:pPr>
            <w:r>
              <w:rPr>
                <w:sz w:val="20"/>
              </w:rPr>
              <w:t>The final recipient assumes the risk only</w:t>
            </w:r>
            <w:r w:rsidR="006D3AD5" w:rsidRPr="00874BFF">
              <w:rPr>
                <w:sz w:val="20"/>
              </w:rPr>
              <w:t xml:space="preserve"> to the amount of co-financing of eligible and ineligible costs.</w:t>
            </w:r>
          </w:p>
          <w:p w14:paraId="1DD8987B" w14:textId="77777777" w:rsidR="006D3AD5" w:rsidRPr="00874BFF" w:rsidRDefault="006D3AD5" w:rsidP="00443B8F">
            <w:pPr>
              <w:jc w:val="center"/>
              <w:rPr>
                <w:sz w:val="20"/>
              </w:rPr>
            </w:pPr>
            <w:r w:rsidRPr="00874BFF">
              <w:rPr>
                <w:sz w:val="20"/>
              </w:rPr>
              <w:t>However, projects with an increased risk are not supported in order to minimise the project failing rate.</w:t>
            </w:r>
          </w:p>
          <w:p w14:paraId="195E60AE" w14:textId="77777777" w:rsidR="006D3AD5" w:rsidRPr="00874BFF" w:rsidRDefault="006D3AD5" w:rsidP="00443B8F">
            <w:pPr>
              <w:jc w:val="center"/>
              <w:rPr>
                <w:sz w:val="20"/>
              </w:rPr>
            </w:pPr>
          </w:p>
          <w:p w14:paraId="54AFBD50" w14:textId="77777777" w:rsidR="006D3AD5" w:rsidRPr="00874BFF" w:rsidRDefault="006D3AD5" w:rsidP="00443B8F">
            <w:pPr>
              <w:jc w:val="center"/>
              <w:rPr>
                <w:sz w:val="20"/>
              </w:rPr>
            </w:pPr>
            <w:r w:rsidRPr="00874BFF">
              <w:rPr>
                <w:sz w:val="20"/>
              </w:rPr>
              <w:t>The effect is limited by the risk of subsidy withdrawal.</w:t>
            </w:r>
          </w:p>
          <w:p w14:paraId="74FE988D" w14:textId="77777777" w:rsidR="006D3AD5" w:rsidRPr="00874BFF" w:rsidRDefault="006D3AD5" w:rsidP="00443B8F">
            <w:pPr>
              <w:pStyle w:val="Highlight2"/>
              <w:jc w:val="center"/>
              <w:rPr>
                <w:rFonts w:ascii="Calibri" w:hAnsi="Calibri" w:cs="Calibri"/>
                <w:b w:val="0"/>
                <w:color w:val="000000"/>
              </w:rPr>
            </w:pPr>
          </w:p>
        </w:tc>
      </w:tr>
      <w:tr w:rsidR="006D3AD5" w:rsidRPr="00874BFF" w14:paraId="1BEADFDD" w14:textId="77777777" w:rsidTr="00443B8F">
        <w:tblPrEx>
          <w:tblCellMar>
            <w:top w:w="0" w:type="dxa"/>
            <w:left w:w="108" w:type="dxa"/>
            <w:bottom w:w="0" w:type="dxa"/>
            <w:right w:w="108" w:type="dxa"/>
          </w:tblCellMar>
        </w:tblPrEx>
        <w:tc>
          <w:tcPr>
            <w:tcW w:w="1729" w:type="dxa"/>
          </w:tcPr>
          <w:p w14:paraId="3EEB9A59" w14:textId="62FA5696" w:rsidR="006D3AD5" w:rsidRPr="00874BFF" w:rsidRDefault="006D3AD5" w:rsidP="000A08A2">
            <w:pPr>
              <w:pStyle w:val="Highlight2"/>
              <w:jc w:val="left"/>
              <w:rPr>
                <w:rFonts w:ascii="Calibri" w:hAnsi="Calibri" w:cs="Calibri"/>
                <w:color w:val="auto"/>
                <w:szCs w:val="20"/>
              </w:rPr>
            </w:pPr>
            <w:r w:rsidRPr="00874BFF">
              <w:rPr>
                <w:rFonts w:ascii="Calibri" w:hAnsi="Calibri"/>
                <w:color w:val="auto"/>
              </w:rPr>
              <w:t>Project costs and return</w:t>
            </w:r>
          </w:p>
        </w:tc>
        <w:tc>
          <w:tcPr>
            <w:tcW w:w="2694" w:type="dxa"/>
          </w:tcPr>
          <w:p w14:paraId="6F8D25B1" w14:textId="77777777" w:rsidR="006D3AD5" w:rsidRPr="00874BFF" w:rsidRDefault="006D3AD5" w:rsidP="00443B8F">
            <w:pPr>
              <w:pStyle w:val="Highlight2"/>
              <w:jc w:val="center"/>
              <w:rPr>
                <w:rFonts w:ascii="Calibri" w:hAnsi="Calibri" w:cs="Calibri"/>
                <w:b w:val="0"/>
                <w:color w:val="auto"/>
                <w:szCs w:val="20"/>
              </w:rPr>
            </w:pPr>
            <w:r w:rsidRPr="00874BFF">
              <w:rPr>
                <w:rFonts w:ascii="Calibri" w:hAnsi="Calibri"/>
                <w:b w:val="0"/>
                <w:color w:val="auto"/>
              </w:rPr>
              <w:t>It has not a great influence on reduction of project costs and return on the project.</w:t>
            </w:r>
          </w:p>
        </w:tc>
        <w:tc>
          <w:tcPr>
            <w:tcW w:w="2126" w:type="dxa"/>
          </w:tcPr>
          <w:p w14:paraId="14EBDD95" w14:textId="77777777" w:rsidR="006D3AD5" w:rsidRPr="00874BFF" w:rsidRDefault="006D3AD5" w:rsidP="00443B8F">
            <w:pPr>
              <w:pStyle w:val="Highlight2"/>
              <w:jc w:val="center"/>
              <w:rPr>
                <w:rFonts w:ascii="Calibri" w:hAnsi="Calibri" w:cs="Calibri"/>
                <w:b w:val="0"/>
                <w:color w:val="auto"/>
                <w:szCs w:val="20"/>
              </w:rPr>
            </w:pPr>
            <w:r w:rsidRPr="00874BFF">
              <w:rPr>
                <w:rFonts w:ascii="Calibri" w:hAnsi="Calibri"/>
                <w:b w:val="0"/>
                <w:color w:val="auto"/>
              </w:rPr>
              <w:t>It partially reduces interest costs and initial costs of preparation, however, it does not radically change return parameters.</w:t>
            </w:r>
          </w:p>
        </w:tc>
        <w:tc>
          <w:tcPr>
            <w:tcW w:w="2126" w:type="dxa"/>
          </w:tcPr>
          <w:p w14:paraId="37A04E5C" w14:textId="77777777" w:rsidR="006D3AD5" w:rsidRPr="00874BFF" w:rsidRDefault="006D3AD5" w:rsidP="00443B8F">
            <w:pPr>
              <w:pStyle w:val="Highlight2"/>
              <w:jc w:val="center"/>
              <w:rPr>
                <w:rFonts w:ascii="Calibri" w:hAnsi="Calibri" w:cs="Calibri"/>
                <w:b w:val="0"/>
                <w:color w:val="auto"/>
                <w:szCs w:val="20"/>
              </w:rPr>
            </w:pPr>
            <w:r w:rsidRPr="00874BFF">
              <w:rPr>
                <w:rFonts w:ascii="Calibri" w:hAnsi="Calibri"/>
                <w:b w:val="0"/>
                <w:color w:val="auto"/>
              </w:rPr>
              <w:t>It reduces costs for applicants significantly, improving thus the return on the project markedly.</w:t>
            </w:r>
          </w:p>
        </w:tc>
      </w:tr>
      <w:tr w:rsidR="006D3AD5" w:rsidRPr="00874BFF" w14:paraId="25E6C552" w14:textId="77777777" w:rsidTr="00443B8F">
        <w:tblPrEx>
          <w:tblCellMar>
            <w:top w:w="0" w:type="dxa"/>
            <w:left w:w="108" w:type="dxa"/>
            <w:bottom w:w="0" w:type="dxa"/>
            <w:right w:w="108" w:type="dxa"/>
          </w:tblCellMar>
        </w:tblPrEx>
        <w:tc>
          <w:tcPr>
            <w:tcW w:w="1729" w:type="dxa"/>
          </w:tcPr>
          <w:p w14:paraId="1C9ADCDB" w14:textId="77777777" w:rsidR="006D3AD5" w:rsidRPr="00874BFF" w:rsidRDefault="006D3AD5" w:rsidP="00443B8F">
            <w:pPr>
              <w:pStyle w:val="Highlight2"/>
              <w:jc w:val="left"/>
              <w:rPr>
                <w:rFonts w:ascii="Calibri" w:hAnsi="Calibri" w:cs="Calibri"/>
              </w:rPr>
            </w:pPr>
            <w:r w:rsidRPr="00874BFF">
              <w:rPr>
                <w:rFonts w:ascii="Calibri" w:hAnsi="Calibri"/>
                <w:color w:val="000000"/>
              </w:rPr>
              <w:t>Administrative burden</w:t>
            </w:r>
          </w:p>
        </w:tc>
        <w:tc>
          <w:tcPr>
            <w:tcW w:w="2694" w:type="dxa"/>
          </w:tcPr>
          <w:p w14:paraId="7C17808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Simpler administration, without any risk of withdrawal of support due to technical mistakes</w:t>
            </w:r>
          </w:p>
          <w:p w14:paraId="2CAB3D2C" w14:textId="77777777" w:rsidR="006D3AD5" w:rsidRPr="00874BFF" w:rsidRDefault="006D3AD5" w:rsidP="00443B8F">
            <w:pPr>
              <w:pStyle w:val="Highlight2"/>
              <w:jc w:val="center"/>
              <w:rPr>
                <w:rFonts w:ascii="Calibri" w:hAnsi="Calibri" w:cs="Calibri"/>
                <w:b w:val="0"/>
                <w:color w:val="000000"/>
              </w:rPr>
            </w:pPr>
          </w:p>
        </w:tc>
        <w:tc>
          <w:tcPr>
            <w:tcW w:w="2126" w:type="dxa"/>
          </w:tcPr>
          <w:p w14:paraId="40569162"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t>Simpler administration, without any risk of withdrawal of support due to technical mistakes</w:t>
            </w:r>
          </w:p>
        </w:tc>
        <w:tc>
          <w:tcPr>
            <w:tcW w:w="2126" w:type="dxa"/>
          </w:tcPr>
          <w:p w14:paraId="5414329E" w14:textId="23107B0C"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 xml:space="preserve">The high administrative burden limits final recipients, </w:t>
            </w:r>
            <w:r w:rsidR="006D3AD5" w:rsidRPr="00874BFF">
              <w:rPr>
                <w:rFonts w:ascii="Calibri" w:hAnsi="Calibri"/>
                <w:b w:val="0"/>
                <w:color w:val="000000"/>
              </w:rPr>
              <w:t>increases costs and poses a risk of subsidy withdrawal, which keeps down the absorption capacity of the support.</w:t>
            </w:r>
          </w:p>
        </w:tc>
      </w:tr>
      <w:tr w:rsidR="006D3AD5" w:rsidRPr="00874BFF" w14:paraId="537826DF" w14:textId="77777777" w:rsidTr="00443B8F">
        <w:trPr>
          <w:trHeight w:val="1474"/>
        </w:trPr>
        <w:tc>
          <w:tcPr>
            <w:tcW w:w="1729" w:type="dxa"/>
            <w:shd w:val="clear" w:color="auto" w:fill="FFFFFF"/>
            <w:vAlign w:val="center"/>
          </w:tcPr>
          <w:p w14:paraId="212CA02D" w14:textId="77777777" w:rsidR="006D3AD5" w:rsidRPr="00874BFF" w:rsidRDefault="006D3AD5" w:rsidP="00443B8F">
            <w:pPr>
              <w:rPr>
                <w:sz w:val="19"/>
              </w:rPr>
            </w:pPr>
            <w:r w:rsidRPr="00874BFF">
              <w:rPr>
                <w:b/>
                <w:sz w:val="20"/>
              </w:rPr>
              <w:lastRenderedPageBreak/>
              <w:t>Overall effect on investment activity and absorption in SO</w:t>
            </w:r>
          </w:p>
        </w:tc>
        <w:tc>
          <w:tcPr>
            <w:tcW w:w="2694" w:type="dxa"/>
            <w:shd w:val="clear" w:color="auto" w:fill="FFFFFF"/>
            <w:vAlign w:val="center"/>
          </w:tcPr>
          <w:p w14:paraId="48099977"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Positive effect of making external financing accessible and reduction of the degree of securing</w:t>
            </w:r>
          </w:p>
          <w:p w14:paraId="33515022"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increase in absorption capacity for smaller and higher risk stakeholders by economically rational projects, high leverage effect</w:t>
            </w:r>
          </w:p>
        </w:tc>
        <w:tc>
          <w:tcPr>
            <w:tcW w:w="2126" w:type="dxa"/>
            <w:shd w:val="clear" w:color="auto" w:fill="FFFFFF"/>
            <w:vAlign w:val="center"/>
          </w:tcPr>
          <w:p w14:paraId="517C0364" w14:textId="77777777" w:rsidR="006D3AD5" w:rsidRPr="00874BFF" w:rsidRDefault="006D3AD5" w:rsidP="00443B8F">
            <w:pPr>
              <w:jc w:val="center"/>
              <w:rPr>
                <w:sz w:val="19"/>
              </w:rPr>
            </w:pPr>
            <w:r w:rsidRPr="00874BFF">
              <w:rPr>
                <w:sz w:val="20"/>
              </w:rPr>
              <w:t>Moderate shortening of the payback period, access to higher external financing, contribution for project preparation</w:t>
            </w:r>
          </w:p>
          <w:p w14:paraId="1D9AE168" w14:textId="77777777" w:rsidR="006D3AD5" w:rsidRPr="00874BFF" w:rsidRDefault="006D3AD5" w:rsidP="00443B8F">
            <w:pPr>
              <w:jc w:val="center"/>
              <w:rPr>
                <w:b/>
                <w:sz w:val="19"/>
              </w:rPr>
            </w:pPr>
            <w:r w:rsidRPr="00874BFF">
              <w:rPr>
                <w:color w:val="000000"/>
                <w:sz w:val="20"/>
              </w:rPr>
              <w:t>– partial increase in absorption capacity for smaller stakeholders and projects on the edge of the market return, however, only a limited ability to reduce project costs. More projects can be supported thanks to the revolving.</w:t>
            </w:r>
          </w:p>
        </w:tc>
        <w:tc>
          <w:tcPr>
            <w:tcW w:w="2126" w:type="dxa"/>
            <w:shd w:val="clear" w:color="auto" w:fill="FFFFFF"/>
            <w:vAlign w:val="center"/>
          </w:tcPr>
          <w:p w14:paraId="59C61099" w14:textId="77777777" w:rsidR="006D3AD5" w:rsidRPr="00874BFF" w:rsidRDefault="006D3AD5" w:rsidP="00443B8F">
            <w:pPr>
              <w:jc w:val="center"/>
              <w:rPr>
                <w:color w:val="000000"/>
                <w:sz w:val="19"/>
              </w:rPr>
            </w:pPr>
            <w:r w:rsidRPr="00874BFF">
              <w:rPr>
                <w:color w:val="000000"/>
                <w:sz w:val="20"/>
              </w:rPr>
              <w:t>Strong effect on expense-to-revenue ratio and return on the project increases absorption even for commercially unfeasible projects. Partial limitation due to administrative complexity.</w:t>
            </w:r>
          </w:p>
          <w:p w14:paraId="1E7791CE" w14:textId="77777777" w:rsidR="006D3AD5" w:rsidRPr="00874BFF" w:rsidRDefault="006D3AD5" w:rsidP="00443B8F">
            <w:pPr>
              <w:jc w:val="center"/>
              <w:rPr>
                <w:color w:val="000000"/>
                <w:sz w:val="19"/>
              </w:rPr>
            </w:pPr>
            <w:r w:rsidRPr="00874BFF">
              <w:rPr>
                <w:color w:val="000000"/>
                <w:sz w:val="20"/>
              </w:rPr>
              <w:t>Limitation due to a lack of available resources for across-the-board support.</w:t>
            </w:r>
          </w:p>
          <w:p w14:paraId="6C21459A" w14:textId="77777777" w:rsidR="006D3AD5" w:rsidRPr="00874BFF" w:rsidRDefault="006D3AD5" w:rsidP="00443B8F">
            <w:pPr>
              <w:rPr>
                <w:b/>
                <w:color w:val="000000"/>
                <w:sz w:val="19"/>
              </w:rPr>
            </w:pPr>
          </w:p>
        </w:tc>
      </w:tr>
      <w:tr w:rsidR="006D3AD5" w:rsidRPr="00874BFF" w14:paraId="20B38030" w14:textId="77777777" w:rsidTr="00443B8F">
        <w:tblPrEx>
          <w:tblCellMar>
            <w:top w:w="0" w:type="dxa"/>
            <w:left w:w="108" w:type="dxa"/>
            <w:bottom w:w="0" w:type="dxa"/>
            <w:right w:w="108" w:type="dxa"/>
          </w:tblCellMar>
        </w:tblPrEx>
        <w:tc>
          <w:tcPr>
            <w:tcW w:w="1729" w:type="dxa"/>
          </w:tcPr>
          <w:p w14:paraId="437811A7"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Effect on disruption of the market environment</w:t>
            </w:r>
          </w:p>
        </w:tc>
        <w:tc>
          <w:tcPr>
            <w:tcW w:w="2694" w:type="dxa"/>
          </w:tcPr>
          <w:p w14:paraId="704A08EF"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A minimum impact on the market environment, increasing competitiveness by removing financial barriers for smaller stakeholders.</w:t>
            </w:r>
          </w:p>
        </w:tc>
        <w:tc>
          <w:tcPr>
            <w:tcW w:w="2126" w:type="dxa"/>
          </w:tcPr>
          <w:p w14:paraId="6345ADC9"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Little impact on the market environment, recoverable support encourages stakeholders to act economically and efficiently.</w:t>
            </w:r>
          </w:p>
          <w:p w14:paraId="0328E6B1"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Supplement to the private financial market.</w:t>
            </w:r>
          </w:p>
        </w:tc>
        <w:tc>
          <w:tcPr>
            <w:tcW w:w="2126" w:type="dxa"/>
          </w:tcPr>
          <w:p w14:paraId="5326D2A4" w14:textId="01655BB6"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xml:space="preserve">Strong </w:t>
            </w:r>
            <w:r w:rsidR="008F5F02">
              <w:rPr>
                <w:rFonts w:ascii="Calibri" w:hAnsi="Calibri"/>
                <w:b w:val="0"/>
                <w:color w:val="000000"/>
              </w:rPr>
              <w:t>financial benefit for final recipients</w:t>
            </w:r>
            <w:r w:rsidRPr="00874BFF">
              <w:rPr>
                <w:rFonts w:ascii="Calibri" w:hAnsi="Calibri"/>
                <w:b w:val="0"/>
                <w:color w:val="000000"/>
              </w:rPr>
              <w:t>, limited participation exerts less pressure on economic results of the project.</w:t>
            </w:r>
          </w:p>
          <w:p w14:paraId="136BBC38"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Supporting even projects of inferior quality without potential of long-term sustainability and profitability – limitation of market efficiency.</w:t>
            </w:r>
          </w:p>
          <w:p w14:paraId="2720644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Partial crowding out of private funding</w:t>
            </w:r>
          </w:p>
        </w:tc>
      </w:tr>
    </w:tbl>
    <w:p w14:paraId="2149721A" w14:textId="674D6EA5" w:rsidR="006D3AD5" w:rsidRPr="00874BFF" w:rsidRDefault="006D3AD5" w:rsidP="006D3AD5">
      <w:pPr>
        <w:pStyle w:val="Titulek"/>
      </w:pPr>
      <w:r w:rsidRPr="00874BFF">
        <w:t>Table 1</w:t>
      </w:r>
      <w:r w:rsidR="007C6DD6">
        <w:t>3</w:t>
      </w:r>
      <w:r w:rsidRPr="00874BFF">
        <w:t xml:space="preserve"> – Added value of support for the objectives of SO 1.1, OP EIC, and impact on the market environment</w:t>
      </w:r>
    </w:p>
    <w:p w14:paraId="19AB1FEC" w14:textId="77777777" w:rsidR="006D3AD5" w:rsidRPr="00874BFF" w:rsidRDefault="006D3AD5" w:rsidP="006D3AD5">
      <w:pPr>
        <w:pStyle w:val="Highlight3"/>
        <w:rPr>
          <w:rFonts w:ascii="Calibri" w:hAnsi="Calibri"/>
        </w:rPr>
      </w:pPr>
    </w:p>
    <w:p w14:paraId="54F4575B" w14:textId="77777777" w:rsidR="006D3AD5" w:rsidRPr="00874BFF" w:rsidRDefault="006D3AD5" w:rsidP="006D3AD5">
      <w:r w:rsidRPr="00874BFF">
        <w:t>Based on this comparison, we have reached the view that the most convenient instruments with regard to the objectives of SO 1.1 and the identified barriers to innovative activities of companies – risk, project costs, uncertain result and difficult access to external financing – seem to be primarily guarantees and subsidies. Guarantees address the problem of limited access to credit financing in terms of a high risk and insufficient pledge and may back otherwise commercially viable projects.  Subsidies will enable such innovative activities that exceed the limit of market feasibility with their return, risk and costs and have a higher motivational effect on a change of companies' innovation policy – even despite negative impacts on cost-efficient use of the allocation and companies' operation in the market .</w:t>
      </w:r>
    </w:p>
    <w:p w14:paraId="3CC827DC" w14:textId="77777777" w:rsidR="006D3AD5" w:rsidRPr="00874BFF" w:rsidRDefault="006D3AD5" w:rsidP="006D3AD5"/>
    <w:p w14:paraId="65ADE8AE" w14:textId="77777777" w:rsidR="006D3AD5" w:rsidRPr="00874BFF" w:rsidRDefault="006D3AD5" w:rsidP="006D3AD5">
      <w:pPr>
        <w:pStyle w:val="Nadpis4"/>
        <w:rPr>
          <w:rFonts w:ascii="Calibri" w:hAnsi="Calibri"/>
        </w:rPr>
      </w:pPr>
      <w:r w:rsidRPr="00874BFF">
        <w:rPr>
          <w:rFonts w:ascii="Calibri" w:hAnsi="Calibri"/>
        </w:rPr>
        <w:t>Compliance with other forms of public interventions</w:t>
      </w:r>
    </w:p>
    <w:p w14:paraId="5BC4392B" w14:textId="77777777" w:rsidR="006D3AD5" w:rsidRPr="00874BFF" w:rsidRDefault="006D3AD5" w:rsidP="006D3AD5">
      <w:r w:rsidRPr="00874BFF">
        <w:t>In operational programmes, complementarity and synergies are important first with other activities of RDI support in the OP EIC and second with RDI support in the OP PGP which will concern only the Prague region that is not eligible for support from the OP EIC. During implementation of both programmes, as many common steps should be taken as possible, also for the purpose of cost synergies.</w:t>
      </w:r>
    </w:p>
    <w:p w14:paraId="11D21E49" w14:textId="77777777" w:rsidR="006D3AD5" w:rsidRPr="00874BFF" w:rsidRDefault="006D3AD5" w:rsidP="006D3AD5"/>
    <w:p w14:paraId="44E08D11" w14:textId="77777777" w:rsidR="006D3AD5" w:rsidRPr="00874BFF" w:rsidRDefault="006D3AD5" w:rsidP="006D3AD5">
      <w:r w:rsidRPr="00874BFF">
        <w:t xml:space="preserve">Public support from the OP EIC will work complementarily to instruments of the European framework programme HORIZON 2020. The InnovFin guarantee instrument will be also provided by Czech banks for innovative projects and corporate R&amp;D. Therefore, financial products of the guarantee instrument will need to be set in detail in connection with the InnovFin in terms of parameters of final recipient </w:t>
      </w:r>
      <w:r w:rsidRPr="00874BFF">
        <w:lastRenderedPageBreak/>
        <w:t>criteria. A detailed setting of the financial products is not part of the ex ante evaluation of financial instruments.</w:t>
      </w:r>
    </w:p>
    <w:p w14:paraId="7590A801" w14:textId="77777777" w:rsidR="006D3AD5" w:rsidRPr="00874BFF" w:rsidRDefault="006D3AD5" w:rsidP="006D3AD5"/>
    <w:p w14:paraId="498A1E9B" w14:textId="77777777" w:rsidR="006D3AD5" w:rsidRPr="00874BFF" w:rsidRDefault="006D3AD5" w:rsidP="006D3AD5">
      <w:r w:rsidRPr="00874BFF">
        <w:t>In addition to the possibility of funding from the ESIF, it will be useful to consider funding of the support of innovation investments from the Investment Plan for Europe or interconnection of both sources (provision of counter guarantee from the European Fund for Strategic Investments).</w:t>
      </w:r>
    </w:p>
    <w:p w14:paraId="52C4FE0B" w14:textId="77777777" w:rsidR="006D3AD5" w:rsidRPr="00874BFF" w:rsidRDefault="006D3AD5" w:rsidP="006D3AD5"/>
    <w:p w14:paraId="6A52CEC0" w14:textId="77777777" w:rsidR="006D3AD5" w:rsidRPr="00874BFF" w:rsidRDefault="006D3AD5" w:rsidP="006D3AD5">
      <w:r w:rsidRPr="00874BFF">
        <w:t xml:space="preserve">We consider simultaneous use of the guarantee and subsidy instrument of the OP EIC for innovation projects to be mutually complementary, however, their specification must be a subject of a detailed setting of calls. </w:t>
      </w:r>
    </w:p>
    <w:p w14:paraId="05D28507" w14:textId="77777777" w:rsidR="006D3AD5" w:rsidRPr="00874BFF" w:rsidRDefault="006D3AD5" w:rsidP="006D3AD5"/>
    <w:p w14:paraId="784618E2" w14:textId="77777777" w:rsidR="006D3AD5" w:rsidRPr="00874BFF" w:rsidRDefault="006D3AD5" w:rsidP="006D3AD5">
      <w:pPr>
        <w:pStyle w:val="Nadpis4"/>
        <w:rPr>
          <w:rFonts w:ascii="Calibri" w:hAnsi="Calibri"/>
        </w:rPr>
      </w:pPr>
      <w:r w:rsidRPr="00874BFF">
        <w:rPr>
          <w:rFonts w:ascii="Calibri" w:hAnsi="Calibri"/>
        </w:rPr>
        <w:t>Possible solution for public support</w:t>
      </w:r>
    </w:p>
    <w:p w14:paraId="343590E9" w14:textId="77777777" w:rsidR="006D3AD5" w:rsidRPr="00874BFF" w:rsidRDefault="006D3AD5" w:rsidP="006D3AD5"/>
    <w:p w14:paraId="06050966" w14:textId="209A965F" w:rsidR="006D3AD5" w:rsidRPr="00874BFF" w:rsidRDefault="006D3AD5" w:rsidP="006D3AD5">
      <w:r w:rsidRPr="00874BFF">
        <w:t>Public support is expected at the level of final recipients only. Guarantees for investment loans and contribution for interest payments for innovative projects can be primarily resolved by granting the de minimis aid or support according to the General Regulation No 651/2014 on Block Exemptions.</w:t>
      </w:r>
    </w:p>
    <w:p w14:paraId="0A463DDD" w14:textId="77777777" w:rsidR="006D3AD5" w:rsidRPr="00874BFF" w:rsidRDefault="006D3AD5" w:rsidP="006D3AD5"/>
    <w:p w14:paraId="43BFF66A" w14:textId="77777777" w:rsidR="006D3AD5" w:rsidRPr="00874BFF" w:rsidRDefault="006D3AD5" w:rsidP="006D3AD5">
      <w:pPr>
        <w:pStyle w:val="Nadpis3"/>
        <w:rPr>
          <w:rFonts w:ascii="Calibri" w:hAnsi="Calibri"/>
        </w:rPr>
      </w:pPr>
      <w:bookmarkStart w:id="41" w:name="_Toc422312101"/>
      <w:r w:rsidRPr="00874BFF">
        <w:rPr>
          <w:rFonts w:ascii="Calibri" w:hAnsi="Calibri"/>
        </w:rPr>
        <w:t>Estimate of additional public and private resources</w:t>
      </w:r>
      <w:bookmarkEnd w:id="41"/>
    </w:p>
    <w:p w14:paraId="365D2403" w14:textId="77777777" w:rsidR="006D3AD5" w:rsidRPr="00874BFF" w:rsidRDefault="006D3AD5" w:rsidP="006D3AD5">
      <w:pPr>
        <w:pStyle w:val="Nadpis4"/>
        <w:rPr>
          <w:rFonts w:ascii="Calibri" w:hAnsi="Calibri"/>
        </w:rPr>
      </w:pPr>
      <w:r w:rsidRPr="00874BFF">
        <w:rPr>
          <w:rFonts w:ascii="Calibri" w:hAnsi="Calibri"/>
        </w:rPr>
        <w:t>Co-financing from private resources down to the level of final recipient</w:t>
      </w:r>
    </w:p>
    <w:p w14:paraId="2E3B6952" w14:textId="77777777" w:rsidR="006D3AD5" w:rsidRPr="00874BFF" w:rsidRDefault="006D3AD5" w:rsidP="006D3AD5">
      <w:r w:rsidRPr="00874BFF">
        <w:t>The guarantee instrument assumes private funding to be employed in the form of guaranteed commercial loans.</w:t>
      </w:r>
    </w:p>
    <w:p w14:paraId="38444DA6" w14:textId="77777777" w:rsidR="006D3AD5" w:rsidRPr="00874BFF" w:rsidRDefault="006D3AD5" w:rsidP="006D3AD5"/>
    <w:p w14:paraId="2F63B17F" w14:textId="5B84D921" w:rsidR="006D3AD5" w:rsidRPr="00874BFF" w:rsidRDefault="006D3AD5" w:rsidP="006D3AD5">
      <w:r w:rsidRPr="00874BFF">
        <w:t>Another assumption is to employ final recipients' own funding to finance the remaining project costs not covered by the loan. Based on the experience acquired by the MIT in implementation of financial instruments and according to the usage of financial market, the applicant's own funding can be expected to b</w:t>
      </w:r>
      <w:r w:rsidR="00C55248">
        <w:t>e 10–30 % of the project costs.</w:t>
      </w:r>
    </w:p>
    <w:p w14:paraId="1E9D26F6" w14:textId="77777777" w:rsidR="006D3AD5" w:rsidRPr="00874BFF" w:rsidRDefault="006D3AD5" w:rsidP="006D3AD5">
      <w:pPr>
        <w:pStyle w:val="Nadpis4"/>
        <w:rPr>
          <w:rFonts w:ascii="Calibri" w:hAnsi="Calibri"/>
        </w:rPr>
      </w:pPr>
      <w:r w:rsidRPr="00874BFF">
        <w:rPr>
          <w:rFonts w:ascii="Calibri" w:hAnsi="Calibri"/>
        </w:rPr>
        <w:t>Identification of key stakeholders</w:t>
      </w:r>
    </w:p>
    <w:p w14:paraId="0DEC6C55" w14:textId="77777777" w:rsidR="006D3AD5" w:rsidRPr="00874BFF" w:rsidRDefault="006D3AD5" w:rsidP="006D3AD5"/>
    <w:p w14:paraId="4204BEDD" w14:textId="77777777" w:rsidR="006D3AD5" w:rsidRPr="00874BFF" w:rsidRDefault="006D3AD5" w:rsidP="006D3AD5">
      <w:r w:rsidRPr="00874BFF">
        <w:t>The key private stakeholders for the guarantee instrument are lending institutions – commercial banks. The FI will be implemented through a guarantee fund with a selected manager.</w:t>
      </w:r>
    </w:p>
    <w:p w14:paraId="4B1AF0C9" w14:textId="77777777" w:rsidR="006D3AD5" w:rsidRPr="00874BFF" w:rsidRDefault="006D3AD5" w:rsidP="006D3AD5">
      <w:pPr>
        <w:pStyle w:val="Nadpis4"/>
        <w:rPr>
          <w:rFonts w:ascii="Calibri" w:hAnsi="Calibri"/>
        </w:rPr>
      </w:pPr>
      <w:r w:rsidRPr="00874BFF">
        <w:rPr>
          <w:rFonts w:ascii="Calibri" w:hAnsi="Calibri"/>
        </w:rPr>
        <w:t>Estimate of additional resources that the financial instrument will potentially attract – expected leverage effect</w:t>
      </w:r>
    </w:p>
    <w:p w14:paraId="63943A51" w14:textId="77777777" w:rsidR="006D3AD5" w:rsidRPr="00874BFF" w:rsidRDefault="006D3AD5" w:rsidP="006D3AD5"/>
    <w:p w14:paraId="488E1376" w14:textId="77777777" w:rsidR="006D3AD5" w:rsidRPr="00874BFF" w:rsidRDefault="006D3AD5" w:rsidP="006D3AD5">
      <w:r w:rsidRPr="00874BFF">
        <w:t>Additional resources activated by the financial instrument and thus the final leverage effect always depend on the specific setting of the investment strategy in terms of required private co-financing and spread of the risk.</w:t>
      </w:r>
    </w:p>
    <w:p w14:paraId="0D8D6E23" w14:textId="77777777" w:rsidR="006D3AD5" w:rsidRPr="00874BFF" w:rsidRDefault="006D3AD5" w:rsidP="006D3AD5"/>
    <w:p w14:paraId="05C6E725" w14:textId="77777777" w:rsidR="006D3AD5" w:rsidRPr="00874BFF" w:rsidRDefault="006D3AD5" w:rsidP="006D3AD5">
      <w:r w:rsidRPr="00874BFF">
        <w:t xml:space="preserve">The leverage effect of the guarantee instrument is achieved by means of reducing the risk of lending institutions and making their loans accessible to the segment of SMEs that shows a relatively increased risk. The resulting leverage effect depends on the risk of the portfolio, degree of guarantees provided and intermediated payment of losses by the financial instrument. It will thus be changing depending on the specific setting by the MA which is good to keep open for flexible modifications reflecting results of the instrument. </w:t>
      </w:r>
    </w:p>
    <w:p w14:paraId="3A9E3349" w14:textId="77777777" w:rsidR="006D3AD5" w:rsidRPr="00874BFF" w:rsidRDefault="006D3AD5" w:rsidP="006D3AD5"/>
    <w:p w14:paraId="62223DE0" w14:textId="00627416" w:rsidR="006D3AD5" w:rsidRPr="00874BFF" w:rsidRDefault="006D3AD5" w:rsidP="006D3AD5">
      <w:r w:rsidRPr="00874BFF">
        <w:t xml:space="preserve">When taking into consideration experience from guarantee programmes of the OPEI and the anticipated smaller portfolio, higher investments and higher risks of eligible projects focusing on innovations, it can be assumed that the effective span of the leverage effect be 4–6.7. The FI should provide the </w:t>
      </w:r>
      <w:r w:rsidR="003213A1">
        <w:t>recipient</w:t>
      </w:r>
      <w:r w:rsidRPr="00874BFF">
        <w:t xml:space="preserve"> (FI manager) payment of losses of 15–25 % of the guaranteed portfolio.</w:t>
      </w:r>
    </w:p>
    <w:p w14:paraId="56ACA9B8" w14:textId="77777777" w:rsidR="006D3AD5" w:rsidRPr="00874BFF" w:rsidRDefault="006D3AD5" w:rsidP="006D3AD5"/>
    <w:p w14:paraId="38F7CE89" w14:textId="77777777" w:rsidR="006D3AD5" w:rsidRPr="00874BFF" w:rsidRDefault="006D3AD5" w:rsidP="006D3AD5">
      <w:pPr>
        <w:pStyle w:val="Nadpis4"/>
        <w:rPr>
          <w:rFonts w:ascii="Calibri" w:hAnsi="Calibri"/>
        </w:rPr>
      </w:pPr>
      <w:r w:rsidRPr="00874BFF">
        <w:rPr>
          <w:rFonts w:ascii="Calibri" w:hAnsi="Calibri"/>
        </w:rPr>
        <w:t>Evaluating the need for and level of preferential remuneration</w:t>
      </w:r>
    </w:p>
    <w:p w14:paraId="15BB3DAE" w14:textId="77777777" w:rsidR="006D3AD5" w:rsidRPr="00874BFF" w:rsidRDefault="006D3AD5" w:rsidP="006D3AD5"/>
    <w:p w14:paraId="4B3A02DE" w14:textId="77777777" w:rsidR="006D67F1" w:rsidRPr="002C224A" w:rsidRDefault="006D3AD5" w:rsidP="006D3AD5">
      <w:r w:rsidRPr="00874BFF">
        <w:t>Within the guarantee instrument, private lending institutions are motivated by a markedly reduced risk of the guaranteed loans, which enables them to expand their lending activities with a reasonable risk.  It is not a preferential remuneration of lending institutions; the effects of the instrument should be fully transferred to the final recipient. Preferential remuneration is not proposed.</w:t>
      </w:r>
    </w:p>
    <w:p w14:paraId="0B8CE381" w14:textId="77777777" w:rsidR="006D67F1" w:rsidRPr="002C224A" w:rsidRDefault="006D67F1" w:rsidP="008074B1">
      <w:pPr>
        <w:pStyle w:val="Vtneslovannadpis"/>
        <w:rPr>
          <w:rFonts w:ascii="Calibri" w:hAnsi="Calibri"/>
        </w:rPr>
      </w:pPr>
      <w:r w:rsidRPr="002C224A">
        <w:rPr>
          <w:rFonts w:ascii="Calibri" w:hAnsi="Calibri"/>
        </w:rPr>
        <w:br w:type="page"/>
      </w:r>
    </w:p>
    <w:p w14:paraId="37009212" w14:textId="77777777" w:rsidR="006D3AD5" w:rsidRPr="00874BFF" w:rsidRDefault="006D3AD5" w:rsidP="006D3AD5">
      <w:pPr>
        <w:pStyle w:val="Nadpis2"/>
        <w:rPr>
          <w:rFonts w:ascii="Calibri" w:hAnsi="Calibri"/>
        </w:rPr>
      </w:pPr>
      <w:bookmarkStart w:id="42" w:name="_Toc422312102"/>
      <w:r w:rsidRPr="00874BFF">
        <w:rPr>
          <w:rFonts w:ascii="Calibri" w:hAnsi="Calibri"/>
        </w:rPr>
        <w:lastRenderedPageBreak/>
        <w:t>Specific objective 1.2 – Improving the intensity and efficiency of cooperation in research, development and innovations</w:t>
      </w:r>
      <w:bookmarkEnd w:id="42"/>
    </w:p>
    <w:p w14:paraId="2BF09DF3" w14:textId="77777777" w:rsidR="006D3AD5" w:rsidRPr="00874BFF" w:rsidRDefault="006D3AD5" w:rsidP="006D3AD5">
      <w:pPr>
        <w:pStyle w:val="Nadpis3"/>
        <w:rPr>
          <w:rFonts w:ascii="Calibri" w:hAnsi="Calibri"/>
        </w:rPr>
      </w:pPr>
      <w:bookmarkStart w:id="43" w:name="_Toc422312103"/>
      <w:r w:rsidRPr="00874BFF">
        <w:rPr>
          <w:rFonts w:ascii="Calibri" w:hAnsi="Calibri"/>
        </w:rPr>
        <w:t>Focus of the specific objective</w:t>
      </w:r>
      <w:bookmarkEnd w:id="43"/>
    </w:p>
    <w:p w14:paraId="48E82BD9" w14:textId="77777777" w:rsidR="006D3AD5" w:rsidRPr="00874BFF" w:rsidRDefault="006D3AD5" w:rsidP="006D3AD5">
      <w:pPr>
        <w:pStyle w:val="Neslovannadpisy"/>
      </w:pPr>
      <w:r w:rsidRPr="00874BFF">
        <w:t xml:space="preserve">Supported activities: </w:t>
      </w:r>
    </w:p>
    <w:p w14:paraId="0DE702FF" w14:textId="77777777" w:rsidR="006D3AD5" w:rsidRPr="00874BFF" w:rsidRDefault="006D3AD5" w:rsidP="006D3AD5">
      <w:pPr>
        <w:pStyle w:val="Odstavecseseznamem1"/>
        <w:numPr>
          <w:ilvl w:val="0"/>
          <w:numId w:val="4"/>
        </w:numPr>
      </w:pPr>
      <w:r w:rsidRPr="00874BFF">
        <w:t>Creating new services of supporting infrastructure and expanding and improving the existing ones, i.e. scientific and technical parks, business innovation centres, business incubators</w:t>
      </w:r>
    </w:p>
    <w:p w14:paraId="726A97F9" w14:textId="77777777" w:rsidR="006D3AD5" w:rsidRPr="00874BFF" w:rsidRDefault="006D3AD5" w:rsidP="006D3AD5">
      <w:pPr>
        <w:pStyle w:val="Odstavecseseznamem1"/>
        <w:numPr>
          <w:ilvl w:val="0"/>
          <w:numId w:val="4"/>
        </w:numPr>
      </w:pPr>
      <w:r w:rsidRPr="00874BFF">
        <w:t>Developing cooperation networks , incl. clusters and technological platforms (especially team research based on the needs of a great number of SMEs and large companies, development of inter-sectoral cooperation and internationalisation)</w:t>
      </w:r>
    </w:p>
    <w:p w14:paraId="7E551328" w14:textId="77777777" w:rsidR="006D3AD5" w:rsidRPr="00874BFF" w:rsidRDefault="006D3AD5" w:rsidP="006D3AD5">
      <w:pPr>
        <w:pStyle w:val="Odstavecseseznamem1"/>
        <w:numPr>
          <w:ilvl w:val="0"/>
          <w:numId w:val="4"/>
        </w:numPr>
      </w:pPr>
      <w:r w:rsidRPr="00874BFF">
        <w:t xml:space="preserve">Establishing partnerships for knowledge transfer among companies and universities </w:t>
      </w:r>
    </w:p>
    <w:p w14:paraId="20CCCE5C" w14:textId="77777777" w:rsidR="006D3AD5" w:rsidRPr="00874BFF" w:rsidRDefault="006D3AD5" w:rsidP="006D3AD5">
      <w:pPr>
        <w:pStyle w:val="Odstavecseseznamem1"/>
        <w:numPr>
          <w:ilvl w:val="0"/>
          <w:numId w:val="4"/>
        </w:numPr>
      </w:pPr>
      <w:r w:rsidRPr="00874BFF">
        <w:t>Developing communication and knowledge sharing between the business and research sectors</w:t>
      </w:r>
    </w:p>
    <w:p w14:paraId="6C155764" w14:textId="77777777" w:rsidR="006D3AD5" w:rsidRPr="00874BFF" w:rsidRDefault="006D3AD5" w:rsidP="006D3AD5">
      <w:pPr>
        <w:pStyle w:val="Odstavecseseznamem1"/>
        <w:numPr>
          <w:ilvl w:val="0"/>
          <w:numId w:val="4"/>
        </w:numPr>
      </w:pPr>
      <w:r w:rsidRPr="00874BFF">
        <w:t>Expanding/building shared infrastructure for industrial research</w:t>
      </w:r>
    </w:p>
    <w:p w14:paraId="09C68B78" w14:textId="77777777" w:rsidR="006D3AD5" w:rsidRPr="00874BFF" w:rsidRDefault="006D3AD5" w:rsidP="006D3AD5">
      <w:pPr>
        <w:pStyle w:val="Odstavecseseznamem1"/>
        <w:numPr>
          <w:ilvl w:val="0"/>
          <w:numId w:val="4"/>
        </w:numPr>
      </w:pPr>
      <w:r w:rsidRPr="00874BFF">
        <w:t>Activities leading to commercialization of research results by means of activities verifying feasibility ('proof-of-concept')</w:t>
      </w:r>
    </w:p>
    <w:p w14:paraId="20E1430D" w14:textId="77777777" w:rsidR="006D3AD5" w:rsidRPr="00874BFF" w:rsidRDefault="006D3AD5" w:rsidP="006D3AD5">
      <w:pPr>
        <w:pStyle w:val="Neslovannadpisy"/>
      </w:pPr>
    </w:p>
    <w:p w14:paraId="7CD615FF" w14:textId="77777777" w:rsidR="006D3AD5" w:rsidRPr="00874BFF" w:rsidRDefault="006D3AD5" w:rsidP="006D3AD5">
      <w:pPr>
        <w:pStyle w:val="Neslovannadpisy"/>
      </w:pPr>
      <w:r w:rsidRPr="00874BFF">
        <w:t xml:space="preserve">Target group of final recipients: </w:t>
      </w:r>
    </w:p>
    <w:p w14:paraId="3C16D465" w14:textId="7838E4A2" w:rsidR="006D3AD5" w:rsidRPr="00874BFF" w:rsidRDefault="006D3AD5" w:rsidP="006D3AD5">
      <w:r w:rsidRPr="00874BFF">
        <w:t>Businesses, business groups, bodies of state administration and local /regional authorities (including their associations), their subordinate or controlled organizations, organizations for research and dissemination of knowledge (i.e. stakeholders meeting the definition of research organization according to the Framework for state support of research, development and innovations), non-profit organizations</w:t>
      </w:r>
    </w:p>
    <w:p w14:paraId="52DEEACD" w14:textId="77777777" w:rsidR="006D3AD5" w:rsidRPr="00874BFF" w:rsidRDefault="006D3AD5" w:rsidP="006D3AD5"/>
    <w:p w14:paraId="4CE29895" w14:textId="77777777" w:rsidR="006D3AD5" w:rsidRPr="00874BFF" w:rsidRDefault="006D3AD5" w:rsidP="006D3AD5">
      <w:pPr>
        <w:pStyle w:val="Neslovannadpisy"/>
      </w:pPr>
      <w:r w:rsidRPr="00874BFF">
        <w:t xml:space="preserve">Target area: </w:t>
      </w:r>
    </w:p>
    <w:p w14:paraId="2C046B5D" w14:textId="77777777" w:rsidR="006D3AD5" w:rsidRPr="00874BFF" w:rsidRDefault="006D3AD5" w:rsidP="006D3AD5">
      <w:pPr>
        <w:rPr>
          <w:b/>
        </w:rPr>
      </w:pPr>
      <w:r w:rsidRPr="00874BFF">
        <w:t>Target area: the Czech Republic except for the Capital City of Prague</w:t>
      </w:r>
    </w:p>
    <w:p w14:paraId="4097A374" w14:textId="77777777" w:rsidR="006D3AD5" w:rsidRPr="00874BFF" w:rsidRDefault="006D3AD5" w:rsidP="006D3AD5">
      <w:pPr>
        <w:rPr>
          <w:b/>
        </w:rPr>
      </w:pPr>
    </w:p>
    <w:p w14:paraId="14667CB9" w14:textId="77777777" w:rsidR="006D3AD5" w:rsidRPr="00874BFF" w:rsidRDefault="006D3AD5" w:rsidP="006D3AD5">
      <w:pPr>
        <w:pStyle w:val="Neslovannadpisy"/>
      </w:pPr>
      <w:r w:rsidRPr="00874BFF">
        <w:t>Selection of activities for evaluating appropriateness of the financial instrument</w:t>
      </w:r>
    </w:p>
    <w:p w14:paraId="3ACB880B" w14:textId="77777777" w:rsidR="006D3AD5" w:rsidRPr="00874BFF" w:rsidRDefault="006D3AD5" w:rsidP="006D3AD5">
      <w:r w:rsidRPr="00874BFF">
        <w:t>Based on the screening and input analysis, the selected activity for closer evaluation is the proof-of-concept/pre-seed activity with regard to its objective of commercialisation of R&amp;D results and connection with venture capital.</w:t>
      </w:r>
    </w:p>
    <w:p w14:paraId="2D2EE8BC" w14:textId="77777777" w:rsidR="006D3AD5" w:rsidRPr="00874BFF" w:rsidRDefault="006D3AD5" w:rsidP="006D3AD5"/>
    <w:p w14:paraId="7BA34CDC" w14:textId="77777777" w:rsidR="006D3AD5" w:rsidRPr="00874BFF" w:rsidRDefault="006D3AD5" w:rsidP="006D3AD5">
      <w:r w:rsidRPr="00874BFF">
        <w:t>Due to their limited potential immediate profit, method of financing and commercial risk, activities focusing on infrastructures, cooperation and knowledge transfer in RDI are not presently regarded by us as suitable for wider application of financial instruments.</w:t>
      </w:r>
    </w:p>
    <w:p w14:paraId="42C88896" w14:textId="77777777" w:rsidR="006D3AD5" w:rsidRPr="00874BFF" w:rsidRDefault="006D3AD5" w:rsidP="006D3AD5"/>
    <w:p w14:paraId="222CB54A" w14:textId="77777777" w:rsidR="006D3AD5" w:rsidRPr="00874BFF" w:rsidRDefault="006D3AD5" w:rsidP="006D3AD5">
      <w:pPr>
        <w:pStyle w:val="Nadpis3"/>
        <w:rPr>
          <w:rFonts w:ascii="Calibri" w:hAnsi="Calibri"/>
        </w:rPr>
      </w:pPr>
      <w:bookmarkStart w:id="44" w:name="_Toc422312104"/>
      <w:r w:rsidRPr="00874BFF">
        <w:rPr>
          <w:rFonts w:ascii="Calibri" w:hAnsi="Calibri"/>
        </w:rPr>
        <w:t>Analysis of market failures</w:t>
      </w:r>
      <w:bookmarkEnd w:id="44"/>
    </w:p>
    <w:p w14:paraId="2833A6B6" w14:textId="77777777" w:rsidR="006D3AD5" w:rsidRPr="00874BFF" w:rsidRDefault="006D3AD5" w:rsidP="006D3AD5">
      <w:pPr>
        <w:pStyle w:val="Nadpis4"/>
        <w:rPr>
          <w:rFonts w:ascii="Calibri" w:hAnsi="Calibri"/>
        </w:rPr>
      </w:pPr>
      <w:r w:rsidRPr="00874BFF">
        <w:rPr>
          <w:rFonts w:ascii="Calibri" w:hAnsi="Calibri"/>
        </w:rPr>
        <w:t>Market analysis</w:t>
      </w:r>
    </w:p>
    <w:p w14:paraId="608F4AE3" w14:textId="77777777" w:rsidR="006D3AD5" w:rsidRPr="00874BFF" w:rsidRDefault="006D3AD5" w:rsidP="006D3AD5"/>
    <w:p w14:paraId="7438DE33" w14:textId="77777777" w:rsidR="006D3AD5" w:rsidRPr="00874BFF" w:rsidRDefault="006D3AD5" w:rsidP="006D3AD5">
      <w:r w:rsidRPr="00874BFF">
        <w:t>The concerned area of commercialisation of R&amp;D results will be analysed especially from the point of view of research organisations (ROs). Research departments in manufacturing companies commercialise their results by definition of their business. This problem is thus an issue primarily in public institutions – universities, Academy of Sciences and other research institutions in the government sector.</w:t>
      </w:r>
    </w:p>
    <w:p w14:paraId="44B12E68" w14:textId="77777777" w:rsidR="006D3AD5" w:rsidRPr="00874BFF" w:rsidRDefault="006D3AD5" w:rsidP="006D3AD5"/>
    <w:p w14:paraId="5C4E2A90" w14:textId="7A6D04D6" w:rsidR="006D3AD5" w:rsidRPr="00874BFF" w:rsidRDefault="006D3AD5" w:rsidP="006D3AD5">
      <w:r w:rsidRPr="00874BFF">
        <w:lastRenderedPageBreak/>
        <w:t xml:space="preserve">In the context of Czech ROs, commercialisation of R&amp;D results continues to be a relatively marginal discipline within research activities. It has been strengthened in the Czech environment as part of some activities in the previous time, particularly when supporting establishment of technology transfer </w:t>
      </w:r>
      <w:r w:rsidR="00352D5B">
        <w:t>offices</w:t>
      </w:r>
      <w:r w:rsidR="00352D5B" w:rsidRPr="00874BFF">
        <w:t xml:space="preserve"> </w:t>
      </w:r>
      <w:r w:rsidRPr="00874BFF">
        <w:t>(</w:t>
      </w:r>
      <w:r w:rsidR="00352D5B">
        <w:t>TTO</w:t>
      </w:r>
      <w:r w:rsidRPr="00874BFF">
        <w:t>s) as part of research departments and organisations which should pursue these activities systematically. Interest in further development of these activities is great in some successful departments, as shown by directive interviews with stakeholders in this field during preparation of the ex ante evaluation.</w:t>
      </w:r>
    </w:p>
    <w:p w14:paraId="3DC3CDE6" w14:textId="77777777" w:rsidR="006D3AD5" w:rsidRPr="00874BFF" w:rsidRDefault="006D3AD5" w:rsidP="006D3AD5"/>
    <w:p w14:paraId="1BBEC680" w14:textId="7AA84B71" w:rsidR="006D3AD5" w:rsidRPr="00874BFF" w:rsidRDefault="006D3AD5" w:rsidP="006D3AD5">
      <w:r w:rsidRPr="00874BFF">
        <w:t>A range of highly successful endogenous companies were established in the past by people who, before starting business activities, had been in the corporate or academic research. Or as the case may be, these people are their co-founders. Good examples are companies such as Tescan, Contipro, Ella CS, etc., employing 100 and more people and able to prevail in the markets all over the world</w:t>
      </w:r>
      <w:r w:rsidRPr="00874BFF">
        <w:rPr>
          <w:rStyle w:val="Znakapoznpodarou"/>
        </w:rPr>
        <w:footnoteReference w:id="20"/>
      </w:r>
      <w:r w:rsidRPr="00874BFF">
        <w:t xml:space="preserve">.  Success of the above-mentioned and other companies </w:t>
      </w:r>
      <w:r w:rsidR="00F27A42">
        <w:t>shows the substantial economic</w:t>
      </w:r>
      <w:r w:rsidRPr="00874BFF">
        <w:t xml:space="preserve"> potential consisting in commercialization of research results via establishment of new companies</w:t>
      </w:r>
      <w:r w:rsidR="00F27A42">
        <w:t>. However, this potential remains largely unfulfilled nowdays.</w:t>
      </w:r>
    </w:p>
    <w:p w14:paraId="00D1DD18" w14:textId="77777777" w:rsidR="006D3AD5" w:rsidRPr="00874BFF" w:rsidRDefault="006D3AD5" w:rsidP="006D3AD5"/>
    <w:p w14:paraId="0E1B84DD" w14:textId="77777777" w:rsidR="006D3AD5" w:rsidRPr="00874BFF" w:rsidRDefault="006D3AD5" w:rsidP="006D3AD5">
      <w:pPr>
        <w:pStyle w:val="Neslovannadpisy"/>
      </w:pPr>
      <w:r w:rsidRPr="00874BFF">
        <w:t>Private and public sources of funding</w:t>
      </w:r>
    </w:p>
    <w:p w14:paraId="50C4CD08" w14:textId="77777777" w:rsidR="006D3AD5" w:rsidRPr="00874BFF" w:rsidRDefault="006D3AD5" w:rsidP="006D3AD5">
      <w:r w:rsidRPr="00874BFF">
        <w:t>In the Czech Republic, expenditures on R&amp;D went through a relatively dynamic development because of the resources from the EU Structural Funds in the past. According to the CSO, from the year 2010 expenditures on R&amp;D in the academic sector doubled to CZK 21 billion in 2013, growing  significantly slower in the government sector; nevertheless, when compared with 2008, the expenditures here in 2013  were CZK 3 billion higher, in total CZK 14 billion</w:t>
      </w:r>
      <w:r w:rsidRPr="00874BFF">
        <w:rPr>
          <w:rStyle w:val="Znakapoznpodarou"/>
          <w:rFonts w:ascii="Calibri" w:hAnsi="Calibri"/>
        </w:rPr>
        <w:footnoteReference w:id="21"/>
      </w:r>
      <w:r w:rsidRPr="00874BFF">
        <w:t>. The growth of these funds generates a potential for better R&amp;D results which could be applicable in practice, although no direct proportion can be expected – especially in basic research and in social sciences.</w:t>
      </w:r>
    </w:p>
    <w:p w14:paraId="28FA7A78" w14:textId="77777777" w:rsidR="006D3AD5" w:rsidRPr="00874BFF" w:rsidRDefault="006D3AD5" w:rsidP="006D3AD5"/>
    <w:p w14:paraId="2C392590" w14:textId="77777777" w:rsidR="006D3AD5" w:rsidRPr="00874BFF" w:rsidRDefault="006D3AD5" w:rsidP="006D3AD5">
      <w:r w:rsidRPr="00874BFF">
        <w:t>With regard to their limited extent, commercial activities were supported by an order of magnitude less money than the stated total budget for R&amp;D activities. Leaving aside support for establishment of institutional infrastructure (Technology Transfer Centres, etc.), these activities were in focus of two programmes of the Ministry of Schools, Youth and Sports (MEYS), or the Technology Agency of the Czech Republic (TACR).</w:t>
      </w:r>
    </w:p>
    <w:p w14:paraId="2762C23B" w14:textId="77777777" w:rsidR="006D3AD5" w:rsidRPr="00874BFF" w:rsidRDefault="006D3AD5" w:rsidP="006D3AD5"/>
    <w:p w14:paraId="12C21EC3" w14:textId="77777777" w:rsidR="006D3AD5" w:rsidRPr="00874BFF" w:rsidRDefault="006D3AD5" w:rsidP="006D3AD5">
      <w:r w:rsidRPr="00874BFF">
        <w:rPr>
          <w:b/>
        </w:rPr>
        <w:t>MEYS Pre-seed – calls 6.3 and 7.3 of the OP RDI</w:t>
      </w:r>
      <w:r w:rsidRPr="00874BFF">
        <w:t xml:space="preserve"> – Within these calls, support was given to specific projects in proof-of-concept (PoC) and the preparatory stage of commercialisation. Not more than 50 % of successful activities until the proof-of-concept stage could be financed from the OP RDI, calculated of the volume of eligible funds planned for  activities at the stage called Preparation of commercialisation. Subsidies were granted for projects of universities and research organisations. </w:t>
      </w:r>
      <w:r w:rsidRPr="00874BFF">
        <w:rPr>
          <w:b/>
        </w:rPr>
        <w:t>In 2012-2013, the total allocation in these calls amounted to CZK 980 million.</w:t>
      </w:r>
      <w:r w:rsidRPr="00874BFF">
        <w:t xml:space="preserve"> The demand for support exceeded the supply substantially, see the statistics of both calls. These activities will not have a direct follow-up in the new operational programme of the MEYS.</w:t>
      </w:r>
    </w:p>
    <w:p w14:paraId="3C22E3B3" w14:textId="77777777" w:rsidR="006D3AD5" w:rsidRPr="00874BFF" w:rsidRDefault="006D3AD5" w:rsidP="006D3AD5"/>
    <w:p w14:paraId="21862119" w14:textId="77777777" w:rsidR="006D3AD5" w:rsidRPr="00874BFF" w:rsidRDefault="006D3AD5" w:rsidP="006D3AD5">
      <w:pPr>
        <w:rPr>
          <w:color w:val="000000"/>
          <w:szCs w:val="22"/>
        </w:rPr>
      </w:pPr>
      <w:r w:rsidRPr="00874BFF">
        <w:rPr>
          <w:b/>
        </w:rPr>
        <w:t>There were 29 project applications registered in the call 6.3,  with a total volume of requested subsidy of CZK 1,271,294,374.</w:t>
      </w:r>
      <w:r w:rsidRPr="00874BFF">
        <w:t xml:space="preserve"> After evaluation, nine projects advanced to the implementation stage. Allocation of the call 6.3 was CZK 380 million. </w:t>
      </w:r>
      <w:r w:rsidRPr="00874BFF">
        <w:rPr>
          <w:color w:val="000000"/>
        </w:rPr>
        <w:t>Eligible costs of individual calls for projects ranged from CZK 6,405,136 to 59,932,593. The average eligible expenditure per project was CZK 43,837,737. Eligible costs of individual projects in implementation ranged from CZK 15,327,432 to 41,047,533. The average eligible expenditure per project was CZK 30,588,215.</w:t>
      </w:r>
    </w:p>
    <w:p w14:paraId="31B0721B" w14:textId="77777777" w:rsidR="006D3AD5" w:rsidRPr="00874BFF" w:rsidRDefault="006D3AD5" w:rsidP="006D3AD5">
      <w:pPr>
        <w:rPr>
          <w:color w:val="000000"/>
          <w:szCs w:val="22"/>
        </w:rPr>
      </w:pPr>
    </w:p>
    <w:p w14:paraId="59164E39" w14:textId="77777777" w:rsidR="006D3AD5" w:rsidRPr="00874BFF" w:rsidRDefault="006D3AD5" w:rsidP="006D3AD5">
      <w:r w:rsidRPr="00874BFF">
        <w:t xml:space="preserve">In the call 7.3, </w:t>
      </w:r>
      <w:r w:rsidRPr="00874BFF">
        <w:rPr>
          <w:b/>
        </w:rPr>
        <w:t>registration</w:t>
      </w:r>
      <w:r w:rsidRPr="00874BFF">
        <w:t xml:space="preserve"> </w:t>
      </w:r>
      <w:r w:rsidRPr="00874BFF">
        <w:rPr>
          <w:b/>
        </w:rPr>
        <w:t>of</w:t>
      </w:r>
      <w:r w:rsidRPr="00874BFF">
        <w:t xml:space="preserve"> </w:t>
      </w:r>
      <w:r w:rsidRPr="00874BFF">
        <w:rPr>
          <w:b/>
        </w:rPr>
        <w:t>36 project applications took place, with a total volume of requested subsidy of CZK 1,349,361,895.</w:t>
      </w:r>
      <w:r w:rsidRPr="00874BFF">
        <w:t xml:space="preserve"> After evaluation, 22 projects advanced to the implementation stage. </w:t>
      </w:r>
      <w:r w:rsidRPr="00874BFF">
        <w:rPr>
          <w:color w:val="000000"/>
        </w:rPr>
        <w:lastRenderedPageBreak/>
        <w:t>Allocation of the call 7.3 was CZK 600 million. The evaluation process was passed by applications in the financial volume of CZK 829,478,782.  After reduction of eligible costs for the stage Preparation of Commercialisation, the total funding of eligible costs of the approved 22 projects was CZK 562,391,722. Eligible costs of individual calls for projects ranged from CZK 8,093,060 to CZK 49,992,831. The average eligible expenditure per project was CZK 37,482,274.</w:t>
      </w:r>
    </w:p>
    <w:p w14:paraId="47C3C76F" w14:textId="77777777" w:rsidR="006D3AD5" w:rsidRPr="00874BFF" w:rsidRDefault="006D3AD5" w:rsidP="006D3AD5"/>
    <w:p w14:paraId="3CC6C84A" w14:textId="77777777" w:rsidR="006D3AD5" w:rsidRPr="00874BFF" w:rsidRDefault="006D3AD5" w:rsidP="006D3AD5">
      <w:r w:rsidRPr="00874BFF">
        <w:rPr>
          <w:b/>
        </w:rPr>
        <w:t>TACR GAMA</w:t>
      </w:r>
      <w:r w:rsidRPr="00874BFF">
        <w:t xml:space="preserve"> –  This national programme of the TACR focuses on support of verification of research and development results with respect to their practical application and for preparation of their subsequent commercial application. Support in the first public tender was provided based on selection of research institutions, not specific projects. Research institutions were selected based on the setting of their in-house evaluation processes (establishment of Commercialisation Councils) with subsequent freedom of allocation of the granted support to in-house projects. This is how particularly the setting  of the institutional environment for commercialisation activities should be supported.</w:t>
      </w:r>
    </w:p>
    <w:p w14:paraId="30FE85FE" w14:textId="77777777" w:rsidR="006D3AD5" w:rsidRPr="00874BFF" w:rsidRDefault="006D3AD5" w:rsidP="006D3AD5"/>
    <w:p w14:paraId="2F672336" w14:textId="77777777" w:rsidR="006D3AD5" w:rsidRPr="00874BFF" w:rsidRDefault="006D3AD5" w:rsidP="006D3AD5">
      <w:r w:rsidRPr="00874BFF">
        <w:t>The GAMA programme was launched in 2013; until now, the first public tender for research institutions took place. The total allocation for 2014–2019 was CZK 2,770 million. In the first public tender with 31 applications, 10 projects of research institutions were supported in the total amount of CZK 194 million (on average, 19.4 million per project, with a maximum of CZK 21 million). Of 21 unsupported projects, six were recommended, but refused due to a lack of available funds.</w:t>
      </w:r>
    </w:p>
    <w:p w14:paraId="22BEA277" w14:textId="77777777" w:rsidR="006D3AD5" w:rsidRPr="00874BFF" w:rsidRDefault="006D3AD5" w:rsidP="006D3AD5"/>
    <w:p w14:paraId="066B6C87" w14:textId="27B4CED7" w:rsidR="006D3AD5" w:rsidRPr="00874BFF" w:rsidRDefault="006D3AD5" w:rsidP="006D3AD5">
      <w:r w:rsidRPr="00874BFF">
        <w:t>Private funding in this area does not play a major role in the Czech Republic. Companies focus on research activities at their own expense. The demand for R&amp;D results is relative low in the public sector and concerns intangible property. Of the expenditures invested at public universities, mere 2 % (400 million</w:t>
      </w:r>
      <w:r w:rsidR="007E36EE">
        <w:t xml:space="preserve"> CZK</w:t>
      </w:r>
      <w:r w:rsidRPr="00874BFF">
        <w:t>) were financed from private resources. An important role in commercialisation is also played by venture capital earmarked for development of spin-off companies. However, the activity of private investors in the Czech Republic is very low (see market failures SO 2.1).</w:t>
      </w:r>
    </w:p>
    <w:p w14:paraId="622F1A7B" w14:textId="77777777" w:rsidR="006D3AD5" w:rsidRPr="00874BFF" w:rsidRDefault="006D3AD5" w:rsidP="006D3AD5">
      <w:pPr>
        <w:pStyle w:val="Neslovannadpisy"/>
      </w:pPr>
    </w:p>
    <w:p w14:paraId="4417DDAA" w14:textId="77777777" w:rsidR="006D3AD5" w:rsidRPr="00874BFF" w:rsidRDefault="006D3AD5" w:rsidP="006D3AD5">
      <w:r w:rsidRPr="00874BFF">
        <w:t xml:space="preserve">The extent of commercialised projects and demand for pre-seed financing can be also partially derived from results of research activities in the form of requested and granted patents and utility models – although it is only one of the possible outputs and the support of protection of intellectual property itself is not the subject of SO 1.2. In recent years, public research outputs in the form of granted patents showed a relatively rapid growth. Whereas still in 2008, only 47 patents for the territory of the Czech Republic were granted or validated by the Czech Industrial Property Authority (Úřad průmyslového vlastnictví ČR) to universities and public research institutions, in 2011 it was no fewer than 144 granted patents and in 2012 even 190. </w:t>
      </w:r>
      <w:r w:rsidRPr="00874BFF">
        <w:rPr>
          <w:b/>
        </w:rPr>
        <w:t>An enormously rapid growth was shown in patents granted for the Czech Republic to universities, namely from 19 in 2008 to 142 in 2012.</w:t>
      </w:r>
      <w:r w:rsidRPr="00874BFF">
        <w:t xml:space="preserve"> However, it is necessary to point out that the increase in the patent  activity in public research in recent years is primarily a consequence of the current methodology for evaluating scientific and research results. Real opportunities for commercialisation is only a secondary matter. The high increase is thus partially distorted and does not correspond to the subsequent utilisation of the protected intellectual property.</w:t>
      </w:r>
    </w:p>
    <w:p w14:paraId="629F9BB2" w14:textId="77777777" w:rsidR="006D3AD5" w:rsidRPr="00874BFF" w:rsidRDefault="006D3AD5" w:rsidP="006D3AD5"/>
    <w:p w14:paraId="2024ECCF" w14:textId="656BADF7" w:rsidR="006D3AD5" w:rsidRPr="00874BFF" w:rsidRDefault="006D3AD5" w:rsidP="006D3AD5">
      <w:r w:rsidRPr="00874BFF">
        <w:t xml:space="preserve">The patent activity of Czech researchers abroad and at the European level, being a prerequisite for commercialisation at the international level, has been still lagging behind. Innovation Union Scoreboard states that the Czech Republic is in this respect at the 42 % of the EU average. Whereas in 2012 the EU received 129 applications of inventions to the European Patent Authority per million of citizens, only 13 applications were received in the Czech Republic. </w:t>
      </w:r>
    </w:p>
    <w:p w14:paraId="439D7F51" w14:textId="77777777" w:rsidR="006D3AD5" w:rsidRPr="00874BFF" w:rsidRDefault="006D3AD5" w:rsidP="006D3AD5">
      <w:pPr>
        <w:pStyle w:val="Nadpis4"/>
        <w:rPr>
          <w:rFonts w:ascii="Calibri" w:hAnsi="Calibri"/>
        </w:rPr>
      </w:pPr>
      <w:r w:rsidRPr="00874BFF">
        <w:rPr>
          <w:rFonts w:ascii="Calibri" w:hAnsi="Calibri"/>
        </w:rPr>
        <w:t>Estimate of absorption capacity of public support and the financial instrument</w:t>
      </w:r>
    </w:p>
    <w:p w14:paraId="0C2A1029" w14:textId="435F76CF" w:rsidR="006D3AD5" w:rsidRPr="00874BFF" w:rsidRDefault="006D3AD5" w:rsidP="006D3AD5">
      <w:r w:rsidRPr="00874BFF">
        <w:t xml:space="preserve">Interviews made during the preparation of ex ante evaluation with representatives of ROs and professional associations imply a demand of at least some of the commercialisation departments of public ROs for new sources of financing which would differ from the existing subsidies and would better </w:t>
      </w:r>
      <w:r w:rsidRPr="00874BFF">
        <w:lastRenderedPageBreak/>
        <w:t>accommodate flexible project requirements.  In the new programming period, reallocation of funds within an RO and the consequent lack of funds for commercialisation and operation of the established infrastructures (</w:t>
      </w:r>
      <w:r w:rsidR="00352D5B">
        <w:t>TTO</w:t>
      </w:r>
      <w:r w:rsidRPr="00874BFF">
        <w:t>s)</w:t>
      </w:r>
      <w:r w:rsidRPr="00874BFF">
        <w:rPr>
          <w:rStyle w:val="Znakapoznpodarou"/>
          <w:rFonts w:ascii="Calibri" w:hAnsi="Calibri"/>
        </w:rPr>
        <w:footnoteReference w:id="22"/>
      </w:r>
      <w:r w:rsidRPr="00874BFF">
        <w:t xml:space="preserve"> generates a high demand for additional funds specifically earmarked for projects of commercialisation activities – on which sustainability of new infrastructures will be dependent. </w:t>
      </w:r>
    </w:p>
    <w:p w14:paraId="44BA9E2E" w14:textId="77777777" w:rsidR="006D3AD5" w:rsidRPr="00874BFF" w:rsidRDefault="006D3AD5" w:rsidP="006D3AD5"/>
    <w:p w14:paraId="465327C6" w14:textId="77777777" w:rsidR="006D3AD5" w:rsidRPr="00874BFF" w:rsidRDefault="006D3AD5" w:rsidP="006D3AD5">
      <w:r w:rsidRPr="00874BFF">
        <w:t>With regard to positive responses of all the addressed stakeholders to the general proposal of FIs in the pre-seed sphere, we estimate interest at the first stage to be more than sufficient for implementing a pilot project of the Pre-seed Fund of the OP EIC with the proposed allocation. After establishing working cooperation and implementing the first successful projects, general interest by public ROs can be expected. Demand for financing of this type of projects is also shown in the high number of unsatisfied applications in the GAMA programme and pre-seed programmes of the OP RDI.</w:t>
      </w:r>
    </w:p>
    <w:p w14:paraId="7F29A154" w14:textId="77777777" w:rsidR="006D3AD5" w:rsidRPr="00874BFF" w:rsidRDefault="006D3AD5" w:rsidP="006D3AD5"/>
    <w:p w14:paraId="7B1F21E0" w14:textId="77777777" w:rsidR="006D3AD5" w:rsidRPr="00874BFF" w:rsidRDefault="006D3AD5" w:rsidP="006D3AD5">
      <w:pPr>
        <w:rPr>
          <w:b/>
          <w:bCs/>
          <w:i/>
          <w:iCs/>
        </w:rPr>
      </w:pPr>
      <w:r w:rsidRPr="00874BFF">
        <w:t xml:space="preserve">The estimated absorption for proof-of-concept/pre-seed stages is hard to quantify. </w:t>
      </w:r>
      <w:r w:rsidRPr="00874BFF">
        <w:rPr>
          <w:b/>
        </w:rPr>
        <w:t>Demand for funding in the pre-seed OP RDI, in both calls, was CZK 2.6 billion, when this value can be taken as a reference base even for the PoC  in the OP EIC.</w:t>
      </w:r>
      <w:r w:rsidRPr="00874BFF">
        <w:t xml:space="preserve"> However, we expect that for the above-mentioned reasons, the absorption capacity for the proposed FI in the new period can be substantially higher, ranging from </w:t>
      </w:r>
      <w:r w:rsidRPr="00874BFF">
        <w:rPr>
          <w:b/>
        </w:rPr>
        <w:t>CZK 2.5  billion to 4 billion.</w:t>
      </w:r>
      <w:r w:rsidRPr="00874BFF">
        <w:t xml:space="preserve"> Nevertheless, the critical precondition for success will be sufficient quality and selectiveness of projects.</w:t>
      </w:r>
    </w:p>
    <w:p w14:paraId="74639312" w14:textId="77777777" w:rsidR="006D3AD5" w:rsidRPr="00874BFF" w:rsidRDefault="006D3AD5" w:rsidP="006D3AD5">
      <w:pPr>
        <w:pStyle w:val="Nadpis4"/>
        <w:rPr>
          <w:rFonts w:ascii="Calibri" w:hAnsi="Calibri"/>
        </w:rPr>
      </w:pPr>
      <w:r w:rsidRPr="00874BFF">
        <w:rPr>
          <w:rFonts w:ascii="Calibri" w:hAnsi="Calibri"/>
        </w:rPr>
        <w:t>Identification of market failures and sub-optimal investment situations</w:t>
      </w:r>
    </w:p>
    <w:p w14:paraId="2B0E0DC1" w14:textId="77777777" w:rsidR="006D3AD5" w:rsidRPr="00874BFF" w:rsidRDefault="006D3AD5" w:rsidP="006D3AD5"/>
    <w:p w14:paraId="55327476" w14:textId="77777777" w:rsidR="006D3AD5" w:rsidRPr="00874BFF" w:rsidRDefault="006D3AD5" w:rsidP="006D3AD5">
      <w:r w:rsidRPr="00874BFF">
        <w:t>In commercialisation of R&amp;D results of universities and public ROs, we see a significant market failure at the pre-seed/proof-of-concept stages – i.e. at the moment when the almost ready results of R&amp;D are to be transformed into working prototypes, their commercialisation or commercial use in the market is to be tested and first steps taken to draw up and implement a plan for commercial use, to make preparations for the investor, to establish a spin-off  or sell the licence, etc.</w:t>
      </w:r>
    </w:p>
    <w:p w14:paraId="0BAABA6C" w14:textId="77777777" w:rsidR="006D3AD5" w:rsidRPr="00874BFF" w:rsidRDefault="006D3AD5" w:rsidP="006D3AD5"/>
    <w:p w14:paraId="2FBE75C3" w14:textId="405DC0C9" w:rsidR="006D3AD5" w:rsidRPr="00874BFF" w:rsidRDefault="006D3AD5" w:rsidP="006D3AD5">
      <w:r w:rsidRPr="00874BFF">
        <w:t xml:space="preserve">This stage is extremely important, because it </w:t>
      </w:r>
      <w:r w:rsidRPr="00874BFF">
        <w:rPr>
          <w:b/>
        </w:rPr>
        <w:t>bridges R&amp;D results in public institutions and use in the commercial market, which generates financial results.</w:t>
      </w:r>
      <w:r w:rsidRPr="00874BFF">
        <w:t xml:space="preserve"> Right in this respect, the promising R&amp;D results have not been so far turning out the way to be finalised, beyond the standard focus of ROs. At present, we may observe an increased activity of some stakeholders in this direction, even in connection with operation of </w:t>
      </w:r>
      <w:r w:rsidR="00352D5B">
        <w:t>TTO</w:t>
      </w:r>
      <w:r w:rsidRPr="00874BFF">
        <w:t>s and some support programmes; however, it is often based on activity of individuals. Despite recent positive development, the implementation of commercialisation projects continues to be generally insufficient and hampered by many barriers.</w:t>
      </w:r>
    </w:p>
    <w:p w14:paraId="38B879FB" w14:textId="77777777" w:rsidR="006D3AD5" w:rsidRPr="00874BFF" w:rsidRDefault="006D3AD5" w:rsidP="006D3AD5"/>
    <w:p w14:paraId="182C583F" w14:textId="77777777" w:rsidR="006D3AD5" w:rsidRPr="00874BFF" w:rsidRDefault="006D3AD5" w:rsidP="006D3AD5">
      <w:r w:rsidRPr="00874BFF">
        <w:t xml:space="preserve">Promising projects face problems in several areas. The main one is that </w:t>
      </w:r>
      <w:r w:rsidRPr="00874BFF">
        <w:rPr>
          <w:b/>
        </w:rPr>
        <w:t>universities and public ROs are not primarily the organisations that would be prepared to evaluate their results and operation in the market.</w:t>
      </w:r>
      <w:r w:rsidRPr="00874BFF">
        <w:t xml:space="preserve"> The essential purpose of these institutions is research and development and they receive the overwhelming majority of funds from public sources as part of its valuation. ROs are not willing to take the risk of investing their own capital and therefore at reallocation of funds in ROs and universities these activities are sidelined. The same applies to individual researchers whose interest often ends with completion of a research task and does not extend to the field of its commercialisation for which these narrowly focused specialists do not have qualification and entrepreneurial skills either. </w:t>
      </w:r>
    </w:p>
    <w:p w14:paraId="784215FE" w14:textId="77777777" w:rsidR="006D3AD5" w:rsidRPr="00874BFF" w:rsidRDefault="006D3AD5" w:rsidP="006D3AD5"/>
    <w:p w14:paraId="1A529874" w14:textId="7D05BE0E" w:rsidR="006D3AD5" w:rsidRPr="00874BFF" w:rsidRDefault="006D3AD5" w:rsidP="006D3AD5">
      <w:r w:rsidRPr="00874BFF">
        <w:t xml:space="preserve">According to working conclusions of the INKA survey, the outflow of more business-oriented researchers to the private sector and own business activities took place as far back as in the 1990s; nowadays, </w:t>
      </w:r>
      <w:r w:rsidRPr="00874BFF">
        <w:rPr>
          <w:b/>
        </w:rPr>
        <w:t>talented</w:t>
      </w:r>
      <w:r w:rsidRPr="00874BFF">
        <w:t xml:space="preserve"> </w:t>
      </w:r>
      <w:r w:rsidR="00B313B3">
        <w:t xml:space="preserve">research-oriented </w:t>
      </w:r>
      <w:r w:rsidRPr="00874BFF">
        <w:rPr>
          <w:b/>
        </w:rPr>
        <w:t>graduates with entrepreneurial inclination rather avoid an academic career.</w:t>
      </w:r>
      <w:r w:rsidRPr="00874BFF">
        <w:t xml:space="preserve"> Moreover, some academicians have a strongly negative attitude to establishment of spin-offs, stemming from the fear of researchers' leaving and inadequate privatisation of R&amp;D results. </w:t>
      </w:r>
      <w:r w:rsidR="00B313B3" w:rsidRPr="00C71B00">
        <w:rPr>
          <w:lang w:val="en-US"/>
        </w:rPr>
        <w:lastRenderedPageBreak/>
        <w:t>At the same time, the survey confirms rather widespread practice of parallel entrepreneurship of academic staff that enables unauthorized privatization of the profit from the collectively created know-how</w:t>
      </w:r>
      <w:r w:rsidR="00B313B3">
        <w:rPr>
          <w:lang w:val="en-US"/>
        </w:rPr>
        <w:t xml:space="preserve"> while let the</w:t>
      </w:r>
      <w:r w:rsidR="00B313B3" w:rsidRPr="00C71B00">
        <w:rPr>
          <w:lang w:val="en-US"/>
        </w:rPr>
        <w:t xml:space="preserve"> costs </w:t>
      </w:r>
      <w:r w:rsidR="00B313B3">
        <w:rPr>
          <w:lang w:val="en-US"/>
        </w:rPr>
        <w:t>of</w:t>
      </w:r>
      <w:r w:rsidR="00B313B3" w:rsidRPr="00C71B00">
        <w:rPr>
          <w:lang w:val="en-US"/>
        </w:rPr>
        <w:t xml:space="preserve"> us</w:t>
      </w:r>
      <w:r w:rsidR="00B313B3">
        <w:rPr>
          <w:lang w:val="en-US"/>
        </w:rPr>
        <w:t>ing</w:t>
      </w:r>
      <w:r w:rsidR="00B313B3" w:rsidRPr="00C71B00">
        <w:rPr>
          <w:lang w:val="en-US"/>
        </w:rPr>
        <w:t xml:space="preserve"> of the infrastructure of a research organisations (RO)</w:t>
      </w:r>
      <w:r w:rsidR="00B313B3">
        <w:rPr>
          <w:lang w:val="en-US"/>
        </w:rPr>
        <w:t xml:space="preserve"> socialized</w:t>
      </w:r>
      <w:r w:rsidR="00B313B3" w:rsidRPr="00C71B00">
        <w:rPr>
          <w:lang w:val="en-US"/>
        </w:rPr>
        <w:t xml:space="preserve">. </w:t>
      </w:r>
      <w:r w:rsidR="00B313B3">
        <w:rPr>
          <w:lang w:val="en-US"/>
        </w:rPr>
        <w:t>These experiences support the assumption that there is a substantial potential in the applicable results of RD and human potential,</w:t>
      </w:r>
      <w:r w:rsidR="00B313B3" w:rsidRPr="00C71B00">
        <w:rPr>
          <w:lang w:val="en-US"/>
        </w:rPr>
        <w:t xml:space="preserve"> nevertheless it is necessary to support the transparent way of their commercialization that will follow the interests of RO as well as their individual holders.</w:t>
      </w:r>
    </w:p>
    <w:p w14:paraId="6DAF5242" w14:textId="77777777" w:rsidR="006D3AD5" w:rsidRPr="00874BFF" w:rsidRDefault="006D3AD5" w:rsidP="006D3AD5"/>
    <w:p w14:paraId="79F3B00D" w14:textId="77777777" w:rsidR="006D3AD5" w:rsidRPr="00874BFF" w:rsidRDefault="006D3AD5" w:rsidP="006D3AD5">
      <w:r w:rsidRPr="00874BFF">
        <w:rPr>
          <w:b/>
        </w:rPr>
        <w:t>What is typical for public ROs is the range of institutional barriers that hinder changes.</w:t>
      </w:r>
      <w:r w:rsidRPr="00874BFF">
        <w:t xml:space="preserve"> Networks of personal contacts and links and the system deformed by their functioning, current setting of evaluation and remuneration of R&amp;D results are some of them. Additionally, universities and public ROs are strongly autonomous institutions, even at the level of faculty or institute , which means that changing this system centrally is not easy.</w:t>
      </w:r>
    </w:p>
    <w:p w14:paraId="14B5C927" w14:textId="77777777" w:rsidR="006D3AD5" w:rsidRPr="00874BFF" w:rsidRDefault="006D3AD5" w:rsidP="006D3AD5"/>
    <w:p w14:paraId="1CF29C56" w14:textId="77777777" w:rsidR="006D3AD5" w:rsidRPr="00874BFF" w:rsidRDefault="006D3AD5" w:rsidP="006D3AD5">
      <w:r w:rsidRPr="00874BFF">
        <w:t>An example of deforming effect of wrongly set processes is the above-mentioned expansion of patent registration by public research organisations. To register a patent is one of the defined criteria for evaluating R&amp;D results, later, however, its subsequent commercial success is not evaluated. Finally, patents are often applied for prematurely and their commercial utilisation is difficult. Except for the Institute of Organic Chemistry and Biochemistry of the Academy of Sciences of the Czech Republic, the income from patents is mostly negligible. According to the working conclusions of the INKA survey, the median of the annual income from licenses is only CZK 0.5 million. Nevertheless, very low values can be also attributed to the demand of companies that are often reluctant to use patents of public ROs.</w:t>
      </w:r>
    </w:p>
    <w:p w14:paraId="22644771" w14:textId="77777777" w:rsidR="006D3AD5" w:rsidRPr="00874BFF" w:rsidRDefault="006D3AD5" w:rsidP="006D3AD5"/>
    <w:p w14:paraId="7C15765D" w14:textId="5A350A42" w:rsidR="006D3AD5" w:rsidRPr="00874BFF" w:rsidRDefault="006D3AD5" w:rsidP="006D3AD5">
      <w:r w:rsidRPr="00874BFF">
        <w:t xml:space="preserve">Therefore, </w:t>
      </w:r>
      <w:r w:rsidRPr="00874BFF">
        <w:rPr>
          <w:b/>
        </w:rPr>
        <w:t>the  key factor is a good setting of processes and motivational components, identification of potentially successful projects and involvement of experts with economic and business know-how at this early stage</w:t>
      </w:r>
      <w:r w:rsidRPr="00874BFF">
        <w:t xml:space="preserve"> – e.g. at the level of the </w:t>
      </w:r>
      <w:r w:rsidR="00352D5B">
        <w:t>TTO</w:t>
      </w:r>
      <w:r w:rsidRPr="00874BFF">
        <w:t xml:space="preserve">s or the private investor directly. In this respect, the problem, however, consists in a lack of capacities of </w:t>
      </w:r>
      <w:r w:rsidR="00352D5B">
        <w:t>TTO</w:t>
      </w:r>
      <w:r w:rsidRPr="00874BFF">
        <w:t>s and sufficient funding of ROs and use of private capital.</w:t>
      </w:r>
    </w:p>
    <w:p w14:paraId="5E6AD674" w14:textId="77777777" w:rsidR="006D3AD5" w:rsidRPr="00874BFF" w:rsidRDefault="006D3AD5" w:rsidP="006D3AD5"/>
    <w:p w14:paraId="43B205F8" w14:textId="60590ECD" w:rsidR="006D3AD5" w:rsidRPr="00874BFF" w:rsidRDefault="006D3AD5" w:rsidP="006D3AD5">
      <w:r w:rsidRPr="00874BFF">
        <w:t xml:space="preserve">The basis of the sub-optimal investment situation in financing commercialisation of R&amp;D results of public ROs at the pre-seed stage is the </w:t>
      </w:r>
      <w:r w:rsidRPr="00874BFF">
        <w:rPr>
          <w:b/>
        </w:rPr>
        <w:t>high risk, costs and information barrier for potential private investors.</w:t>
      </w:r>
      <w:r w:rsidRPr="00874BFF">
        <w:t xml:space="preserve"> Perspective researchers do not always surround themselves with persons qualified for commercialisation of the output. This may sometimes result in inadequate preparedness of plans, ability to present the plan to investors or information bilateral asymmetry, when project authors lack information on availability of funding and potential investors lack trust in projects the principal activity of which lies beyond their understanding. Another frequent barrier is a</w:t>
      </w:r>
      <w:r w:rsidRPr="00874BFF">
        <w:rPr>
          <w:b/>
        </w:rPr>
        <w:t xml:space="preserve"> </w:t>
      </w:r>
      <w:r w:rsidR="004F6B45">
        <w:rPr>
          <w:b/>
        </w:rPr>
        <w:t>complicated</w:t>
      </w:r>
      <w:r w:rsidRPr="00874BFF">
        <w:rPr>
          <w:b/>
        </w:rPr>
        <w:t xml:space="preserve"> division of ownership of spin-offs</w:t>
      </w:r>
      <w:r w:rsidR="004F6B45">
        <w:rPr>
          <w:b/>
        </w:rPr>
        <w:t xml:space="preserve"> and the</w:t>
      </w:r>
      <w:r w:rsidR="004F6B45" w:rsidRPr="004F6B45">
        <w:rPr>
          <w:b/>
        </w:rPr>
        <w:t xml:space="preserve"> </w:t>
      </w:r>
      <w:r w:rsidR="004F6B45" w:rsidRPr="00685AEF">
        <w:rPr>
          <w:rFonts w:ascii="Arial" w:hAnsi="Arial" w:cs="Arial"/>
          <w:b/>
          <w:sz w:val="19"/>
          <w:szCs w:val="19"/>
          <w:lang w:val="en"/>
        </w:rPr>
        <w:t>intellectual property</w:t>
      </w:r>
      <w:r w:rsidRPr="00874BFF">
        <w:t xml:space="preserve"> that may become a huge complication for subsequent private investments and further development of the company.</w:t>
      </w:r>
    </w:p>
    <w:p w14:paraId="1F9BCF2A" w14:textId="77777777" w:rsidR="006D3AD5" w:rsidRPr="00874BFF" w:rsidRDefault="006D3AD5" w:rsidP="006D3AD5"/>
    <w:p w14:paraId="37675074" w14:textId="5399C815" w:rsidR="006D3AD5" w:rsidRPr="00874BFF" w:rsidRDefault="006D3AD5" w:rsidP="006D3AD5">
      <w:r w:rsidRPr="00874BFF">
        <w:t xml:space="preserve">For similar reasons, otherwise highly promising projects may not be finalised and implemented. Moreover, a substantial degree of risk in this area is inherently present in well-prepared projects with a significant potential. </w:t>
      </w:r>
      <w:r w:rsidRPr="00874BFF">
        <w:rPr>
          <w:b/>
        </w:rPr>
        <w:t xml:space="preserve">Therefore, the funding requirements cannot be actually covered by private resources allocated on the market principle. </w:t>
      </w:r>
      <w:r w:rsidRPr="00874BFF">
        <w:t>In many branches (e.g. biochemistry, medicine, etc.), this stage is also excessively long. The degree of risk at the pre-seed stage considerably exceeds commonly acceptable values for investors in the Czech environment. To resolve it, many developed countries use public intervention.</w:t>
      </w:r>
    </w:p>
    <w:p w14:paraId="118655F3" w14:textId="77777777" w:rsidR="006D3AD5" w:rsidRPr="00874BFF" w:rsidRDefault="006D3AD5" w:rsidP="006D3AD5"/>
    <w:p w14:paraId="699BFCA7" w14:textId="77777777" w:rsidR="006D3AD5" w:rsidRPr="00874BFF" w:rsidRDefault="006D3AD5" w:rsidP="006D3AD5">
      <w:r w:rsidRPr="00874BFF">
        <w:t>A sufficient activity at the pre-seed stage of commercialisation is a prerequisite for successful application of R&amp;D results and their development in new innovative companies. Lifecycle of typical target spin-off companies and their development stages are illustrated below.</w:t>
      </w:r>
    </w:p>
    <w:p w14:paraId="20388769" w14:textId="77777777" w:rsidR="006D3AD5" w:rsidRPr="00874BFF" w:rsidRDefault="006D3AD5" w:rsidP="006D3AD5">
      <w:pPr>
        <w:keepNext/>
      </w:pPr>
      <w:r w:rsidRPr="00874BFF">
        <w:rPr>
          <w:noProof/>
        </w:rPr>
        <w:lastRenderedPageBreak/>
        <w:drawing>
          <wp:inline distT="0" distB="0" distL="0" distR="0" wp14:anchorId="547E4EBF" wp14:editId="0C9FDC91">
            <wp:extent cx="5669280" cy="3562350"/>
            <wp:effectExtent l="0" t="0" r="0" b="0"/>
            <wp:docPr id="10" name="Obráze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280" cy="3562350"/>
                    </a:xfrm>
                    <a:prstGeom prst="rect">
                      <a:avLst/>
                    </a:prstGeom>
                    <a:noFill/>
                    <a:ln>
                      <a:noFill/>
                    </a:ln>
                  </pic:spPr>
                </pic:pic>
              </a:graphicData>
            </a:graphic>
          </wp:inline>
        </w:drawing>
      </w:r>
    </w:p>
    <w:p w14:paraId="33AF7A79" w14:textId="330C2554" w:rsidR="006D3AD5" w:rsidRPr="00874BFF" w:rsidRDefault="00AE6275" w:rsidP="006D3AD5">
      <w:pPr>
        <w:pStyle w:val="Titulek"/>
      </w:pPr>
      <w:r>
        <w:t>Figure</w:t>
      </w:r>
      <w:r w:rsidRPr="00874BFF">
        <w:t xml:space="preserve"> </w:t>
      </w:r>
      <w:r>
        <w:t>10</w:t>
      </w:r>
      <w:r w:rsidR="006D3AD5" w:rsidRPr="00874BFF">
        <w:t xml:space="preserve"> - Lifecycles of a company</w:t>
      </w:r>
    </w:p>
    <w:p w14:paraId="6DFA37B1" w14:textId="77777777" w:rsidR="006D3AD5" w:rsidRPr="00874BFF" w:rsidRDefault="006D3AD5" w:rsidP="006D3AD5">
      <w:pPr>
        <w:pStyle w:val="Nadpis4"/>
        <w:rPr>
          <w:rFonts w:ascii="Calibri" w:hAnsi="Calibri"/>
        </w:rPr>
      </w:pPr>
      <w:r w:rsidRPr="00874BFF">
        <w:rPr>
          <w:rFonts w:ascii="Calibri" w:hAnsi="Calibri"/>
        </w:rPr>
        <w:t>Proposal of solutions for the identified market failures</w:t>
      </w:r>
    </w:p>
    <w:p w14:paraId="333762EF" w14:textId="77777777" w:rsidR="006D3AD5" w:rsidRPr="00874BFF" w:rsidRDefault="006D3AD5" w:rsidP="006D3AD5"/>
    <w:p w14:paraId="6EDB385F" w14:textId="77777777" w:rsidR="006D3AD5" w:rsidRPr="00874BFF" w:rsidRDefault="006D3AD5" w:rsidP="006D3AD5">
      <w:pPr>
        <w:rPr>
          <w:b/>
        </w:rPr>
      </w:pPr>
      <w:r w:rsidRPr="00874BFF">
        <w:t xml:space="preserve">To bridge the gap between the R&amp;D results and the market, it is necessary during commercialisation activities (marketing studies, prototypes, testing, verification, certification, preparation of establishment of spin-off companies, etc.) to use such a type of support that will, on one hand, bring necessary funds for projects without any unnecessary delay and at the time when they are needed, and, on the other hand, it will encourage public ROs to set corresponding processes and select really promising projects, as well as to finalise them to a real output. An important element is transition to the market, identification of a suitable investor or partner company and establishment of partnership of researchers and people with economic and business background. For all these reasons, we regard </w:t>
      </w:r>
      <w:r w:rsidRPr="00874BFF">
        <w:rPr>
          <w:b/>
        </w:rPr>
        <w:t>equity investments to be the best alternative for the financial instrument.</w:t>
      </w:r>
    </w:p>
    <w:p w14:paraId="6B0E94A3" w14:textId="77777777" w:rsidR="006D3AD5" w:rsidRPr="00874BFF" w:rsidRDefault="006D3AD5" w:rsidP="006D3AD5"/>
    <w:p w14:paraId="2969226F" w14:textId="77777777" w:rsidR="006D3AD5" w:rsidRPr="00874BFF" w:rsidRDefault="006D3AD5" w:rsidP="006D3AD5">
      <w:r w:rsidRPr="00874BFF">
        <w:t>The financial instrument will take the form of an investment fund established under the control of the MA that will follow a given investment strategy. The pre-seed fund of the OP EIC will provide target projects with funds by means of an equity investment in funds established by individual final recipients (universities, public ROs) that invest in them predominantly intangibly by means of target projects. An alternative can be a central fund that will directly concentrate all the invested projects, again based on participation of both parties.</w:t>
      </w:r>
    </w:p>
    <w:p w14:paraId="415AC17C" w14:textId="77777777" w:rsidR="006D3AD5" w:rsidRPr="00874BFF" w:rsidRDefault="006D3AD5" w:rsidP="006D3AD5"/>
    <w:p w14:paraId="51BD7E9F" w14:textId="77777777" w:rsidR="006D3AD5" w:rsidRPr="00874BFF" w:rsidRDefault="006D3AD5" w:rsidP="006D3AD5">
      <w:r w:rsidRPr="00874BFF">
        <w:t xml:space="preserve">The nature of this relationship will exert pressure on the fund manager to act with a due economical care, while the managing authority will have detailed knowledge about not only activities of individual funds (or the central fund), but also from the capacity of a shareholder even about the economy of each investment objectives. Exit in a foreseeable investment horizon will secure an inflow of reinvestment resources risen in value, </w:t>
      </w:r>
      <w:r w:rsidRPr="00874BFF">
        <w:rPr>
          <w:b/>
        </w:rPr>
        <w:t>the instrument has thus a significant revolving potential</w:t>
      </w:r>
      <w:r w:rsidRPr="00874BFF">
        <w:t xml:space="preserve"> and is not a mere non-repayable subsidy.</w:t>
      </w:r>
    </w:p>
    <w:p w14:paraId="6DAF8C06" w14:textId="77777777" w:rsidR="006D3AD5" w:rsidRPr="00874BFF" w:rsidRDefault="006D3AD5" w:rsidP="006D3AD5"/>
    <w:p w14:paraId="029BC276" w14:textId="77777777" w:rsidR="006D3AD5" w:rsidRPr="00874BFF" w:rsidRDefault="006D3AD5" w:rsidP="006D3AD5">
      <w:r w:rsidRPr="00874BFF">
        <w:t xml:space="preserve">The goal of the FI in the form of the pre-seed fund of the OP EIC will be commercialisation by means of a successful </w:t>
      </w:r>
      <w:r w:rsidRPr="00874BFF">
        <w:rPr>
          <w:b/>
        </w:rPr>
        <w:t xml:space="preserve">exit taking the form of entry of an investor into the newly established spin-off company, or sell-off of prepared intellectual property to a strategic investor from the manufacturing </w:t>
      </w:r>
      <w:r w:rsidRPr="00874BFF">
        <w:rPr>
          <w:b/>
        </w:rPr>
        <w:lastRenderedPageBreak/>
        <w:t>sector. In this way, the FI will finally activate private capital as well which will be critical for further operation of projects.</w:t>
      </w:r>
    </w:p>
    <w:p w14:paraId="2C7FDB25" w14:textId="77777777" w:rsidR="006D3AD5" w:rsidRPr="00874BFF" w:rsidRDefault="006D3AD5" w:rsidP="006D3AD5"/>
    <w:p w14:paraId="4006EFB6" w14:textId="77777777" w:rsidR="006D3AD5" w:rsidRPr="00874BFF" w:rsidRDefault="006D3AD5" w:rsidP="006D3AD5">
      <w:r w:rsidRPr="00874BFF">
        <w:t>The planned structure assumes  participation of research organisations primarily via non-pecuniary investment in the equity capital by means of intellectual property. This is how the regulatory requirement to involve national resources in financial instruments will be met.</w:t>
      </w:r>
    </w:p>
    <w:p w14:paraId="6526FEB8" w14:textId="77777777" w:rsidR="006D3AD5" w:rsidRPr="00874BFF" w:rsidDel="00331B25" w:rsidRDefault="006D3AD5" w:rsidP="006D3AD5">
      <w:pPr>
        <w:rPr>
          <w:b/>
        </w:rPr>
      </w:pPr>
    </w:p>
    <w:p w14:paraId="2406BE60" w14:textId="77777777" w:rsidR="006D3AD5" w:rsidRPr="00874BFF" w:rsidRDefault="006D3AD5" w:rsidP="006D3AD5">
      <w:r w:rsidRPr="00874BFF">
        <w:t>The successor of the proposed pre-seed fund of the OP EIC should be a fund focusing on early stage investments, established also under the control of the MIT according to SO 2.1. This fund will represent one of the possibilities of project exit from the pre-seed fund.</w:t>
      </w:r>
    </w:p>
    <w:p w14:paraId="31C22113" w14:textId="77777777" w:rsidR="006D3AD5" w:rsidRPr="00874BFF" w:rsidRDefault="006D3AD5" w:rsidP="006D3AD5"/>
    <w:p w14:paraId="7F7B9237" w14:textId="3FD766EF" w:rsidR="006D3AD5" w:rsidRPr="00874BFF" w:rsidRDefault="006D3AD5" w:rsidP="006D3AD5">
      <w:r w:rsidRPr="00874BFF">
        <w:t xml:space="preserve">For successful functioning of the instrument, it is necessary to connect capital support with other supporting instruments that will  bring commercialisation know-how – particularly via </w:t>
      </w:r>
      <w:r w:rsidR="00352D5B">
        <w:t>TTO</w:t>
      </w:r>
      <w:r w:rsidRPr="00874BFF">
        <w:t>s and consultancy services of CzechInvest Agency</w:t>
      </w:r>
      <w:r w:rsidR="00524A9F">
        <w:t>/ABI</w:t>
      </w:r>
      <w:r w:rsidRPr="00874BFF">
        <w:t>.</w:t>
      </w:r>
    </w:p>
    <w:p w14:paraId="42A550A6" w14:textId="77777777" w:rsidR="006D3AD5" w:rsidRPr="00874BFF" w:rsidRDefault="006D3AD5" w:rsidP="006D3AD5"/>
    <w:p w14:paraId="5B13D622" w14:textId="77777777" w:rsidR="006D3AD5" w:rsidRPr="00874BFF" w:rsidRDefault="006D3AD5" w:rsidP="006D3AD5">
      <w:pPr>
        <w:pStyle w:val="Nadpis3"/>
        <w:rPr>
          <w:rFonts w:ascii="Calibri" w:hAnsi="Calibri"/>
        </w:rPr>
      </w:pPr>
      <w:bookmarkStart w:id="45" w:name="_Toc422312105"/>
      <w:r w:rsidRPr="00874BFF">
        <w:rPr>
          <w:rFonts w:ascii="Calibri" w:hAnsi="Calibri"/>
        </w:rPr>
        <w:t>Assessment of added value of financial instruments</w:t>
      </w:r>
      <w:bookmarkEnd w:id="45"/>
    </w:p>
    <w:p w14:paraId="230AAA6C" w14:textId="77777777" w:rsidR="006D3AD5" w:rsidRPr="00874BFF" w:rsidRDefault="006D3AD5" w:rsidP="006D3AD5">
      <w:pPr>
        <w:pStyle w:val="Nadpis4"/>
        <w:rPr>
          <w:rFonts w:ascii="Calibri" w:hAnsi="Calibri"/>
        </w:rPr>
      </w:pPr>
      <w:r w:rsidRPr="00874BFF">
        <w:rPr>
          <w:rFonts w:ascii="Calibri" w:hAnsi="Calibri"/>
        </w:rPr>
        <w:t>Added value of the financial instrument, problems, risks and comparison with other forms of support</w:t>
      </w:r>
    </w:p>
    <w:p w14:paraId="6B38C36E" w14:textId="77777777" w:rsidR="006D3AD5" w:rsidRPr="00874BFF" w:rsidRDefault="006D3AD5" w:rsidP="006D3AD5"/>
    <w:p w14:paraId="7BAE36C3" w14:textId="77777777" w:rsidR="006D3AD5" w:rsidRDefault="006D3AD5" w:rsidP="006D3AD5">
      <w:r w:rsidRPr="00874BFF">
        <w:t>The tables below show an overview of added value, problems and risks from the point of view of the final recipient and the MA (Table 2) and in terms of the overall impact on absorption capacity and achievement of the objectives  in SO 1.2 with attention paid to impacts on the market environment. Comparisons cover the planned instruments using equity investments and subsidies.</w:t>
      </w:r>
    </w:p>
    <w:p w14:paraId="1872A91B" w14:textId="77777777" w:rsidR="007C6DD6" w:rsidRPr="00874BFF" w:rsidRDefault="007C6DD6" w:rsidP="006D3AD5"/>
    <w:p w14:paraId="6577D4F1" w14:textId="2209AB4E" w:rsidR="006D3AD5" w:rsidRPr="00874BFF" w:rsidRDefault="006D3AD5" w:rsidP="006D3AD5">
      <w:pPr>
        <w:pStyle w:val="Titulek"/>
      </w:pPr>
      <w:r w:rsidRPr="00874BFF">
        <w:t>Table 1</w:t>
      </w:r>
      <w:r w:rsidR="007C6DD6">
        <w:t>4</w:t>
      </w:r>
      <w:r w:rsidRPr="00874BFF">
        <w:t xml:space="preserve">: Added value, disadvantages, problems and risks of public </w:t>
      </w:r>
      <w:r w:rsidR="008F5F02">
        <w:t>support for final recipients and MA</w:t>
      </w:r>
    </w:p>
    <w:p w14:paraId="4131165D" w14:textId="77777777" w:rsidR="006D3AD5" w:rsidRPr="00874BFF" w:rsidRDefault="006D3AD5" w:rsidP="006D3AD5"/>
    <w:tbl>
      <w:tblPr>
        <w:tblpPr w:leftFromText="141" w:rightFromText="141" w:vertAnchor="text" w:horzAnchor="page" w:tblpX="1986" w:tblpY="138"/>
        <w:tblW w:w="7968" w:type="dxa"/>
        <w:tblLook w:val="00A0" w:firstRow="1" w:lastRow="0" w:firstColumn="1" w:lastColumn="0" w:noHBand="0" w:noVBand="0"/>
      </w:tblPr>
      <w:tblGrid>
        <w:gridCol w:w="972"/>
        <w:gridCol w:w="972"/>
        <w:gridCol w:w="3439"/>
        <w:gridCol w:w="2585"/>
      </w:tblGrid>
      <w:tr w:rsidR="006D3AD5" w:rsidRPr="00874BFF" w14:paraId="421836E7" w14:textId="77777777" w:rsidTr="00443B8F">
        <w:trPr>
          <w:trHeight w:val="319"/>
        </w:trPr>
        <w:tc>
          <w:tcPr>
            <w:tcW w:w="1944" w:type="dxa"/>
            <w:gridSpan w:val="2"/>
            <w:vMerge w:val="restart"/>
            <w:tcBorders>
              <w:top w:val="single" w:sz="4" w:space="0" w:color="auto"/>
              <w:left w:val="single" w:sz="4" w:space="0" w:color="auto"/>
              <w:right w:val="single" w:sz="4" w:space="0" w:color="auto"/>
            </w:tcBorders>
            <w:shd w:val="clear" w:color="auto" w:fill="4472C4"/>
            <w:noWrap/>
          </w:tcPr>
          <w:p w14:paraId="1333CE72" w14:textId="77777777" w:rsidR="006D3AD5" w:rsidRPr="00874BFF" w:rsidRDefault="006D3AD5" w:rsidP="00443B8F">
            <w:pPr>
              <w:jc w:val="left"/>
              <w:rPr>
                <w:color w:val="000000"/>
                <w:sz w:val="24"/>
                <w:szCs w:val="24"/>
              </w:rPr>
            </w:pPr>
            <w:r w:rsidRPr="00874BFF">
              <w:rPr>
                <w:color w:val="000000"/>
                <w:sz w:val="24"/>
              </w:rPr>
              <w:t> </w:t>
            </w:r>
          </w:p>
          <w:p w14:paraId="4583AB07" w14:textId="77777777" w:rsidR="006D3AD5" w:rsidRPr="00874BFF" w:rsidRDefault="006D3AD5" w:rsidP="00443B8F">
            <w:pPr>
              <w:jc w:val="left"/>
              <w:rPr>
                <w:color w:val="000000"/>
                <w:sz w:val="24"/>
                <w:szCs w:val="24"/>
              </w:rPr>
            </w:pPr>
            <w:r w:rsidRPr="00874BFF">
              <w:rPr>
                <w:color w:val="000000"/>
                <w:sz w:val="24"/>
              </w:rPr>
              <w:t> </w:t>
            </w:r>
          </w:p>
        </w:tc>
        <w:tc>
          <w:tcPr>
            <w:tcW w:w="3439" w:type="dxa"/>
            <w:tcBorders>
              <w:top w:val="single" w:sz="4" w:space="0" w:color="auto"/>
              <w:left w:val="single" w:sz="4" w:space="0" w:color="auto"/>
              <w:bottom w:val="single" w:sz="4" w:space="0" w:color="auto"/>
              <w:right w:val="single" w:sz="4" w:space="0" w:color="auto"/>
            </w:tcBorders>
            <w:shd w:val="clear" w:color="auto" w:fill="4472C4"/>
            <w:noWrap/>
          </w:tcPr>
          <w:p w14:paraId="67450D8C" w14:textId="77777777" w:rsidR="006D3AD5" w:rsidRPr="00874BFF" w:rsidRDefault="006D3AD5" w:rsidP="00443B8F">
            <w:pPr>
              <w:jc w:val="center"/>
              <w:rPr>
                <w:b/>
                <w:bCs/>
                <w:color w:val="FFFFFF"/>
                <w:sz w:val="24"/>
                <w:szCs w:val="24"/>
              </w:rPr>
            </w:pPr>
            <w:r w:rsidRPr="00874BFF">
              <w:rPr>
                <w:b/>
                <w:color w:val="FFFFFF"/>
                <w:sz w:val="24"/>
              </w:rPr>
              <w:t>Financial instrument</w:t>
            </w:r>
          </w:p>
        </w:tc>
        <w:tc>
          <w:tcPr>
            <w:tcW w:w="2585" w:type="dxa"/>
            <w:tcBorders>
              <w:top w:val="single" w:sz="4" w:space="0" w:color="auto"/>
              <w:left w:val="single" w:sz="4" w:space="0" w:color="auto"/>
              <w:bottom w:val="single" w:sz="4" w:space="0" w:color="auto"/>
              <w:right w:val="single" w:sz="4" w:space="0" w:color="auto"/>
            </w:tcBorders>
            <w:shd w:val="clear" w:color="auto" w:fill="4472C4"/>
          </w:tcPr>
          <w:p w14:paraId="5F25A42D" w14:textId="77777777" w:rsidR="006D3AD5" w:rsidRPr="00874BFF" w:rsidRDefault="006D3AD5" w:rsidP="00443B8F">
            <w:pPr>
              <w:jc w:val="center"/>
              <w:rPr>
                <w:b/>
                <w:bCs/>
                <w:color w:val="FFFFFF"/>
                <w:sz w:val="24"/>
                <w:szCs w:val="24"/>
              </w:rPr>
            </w:pPr>
            <w:r w:rsidRPr="00874BFF">
              <w:rPr>
                <w:b/>
                <w:color w:val="FFFFFF"/>
                <w:sz w:val="24"/>
              </w:rPr>
              <w:t>Subsidy</w:t>
            </w:r>
          </w:p>
        </w:tc>
      </w:tr>
      <w:tr w:rsidR="006D3AD5" w:rsidRPr="00874BFF" w14:paraId="21AFFFA7" w14:textId="77777777" w:rsidTr="00443B8F">
        <w:trPr>
          <w:trHeight w:val="319"/>
        </w:trPr>
        <w:tc>
          <w:tcPr>
            <w:tcW w:w="1944" w:type="dxa"/>
            <w:gridSpan w:val="2"/>
            <w:vMerge/>
            <w:tcBorders>
              <w:left w:val="single" w:sz="4" w:space="0" w:color="auto"/>
              <w:bottom w:val="single" w:sz="4" w:space="0" w:color="auto"/>
              <w:right w:val="single" w:sz="4" w:space="0" w:color="auto"/>
            </w:tcBorders>
            <w:shd w:val="clear" w:color="auto" w:fill="4472C4"/>
            <w:noWrap/>
          </w:tcPr>
          <w:p w14:paraId="35FF0C9E" w14:textId="77777777" w:rsidR="006D3AD5" w:rsidRPr="00874BFF" w:rsidRDefault="006D3AD5" w:rsidP="00443B8F">
            <w:pPr>
              <w:jc w:val="left"/>
              <w:rPr>
                <w:color w:val="000000"/>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4472C4"/>
          </w:tcPr>
          <w:p w14:paraId="1493D4EE" w14:textId="77777777" w:rsidR="006D3AD5" w:rsidRPr="00874BFF" w:rsidRDefault="006D3AD5" w:rsidP="00443B8F">
            <w:pPr>
              <w:jc w:val="center"/>
              <w:rPr>
                <w:b/>
                <w:bCs/>
                <w:color w:val="FFFFFF"/>
                <w:sz w:val="24"/>
                <w:szCs w:val="24"/>
              </w:rPr>
            </w:pPr>
            <w:r w:rsidRPr="00874BFF">
              <w:rPr>
                <w:b/>
                <w:color w:val="FFFFFF"/>
                <w:sz w:val="24"/>
              </w:rPr>
              <w:t>Equity investments</w:t>
            </w:r>
          </w:p>
        </w:tc>
        <w:tc>
          <w:tcPr>
            <w:tcW w:w="2585" w:type="dxa"/>
            <w:tcBorders>
              <w:top w:val="single" w:sz="4" w:space="0" w:color="auto"/>
              <w:left w:val="single" w:sz="4" w:space="0" w:color="auto"/>
              <w:bottom w:val="single" w:sz="4" w:space="0" w:color="auto"/>
              <w:right w:val="single" w:sz="4" w:space="0" w:color="auto"/>
            </w:tcBorders>
            <w:shd w:val="clear" w:color="auto" w:fill="4472C4"/>
          </w:tcPr>
          <w:p w14:paraId="065C6589" w14:textId="77777777" w:rsidR="006D3AD5" w:rsidRPr="00874BFF" w:rsidRDefault="006D3AD5" w:rsidP="00443B8F">
            <w:pPr>
              <w:jc w:val="center"/>
              <w:rPr>
                <w:b/>
                <w:bCs/>
                <w:color w:val="FFFFFF"/>
                <w:sz w:val="24"/>
                <w:szCs w:val="24"/>
              </w:rPr>
            </w:pPr>
          </w:p>
        </w:tc>
      </w:tr>
      <w:tr w:rsidR="006D3AD5" w:rsidRPr="00874BFF" w14:paraId="0FFFA040" w14:textId="77777777" w:rsidTr="00443B8F">
        <w:trPr>
          <w:trHeight w:val="730"/>
        </w:trPr>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14:paraId="77EF7D0F" w14:textId="1FCDF62A" w:rsidR="006D3AD5" w:rsidRPr="00874BFF" w:rsidRDefault="008F5F02" w:rsidP="00443B8F">
            <w:pPr>
              <w:jc w:val="center"/>
              <w:rPr>
                <w:b/>
                <w:bCs/>
                <w:color w:val="FFFFFF"/>
                <w:sz w:val="24"/>
                <w:szCs w:val="24"/>
              </w:rPr>
            </w:pPr>
            <w:r>
              <w:rPr>
                <w:b/>
                <w:color w:val="FFFFFF"/>
                <w:sz w:val="24"/>
              </w:rPr>
              <w:t>Added value of public support for final recipients</w:t>
            </w:r>
            <w:r w:rsidR="006D3AD5" w:rsidRPr="00874BFF">
              <w:rPr>
                <w:b/>
                <w:color w:val="FFFFFF"/>
                <w:sz w:val="24"/>
              </w:rPr>
              <w:t xml:space="preserve"> and MA</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14:paraId="399DAF05"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71503558" w14:textId="77777777" w:rsidR="006D3AD5" w:rsidRPr="00874BFF" w:rsidRDefault="006D3AD5" w:rsidP="00443B8F">
            <w:pPr>
              <w:jc w:val="center"/>
              <w:rPr>
                <w:b/>
                <w:color w:val="FFFFFF"/>
                <w:sz w:val="20"/>
              </w:rPr>
            </w:pPr>
            <w:r w:rsidRPr="00874BFF">
              <w:rPr>
                <w:b/>
                <w:color w:val="FFFFFF"/>
                <w:sz w:val="20"/>
              </w:rPr>
              <w:t>Provision of funds for PoC and commercialisation of R&amp;D results</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2D1B6BB4" w14:textId="77777777" w:rsidR="006D3AD5" w:rsidRPr="00874BFF" w:rsidRDefault="006D3AD5" w:rsidP="00443B8F">
            <w:pPr>
              <w:jc w:val="center"/>
              <w:rPr>
                <w:b/>
                <w:color w:val="FFFFFF"/>
                <w:sz w:val="20"/>
              </w:rPr>
            </w:pPr>
            <w:r w:rsidRPr="00874BFF">
              <w:rPr>
                <w:b/>
                <w:color w:val="FFFFFF"/>
                <w:sz w:val="20"/>
              </w:rPr>
              <w:t>Provision of funds for PoC and commercialisation of R&amp;D results</w:t>
            </w:r>
          </w:p>
        </w:tc>
      </w:tr>
      <w:tr w:rsidR="006D3AD5" w:rsidRPr="00874BFF" w14:paraId="33329028" w14:textId="77777777" w:rsidTr="00443B8F">
        <w:trPr>
          <w:trHeight w:val="487"/>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5CB37224"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6B2EC670"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7C7F9E16" w14:textId="77777777" w:rsidR="006D3AD5" w:rsidRPr="00874BFF" w:rsidRDefault="006D3AD5" w:rsidP="00443B8F">
            <w:pPr>
              <w:jc w:val="center"/>
              <w:rPr>
                <w:b/>
                <w:color w:val="FFFFFF"/>
                <w:sz w:val="20"/>
              </w:rPr>
            </w:pPr>
            <w:r w:rsidRPr="00874BFF">
              <w:rPr>
                <w:b/>
                <w:color w:val="FFFFFF"/>
                <w:sz w:val="20"/>
              </w:rPr>
              <w:t>Flexible release of funds according to the achieved results and project requirements</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46E0A54F" w14:textId="0A584ED0" w:rsidR="006D3AD5" w:rsidRPr="00874BFF" w:rsidRDefault="008F5F02" w:rsidP="00443B8F">
            <w:pPr>
              <w:jc w:val="center"/>
              <w:rPr>
                <w:b/>
                <w:color w:val="FFFFFF"/>
                <w:sz w:val="20"/>
              </w:rPr>
            </w:pPr>
            <w:r>
              <w:rPr>
                <w:b/>
                <w:color w:val="FFFFFF"/>
                <w:sz w:val="20"/>
              </w:rPr>
              <w:t>No risk for final recipients</w:t>
            </w:r>
          </w:p>
        </w:tc>
      </w:tr>
      <w:tr w:rsidR="006D3AD5" w:rsidRPr="00874BFF" w14:paraId="2AFC3778" w14:textId="77777777" w:rsidTr="00443B8F">
        <w:trPr>
          <w:trHeight w:val="46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35D11ACF"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31FE4D98"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03F38442" w14:textId="77777777" w:rsidR="006D3AD5" w:rsidRPr="00874BFF" w:rsidRDefault="006D3AD5" w:rsidP="00443B8F">
            <w:pPr>
              <w:jc w:val="center"/>
              <w:rPr>
                <w:b/>
                <w:color w:val="FFFFFF"/>
                <w:sz w:val="20"/>
              </w:rPr>
            </w:pPr>
            <w:r w:rsidRPr="00874BFF">
              <w:rPr>
                <w:b/>
                <w:color w:val="FFFFFF"/>
                <w:sz w:val="20"/>
              </w:rPr>
              <w:t>Payment in advance</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302588C2" w14:textId="4594BA50" w:rsidR="006D3AD5" w:rsidRPr="00874BFF" w:rsidRDefault="006D3AD5" w:rsidP="00443B8F">
            <w:pPr>
              <w:jc w:val="center"/>
              <w:rPr>
                <w:b/>
                <w:color w:val="FFFFFF"/>
                <w:sz w:val="20"/>
              </w:rPr>
            </w:pPr>
            <w:r w:rsidRPr="00874BFF">
              <w:rPr>
                <w:b/>
                <w:color w:val="FFFFFF"/>
                <w:sz w:val="20"/>
              </w:rPr>
              <w:t xml:space="preserve">Funds for </w:t>
            </w:r>
            <w:r w:rsidR="00352D5B">
              <w:rPr>
                <w:b/>
                <w:color w:val="FFFFFF"/>
                <w:sz w:val="20"/>
              </w:rPr>
              <w:t>TTO</w:t>
            </w:r>
            <w:r w:rsidRPr="00874BFF">
              <w:rPr>
                <w:b/>
                <w:color w:val="FFFFFF"/>
                <w:sz w:val="20"/>
              </w:rPr>
              <w:t xml:space="preserve"> projects</w:t>
            </w:r>
          </w:p>
        </w:tc>
      </w:tr>
      <w:tr w:rsidR="006D3AD5" w:rsidRPr="00874BFF" w14:paraId="7524E103" w14:textId="77777777" w:rsidTr="00443B8F">
        <w:trPr>
          <w:trHeight w:val="48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28E8CAE4"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05BC4D92"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noWrap/>
          </w:tcPr>
          <w:p w14:paraId="23F88B1E" w14:textId="77777777" w:rsidR="006D3AD5" w:rsidRPr="00874BFF" w:rsidRDefault="006D3AD5" w:rsidP="00443B8F">
            <w:pPr>
              <w:jc w:val="center"/>
              <w:rPr>
                <w:b/>
                <w:color w:val="FFFFFF"/>
                <w:sz w:val="20"/>
              </w:rPr>
            </w:pPr>
            <w:r w:rsidRPr="00874BFF">
              <w:rPr>
                <w:b/>
                <w:color w:val="FFFFFF"/>
                <w:sz w:val="20"/>
              </w:rPr>
              <w:t>High pressure on achieving project profitability – chance for successful stakeholders</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10FDD6C4" w14:textId="77777777" w:rsidR="006D3AD5" w:rsidRPr="00874BFF" w:rsidRDefault="006D3AD5" w:rsidP="00443B8F">
            <w:pPr>
              <w:jc w:val="center"/>
              <w:rPr>
                <w:b/>
                <w:color w:val="FFFFFF"/>
                <w:sz w:val="20"/>
              </w:rPr>
            </w:pPr>
          </w:p>
        </w:tc>
      </w:tr>
      <w:tr w:rsidR="006D3AD5" w:rsidRPr="00874BFF" w14:paraId="050FA771" w14:textId="77777777" w:rsidTr="00443B8F">
        <w:trPr>
          <w:trHeight w:val="40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22D918B1"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7D9507A7"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noWrap/>
          </w:tcPr>
          <w:p w14:paraId="59538B33" w14:textId="77777777" w:rsidR="006D3AD5" w:rsidRPr="00874BFF" w:rsidRDefault="006D3AD5" w:rsidP="00443B8F">
            <w:pPr>
              <w:jc w:val="center"/>
              <w:rPr>
                <w:b/>
                <w:color w:val="FFFFFF"/>
                <w:sz w:val="20"/>
              </w:rPr>
            </w:pPr>
            <w:r w:rsidRPr="00874BFF">
              <w:rPr>
                <w:b/>
                <w:color w:val="FFFFFF"/>
                <w:sz w:val="20"/>
              </w:rPr>
              <w:t>Future financial income</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75101557" w14:textId="77777777" w:rsidR="006D3AD5" w:rsidRPr="00874BFF" w:rsidRDefault="006D3AD5" w:rsidP="00443B8F">
            <w:pPr>
              <w:jc w:val="center"/>
              <w:rPr>
                <w:b/>
                <w:color w:val="FFFFFF"/>
                <w:sz w:val="20"/>
              </w:rPr>
            </w:pPr>
          </w:p>
        </w:tc>
      </w:tr>
      <w:tr w:rsidR="006D3AD5" w:rsidRPr="00874BFF" w14:paraId="0949E68A" w14:textId="77777777" w:rsidTr="00443B8F">
        <w:trPr>
          <w:trHeight w:val="56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44973ED7"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79529F0F"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71AD044C" w14:textId="75BC6095" w:rsidR="006D3AD5" w:rsidRPr="00874BFF" w:rsidRDefault="006D3AD5" w:rsidP="00443B8F">
            <w:pPr>
              <w:jc w:val="center"/>
              <w:rPr>
                <w:b/>
                <w:color w:val="FFFFFF"/>
                <w:sz w:val="20"/>
              </w:rPr>
            </w:pPr>
            <w:r w:rsidRPr="00874BFF">
              <w:rPr>
                <w:b/>
                <w:color w:val="FFFFFF"/>
                <w:sz w:val="20"/>
              </w:rPr>
              <w:t>Connection with professional assistance (</w:t>
            </w:r>
            <w:r w:rsidR="00352D5B">
              <w:rPr>
                <w:b/>
                <w:color w:val="FFFFFF"/>
                <w:sz w:val="20"/>
              </w:rPr>
              <w:t>TTO</w:t>
            </w:r>
            <w:r w:rsidRPr="00874BFF">
              <w:rPr>
                <w:b/>
                <w:color w:val="FFFFFF"/>
                <w:sz w:val="20"/>
              </w:rPr>
              <w:t>, CI</w:t>
            </w:r>
            <w:r w:rsidR="00524A9F">
              <w:rPr>
                <w:b/>
                <w:color w:val="FFFFFF"/>
                <w:sz w:val="20"/>
              </w:rPr>
              <w:t>/ABI</w:t>
            </w:r>
            <w:r w:rsidRPr="00874BFF">
              <w:rPr>
                <w:rStyle w:val="Znakapoznpodarou"/>
                <w:rFonts w:ascii="Calibri" w:hAnsi="Calibri"/>
                <w:b/>
                <w:color w:val="FFFFFF"/>
              </w:rPr>
              <w:footnoteReference w:id="23"/>
            </w:r>
            <w:r w:rsidRPr="00874BFF">
              <w:rPr>
                <w:b/>
                <w:color w:val="FFFFFF"/>
                <w:sz w:val="20"/>
              </w:rPr>
              <w:t>)</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158ACF93" w14:textId="77777777" w:rsidR="006D3AD5" w:rsidRPr="00874BFF" w:rsidRDefault="006D3AD5" w:rsidP="00443B8F">
            <w:pPr>
              <w:jc w:val="center"/>
              <w:rPr>
                <w:b/>
                <w:color w:val="FFFFFF"/>
                <w:sz w:val="20"/>
              </w:rPr>
            </w:pPr>
          </w:p>
        </w:tc>
      </w:tr>
      <w:tr w:rsidR="006D3AD5" w:rsidRPr="00874BFF" w14:paraId="488D375D" w14:textId="77777777" w:rsidTr="00443B8F">
        <w:trPr>
          <w:trHeight w:val="502"/>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731DEF15"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5E69E63F"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1FB2F533" w14:textId="2D5BA9F8" w:rsidR="006D3AD5" w:rsidRPr="00874BFF" w:rsidRDefault="008F5F02" w:rsidP="00443B8F">
            <w:pPr>
              <w:jc w:val="center"/>
              <w:rPr>
                <w:b/>
                <w:color w:val="FFFFFF"/>
                <w:sz w:val="20"/>
              </w:rPr>
            </w:pPr>
            <w:r>
              <w:rPr>
                <w:b/>
                <w:color w:val="FFFFFF"/>
                <w:sz w:val="20"/>
              </w:rPr>
              <w:t>Low financial risk for final recipients</w:t>
            </w:r>
            <w:r w:rsidR="006D3AD5" w:rsidRPr="00874BFF">
              <w:rPr>
                <w:b/>
                <w:color w:val="FFFFFF"/>
                <w:sz w:val="20"/>
              </w:rPr>
              <w:t xml:space="preserve"> – depending on the type of deposit</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2F75781A" w14:textId="77777777" w:rsidR="006D3AD5" w:rsidRPr="00874BFF" w:rsidRDefault="006D3AD5" w:rsidP="00443B8F">
            <w:pPr>
              <w:jc w:val="left"/>
              <w:rPr>
                <w:b/>
                <w:color w:val="FFFFFF"/>
                <w:sz w:val="20"/>
              </w:rPr>
            </w:pPr>
          </w:p>
        </w:tc>
      </w:tr>
      <w:tr w:rsidR="006D3AD5" w:rsidRPr="00874BFF" w14:paraId="25087356" w14:textId="77777777" w:rsidTr="00443B8F">
        <w:trPr>
          <w:trHeight w:val="512"/>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6C91D448"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3189C4C5"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0D4E81BA" w14:textId="77777777" w:rsidR="006D3AD5" w:rsidRPr="00874BFF" w:rsidRDefault="006D3AD5" w:rsidP="00443B8F">
            <w:pPr>
              <w:jc w:val="center"/>
              <w:rPr>
                <w:b/>
                <w:color w:val="FFFFFF"/>
                <w:sz w:val="20"/>
              </w:rPr>
            </w:pPr>
            <w:r w:rsidRPr="00874BFF">
              <w:rPr>
                <w:b/>
                <w:color w:val="FFFFFF"/>
                <w:sz w:val="20"/>
              </w:rPr>
              <w:t>Connection with investment market, possibility to exit in the seed fund SO 2.1</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17D36CFA" w14:textId="77777777" w:rsidR="006D3AD5" w:rsidRPr="00874BFF" w:rsidRDefault="006D3AD5" w:rsidP="00443B8F">
            <w:pPr>
              <w:jc w:val="left"/>
              <w:rPr>
                <w:b/>
                <w:color w:val="FFFFFF"/>
                <w:sz w:val="20"/>
              </w:rPr>
            </w:pPr>
          </w:p>
        </w:tc>
      </w:tr>
      <w:tr w:rsidR="006D3AD5" w:rsidRPr="00874BFF" w14:paraId="5A6BF315" w14:textId="77777777" w:rsidTr="00443B8F">
        <w:trPr>
          <w:trHeight w:val="56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503D6CC7"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5F82F385" w14:textId="77777777" w:rsidR="006D3AD5" w:rsidRPr="00874BFF" w:rsidRDefault="006D3AD5" w:rsidP="00443B8F">
            <w:pPr>
              <w:jc w:val="left"/>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3DC51E5E" w14:textId="77777777" w:rsidR="006D3AD5" w:rsidRPr="00874BFF" w:rsidRDefault="006D3AD5" w:rsidP="00443B8F">
            <w:pPr>
              <w:jc w:val="center"/>
              <w:rPr>
                <w:b/>
                <w:color w:val="FFFFFF"/>
                <w:sz w:val="20"/>
              </w:rPr>
            </w:pPr>
            <w:r w:rsidRPr="00874BFF">
              <w:rPr>
                <w:b/>
                <w:color w:val="FFFFFF"/>
                <w:sz w:val="20"/>
              </w:rPr>
              <w:t>Possibility of investors' entry during the process and their participation in the project</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4E2AC8F3" w14:textId="77777777" w:rsidR="006D3AD5" w:rsidRPr="00874BFF" w:rsidRDefault="006D3AD5" w:rsidP="00443B8F">
            <w:pPr>
              <w:jc w:val="left"/>
              <w:rPr>
                <w:b/>
                <w:color w:val="FFFFFF"/>
                <w:sz w:val="20"/>
              </w:rPr>
            </w:pPr>
          </w:p>
        </w:tc>
      </w:tr>
      <w:tr w:rsidR="006D3AD5" w:rsidRPr="00874BFF" w14:paraId="18C2B6DC" w14:textId="77777777" w:rsidTr="00443B8F">
        <w:trPr>
          <w:trHeight w:val="745"/>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7A59608A" w14:textId="77777777" w:rsidR="006D3AD5" w:rsidRPr="00874BFF" w:rsidRDefault="006D3AD5" w:rsidP="00443B8F">
            <w:pPr>
              <w:jc w:val="left"/>
              <w:rPr>
                <w:b/>
                <w:bCs/>
                <w:color w:val="FFFFFF"/>
                <w:sz w:val="24"/>
                <w:szCs w:val="24"/>
              </w:rPr>
            </w:pPr>
          </w:p>
        </w:tc>
        <w:tc>
          <w:tcPr>
            <w:tcW w:w="972" w:type="dxa"/>
            <w:vMerge w:val="restart"/>
            <w:tcBorders>
              <w:top w:val="single" w:sz="4" w:space="0" w:color="auto"/>
              <w:left w:val="single" w:sz="4" w:space="0" w:color="auto"/>
              <w:bottom w:val="single" w:sz="4" w:space="0" w:color="auto"/>
              <w:right w:val="single" w:sz="4" w:space="0" w:color="auto"/>
            </w:tcBorders>
            <w:shd w:val="clear" w:color="auto" w:fill="5B9BD5"/>
            <w:noWrap/>
            <w:textDirection w:val="btLr"/>
          </w:tcPr>
          <w:p w14:paraId="51D98E42" w14:textId="77777777" w:rsidR="006D3AD5" w:rsidRPr="00874BFF" w:rsidRDefault="006D3AD5" w:rsidP="00443B8F">
            <w:pPr>
              <w:jc w:val="center"/>
              <w:rPr>
                <w:b/>
                <w:bCs/>
                <w:color w:val="FFFFFF"/>
                <w:sz w:val="24"/>
                <w:szCs w:val="24"/>
              </w:rPr>
            </w:pPr>
            <w:r w:rsidRPr="00874BFF">
              <w:rPr>
                <w:b/>
                <w:color w:val="FFFFFF"/>
                <w:sz w:val="24"/>
              </w:rPr>
              <w:t>MA</w:t>
            </w: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22336B32" w14:textId="77777777" w:rsidR="006D3AD5" w:rsidRPr="00874BFF" w:rsidRDefault="006D3AD5" w:rsidP="00443B8F">
            <w:pPr>
              <w:jc w:val="center"/>
              <w:rPr>
                <w:b/>
                <w:color w:val="FFFFFF"/>
                <w:sz w:val="20"/>
              </w:rPr>
            </w:pPr>
            <w:r w:rsidRPr="00874BFF">
              <w:rPr>
                <w:b/>
                <w:color w:val="FFFFFF"/>
                <w:sz w:val="20"/>
              </w:rPr>
              <w:t>Means of pressure to set institutional frameworks for commercialisation and selection of projects in ROs</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29A42240" w14:textId="77777777" w:rsidR="006D3AD5" w:rsidRPr="00874BFF" w:rsidRDefault="006D3AD5" w:rsidP="00443B8F">
            <w:pPr>
              <w:jc w:val="center"/>
              <w:rPr>
                <w:b/>
                <w:color w:val="FFFFFF"/>
                <w:sz w:val="20"/>
              </w:rPr>
            </w:pPr>
            <w:r w:rsidRPr="00874BFF">
              <w:rPr>
                <w:b/>
                <w:color w:val="FFFFFF"/>
                <w:sz w:val="20"/>
              </w:rPr>
              <w:t>Means of pressure to set institutional frameworks for commercialisation and selection of projects in ROs</w:t>
            </w:r>
          </w:p>
        </w:tc>
      </w:tr>
      <w:tr w:rsidR="006D3AD5" w:rsidRPr="00874BFF" w14:paraId="5D5618EC" w14:textId="77777777" w:rsidTr="00443B8F">
        <w:trPr>
          <w:trHeight w:val="581"/>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00EDE5F3" w14:textId="77777777" w:rsidR="006D3AD5" w:rsidRPr="00874BFF" w:rsidRDefault="006D3AD5" w:rsidP="00443B8F">
            <w:pPr>
              <w:jc w:val="left"/>
              <w:rPr>
                <w:b/>
                <w:bCs/>
                <w:color w:val="FFFFFF"/>
                <w:sz w:val="24"/>
                <w:szCs w:val="24"/>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noWrap/>
            <w:textDirection w:val="btLr"/>
          </w:tcPr>
          <w:p w14:paraId="419B4E74" w14:textId="77777777" w:rsidR="006D3AD5" w:rsidRPr="00874BFF" w:rsidRDefault="006D3AD5" w:rsidP="00443B8F">
            <w:pPr>
              <w:jc w:val="center"/>
              <w:rPr>
                <w:b/>
                <w:bCs/>
                <w:color w:val="FFFFFF"/>
                <w:sz w:val="24"/>
                <w:szCs w:val="24"/>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7E1D944D" w14:textId="77777777" w:rsidR="006D3AD5" w:rsidRPr="00874BFF" w:rsidRDefault="006D3AD5" w:rsidP="00443B8F">
            <w:pPr>
              <w:jc w:val="center"/>
              <w:rPr>
                <w:b/>
                <w:color w:val="FFFFFF"/>
                <w:sz w:val="20"/>
              </w:rPr>
            </w:pPr>
            <w:r w:rsidRPr="00874BFF">
              <w:rPr>
                <w:b/>
                <w:color w:val="FFFFFF"/>
                <w:sz w:val="20"/>
              </w:rPr>
              <w:t>Potential income from successful projects, revolving possibility</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4FCF434F" w14:textId="77777777" w:rsidR="006D3AD5" w:rsidRPr="00874BFF" w:rsidRDefault="006D3AD5" w:rsidP="00443B8F">
            <w:pPr>
              <w:jc w:val="center"/>
              <w:rPr>
                <w:b/>
                <w:color w:val="FFFFFF"/>
                <w:sz w:val="20"/>
              </w:rPr>
            </w:pPr>
          </w:p>
        </w:tc>
      </w:tr>
      <w:tr w:rsidR="006D3AD5" w:rsidRPr="00874BFF" w14:paraId="3A02EA0F" w14:textId="77777777" w:rsidTr="00443B8F">
        <w:trPr>
          <w:trHeight w:val="579"/>
        </w:trPr>
        <w:tc>
          <w:tcPr>
            <w:tcW w:w="972" w:type="dxa"/>
            <w:vMerge/>
            <w:tcBorders>
              <w:top w:val="single" w:sz="4" w:space="0" w:color="auto"/>
              <w:left w:val="single" w:sz="4" w:space="0" w:color="auto"/>
              <w:bottom w:val="single" w:sz="4" w:space="0" w:color="auto"/>
              <w:right w:val="single" w:sz="4" w:space="0" w:color="auto"/>
            </w:tcBorders>
            <w:shd w:val="clear" w:color="auto" w:fill="5B9BD5"/>
          </w:tcPr>
          <w:p w14:paraId="4B06ECCD" w14:textId="77777777" w:rsidR="006D3AD5" w:rsidRPr="00874BFF" w:rsidRDefault="006D3AD5" w:rsidP="00443B8F">
            <w:pPr>
              <w:jc w:val="left"/>
              <w:rPr>
                <w:b/>
                <w:bCs/>
                <w:color w:val="FFFFFF"/>
                <w:sz w:val="18"/>
                <w:szCs w:val="18"/>
              </w:rPr>
            </w:pPr>
          </w:p>
        </w:tc>
        <w:tc>
          <w:tcPr>
            <w:tcW w:w="972" w:type="dxa"/>
            <w:vMerge/>
            <w:tcBorders>
              <w:top w:val="single" w:sz="4" w:space="0" w:color="auto"/>
              <w:left w:val="single" w:sz="4" w:space="0" w:color="auto"/>
              <w:bottom w:val="single" w:sz="4" w:space="0" w:color="auto"/>
              <w:right w:val="single" w:sz="4" w:space="0" w:color="auto"/>
            </w:tcBorders>
            <w:shd w:val="clear" w:color="auto" w:fill="5B9BD5"/>
            <w:noWrap/>
            <w:textDirection w:val="btLr"/>
          </w:tcPr>
          <w:p w14:paraId="63B750DB" w14:textId="77777777" w:rsidR="006D3AD5" w:rsidRPr="00874BFF" w:rsidRDefault="006D3AD5" w:rsidP="00443B8F">
            <w:pPr>
              <w:jc w:val="center"/>
              <w:rPr>
                <w:b/>
                <w:bCs/>
                <w:color w:val="FFFFFF"/>
                <w:sz w:val="18"/>
                <w:szCs w:val="18"/>
              </w:rPr>
            </w:pPr>
          </w:p>
        </w:tc>
        <w:tc>
          <w:tcPr>
            <w:tcW w:w="3439" w:type="dxa"/>
            <w:tcBorders>
              <w:top w:val="single" w:sz="4" w:space="0" w:color="auto"/>
              <w:left w:val="single" w:sz="4" w:space="0" w:color="auto"/>
              <w:bottom w:val="single" w:sz="4" w:space="0" w:color="auto"/>
              <w:right w:val="single" w:sz="4" w:space="0" w:color="auto"/>
            </w:tcBorders>
            <w:shd w:val="clear" w:color="auto" w:fill="5B9BD5"/>
          </w:tcPr>
          <w:p w14:paraId="0AA5E057" w14:textId="77777777" w:rsidR="006D3AD5" w:rsidRPr="00874BFF" w:rsidRDefault="006D3AD5" w:rsidP="00443B8F">
            <w:pPr>
              <w:jc w:val="center"/>
              <w:rPr>
                <w:b/>
                <w:color w:val="FFFFFF"/>
                <w:sz w:val="20"/>
              </w:rPr>
            </w:pPr>
            <w:r w:rsidRPr="00874BFF">
              <w:rPr>
                <w:b/>
                <w:color w:val="FFFFFF"/>
                <w:sz w:val="20"/>
              </w:rPr>
              <w:t>Higher control over efficient spending of funds</w:t>
            </w:r>
          </w:p>
        </w:tc>
        <w:tc>
          <w:tcPr>
            <w:tcW w:w="2585" w:type="dxa"/>
            <w:tcBorders>
              <w:top w:val="single" w:sz="4" w:space="0" w:color="auto"/>
              <w:left w:val="single" w:sz="4" w:space="0" w:color="auto"/>
              <w:bottom w:val="single" w:sz="4" w:space="0" w:color="auto"/>
              <w:right w:val="single" w:sz="4" w:space="0" w:color="auto"/>
            </w:tcBorders>
            <w:shd w:val="clear" w:color="auto" w:fill="5B9BD5"/>
          </w:tcPr>
          <w:p w14:paraId="189C29F9" w14:textId="77777777" w:rsidR="006D3AD5" w:rsidRPr="00874BFF" w:rsidRDefault="006D3AD5" w:rsidP="00443B8F">
            <w:pPr>
              <w:jc w:val="center"/>
              <w:rPr>
                <w:b/>
                <w:color w:val="FFFFFF"/>
                <w:sz w:val="20"/>
              </w:rPr>
            </w:pPr>
          </w:p>
        </w:tc>
      </w:tr>
      <w:tr w:rsidR="006D3AD5" w:rsidRPr="00874BFF" w14:paraId="748FE9BB" w14:textId="77777777" w:rsidTr="00443B8F">
        <w:trPr>
          <w:trHeight w:val="315"/>
        </w:trPr>
        <w:tc>
          <w:tcPr>
            <w:tcW w:w="972" w:type="dxa"/>
            <w:vMerge/>
            <w:tcBorders>
              <w:top w:val="single" w:sz="4" w:space="0" w:color="auto"/>
            </w:tcBorders>
            <w:shd w:val="clear" w:color="auto" w:fill="5B9BD5"/>
          </w:tcPr>
          <w:p w14:paraId="1CDA088F" w14:textId="77777777" w:rsidR="006D3AD5" w:rsidRPr="00874BFF" w:rsidRDefault="006D3AD5" w:rsidP="00443B8F">
            <w:pPr>
              <w:jc w:val="left"/>
              <w:rPr>
                <w:b/>
                <w:bCs/>
                <w:color w:val="FFFFFF"/>
                <w:sz w:val="18"/>
                <w:szCs w:val="18"/>
              </w:rPr>
            </w:pPr>
          </w:p>
        </w:tc>
        <w:tc>
          <w:tcPr>
            <w:tcW w:w="972" w:type="dxa"/>
            <w:vMerge/>
            <w:tcBorders>
              <w:top w:val="single" w:sz="4" w:space="0" w:color="auto"/>
            </w:tcBorders>
            <w:shd w:val="clear" w:color="auto" w:fill="5B9BD5"/>
            <w:noWrap/>
            <w:textDirection w:val="btLr"/>
          </w:tcPr>
          <w:p w14:paraId="738717E2" w14:textId="77777777" w:rsidR="006D3AD5" w:rsidRPr="00874BFF" w:rsidRDefault="006D3AD5" w:rsidP="00443B8F">
            <w:pPr>
              <w:jc w:val="center"/>
              <w:rPr>
                <w:b/>
                <w:bCs/>
                <w:color w:val="FFFFFF"/>
                <w:sz w:val="18"/>
                <w:szCs w:val="18"/>
              </w:rPr>
            </w:pPr>
          </w:p>
        </w:tc>
        <w:tc>
          <w:tcPr>
            <w:tcW w:w="3439" w:type="dxa"/>
            <w:tcBorders>
              <w:top w:val="single" w:sz="4" w:space="0" w:color="auto"/>
            </w:tcBorders>
            <w:shd w:val="clear" w:color="auto" w:fill="5B9BD5"/>
          </w:tcPr>
          <w:p w14:paraId="20AC3350" w14:textId="77777777" w:rsidR="006D3AD5" w:rsidRPr="00874BFF" w:rsidRDefault="006D3AD5" w:rsidP="00443B8F">
            <w:pPr>
              <w:jc w:val="center"/>
              <w:rPr>
                <w:b/>
                <w:color w:val="FFFFFF"/>
                <w:sz w:val="20"/>
              </w:rPr>
            </w:pPr>
            <w:r w:rsidRPr="00874BFF">
              <w:rPr>
                <w:b/>
                <w:color w:val="FFFFFF"/>
                <w:sz w:val="20"/>
              </w:rPr>
              <w:t>Rapid absorption</w:t>
            </w:r>
          </w:p>
        </w:tc>
        <w:tc>
          <w:tcPr>
            <w:tcW w:w="2585" w:type="dxa"/>
            <w:tcBorders>
              <w:top w:val="single" w:sz="4" w:space="0" w:color="auto"/>
            </w:tcBorders>
            <w:shd w:val="clear" w:color="auto" w:fill="5B9BD5"/>
          </w:tcPr>
          <w:p w14:paraId="0939416F" w14:textId="77777777" w:rsidR="006D3AD5" w:rsidRPr="00874BFF" w:rsidRDefault="006D3AD5" w:rsidP="00443B8F">
            <w:pPr>
              <w:jc w:val="center"/>
              <w:rPr>
                <w:b/>
                <w:color w:val="FFFFFF"/>
                <w:sz w:val="20"/>
              </w:rPr>
            </w:pPr>
          </w:p>
        </w:tc>
      </w:tr>
      <w:tr w:rsidR="006D3AD5" w:rsidRPr="00874BFF" w14:paraId="5C3AF950" w14:textId="77777777" w:rsidTr="00443B8F">
        <w:tblPrEx>
          <w:tblBorders>
            <w:insideH w:val="single" w:sz="4" w:space="0" w:color="auto"/>
            <w:insideV w:val="single" w:sz="4" w:space="0" w:color="auto"/>
          </w:tblBorders>
        </w:tblPrEx>
        <w:trPr>
          <w:trHeight w:val="745"/>
        </w:trPr>
        <w:tc>
          <w:tcPr>
            <w:tcW w:w="972" w:type="dxa"/>
            <w:vMerge w:val="restart"/>
            <w:shd w:val="clear" w:color="auto" w:fill="FF0000"/>
            <w:textDirection w:val="btLr"/>
          </w:tcPr>
          <w:p w14:paraId="5006A3CB" w14:textId="77777777" w:rsidR="006D3AD5" w:rsidRPr="00874BFF" w:rsidRDefault="006D3AD5" w:rsidP="00443B8F">
            <w:pPr>
              <w:ind w:left="113" w:right="113"/>
              <w:jc w:val="center"/>
              <w:rPr>
                <w:b/>
                <w:bCs/>
                <w:color w:val="FFFFFF"/>
                <w:sz w:val="24"/>
                <w:szCs w:val="24"/>
              </w:rPr>
            </w:pPr>
            <w:r w:rsidRPr="00874BFF">
              <w:rPr>
                <w:b/>
                <w:color w:val="FFFFFF"/>
                <w:sz w:val="24"/>
              </w:rPr>
              <w:t>Disadvantages, problems and risks</w:t>
            </w:r>
          </w:p>
        </w:tc>
        <w:tc>
          <w:tcPr>
            <w:tcW w:w="972" w:type="dxa"/>
            <w:vMerge w:val="restart"/>
            <w:shd w:val="clear" w:color="auto" w:fill="FF0000"/>
            <w:noWrap/>
            <w:textDirection w:val="btLr"/>
          </w:tcPr>
          <w:p w14:paraId="29C67C23"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3439" w:type="dxa"/>
            <w:shd w:val="clear" w:color="auto" w:fill="FF0000"/>
          </w:tcPr>
          <w:p w14:paraId="3E9518F1" w14:textId="77777777" w:rsidR="006D3AD5" w:rsidRPr="00874BFF" w:rsidRDefault="006D3AD5" w:rsidP="00443B8F">
            <w:pPr>
              <w:jc w:val="center"/>
              <w:rPr>
                <w:b/>
                <w:color w:val="FFFFFF"/>
                <w:sz w:val="20"/>
              </w:rPr>
            </w:pPr>
            <w:r w:rsidRPr="00874BFF">
              <w:rPr>
                <w:b/>
                <w:color w:val="FFFFFF"/>
                <w:sz w:val="20"/>
              </w:rPr>
              <w:t>Projects with professional selection and evaluation of projects</w:t>
            </w:r>
          </w:p>
        </w:tc>
        <w:tc>
          <w:tcPr>
            <w:tcW w:w="2585" w:type="dxa"/>
            <w:shd w:val="clear" w:color="auto" w:fill="FF0000"/>
          </w:tcPr>
          <w:p w14:paraId="78EAA14D" w14:textId="77777777" w:rsidR="006D3AD5" w:rsidRPr="00874BFF" w:rsidRDefault="006D3AD5" w:rsidP="00443B8F">
            <w:pPr>
              <w:jc w:val="center"/>
              <w:rPr>
                <w:b/>
                <w:color w:val="FFFFFF"/>
                <w:sz w:val="20"/>
              </w:rPr>
            </w:pPr>
            <w:r w:rsidRPr="00874BFF">
              <w:rPr>
                <w:b/>
                <w:color w:val="FFFFFF"/>
                <w:sz w:val="20"/>
              </w:rPr>
              <w:t>Projects with professional and unbiased selection of projects in MA and ROs</w:t>
            </w:r>
          </w:p>
        </w:tc>
      </w:tr>
      <w:tr w:rsidR="006D3AD5" w:rsidRPr="00874BFF" w14:paraId="2237FAB7" w14:textId="77777777" w:rsidTr="00443B8F">
        <w:tblPrEx>
          <w:tblBorders>
            <w:insideH w:val="single" w:sz="4" w:space="0" w:color="auto"/>
            <w:insideV w:val="single" w:sz="4" w:space="0" w:color="auto"/>
          </w:tblBorders>
        </w:tblPrEx>
        <w:trPr>
          <w:trHeight w:val="745"/>
        </w:trPr>
        <w:tc>
          <w:tcPr>
            <w:tcW w:w="972" w:type="dxa"/>
            <w:vMerge/>
            <w:shd w:val="clear" w:color="auto" w:fill="FF0000"/>
            <w:textDirection w:val="btLr"/>
          </w:tcPr>
          <w:p w14:paraId="5D7B5318" w14:textId="77777777" w:rsidR="006D3AD5" w:rsidRPr="00874BFF" w:rsidRDefault="006D3AD5" w:rsidP="00443B8F">
            <w:pPr>
              <w:ind w:left="113" w:right="113"/>
              <w:jc w:val="center"/>
              <w:rPr>
                <w:b/>
                <w:bCs/>
                <w:color w:val="FFFFFF"/>
                <w:sz w:val="24"/>
                <w:szCs w:val="24"/>
              </w:rPr>
            </w:pPr>
          </w:p>
        </w:tc>
        <w:tc>
          <w:tcPr>
            <w:tcW w:w="972" w:type="dxa"/>
            <w:vMerge/>
            <w:shd w:val="clear" w:color="auto" w:fill="FF0000"/>
            <w:noWrap/>
            <w:textDirection w:val="btLr"/>
          </w:tcPr>
          <w:p w14:paraId="5F2FA22C" w14:textId="77777777" w:rsidR="006D3AD5" w:rsidRPr="00874BFF" w:rsidRDefault="006D3AD5" w:rsidP="00443B8F">
            <w:pPr>
              <w:jc w:val="center"/>
              <w:rPr>
                <w:b/>
                <w:bCs/>
                <w:color w:val="FFFFFF"/>
                <w:sz w:val="24"/>
                <w:szCs w:val="24"/>
              </w:rPr>
            </w:pPr>
          </w:p>
        </w:tc>
        <w:tc>
          <w:tcPr>
            <w:tcW w:w="3439" w:type="dxa"/>
            <w:shd w:val="clear" w:color="auto" w:fill="FF0000"/>
          </w:tcPr>
          <w:p w14:paraId="416D65C0" w14:textId="77777777" w:rsidR="006D3AD5" w:rsidRPr="00874BFF" w:rsidRDefault="006D3AD5" w:rsidP="00443B8F">
            <w:pPr>
              <w:jc w:val="center"/>
              <w:rPr>
                <w:b/>
                <w:color w:val="FFFFFF"/>
                <w:sz w:val="20"/>
              </w:rPr>
            </w:pPr>
            <w:r w:rsidRPr="00874BFF">
              <w:rPr>
                <w:b/>
                <w:color w:val="FFFFFF"/>
                <w:sz w:val="20"/>
              </w:rPr>
              <w:t>Problem with provision of professional assistance in the business and investment areas</w:t>
            </w:r>
          </w:p>
        </w:tc>
        <w:tc>
          <w:tcPr>
            <w:tcW w:w="2585" w:type="dxa"/>
            <w:shd w:val="clear" w:color="auto" w:fill="FF0000"/>
          </w:tcPr>
          <w:p w14:paraId="1CE54294" w14:textId="77777777" w:rsidR="006D3AD5" w:rsidRPr="00874BFF" w:rsidRDefault="006D3AD5" w:rsidP="00443B8F">
            <w:pPr>
              <w:jc w:val="center"/>
              <w:rPr>
                <w:b/>
                <w:color w:val="FFFFFF"/>
                <w:sz w:val="20"/>
              </w:rPr>
            </w:pPr>
            <w:r w:rsidRPr="00874BFF">
              <w:rPr>
                <w:b/>
                <w:color w:val="FFFFFF"/>
                <w:sz w:val="20"/>
              </w:rPr>
              <w:t>Problem with provision of professional assistance in the business and investment areas</w:t>
            </w:r>
          </w:p>
        </w:tc>
      </w:tr>
      <w:tr w:rsidR="006D3AD5" w:rsidRPr="00874BFF" w14:paraId="19FD3A1C" w14:textId="77777777" w:rsidTr="00443B8F">
        <w:tblPrEx>
          <w:tblBorders>
            <w:insideH w:val="single" w:sz="4" w:space="0" w:color="auto"/>
            <w:insideV w:val="single" w:sz="4" w:space="0" w:color="auto"/>
          </w:tblBorders>
        </w:tblPrEx>
        <w:trPr>
          <w:trHeight w:val="488"/>
        </w:trPr>
        <w:tc>
          <w:tcPr>
            <w:tcW w:w="972" w:type="dxa"/>
            <w:vMerge/>
            <w:shd w:val="clear" w:color="auto" w:fill="FF0000"/>
          </w:tcPr>
          <w:p w14:paraId="5899F4E1" w14:textId="77777777" w:rsidR="006D3AD5" w:rsidRPr="00874BFF" w:rsidRDefault="006D3AD5" w:rsidP="00443B8F">
            <w:pPr>
              <w:jc w:val="left"/>
              <w:rPr>
                <w:b/>
                <w:bCs/>
                <w:color w:val="000000"/>
                <w:sz w:val="24"/>
                <w:szCs w:val="24"/>
              </w:rPr>
            </w:pPr>
          </w:p>
        </w:tc>
        <w:tc>
          <w:tcPr>
            <w:tcW w:w="972" w:type="dxa"/>
            <w:vMerge/>
            <w:shd w:val="clear" w:color="auto" w:fill="FF0000"/>
            <w:noWrap/>
            <w:textDirection w:val="btLr"/>
          </w:tcPr>
          <w:p w14:paraId="255430A2" w14:textId="77777777" w:rsidR="006D3AD5" w:rsidRPr="00874BFF" w:rsidRDefault="006D3AD5" w:rsidP="00443B8F">
            <w:pPr>
              <w:jc w:val="center"/>
              <w:rPr>
                <w:b/>
                <w:bCs/>
                <w:color w:val="000000"/>
                <w:sz w:val="24"/>
                <w:szCs w:val="24"/>
              </w:rPr>
            </w:pPr>
          </w:p>
        </w:tc>
        <w:tc>
          <w:tcPr>
            <w:tcW w:w="3439" w:type="dxa"/>
            <w:shd w:val="clear" w:color="auto" w:fill="FF0000"/>
          </w:tcPr>
          <w:p w14:paraId="29DA88FA" w14:textId="77777777" w:rsidR="006D3AD5" w:rsidRPr="00874BFF" w:rsidRDefault="006D3AD5" w:rsidP="00443B8F">
            <w:pPr>
              <w:jc w:val="center"/>
              <w:rPr>
                <w:b/>
                <w:color w:val="FFFFFF"/>
                <w:sz w:val="20"/>
              </w:rPr>
            </w:pPr>
          </w:p>
        </w:tc>
        <w:tc>
          <w:tcPr>
            <w:tcW w:w="2585" w:type="dxa"/>
            <w:shd w:val="clear" w:color="auto" w:fill="FF0000"/>
          </w:tcPr>
          <w:p w14:paraId="3FC5954B" w14:textId="77777777" w:rsidR="006D3AD5" w:rsidRPr="00874BFF" w:rsidRDefault="006D3AD5" w:rsidP="00443B8F">
            <w:pPr>
              <w:jc w:val="center"/>
              <w:rPr>
                <w:b/>
                <w:color w:val="FFFFFF"/>
                <w:sz w:val="20"/>
              </w:rPr>
            </w:pPr>
            <w:r w:rsidRPr="00874BFF">
              <w:rPr>
                <w:b/>
                <w:color w:val="FFFFFF"/>
                <w:sz w:val="20"/>
              </w:rPr>
              <w:t>Inflexible planning of the project</w:t>
            </w:r>
          </w:p>
        </w:tc>
      </w:tr>
      <w:tr w:rsidR="006D3AD5" w:rsidRPr="00874BFF" w14:paraId="39B617D9" w14:textId="77777777" w:rsidTr="00443B8F">
        <w:tblPrEx>
          <w:tblBorders>
            <w:insideH w:val="single" w:sz="4" w:space="0" w:color="auto"/>
            <w:insideV w:val="single" w:sz="4" w:space="0" w:color="auto"/>
          </w:tblBorders>
        </w:tblPrEx>
        <w:trPr>
          <w:trHeight w:val="462"/>
        </w:trPr>
        <w:tc>
          <w:tcPr>
            <w:tcW w:w="972" w:type="dxa"/>
            <w:vMerge/>
            <w:shd w:val="clear" w:color="auto" w:fill="FF0000"/>
          </w:tcPr>
          <w:p w14:paraId="22AB122D" w14:textId="77777777" w:rsidR="006D3AD5" w:rsidRPr="00874BFF" w:rsidRDefault="006D3AD5" w:rsidP="00443B8F">
            <w:pPr>
              <w:jc w:val="left"/>
              <w:rPr>
                <w:b/>
                <w:bCs/>
                <w:color w:val="000000"/>
                <w:sz w:val="24"/>
                <w:szCs w:val="24"/>
              </w:rPr>
            </w:pPr>
          </w:p>
        </w:tc>
        <w:tc>
          <w:tcPr>
            <w:tcW w:w="972" w:type="dxa"/>
            <w:vMerge/>
            <w:shd w:val="clear" w:color="auto" w:fill="FF0000"/>
            <w:noWrap/>
            <w:textDirection w:val="btLr"/>
          </w:tcPr>
          <w:p w14:paraId="17E4FF33" w14:textId="77777777" w:rsidR="006D3AD5" w:rsidRPr="00874BFF" w:rsidRDefault="006D3AD5" w:rsidP="00443B8F">
            <w:pPr>
              <w:jc w:val="center"/>
              <w:rPr>
                <w:b/>
                <w:bCs/>
                <w:color w:val="000000"/>
                <w:sz w:val="24"/>
                <w:szCs w:val="24"/>
              </w:rPr>
            </w:pPr>
          </w:p>
        </w:tc>
        <w:tc>
          <w:tcPr>
            <w:tcW w:w="3439" w:type="dxa"/>
            <w:shd w:val="clear" w:color="auto" w:fill="FF0000"/>
          </w:tcPr>
          <w:p w14:paraId="471EF981" w14:textId="77777777" w:rsidR="006D3AD5" w:rsidRPr="00874BFF" w:rsidRDefault="006D3AD5" w:rsidP="00443B8F">
            <w:pPr>
              <w:jc w:val="center"/>
              <w:rPr>
                <w:b/>
                <w:color w:val="FFFFFF"/>
                <w:sz w:val="20"/>
              </w:rPr>
            </w:pPr>
          </w:p>
        </w:tc>
        <w:tc>
          <w:tcPr>
            <w:tcW w:w="2585" w:type="dxa"/>
            <w:shd w:val="clear" w:color="auto" w:fill="FF0000"/>
          </w:tcPr>
          <w:p w14:paraId="0A56A9A0" w14:textId="77777777" w:rsidR="006D3AD5" w:rsidRPr="00874BFF" w:rsidRDefault="006D3AD5" w:rsidP="00443B8F">
            <w:pPr>
              <w:jc w:val="center"/>
              <w:rPr>
                <w:b/>
                <w:color w:val="FFFFFF"/>
                <w:sz w:val="20"/>
              </w:rPr>
            </w:pPr>
            <w:r w:rsidRPr="00874BFF">
              <w:rPr>
                <w:b/>
                <w:color w:val="FFFFFF"/>
                <w:sz w:val="20"/>
              </w:rPr>
              <w:t>Low motivation for profitable commercialisation</w:t>
            </w:r>
          </w:p>
        </w:tc>
      </w:tr>
      <w:tr w:rsidR="006D3AD5" w:rsidRPr="00874BFF" w14:paraId="0B369108" w14:textId="77777777" w:rsidTr="00443B8F">
        <w:tblPrEx>
          <w:tblBorders>
            <w:insideH w:val="single" w:sz="4" w:space="0" w:color="auto"/>
            <w:insideV w:val="single" w:sz="4" w:space="0" w:color="auto"/>
          </w:tblBorders>
        </w:tblPrEx>
        <w:trPr>
          <w:trHeight w:val="475"/>
        </w:trPr>
        <w:tc>
          <w:tcPr>
            <w:tcW w:w="972" w:type="dxa"/>
            <w:vMerge/>
            <w:shd w:val="clear" w:color="auto" w:fill="FF0000"/>
          </w:tcPr>
          <w:p w14:paraId="19BDA691" w14:textId="77777777" w:rsidR="006D3AD5" w:rsidRPr="00874BFF" w:rsidRDefault="006D3AD5" w:rsidP="00443B8F">
            <w:pPr>
              <w:jc w:val="left"/>
              <w:rPr>
                <w:b/>
                <w:bCs/>
                <w:color w:val="000000"/>
                <w:sz w:val="24"/>
                <w:szCs w:val="24"/>
              </w:rPr>
            </w:pPr>
          </w:p>
        </w:tc>
        <w:tc>
          <w:tcPr>
            <w:tcW w:w="972" w:type="dxa"/>
            <w:vMerge/>
            <w:shd w:val="clear" w:color="auto" w:fill="FF0000"/>
            <w:noWrap/>
            <w:textDirection w:val="btLr"/>
          </w:tcPr>
          <w:p w14:paraId="1BABCE23" w14:textId="77777777" w:rsidR="006D3AD5" w:rsidRPr="00874BFF" w:rsidRDefault="006D3AD5" w:rsidP="00443B8F">
            <w:pPr>
              <w:jc w:val="center"/>
              <w:rPr>
                <w:b/>
                <w:bCs/>
                <w:color w:val="000000"/>
                <w:sz w:val="24"/>
                <w:szCs w:val="24"/>
              </w:rPr>
            </w:pPr>
          </w:p>
        </w:tc>
        <w:tc>
          <w:tcPr>
            <w:tcW w:w="3439" w:type="dxa"/>
            <w:shd w:val="clear" w:color="auto" w:fill="FF0000"/>
          </w:tcPr>
          <w:p w14:paraId="290FD6CE" w14:textId="77777777" w:rsidR="006D3AD5" w:rsidRPr="00874BFF" w:rsidRDefault="006D3AD5" w:rsidP="00443B8F">
            <w:pPr>
              <w:jc w:val="center"/>
              <w:rPr>
                <w:b/>
                <w:color w:val="FFFFFF"/>
                <w:sz w:val="20"/>
              </w:rPr>
            </w:pPr>
          </w:p>
        </w:tc>
        <w:tc>
          <w:tcPr>
            <w:tcW w:w="2585" w:type="dxa"/>
            <w:shd w:val="clear" w:color="auto" w:fill="FF0000"/>
          </w:tcPr>
          <w:p w14:paraId="5FB05841" w14:textId="77777777" w:rsidR="006D3AD5" w:rsidRPr="00874BFF" w:rsidRDefault="006D3AD5" w:rsidP="00443B8F">
            <w:pPr>
              <w:jc w:val="center"/>
              <w:rPr>
                <w:b/>
                <w:color w:val="FFFFFF"/>
                <w:sz w:val="20"/>
              </w:rPr>
            </w:pPr>
            <w:r w:rsidRPr="00874BFF">
              <w:rPr>
                <w:b/>
                <w:color w:val="FFFFFF"/>
                <w:sz w:val="20"/>
              </w:rPr>
              <w:t>Weak connection to private investors</w:t>
            </w:r>
          </w:p>
        </w:tc>
      </w:tr>
      <w:tr w:rsidR="006D3AD5" w:rsidRPr="00874BFF" w14:paraId="3573706E" w14:textId="77777777" w:rsidTr="00443B8F">
        <w:tblPrEx>
          <w:tblBorders>
            <w:insideH w:val="single" w:sz="4" w:space="0" w:color="auto"/>
            <w:insideV w:val="single" w:sz="4" w:space="0" w:color="auto"/>
          </w:tblBorders>
        </w:tblPrEx>
        <w:trPr>
          <w:trHeight w:val="544"/>
        </w:trPr>
        <w:tc>
          <w:tcPr>
            <w:tcW w:w="972" w:type="dxa"/>
            <w:vMerge/>
            <w:shd w:val="clear" w:color="auto" w:fill="FF0000"/>
          </w:tcPr>
          <w:p w14:paraId="47668419" w14:textId="77777777" w:rsidR="006D3AD5" w:rsidRPr="00874BFF" w:rsidRDefault="006D3AD5" w:rsidP="00443B8F">
            <w:pPr>
              <w:jc w:val="left"/>
              <w:rPr>
                <w:b/>
                <w:bCs/>
                <w:color w:val="000000"/>
                <w:sz w:val="24"/>
                <w:szCs w:val="24"/>
              </w:rPr>
            </w:pPr>
          </w:p>
        </w:tc>
        <w:tc>
          <w:tcPr>
            <w:tcW w:w="972" w:type="dxa"/>
            <w:vMerge w:val="restart"/>
            <w:shd w:val="clear" w:color="auto" w:fill="FF0000"/>
            <w:noWrap/>
            <w:textDirection w:val="btLr"/>
          </w:tcPr>
          <w:p w14:paraId="42E682A8" w14:textId="77777777" w:rsidR="006D3AD5" w:rsidRPr="00874BFF" w:rsidRDefault="006D3AD5" w:rsidP="00443B8F">
            <w:pPr>
              <w:jc w:val="center"/>
              <w:rPr>
                <w:b/>
                <w:bCs/>
                <w:color w:val="FFFFFF"/>
                <w:sz w:val="24"/>
                <w:szCs w:val="24"/>
              </w:rPr>
            </w:pPr>
            <w:r w:rsidRPr="00874BFF">
              <w:rPr>
                <w:b/>
                <w:color w:val="FFFFFF"/>
                <w:sz w:val="24"/>
              </w:rPr>
              <w:t>MA</w:t>
            </w:r>
          </w:p>
        </w:tc>
        <w:tc>
          <w:tcPr>
            <w:tcW w:w="3439" w:type="dxa"/>
            <w:shd w:val="clear" w:color="auto" w:fill="FF0000"/>
          </w:tcPr>
          <w:p w14:paraId="202F3D20" w14:textId="77777777" w:rsidR="006D3AD5" w:rsidRPr="00874BFF" w:rsidRDefault="006D3AD5" w:rsidP="00443B8F">
            <w:pPr>
              <w:jc w:val="center"/>
              <w:rPr>
                <w:b/>
                <w:color w:val="FFFFFF"/>
                <w:sz w:val="20"/>
              </w:rPr>
            </w:pPr>
            <w:r w:rsidRPr="00874BFF">
              <w:rPr>
                <w:b/>
                <w:color w:val="FFFFFF"/>
                <w:sz w:val="20"/>
              </w:rPr>
              <w:t>Projects with professional selection and evaluation of projects</w:t>
            </w:r>
          </w:p>
        </w:tc>
        <w:tc>
          <w:tcPr>
            <w:tcW w:w="2585" w:type="dxa"/>
            <w:vMerge w:val="restart"/>
            <w:shd w:val="clear" w:color="auto" w:fill="FF0000"/>
          </w:tcPr>
          <w:p w14:paraId="4F48C326" w14:textId="77777777" w:rsidR="006D3AD5" w:rsidRPr="00874BFF" w:rsidRDefault="006D3AD5" w:rsidP="00443B8F">
            <w:pPr>
              <w:jc w:val="center"/>
              <w:rPr>
                <w:b/>
                <w:color w:val="FFFFFF"/>
                <w:sz w:val="20"/>
              </w:rPr>
            </w:pPr>
            <w:r w:rsidRPr="00874BFF">
              <w:rPr>
                <w:b/>
                <w:color w:val="FFFFFF"/>
                <w:sz w:val="20"/>
              </w:rPr>
              <w:t>Low control over efficient spending of funds and project selection</w:t>
            </w:r>
          </w:p>
        </w:tc>
      </w:tr>
      <w:tr w:rsidR="006D3AD5" w:rsidRPr="00874BFF" w14:paraId="10458A9F" w14:textId="77777777" w:rsidTr="00443B8F">
        <w:tblPrEx>
          <w:tblBorders>
            <w:insideH w:val="single" w:sz="4" w:space="0" w:color="auto"/>
            <w:insideV w:val="single" w:sz="4" w:space="0" w:color="auto"/>
          </w:tblBorders>
        </w:tblPrEx>
        <w:trPr>
          <w:trHeight w:val="544"/>
        </w:trPr>
        <w:tc>
          <w:tcPr>
            <w:tcW w:w="972" w:type="dxa"/>
            <w:vMerge/>
            <w:shd w:val="clear" w:color="auto" w:fill="FF0000"/>
          </w:tcPr>
          <w:p w14:paraId="28AD0DD2" w14:textId="77777777" w:rsidR="006D3AD5" w:rsidRPr="00874BFF" w:rsidRDefault="006D3AD5" w:rsidP="00443B8F">
            <w:pPr>
              <w:jc w:val="left"/>
              <w:rPr>
                <w:b/>
                <w:bCs/>
                <w:color w:val="000000"/>
                <w:sz w:val="24"/>
                <w:szCs w:val="24"/>
              </w:rPr>
            </w:pPr>
          </w:p>
        </w:tc>
        <w:tc>
          <w:tcPr>
            <w:tcW w:w="972" w:type="dxa"/>
            <w:vMerge/>
            <w:shd w:val="clear" w:color="auto" w:fill="FF0000"/>
            <w:noWrap/>
            <w:textDirection w:val="btLr"/>
          </w:tcPr>
          <w:p w14:paraId="11F7ED4F" w14:textId="77777777" w:rsidR="006D3AD5" w:rsidRPr="00874BFF" w:rsidRDefault="006D3AD5" w:rsidP="00443B8F">
            <w:pPr>
              <w:jc w:val="center"/>
              <w:rPr>
                <w:b/>
                <w:bCs/>
                <w:color w:val="FFFFFF"/>
                <w:sz w:val="24"/>
                <w:szCs w:val="24"/>
              </w:rPr>
            </w:pPr>
          </w:p>
        </w:tc>
        <w:tc>
          <w:tcPr>
            <w:tcW w:w="3439" w:type="dxa"/>
            <w:shd w:val="clear" w:color="auto" w:fill="FF0000"/>
          </w:tcPr>
          <w:p w14:paraId="6F57B621" w14:textId="77777777" w:rsidR="006D3AD5" w:rsidRPr="00874BFF" w:rsidRDefault="006D3AD5" w:rsidP="00443B8F">
            <w:pPr>
              <w:jc w:val="center"/>
              <w:rPr>
                <w:b/>
                <w:color w:val="FFFFFF"/>
                <w:sz w:val="20"/>
              </w:rPr>
            </w:pPr>
            <w:r w:rsidRPr="00874BFF">
              <w:rPr>
                <w:b/>
                <w:color w:val="FFFFFF"/>
                <w:sz w:val="20"/>
              </w:rPr>
              <w:t>Necessity to complete professional background for project management</w:t>
            </w:r>
          </w:p>
        </w:tc>
        <w:tc>
          <w:tcPr>
            <w:tcW w:w="2585" w:type="dxa"/>
            <w:vMerge/>
            <w:shd w:val="clear" w:color="auto" w:fill="FF0000"/>
          </w:tcPr>
          <w:p w14:paraId="12F3064E" w14:textId="77777777" w:rsidR="006D3AD5" w:rsidRPr="00874BFF" w:rsidRDefault="006D3AD5" w:rsidP="00443B8F">
            <w:pPr>
              <w:jc w:val="center"/>
              <w:rPr>
                <w:b/>
                <w:color w:val="FFFFFF"/>
                <w:sz w:val="20"/>
              </w:rPr>
            </w:pPr>
          </w:p>
        </w:tc>
      </w:tr>
      <w:tr w:rsidR="006D3AD5" w:rsidRPr="00874BFF" w14:paraId="49DF9B8C" w14:textId="77777777" w:rsidTr="00443B8F">
        <w:tblPrEx>
          <w:tblBorders>
            <w:insideH w:val="single" w:sz="4" w:space="0" w:color="auto"/>
            <w:insideV w:val="single" w:sz="4" w:space="0" w:color="auto"/>
          </w:tblBorders>
        </w:tblPrEx>
        <w:trPr>
          <w:trHeight w:val="574"/>
        </w:trPr>
        <w:tc>
          <w:tcPr>
            <w:tcW w:w="972" w:type="dxa"/>
            <w:vMerge/>
            <w:shd w:val="clear" w:color="auto" w:fill="FF0000"/>
          </w:tcPr>
          <w:p w14:paraId="56E3B6A6" w14:textId="77777777" w:rsidR="006D3AD5" w:rsidRPr="00874BFF" w:rsidRDefault="006D3AD5" w:rsidP="00443B8F">
            <w:pPr>
              <w:jc w:val="left"/>
              <w:rPr>
                <w:b/>
                <w:bCs/>
                <w:color w:val="000000"/>
                <w:sz w:val="18"/>
                <w:szCs w:val="18"/>
              </w:rPr>
            </w:pPr>
          </w:p>
        </w:tc>
        <w:tc>
          <w:tcPr>
            <w:tcW w:w="972" w:type="dxa"/>
            <w:vMerge/>
            <w:shd w:val="clear" w:color="auto" w:fill="FF0000"/>
            <w:noWrap/>
            <w:textDirection w:val="btLr"/>
          </w:tcPr>
          <w:p w14:paraId="78E2E3AE" w14:textId="77777777" w:rsidR="006D3AD5" w:rsidRPr="00874BFF" w:rsidRDefault="006D3AD5" w:rsidP="00443B8F">
            <w:pPr>
              <w:jc w:val="center"/>
              <w:rPr>
                <w:b/>
                <w:bCs/>
                <w:color w:val="000000"/>
                <w:sz w:val="18"/>
                <w:szCs w:val="18"/>
              </w:rPr>
            </w:pPr>
          </w:p>
        </w:tc>
        <w:tc>
          <w:tcPr>
            <w:tcW w:w="3439" w:type="dxa"/>
            <w:shd w:val="clear" w:color="auto" w:fill="FF0000"/>
          </w:tcPr>
          <w:p w14:paraId="33458133" w14:textId="77777777" w:rsidR="006D3AD5" w:rsidRPr="00874BFF" w:rsidRDefault="006D3AD5" w:rsidP="00443B8F">
            <w:pPr>
              <w:jc w:val="center"/>
              <w:rPr>
                <w:b/>
                <w:color w:val="FFFFFF"/>
                <w:sz w:val="20"/>
              </w:rPr>
            </w:pPr>
            <w:r w:rsidRPr="00874BFF">
              <w:rPr>
                <w:b/>
                <w:color w:val="FFFFFF"/>
                <w:sz w:val="20"/>
              </w:rPr>
              <w:t>Potentially low revolving effect</w:t>
            </w:r>
          </w:p>
        </w:tc>
        <w:tc>
          <w:tcPr>
            <w:tcW w:w="2585" w:type="dxa"/>
            <w:shd w:val="clear" w:color="auto" w:fill="FF0000"/>
          </w:tcPr>
          <w:p w14:paraId="0C7A4617" w14:textId="77777777" w:rsidR="006D3AD5" w:rsidRPr="00874BFF" w:rsidRDefault="006D3AD5" w:rsidP="00443B8F">
            <w:pPr>
              <w:jc w:val="center"/>
              <w:rPr>
                <w:b/>
                <w:color w:val="FFFFFF"/>
                <w:sz w:val="20"/>
              </w:rPr>
            </w:pPr>
            <w:r w:rsidRPr="00874BFF">
              <w:rPr>
                <w:b/>
                <w:color w:val="FFFFFF"/>
                <w:sz w:val="20"/>
              </w:rPr>
              <w:t>Zero revolving effect, limited resources</w:t>
            </w:r>
          </w:p>
        </w:tc>
      </w:tr>
      <w:tr w:rsidR="006D3AD5" w:rsidRPr="00874BFF" w14:paraId="22D32890" w14:textId="77777777" w:rsidTr="00443B8F">
        <w:tblPrEx>
          <w:tblBorders>
            <w:insideH w:val="single" w:sz="4" w:space="0" w:color="auto"/>
            <w:insideV w:val="single" w:sz="4" w:space="0" w:color="auto"/>
          </w:tblBorders>
        </w:tblPrEx>
        <w:trPr>
          <w:trHeight w:val="395"/>
        </w:trPr>
        <w:tc>
          <w:tcPr>
            <w:tcW w:w="972" w:type="dxa"/>
            <w:vMerge/>
            <w:shd w:val="clear" w:color="auto" w:fill="FF0000"/>
          </w:tcPr>
          <w:p w14:paraId="225F36BB" w14:textId="77777777" w:rsidR="006D3AD5" w:rsidRPr="00874BFF" w:rsidRDefault="006D3AD5" w:rsidP="00443B8F">
            <w:pPr>
              <w:jc w:val="left"/>
              <w:rPr>
                <w:b/>
                <w:bCs/>
                <w:color w:val="000000"/>
                <w:sz w:val="18"/>
                <w:szCs w:val="18"/>
              </w:rPr>
            </w:pPr>
          </w:p>
        </w:tc>
        <w:tc>
          <w:tcPr>
            <w:tcW w:w="972" w:type="dxa"/>
            <w:vMerge/>
            <w:shd w:val="clear" w:color="auto" w:fill="FF0000"/>
            <w:noWrap/>
            <w:textDirection w:val="btLr"/>
          </w:tcPr>
          <w:p w14:paraId="39C37ADA" w14:textId="77777777" w:rsidR="006D3AD5" w:rsidRPr="00874BFF" w:rsidRDefault="006D3AD5" w:rsidP="00443B8F">
            <w:pPr>
              <w:jc w:val="center"/>
              <w:rPr>
                <w:b/>
                <w:bCs/>
                <w:color w:val="000000"/>
                <w:sz w:val="18"/>
                <w:szCs w:val="18"/>
              </w:rPr>
            </w:pPr>
          </w:p>
        </w:tc>
        <w:tc>
          <w:tcPr>
            <w:tcW w:w="3439" w:type="dxa"/>
            <w:shd w:val="clear" w:color="auto" w:fill="FF0000"/>
          </w:tcPr>
          <w:p w14:paraId="1B4CCBA6" w14:textId="77777777" w:rsidR="006D3AD5" w:rsidRPr="00874BFF" w:rsidRDefault="006D3AD5" w:rsidP="00443B8F">
            <w:pPr>
              <w:jc w:val="center"/>
              <w:rPr>
                <w:b/>
                <w:color w:val="FFFFFF"/>
                <w:sz w:val="20"/>
              </w:rPr>
            </w:pPr>
            <w:r w:rsidRPr="00874BFF">
              <w:rPr>
                <w:b/>
                <w:color w:val="FFFFFF"/>
                <w:sz w:val="20"/>
              </w:rPr>
              <w:t xml:space="preserve">Risk of RO's insufficient motivation </w:t>
            </w:r>
          </w:p>
        </w:tc>
        <w:tc>
          <w:tcPr>
            <w:tcW w:w="2585" w:type="dxa"/>
            <w:shd w:val="clear" w:color="auto" w:fill="FF0000"/>
          </w:tcPr>
          <w:p w14:paraId="6C2D5999" w14:textId="77777777" w:rsidR="006D3AD5" w:rsidRPr="00874BFF" w:rsidRDefault="006D3AD5" w:rsidP="00443B8F">
            <w:pPr>
              <w:keepNext/>
              <w:jc w:val="center"/>
              <w:rPr>
                <w:b/>
                <w:color w:val="FFFFFF"/>
                <w:sz w:val="20"/>
              </w:rPr>
            </w:pPr>
            <w:r w:rsidRPr="00874BFF">
              <w:rPr>
                <w:b/>
                <w:color w:val="FFFFFF"/>
                <w:sz w:val="20"/>
              </w:rPr>
              <w:t>Low efficiency in relation to a given objective</w:t>
            </w:r>
          </w:p>
        </w:tc>
      </w:tr>
      <w:tr w:rsidR="006D3AD5" w:rsidRPr="00874BFF" w14:paraId="386BC35A" w14:textId="77777777" w:rsidTr="00443B8F">
        <w:tblPrEx>
          <w:tblBorders>
            <w:insideH w:val="single" w:sz="4" w:space="0" w:color="auto"/>
            <w:insideV w:val="single" w:sz="4" w:space="0" w:color="auto"/>
          </w:tblBorders>
        </w:tblPrEx>
        <w:trPr>
          <w:trHeight w:val="395"/>
        </w:trPr>
        <w:tc>
          <w:tcPr>
            <w:tcW w:w="972" w:type="dxa"/>
            <w:vMerge/>
            <w:shd w:val="clear" w:color="auto" w:fill="FF0000"/>
          </w:tcPr>
          <w:p w14:paraId="19C7D808" w14:textId="77777777" w:rsidR="006D3AD5" w:rsidRPr="00874BFF" w:rsidRDefault="006D3AD5" w:rsidP="00443B8F">
            <w:pPr>
              <w:jc w:val="left"/>
              <w:rPr>
                <w:b/>
                <w:bCs/>
                <w:color w:val="000000"/>
                <w:sz w:val="18"/>
                <w:szCs w:val="18"/>
              </w:rPr>
            </w:pPr>
          </w:p>
        </w:tc>
        <w:tc>
          <w:tcPr>
            <w:tcW w:w="972" w:type="dxa"/>
            <w:vMerge/>
            <w:shd w:val="clear" w:color="auto" w:fill="FF0000"/>
            <w:noWrap/>
            <w:textDirection w:val="btLr"/>
          </w:tcPr>
          <w:p w14:paraId="22B77BD5" w14:textId="77777777" w:rsidR="006D3AD5" w:rsidRPr="00874BFF" w:rsidRDefault="006D3AD5" w:rsidP="00443B8F">
            <w:pPr>
              <w:jc w:val="center"/>
              <w:rPr>
                <w:b/>
                <w:bCs/>
                <w:color w:val="000000"/>
                <w:sz w:val="18"/>
                <w:szCs w:val="18"/>
              </w:rPr>
            </w:pPr>
          </w:p>
        </w:tc>
        <w:tc>
          <w:tcPr>
            <w:tcW w:w="3439" w:type="dxa"/>
            <w:shd w:val="clear" w:color="auto" w:fill="FF0000"/>
          </w:tcPr>
          <w:p w14:paraId="74165472" w14:textId="77777777" w:rsidR="006D3AD5" w:rsidRPr="00874BFF" w:rsidRDefault="006D3AD5" w:rsidP="00443B8F">
            <w:pPr>
              <w:jc w:val="center"/>
              <w:rPr>
                <w:b/>
                <w:color w:val="FFFFFF"/>
                <w:sz w:val="20"/>
              </w:rPr>
            </w:pPr>
            <w:r w:rsidRPr="00874BFF">
              <w:rPr>
                <w:b/>
                <w:color w:val="FFFFFF"/>
                <w:sz w:val="20"/>
              </w:rPr>
              <w:t>Risk of resistance of institutional structures of ROs against transfer of projects into funds</w:t>
            </w:r>
          </w:p>
        </w:tc>
        <w:tc>
          <w:tcPr>
            <w:tcW w:w="2585" w:type="dxa"/>
            <w:shd w:val="clear" w:color="auto" w:fill="FF0000"/>
          </w:tcPr>
          <w:p w14:paraId="17B290DA" w14:textId="77777777" w:rsidR="006D3AD5" w:rsidRPr="00874BFF" w:rsidRDefault="006D3AD5" w:rsidP="00443B8F">
            <w:pPr>
              <w:keepNext/>
              <w:jc w:val="center"/>
              <w:rPr>
                <w:b/>
                <w:color w:val="FFFFFF"/>
                <w:sz w:val="20"/>
              </w:rPr>
            </w:pPr>
            <w:r w:rsidRPr="00874BFF">
              <w:rPr>
                <w:b/>
                <w:color w:val="FFFFFF"/>
                <w:sz w:val="20"/>
              </w:rPr>
              <w:t>Lower synergies with the instrument in SO 2.1</w:t>
            </w:r>
          </w:p>
        </w:tc>
      </w:tr>
      <w:tr w:rsidR="006D3AD5" w:rsidRPr="00874BFF" w14:paraId="207B1C6B" w14:textId="77777777" w:rsidTr="00443B8F">
        <w:tblPrEx>
          <w:tblBorders>
            <w:insideH w:val="single" w:sz="4" w:space="0" w:color="auto"/>
            <w:insideV w:val="single" w:sz="4" w:space="0" w:color="auto"/>
          </w:tblBorders>
        </w:tblPrEx>
        <w:trPr>
          <w:trHeight w:val="395"/>
        </w:trPr>
        <w:tc>
          <w:tcPr>
            <w:tcW w:w="972" w:type="dxa"/>
            <w:vMerge/>
            <w:shd w:val="clear" w:color="auto" w:fill="FF0000"/>
          </w:tcPr>
          <w:p w14:paraId="19322A77" w14:textId="77777777" w:rsidR="006D3AD5" w:rsidRPr="00874BFF" w:rsidRDefault="006D3AD5" w:rsidP="00443B8F">
            <w:pPr>
              <w:jc w:val="left"/>
              <w:rPr>
                <w:b/>
                <w:bCs/>
                <w:color w:val="000000"/>
                <w:sz w:val="18"/>
                <w:szCs w:val="18"/>
              </w:rPr>
            </w:pPr>
          </w:p>
        </w:tc>
        <w:tc>
          <w:tcPr>
            <w:tcW w:w="972" w:type="dxa"/>
            <w:vMerge/>
            <w:shd w:val="clear" w:color="auto" w:fill="FF0000"/>
            <w:noWrap/>
            <w:textDirection w:val="btLr"/>
          </w:tcPr>
          <w:p w14:paraId="3493D7BF" w14:textId="77777777" w:rsidR="006D3AD5" w:rsidRPr="00874BFF" w:rsidRDefault="006D3AD5" w:rsidP="00443B8F">
            <w:pPr>
              <w:jc w:val="center"/>
              <w:rPr>
                <w:b/>
                <w:bCs/>
                <w:color w:val="000000"/>
                <w:sz w:val="18"/>
                <w:szCs w:val="18"/>
              </w:rPr>
            </w:pPr>
          </w:p>
        </w:tc>
        <w:tc>
          <w:tcPr>
            <w:tcW w:w="3439" w:type="dxa"/>
            <w:shd w:val="clear" w:color="auto" w:fill="FF0000"/>
          </w:tcPr>
          <w:p w14:paraId="26C87CED" w14:textId="77777777" w:rsidR="006D3AD5" w:rsidRPr="00874BFF" w:rsidRDefault="006D3AD5" w:rsidP="00443B8F">
            <w:pPr>
              <w:jc w:val="center"/>
              <w:rPr>
                <w:b/>
                <w:color w:val="FFFFFF"/>
                <w:sz w:val="20"/>
              </w:rPr>
            </w:pPr>
            <w:r w:rsidRPr="00874BFF">
              <w:rPr>
                <w:b/>
                <w:color w:val="FFFFFF"/>
                <w:sz w:val="20"/>
              </w:rPr>
              <w:t>Long time required for preparation</w:t>
            </w:r>
          </w:p>
        </w:tc>
        <w:tc>
          <w:tcPr>
            <w:tcW w:w="2585" w:type="dxa"/>
            <w:shd w:val="clear" w:color="auto" w:fill="FF0000"/>
          </w:tcPr>
          <w:p w14:paraId="746D4EF6" w14:textId="77777777" w:rsidR="006D3AD5" w:rsidRPr="00874BFF" w:rsidRDefault="006D3AD5" w:rsidP="00443B8F">
            <w:pPr>
              <w:keepNext/>
              <w:jc w:val="center"/>
              <w:rPr>
                <w:b/>
                <w:color w:val="FFFFFF"/>
                <w:sz w:val="20"/>
              </w:rPr>
            </w:pPr>
          </w:p>
        </w:tc>
      </w:tr>
      <w:tr w:rsidR="006D3AD5" w:rsidRPr="00874BFF" w14:paraId="3258D7D1" w14:textId="77777777" w:rsidTr="00443B8F">
        <w:tblPrEx>
          <w:tblBorders>
            <w:insideH w:val="single" w:sz="4" w:space="0" w:color="auto"/>
            <w:insideV w:val="single" w:sz="4" w:space="0" w:color="auto"/>
          </w:tblBorders>
        </w:tblPrEx>
        <w:trPr>
          <w:trHeight w:val="395"/>
        </w:trPr>
        <w:tc>
          <w:tcPr>
            <w:tcW w:w="972" w:type="dxa"/>
            <w:vMerge/>
            <w:shd w:val="clear" w:color="auto" w:fill="FF0000"/>
          </w:tcPr>
          <w:p w14:paraId="2DFE01D3" w14:textId="77777777" w:rsidR="006D3AD5" w:rsidRPr="00874BFF" w:rsidRDefault="006D3AD5" w:rsidP="00443B8F">
            <w:pPr>
              <w:jc w:val="left"/>
              <w:rPr>
                <w:b/>
                <w:bCs/>
                <w:color w:val="000000"/>
                <w:sz w:val="18"/>
                <w:szCs w:val="18"/>
              </w:rPr>
            </w:pPr>
          </w:p>
        </w:tc>
        <w:tc>
          <w:tcPr>
            <w:tcW w:w="972" w:type="dxa"/>
            <w:vMerge/>
            <w:shd w:val="clear" w:color="auto" w:fill="FF0000"/>
            <w:noWrap/>
            <w:textDirection w:val="btLr"/>
          </w:tcPr>
          <w:p w14:paraId="0498C409" w14:textId="77777777" w:rsidR="006D3AD5" w:rsidRPr="00874BFF" w:rsidRDefault="006D3AD5" w:rsidP="00443B8F">
            <w:pPr>
              <w:jc w:val="center"/>
              <w:rPr>
                <w:b/>
                <w:bCs/>
                <w:color w:val="000000"/>
                <w:sz w:val="18"/>
                <w:szCs w:val="18"/>
              </w:rPr>
            </w:pPr>
          </w:p>
        </w:tc>
        <w:tc>
          <w:tcPr>
            <w:tcW w:w="3439" w:type="dxa"/>
            <w:shd w:val="clear" w:color="auto" w:fill="FF0000"/>
          </w:tcPr>
          <w:p w14:paraId="73A55293" w14:textId="77777777" w:rsidR="006D3AD5" w:rsidRPr="00874BFF" w:rsidRDefault="006D3AD5" w:rsidP="00443B8F">
            <w:pPr>
              <w:jc w:val="center"/>
              <w:rPr>
                <w:b/>
                <w:color w:val="FFFFFF"/>
                <w:sz w:val="20"/>
              </w:rPr>
            </w:pPr>
            <w:r w:rsidRPr="00874BFF">
              <w:rPr>
                <w:b/>
                <w:color w:val="FFFFFF"/>
                <w:sz w:val="20"/>
              </w:rPr>
              <w:t>Significantly higher preparatory and administrative costs of the instrument</w:t>
            </w:r>
          </w:p>
        </w:tc>
        <w:tc>
          <w:tcPr>
            <w:tcW w:w="2585" w:type="dxa"/>
            <w:shd w:val="clear" w:color="auto" w:fill="FF0000"/>
          </w:tcPr>
          <w:p w14:paraId="285DD248" w14:textId="77777777" w:rsidR="006D3AD5" w:rsidRPr="00874BFF" w:rsidRDefault="006D3AD5" w:rsidP="00443B8F">
            <w:pPr>
              <w:keepNext/>
              <w:jc w:val="center"/>
              <w:rPr>
                <w:b/>
                <w:color w:val="FFFFFF"/>
                <w:sz w:val="20"/>
              </w:rPr>
            </w:pPr>
          </w:p>
        </w:tc>
      </w:tr>
    </w:tbl>
    <w:p w14:paraId="155C4798" w14:textId="77777777" w:rsidR="006D3AD5" w:rsidRPr="00874BFF" w:rsidRDefault="006D3AD5" w:rsidP="006D3AD5"/>
    <w:p w14:paraId="10333D75" w14:textId="77777777" w:rsidR="006D3AD5" w:rsidRPr="00874BFF" w:rsidRDefault="006D3AD5" w:rsidP="006D3AD5"/>
    <w:p w14:paraId="18C95D91" w14:textId="77777777" w:rsidR="006D3AD5" w:rsidRPr="00874BFF" w:rsidRDefault="006D3AD5" w:rsidP="006D3AD5"/>
    <w:p w14:paraId="00172FAA" w14:textId="77777777" w:rsidR="006D3AD5" w:rsidRPr="00874BFF" w:rsidRDefault="006D3AD5" w:rsidP="006D3AD5"/>
    <w:p w14:paraId="148C31C6" w14:textId="77777777" w:rsidR="006D3AD5" w:rsidRPr="00874BFF" w:rsidRDefault="006D3AD5" w:rsidP="006D3AD5"/>
    <w:p w14:paraId="615E486E" w14:textId="77777777" w:rsidR="006D3AD5" w:rsidRPr="00874BFF" w:rsidRDefault="006D3AD5" w:rsidP="006D3AD5"/>
    <w:p w14:paraId="790D80BD" w14:textId="77777777" w:rsidR="006D3AD5" w:rsidRPr="00874BFF" w:rsidRDefault="006D3AD5" w:rsidP="006D3AD5"/>
    <w:p w14:paraId="1610C60D" w14:textId="77777777" w:rsidR="006D3AD5" w:rsidRPr="00874BFF" w:rsidRDefault="006D3AD5" w:rsidP="006D3AD5"/>
    <w:p w14:paraId="1C8AB013" w14:textId="77777777" w:rsidR="006D3AD5" w:rsidRPr="00874BFF" w:rsidRDefault="006D3AD5" w:rsidP="006D3AD5"/>
    <w:p w14:paraId="0F918A18" w14:textId="77777777" w:rsidR="006D3AD5" w:rsidRPr="00874BFF" w:rsidRDefault="006D3AD5" w:rsidP="006D3AD5"/>
    <w:p w14:paraId="5D6B6F3E" w14:textId="77777777" w:rsidR="006D3AD5" w:rsidRPr="00874BFF" w:rsidRDefault="006D3AD5" w:rsidP="006D3AD5"/>
    <w:p w14:paraId="7D978406" w14:textId="77777777" w:rsidR="006D3AD5" w:rsidRPr="00874BFF" w:rsidRDefault="006D3AD5" w:rsidP="006D3AD5"/>
    <w:p w14:paraId="38B0C69A" w14:textId="77777777" w:rsidR="006D3AD5" w:rsidRPr="00874BFF" w:rsidRDefault="006D3AD5" w:rsidP="006D3AD5"/>
    <w:p w14:paraId="70BFD57D" w14:textId="77777777" w:rsidR="006D3AD5" w:rsidRPr="00874BFF" w:rsidRDefault="006D3AD5" w:rsidP="006D3AD5"/>
    <w:p w14:paraId="0A6E0A8F" w14:textId="77777777" w:rsidR="006D3AD5" w:rsidRPr="00874BFF" w:rsidRDefault="006D3AD5" w:rsidP="006D3AD5"/>
    <w:p w14:paraId="3A97C406" w14:textId="77777777" w:rsidR="006D3AD5" w:rsidRPr="00874BFF" w:rsidRDefault="006D3AD5" w:rsidP="006D3AD5"/>
    <w:p w14:paraId="6B47FD3C" w14:textId="77777777" w:rsidR="006D3AD5" w:rsidRPr="00874BFF" w:rsidRDefault="006D3AD5" w:rsidP="006D3AD5"/>
    <w:p w14:paraId="43CAC595" w14:textId="77777777" w:rsidR="006D3AD5" w:rsidRPr="00874BFF" w:rsidRDefault="006D3AD5" w:rsidP="006D3AD5"/>
    <w:p w14:paraId="550AB66D" w14:textId="77777777" w:rsidR="006D3AD5" w:rsidRPr="00874BFF" w:rsidRDefault="006D3AD5" w:rsidP="006D3AD5"/>
    <w:p w14:paraId="17055083" w14:textId="77777777" w:rsidR="006D3AD5" w:rsidRPr="00874BFF" w:rsidRDefault="006D3AD5" w:rsidP="006D3AD5"/>
    <w:p w14:paraId="41EE6E0F" w14:textId="77777777" w:rsidR="006D3AD5" w:rsidRPr="00874BFF" w:rsidRDefault="006D3AD5" w:rsidP="006D3AD5"/>
    <w:p w14:paraId="7300FF53" w14:textId="77777777" w:rsidR="006D3AD5" w:rsidRPr="00874BFF" w:rsidRDefault="006D3AD5" w:rsidP="006D3AD5"/>
    <w:p w14:paraId="0850171B" w14:textId="77777777" w:rsidR="006D3AD5" w:rsidRPr="00874BFF" w:rsidRDefault="006D3AD5" w:rsidP="006D3AD5"/>
    <w:p w14:paraId="03931558" w14:textId="77777777" w:rsidR="006D3AD5" w:rsidRPr="00874BFF" w:rsidRDefault="006D3AD5" w:rsidP="006D3AD5"/>
    <w:p w14:paraId="3CA67CBA" w14:textId="77777777" w:rsidR="006D3AD5" w:rsidRPr="00874BFF" w:rsidRDefault="006D3AD5" w:rsidP="006D3AD5"/>
    <w:p w14:paraId="5A0BC868" w14:textId="77777777" w:rsidR="006D3AD5" w:rsidRPr="00874BFF" w:rsidRDefault="006D3AD5" w:rsidP="006D3AD5"/>
    <w:p w14:paraId="111419A6" w14:textId="77777777" w:rsidR="006D3AD5" w:rsidRPr="00874BFF" w:rsidRDefault="006D3AD5" w:rsidP="006D3AD5"/>
    <w:p w14:paraId="4B289CF1" w14:textId="77777777" w:rsidR="006D3AD5" w:rsidRPr="00874BFF" w:rsidRDefault="006D3AD5" w:rsidP="006D3AD5"/>
    <w:p w14:paraId="7019A6C2" w14:textId="77777777" w:rsidR="006D3AD5" w:rsidRPr="00874BFF" w:rsidRDefault="006D3AD5" w:rsidP="006D3AD5"/>
    <w:p w14:paraId="231F5F2F" w14:textId="77777777" w:rsidR="006D3AD5" w:rsidRPr="00874BFF" w:rsidRDefault="006D3AD5" w:rsidP="006D3AD5"/>
    <w:p w14:paraId="0593478C" w14:textId="77777777" w:rsidR="006D3AD5" w:rsidRPr="00874BFF" w:rsidRDefault="006D3AD5" w:rsidP="006D3AD5"/>
    <w:p w14:paraId="7E2C858C" w14:textId="77777777" w:rsidR="006D3AD5" w:rsidRPr="00874BFF" w:rsidRDefault="006D3AD5" w:rsidP="006D3AD5"/>
    <w:p w14:paraId="0D0C34D6" w14:textId="77777777" w:rsidR="006D3AD5" w:rsidRPr="00874BFF" w:rsidRDefault="006D3AD5" w:rsidP="006D3AD5"/>
    <w:p w14:paraId="2853BBA7" w14:textId="77777777" w:rsidR="006D3AD5" w:rsidRPr="00874BFF" w:rsidRDefault="006D3AD5" w:rsidP="006D3AD5"/>
    <w:p w14:paraId="2F52BB34" w14:textId="77777777" w:rsidR="006D3AD5" w:rsidRPr="00874BFF" w:rsidRDefault="006D3AD5" w:rsidP="006D3AD5"/>
    <w:p w14:paraId="13E482F3" w14:textId="77777777" w:rsidR="006D3AD5" w:rsidRPr="00874BFF" w:rsidRDefault="006D3AD5" w:rsidP="006D3AD5">
      <w:pPr>
        <w:pStyle w:val="Titulek"/>
        <w:framePr w:w="8893" w:h="601" w:hRule="exact" w:hSpace="141" w:wrap="around" w:vAnchor="text" w:hAnchor="page" w:x="1584" w:y="872"/>
      </w:pPr>
    </w:p>
    <w:p w14:paraId="40805B93" w14:textId="77777777" w:rsidR="006D3AD5" w:rsidRPr="00874BFF" w:rsidRDefault="006D3AD5" w:rsidP="006D3AD5"/>
    <w:p w14:paraId="1745F231" w14:textId="77777777" w:rsidR="006D3AD5" w:rsidRPr="00874BFF" w:rsidRDefault="006D3AD5" w:rsidP="006D3AD5"/>
    <w:p w14:paraId="716908D5" w14:textId="77777777" w:rsidR="006D3AD5" w:rsidRPr="00874BFF" w:rsidRDefault="006D3AD5" w:rsidP="006D3AD5"/>
    <w:tbl>
      <w:tblPr>
        <w:tblW w:w="7859" w:type="dxa"/>
        <w:tblInd w:w="613" w:type="dxa"/>
        <w:tblBorders>
          <w:insideH w:val="single" w:sz="4" w:space="0" w:color="auto"/>
          <w:insideV w:val="single" w:sz="4" w:space="0" w:color="auto"/>
        </w:tblBorders>
        <w:tblLook w:val="00A0" w:firstRow="1" w:lastRow="0" w:firstColumn="1" w:lastColumn="0" w:noHBand="0" w:noVBand="0"/>
      </w:tblPr>
      <w:tblGrid>
        <w:gridCol w:w="1905"/>
        <w:gridCol w:w="3119"/>
        <w:gridCol w:w="2835"/>
      </w:tblGrid>
      <w:tr w:rsidR="006D3AD5" w:rsidRPr="00874BFF" w14:paraId="16561BDD" w14:textId="77777777" w:rsidTr="00443B8F">
        <w:tc>
          <w:tcPr>
            <w:tcW w:w="1905" w:type="dxa"/>
            <w:shd w:val="clear" w:color="auto" w:fill="4F81BD"/>
          </w:tcPr>
          <w:p w14:paraId="6584B4B5"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Market failure</w:t>
            </w:r>
          </w:p>
        </w:tc>
        <w:tc>
          <w:tcPr>
            <w:tcW w:w="3119" w:type="dxa"/>
            <w:shd w:val="clear" w:color="auto" w:fill="4F81BD"/>
          </w:tcPr>
          <w:p w14:paraId="2F158229"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Equity investments</w:t>
            </w:r>
          </w:p>
        </w:tc>
        <w:tc>
          <w:tcPr>
            <w:tcW w:w="2835" w:type="dxa"/>
            <w:shd w:val="clear" w:color="auto" w:fill="4F81BD"/>
          </w:tcPr>
          <w:p w14:paraId="672F22C7"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Subsidy</w:t>
            </w:r>
          </w:p>
        </w:tc>
      </w:tr>
      <w:tr w:rsidR="006D3AD5" w:rsidRPr="00874BFF" w14:paraId="007B02F8" w14:textId="77777777" w:rsidTr="00443B8F">
        <w:tc>
          <w:tcPr>
            <w:tcW w:w="1905" w:type="dxa"/>
          </w:tcPr>
          <w:p w14:paraId="0077B286" w14:textId="77777777" w:rsidR="006D3AD5" w:rsidRPr="00874BFF" w:rsidRDefault="006D3AD5" w:rsidP="00443B8F">
            <w:pPr>
              <w:pStyle w:val="Highlight2"/>
              <w:jc w:val="left"/>
              <w:rPr>
                <w:rFonts w:ascii="Calibri" w:hAnsi="Calibri" w:cs="Calibri"/>
              </w:rPr>
            </w:pPr>
            <w:r w:rsidRPr="00874BFF">
              <w:rPr>
                <w:rFonts w:ascii="Calibri" w:hAnsi="Calibri"/>
                <w:color w:val="000000"/>
              </w:rPr>
              <w:t>A lack of funds for R&amp;D commercialisation projects</w:t>
            </w:r>
          </w:p>
        </w:tc>
        <w:tc>
          <w:tcPr>
            <w:tcW w:w="3119" w:type="dxa"/>
          </w:tcPr>
          <w:p w14:paraId="0B086BDD"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provides funds flexibly according to achieved results and requirements of the project up to the limit of the fund's available resources. It gives access to private funding.</w:t>
            </w:r>
          </w:p>
        </w:tc>
        <w:tc>
          <w:tcPr>
            <w:tcW w:w="2835" w:type="dxa"/>
          </w:tcPr>
          <w:p w14:paraId="5D1EC511"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provides funds based on an approved project plan and pre-defined activities, regulatory constraints.</w:t>
            </w:r>
          </w:p>
        </w:tc>
      </w:tr>
      <w:tr w:rsidR="006D3AD5" w:rsidRPr="00874BFF" w14:paraId="43912D39" w14:textId="77777777" w:rsidTr="00443B8F">
        <w:tc>
          <w:tcPr>
            <w:tcW w:w="1905" w:type="dxa"/>
          </w:tcPr>
          <w:p w14:paraId="0A2DA18A"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Motivation to complete the project profitably</w:t>
            </w:r>
          </w:p>
        </w:tc>
        <w:tc>
          <w:tcPr>
            <w:tcW w:w="3119" w:type="dxa"/>
          </w:tcPr>
          <w:p w14:paraId="139ADC84"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Stakeholders motivated by additional funds based on the investment decision after successful implementation of given steps, motivation by profit as a </w:t>
            </w:r>
            <w:r w:rsidRPr="00874BFF">
              <w:rPr>
                <w:rFonts w:ascii="Calibri" w:hAnsi="Calibri"/>
                <w:b w:val="0"/>
                <w:color w:val="000000"/>
              </w:rPr>
              <w:lastRenderedPageBreak/>
              <w:t>result of exit or further functioning of the spin-off.</w:t>
            </w:r>
          </w:p>
          <w:p w14:paraId="370A6778" w14:textId="77777777" w:rsidR="006D3AD5" w:rsidRPr="00874BFF" w:rsidRDefault="006D3AD5" w:rsidP="00443B8F">
            <w:pPr>
              <w:pStyle w:val="Highlight2"/>
              <w:jc w:val="center"/>
              <w:rPr>
                <w:rFonts w:ascii="Calibri" w:hAnsi="Calibri" w:cs="Calibri"/>
                <w:b w:val="0"/>
                <w:color w:val="000000"/>
              </w:rPr>
            </w:pPr>
          </w:p>
        </w:tc>
        <w:tc>
          <w:tcPr>
            <w:tcW w:w="2835" w:type="dxa"/>
          </w:tcPr>
          <w:p w14:paraId="25302892"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lastRenderedPageBreak/>
              <w:t>Low motivation to activity beyond the grant assignment, it encourages potential profit from the project.</w:t>
            </w:r>
          </w:p>
        </w:tc>
      </w:tr>
      <w:tr w:rsidR="006D3AD5" w:rsidRPr="00874BFF" w14:paraId="24E14DD4" w14:textId="77777777" w:rsidTr="00443B8F">
        <w:tblPrEx>
          <w:tblCellMar>
            <w:top w:w="28" w:type="dxa"/>
            <w:left w:w="28" w:type="dxa"/>
            <w:bottom w:w="28" w:type="dxa"/>
            <w:right w:w="28" w:type="dxa"/>
          </w:tblCellMar>
        </w:tblPrEx>
        <w:tc>
          <w:tcPr>
            <w:tcW w:w="1905" w:type="dxa"/>
            <w:shd w:val="clear" w:color="auto" w:fill="FFFFFF"/>
            <w:vAlign w:val="center"/>
          </w:tcPr>
          <w:p w14:paraId="3380C8C9"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lastRenderedPageBreak/>
              <w:t>Institutional barriers of ROs</w:t>
            </w:r>
          </w:p>
        </w:tc>
        <w:tc>
          <w:tcPr>
            <w:tcW w:w="3119" w:type="dxa"/>
            <w:shd w:val="clear" w:color="auto" w:fill="FFFFFF"/>
            <w:vAlign w:val="center"/>
          </w:tcPr>
          <w:p w14:paraId="6EA3A221"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enhances the inspection role of the MA and investment supervision within the fund.</w:t>
            </w:r>
          </w:p>
        </w:tc>
        <w:tc>
          <w:tcPr>
            <w:tcW w:w="2835" w:type="dxa"/>
            <w:shd w:val="clear" w:color="auto" w:fill="FFFFFF"/>
            <w:vAlign w:val="center"/>
          </w:tcPr>
          <w:p w14:paraId="168FC766"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Table outputs as per assignment of grants are checked only.</w:t>
            </w:r>
          </w:p>
        </w:tc>
      </w:tr>
      <w:tr w:rsidR="006D3AD5" w:rsidRPr="00874BFF" w14:paraId="01D0F799" w14:textId="77777777" w:rsidTr="00443B8F">
        <w:tc>
          <w:tcPr>
            <w:tcW w:w="1905" w:type="dxa"/>
          </w:tcPr>
          <w:p w14:paraId="72737336" w14:textId="77777777" w:rsidR="006D3AD5" w:rsidRPr="00874BFF" w:rsidRDefault="006D3AD5" w:rsidP="00443B8F">
            <w:pPr>
              <w:pStyle w:val="Highlight2"/>
              <w:jc w:val="left"/>
              <w:rPr>
                <w:rFonts w:ascii="Calibri" w:hAnsi="Calibri" w:cs="Calibri"/>
                <w:color w:val="auto"/>
                <w:szCs w:val="20"/>
              </w:rPr>
            </w:pPr>
            <w:r w:rsidRPr="00874BFF">
              <w:rPr>
                <w:rFonts w:ascii="Calibri" w:hAnsi="Calibri"/>
                <w:color w:val="000000"/>
              </w:rPr>
              <w:t>Professional assistance of business and investment know-how</w:t>
            </w:r>
          </w:p>
        </w:tc>
        <w:tc>
          <w:tcPr>
            <w:tcW w:w="3119" w:type="dxa"/>
          </w:tcPr>
          <w:p w14:paraId="5217DD78" w14:textId="56D225F2" w:rsidR="006D3AD5" w:rsidRPr="00874BFF" w:rsidRDefault="006D3AD5" w:rsidP="00443B8F">
            <w:pPr>
              <w:pStyle w:val="Highlight2"/>
              <w:jc w:val="center"/>
              <w:rPr>
                <w:rFonts w:ascii="Calibri" w:hAnsi="Calibri" w:cs="Calibri"/>
                <w:b w:val="0"/>
                <w:color w:val="auto"/>
                <w:szCs w:val="20"/>
              </w:rPr>
            </w:pPr>
            <w:r w:rsidRPr="00874BFF">
              <w:rPr>
                <w:rFonts w:ascii="Calibri" w:hAnsi="Calibri"/>
                <w:b w:val="0"/>
                <w:color w:val="auto"/>
              </w:rPr>
              <w:t>Close connection to the existing infrastructure (</w:t>
            </w:r>
            <w:r w:rsidR="00352D5B">
              <w:rPr>
                <w:rFonts w:ascii="Calibri" w:hAnsi="Calibri"/>
                <w:b w:val="0"/>
                <w:color w:val="auto"/>
              </w:rPr>
              <w:t>TTO</w:t>
            </w:r>
            <w:r w:rsidRPr="00874BFF">
              <w:rPr>
                <w:rFonts w:ascii="Calibri" w:hAnsi="Calibri"/>
                <w:b w:val="0"/>
                <w:color w:val="auto"/>
              </w:rPr>
              <w:t>s, CI)</w:t>
            </w:r>
          </w:p>
        </w:tc>
        <w:tc>
          <w:tcPr>
            <w:tcW w:w="2835" w:type="dxa"/>
          </w:tcPr>
          <w:p w14:paraId="7898325C" w14:textId="57068B75" w:rsidR="006D3AD5" w:rsidRPr="00874BFF" w:rsidRDefault="006D3AD5" w:rsidP="00443B8F">
            <w:pPr>
              <w:pStyle w:val="Highlight2"/>
              <w:jc w:val="center"/>
              <w:rPr>
                <w:rFonts w:ascii="Calibri" w:hAnsi="Calibri" w:cs="Calibri"/>
                <w:b w:val="0"/>
                <w:color w:val="auto"/>
                <w:szCs w:val="20"/>
              </w:rPr>
            </w:pPr>
            <w:r w:rsidRPr="00874BFF">
              <w:rPr>
                <w:rFonts w:ascii="Calibri" w:hAnsi="Calibri"/>
                <w:b w:val="0"/>
                <w:color w:val="auto"/>
              </w:rPr>
              <w:t xml:space="preserve">Projects using </w:t>
            </w:r>
            <w:r w:rsidR="00352D5B">
              <w:rPr>
                <w:rFonts w:ascii="Calibri" w:hAnsi="Calibri"/>
                <w:b w:val="0"/>
                <w:color w:val="auto"/>
              </w:rPr>
              <w:t>TTO</w:t>
            </w:r>
            <w:r w:rsidRPr="00874BFF">
              <w:rPr>
                <w:rFonts w:ascii="Calibri" w:hAnsi="Calibri"/>
                <w:b w:val="0"/>
                <w:color w:val="auto"/>
              </w:rPr>
              <w:t>s' services</w:t>
            </w:r>
          </w:p>
        </w:tc>
      </w:tr>
      <w:tr w:rsidR="006D3AD5" w:rsidRPr="00874BFF" w14:paraId="54AFA32D" w14:textId="77777777" w:rsidTr="00443B8F">
        <w:tc>
          <w:tcPr>
            <w:tcW w:w="1905" w:type="dxa"/>
          </w:tcPr>
          <w:p w14:paraId="48B76BF1" w14:textId="77777777" w:rsidR="006D3AD5" w:rsidRPr="00874BFF" w:rsidRDefault="006D3AD5" w:rsidP="00443B8F">
            <w:pPr>
              <w:pStyle w:val="Highlight2"/>
              <w:jc w:val="left"/>
              <w:rPr>
                <w:rFonts w:ascii="Calibri" w:hAnsi="Calibri" w:cs="Calibri"/>
              </w:rPr>
            </w:pPr>
            <w:r w:rsidRPr="00874BFF">
              <w:rPr>
                <w:rFonts w:ascii="Calibri" w:hAnsi="Calibri"/>
                <w:color w:val="auto"/>
              </w:rPr>
              <w:t>Follow-up to the investment market, exits</w:t>
            </w:r>
          </w:p>
        </w:tc>
        <w:tc>
          <w:tcPr>
            <w:tcW w:w="3119" w:type="dxa"/>
          </w:tcPr>
          <w:p w14:paraId="3FB4E1B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Easier possibilities of investments, possibility of exit in the venture capital fund in SO 2.1.</w:t>
            </w:r>
          </w:p>
        </w:tc>
        <w:tc>
          <w:tcPr>
            <w:tcW w:w="2835" w:type="dxa"/>
          </w:tcPr>
          <w:p w14:paraId="1943AF7A"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Grant functioning does not support subsequent transition to the market environment.</w:t>
            </w:r>
          </w:p>
        </w:tc>
      </w:tr>
      <w:tr w:rsidR="006D3AD5" w:rsidRPr="00874BFF" w14:paraId="6656784E" w14:textId="77777777" w:rsidTr="00443B8F">
        <w:trPr>
          <w:trHeight w:val="1474"/>
        </w:trPr>
        <w:tc>
          <w:tcPr>
            <w:tcW w:w="1905" w:type="dxa"/>
          </w:tcPr>
          <w:p w14:paraId="7113D69A" w14:textId="77777777" w:rsidR="006D3AD5" w:rsidRPr="00874BFF" w:rsidRDefault="006D3AD5" w:rsidP="00443B8F">
            <w:pPr>
              <w:rPr>
                <w:b/>
                <w:sz w:val="20"/>
              </w:rPr>
            </w:pPr>
            <w:r w:rsidRPr="00874BFF">
              <w:rPr>
                <w:b/>
                <w:sz w:val="20"/>
              </w:rPr>
              <w:t>Asymmetry of information, access to the investment market</w:t>
            </w:r>
          </w:p>
        </w:tc>
        <w:tc>
          <w:tcPr>
            <w:tcW w:w="3119" w:type="dxa"/>
          </w:tcPr>
          <w:p w14:paraId="211CC94F" w14:textId="7628E4D8"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xml:space="preserve">Cooperation with an investment company reduces information asymmetry between the </w:t>
            </w:r>
            <w:r w:rsidR="00CF3F95">
              <w:rPr>
                <w:rFonts w:ascii="Calibri" w:hAnsi="Calibri"/>
                <w:b w:val="0"/>
                <w:color w:val="000000"/>
              </w:rPr>
              <w:t>final recipient</w:t>
            </w:r>
            <w:r w:rsidRPr="00874BFF">
              <w:rPr>
                <w:rFonts w:ascii="Calibri" w:hAnsi="Calibri"/>
                <w:b w:val="0"/>
                <w:color w:val="000000"/>
              </w:rPr>
              <w:t xml:space="preserve"> and the capital market radically. Important for further commercialisation of the plan.</w:t>
            </w:r>
          </w:p>
          <w:p w14:paraId="68639CCF" w14:textId="77777777" w:rsidR="006D3AD5" w:rsidRPr="00874BFF" w:rsidRDefault="006D3AD5" w:rsidP="00443B8F">
            <w:pPr>
              <w:pStyle w:val="Highlight2"/>
              <w:jc w:val="center"/>
              <w:rPr>
                <w:rFonts w:ascii="Calibri" w:hAnsi="Calibri" w:cs="Calibri"/>
                <w:b w:val="0"/>
                <w:bCs/>
                <w:color w:val="000000"/>
              </w:rPr>
            </w:pPr>
          </w:p>
        </w:tc>
        <w:tc>
          <w:tcPr>
            <w:tcW w:w="2835" w:type="dxa"/>
          </w:tcPr>
          <w:p w14:paraId="5083AB7B" w14:textId="77777777" w:rsidR="006D3AD5" w:rsidRPr="00874BFF" w:rsidRDefault="006D3AD5" w:rsidP="00443B8F">
            <w:pPr>
              <w:rPr>
                <w:color w:val="000000"/>
                <w:sz w:val="20"/>
              </w:rPr>
            </w:pPr>
            <w:r w:rsidRPr="00874BFF">
              <w:rPr>
                <w:color w:val="000000"/>
                <w:sz w:val="20"/>
              </w:rPr>
              <w:t>Without any substantial impact</w:t>
            </w:r>
          </w:p>
        </w:tc>
      </w:tr>
      <w:tr w:rsidR="006D3AD5" w:rsidRPr="00874BFF" w14:paraId="01022FC1" w14:textId="77777777" w:rsidTr="00443B8F">
        <w:trPr>
          <w:trHeight w:val="1474"/>
        </w:trPr>
        <w:tc>
          <w:tcPr>
            <w:tcW w:w="1905" w:type="dxa"/>
          </w:tcPr>
          <w:p w14:paraId="1E523463" w14:textId="77777777" w:rsidR="006D3AD5" w:rsidRPr="00874BFF" w:rsidRDefault="006D3AD5" w:rsidP="00443B8F">
            <w:pPr>
              <w:rPr>
                <w:b/>
                <w:sz w:val="20"/>
              </w:rPr>
            </w:pPr>
            <w:r w:rsidRPr="00874BFF">
              <w:rPr>
                <w:b/>
                <w:sz w:val="20"/>
              </w:rPr>
              <w:t>Legal framework, regulation of ROs</w:t>
            </w:r>
          </w:p>
        </w:tc>
        <w:tc>
          <w:tcPr>
            <w:tcW w:w="3119" w:type="dxa"/>
          </w:tcPr>
          <w:p w14:paraId="52B06A98"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Earmarking of intellectual property from the assets of an institution into a separate entity facilitates financing and additional management of intangible property in question.</w:t>
            </w:r>
          </w:p>
        </w:tc>
        <w:tc>
          <w:tcPr>
            <w:tcW w:w="2835" w:type="dxa"/>
          </w:tcPr>
          <w:p w14:paraId="54F61EA3" w14:textId="77777777" w:rsidR="006D3AD5" w:rsidRPr="00874BFF" w:rsidRDefault="006D3AD5" w:rsidP="00443B8F">
            <w:pPr>
              <w:rPr>
                <w:color w:val="000000"/>
                <w:sz w:val="20"/>
              </w:rPr>
            </w:pPr>
            <w:r w:rsidRPr="00874BFF">
              <w:rPr>
                <w:color w:val="000000"/>
                <w:sz w:val="20"/>
              </w:rPr>
              <w:t>Without any substantial impact</w:t>
            </w:r>
          </w:p>
        </w:tc>
      </w:tr>
      <w:tr w:rsidR="006D3AD5" w:rsidRPr="00874BFF" w14:paraId="6171C332" w14:textId="77777777" w:rsidTr="00443B8F">
        <w:trPr>
          <w:trHeight w:val="1474"/>
        </w:trPr>
        <w:tc>
          <w:tcPr>
            <w:tcW w:w="1905" w:type="dxa"/>
          </w:tcPr>
          <w:p w14:paraId="4BEEBF1A" w14:textId="77777777" w:rsidR="006D3AD5" w:rsidRPr="00874BFF" w:rsidRDefault="006D3AD5" w:rsidP="00443B8F">
            <w:pPr>
              <w:rPr>
                <w:b/>
                <w:sz w:val="20"/>
              </w:rPr>
            </w:pPr>
            <w:r w:rsidRPr="00874BFF">
              <w:rPr>
                <w:b/>
                <w:sz w:val="20"/>
              </w:rPr>
              <w:t>Overall effect on investment activity and absorption in SO</w:t>
            </w:r>
          </w:p>
        </w:tc>
        <w:tc>
          <w:tcPr>
            <w:tcW w:w="3119" w:type="dxa"/>
          </w:tcPr>
          <w:p w14:paraId="212626EF"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Positive effect of giving access to flexible financing and mutual motivation of stakeholders with the possibility of revolving will increase profitable activity in this area and pressure on the development of institutions.</w:t>
            </w:r>
          </w:p>
        </w:tc>
        <w:tc>
          <w:tcPr>
            <w:tcW w:w="2835" w:type="dxa"/>
          </w:tcPr>
          <w:p w14:paraId="4FB05FA3" w14:textId="77777777" w:rsidR="006D3AD5" w:rsidRPr="00874BFF" w:rsidRDefault="006D3AD5" w:rsidP="00443B8F">
            <w:pPr>
              <w:rPr>
                <w:color w:val="000000"/>
                <w:sz w:val="20"/>
              </w:rPr>
            </w:pPr>
            <w:r w:rsidRPr="00874BFF">
              <w:rPr>
                <w:color w:val="000000"/>
                <w:sz w:val="20"/>
              </w:rPr>
              <w:t>The instrument will provide sufficient funds, however, without the revolving effect and sufficient motivation and flexibility for finalisation of projects to successful commercialisation.</w:t>
            </w:r>
          </w:p>
          <w:p w14:paraId="3C51CEA0" w14:textId="77777777" w:rsidR="006D3AD5" w:rsidRPr="00874BFF" w:rsidRDefault="006D3AD5" w:rsidP="00443B8F">
            <w:pPr>
              <w:rPr>
                <w:color w:val="000000"/>
                <w:sz w:val="20"/>
              </w:rPr>
            </w:pPr>
          </w:p>
          <w:p w14:paraId="2970A4DF" w14:textId="77777777" w:rsidR="006D3AD5" w:rsidRPr="00874BFF" w:rsidRDefault="006D3AD5" w:rsidP="00443B8F">
            <w:pPr>
              <w:rPr>
                <w:color w:val="000000"/>
                <w:sz w:val="20"/>
              </w:rPr>
            </w:pPr>
          </w:p>
        </w:tc>
      </w:tr>
      <w:tr w:rsidR="006D3AD5" w:rsidRPr="00874BFF" w14:paraId="7932ED1B" w14:textId="77777777" w:rsidTr="00443B8F">
        <w:tc>
          <w:tcPr>
            <w:tcW w:w="1905" w:type="dxa"/>
          </w:tcPr>
          <w:p w14:paraId="645A3A3E"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Effect on disruption of the market environment</w:t>
            </w:r>
          </w:p>
        </w:tc>
        <w:tc>
          <w:tcPr>
            <w:tcW w:w="3119" w:type="dxa"/>
          </w:tcPr>
          <w:p w14:paraId="747937A2" w14:textId="3D8AFC56" w:rsidR="006D3AD5" w:rsidRPr="00874BFF" w:rsidRDefault="006D3AD5" w:rsidP="00CF3F95">
            <w:pPr>
              <w:pStyle w:val="Highlight2"/>
              <w:jc w:val="center"/>
              <w:rPr>
                <w:rFonts w:ascii="Calibri" w:hAnsi="Calibri" w:cs="Calibri"/>
                <w:b w:val="0"/>
                <w:color w:val="000000"/>
              </w:rPr>
            </w:pPr>
            <w:r w:rsidRPr="00874BFF">
              <w:rPr>
                <w:rFonts w:ascii="Calibri" w:hAnsi="Calibri"/>
                <w:b w:val="0"/>
                <w:color w:val="000000"/>
              </w:rPr>
              <w:t xml:space="preserve">With regard to the character of </w:t>
            </w:r>
            <w:r w:rsidR="00CF3F95">
              <w:rPr>
                <w:rFonts w:ascii="Calibri" w:hAnsi="Calibri"/>
                <w:b w:val="0"/>
                <w:color w:val="000000"/>
              </w:rPr>
              <w:t>final recipients</w:t>
            </w:r>
            <w:r w:rsidRPr="00874BFF">
              <w:rPr>
                <w:rFonts w:ascii="Calibri" w:hAnsi="Calibri"/>
                <w:b w:val="0"/>
                <w:color w:val="000000"/>
              </w:rPr>
              <w:t xml:space="preserve"> and projects, it does not have a negative impact on the market environment, it should help enhance the market of R&amp;D commercialisation on more market principles.</w:t>
            </w:r>
          </w:p>
        </w:tc>
        <w:tc>
          <w:tcPr>
            <w:tcW w:w="2835" w:type="dxa"/>
          </w:tcPr>
          <w:p w14:paraId="69583D42"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The character of the grant support and evaluation of results helps the non-market behaviour.</w:t>
            </w:r>
          </w:p>
        </w:tc>
      </w:tr>
    </w:tbl>
    <w:p w14:paraId="31BF26BC" w14:textId="5FE39C76" w:rsidR="006D3AD5" w:rsidRPr="00874BFF" w:rsidRDefault="006D3AD5" w:rsidP="006D3AD5">
      <w:pPr>
        <w:pStyle w:val="Titulek"/>
      </w:pPr>
      <w:r w:rsidRPr="00874BFF">
        <w:t>Table 1</w:t>
      </w:r>
      <w:r w:rsidR="007C6DD6">
        <w:t>5</w:t>
      </w:r>
      <w:r w:rsidRPr="00874BFF">
        <w:t xml:space="preserve"> – Added value of support for the objectives of SO 1.2, OP EIC, and impact on the market environment </w:t>
      </w:r>
    </w:p>
    <w:p w14:paraId="0D3DD2F1" w14:textId="77777777" w:rsidR="006D3AD5" w:rsidRPr="00874BFF" w:rsidRDefault="006D3AD5" w:rsidP="006D3AD5">
      <w:pPr>
        <w:pStyle w:val="Highlight3"/>
        <w:rPr>
          <w:rFonts w:ascii="Calibri" w:hAnsi="Calibri"/>
        </w:rPr>
      </w:pPr>
    </w:p>
    <w:p w14:paraId="17D21675" w14:textId="77777777" w:rsidR="006D3AD5" w:rsidRPr="00874BFF" w:rsidRDefault="006D3AD5" w:rsidP="006D3AD5">
      <w:r w:rsidRPr="00874BFF">
        <w:t>Based on this comparison, we arrive to a conclusion that within the objectives of SO 1.2 and the identified barriers of R&amp;D commercialisation, the efficient form of support is the equity investment instrument. Although it shares some risks and problems with the subsidy instrument, it generates a significant added value in many areas when compared with the subsidy, particularly at the last stage of commercialisation itself, without evident comparative disadvantages in terms of support of projects and absorption capacity.</w:t>
      </w:r>
    </w:p>
    <w:p w14:paraId="71B4551A" w14:textId="77777777" w:rsidR="006D3AD5" w:rsidRPr="00874BFF" w:rsidRDefault="006D3AD5" w:rsidP="006D3AD5"/>
    <w:p w14:paraId="2E31B50A" w14:textId="77777777" w:rsidR="006D3AD5" w:rsidRPr="00874BFF" w:rsidRDefault="006D3AD5" w:rsidP="006D3AD5">
      <w:pPr>
        <w:pStyle w:val="Nadpis4"/>
        <w:rPr>
          <w:rFonts w:ascii="Calibri" w:hAnsi="Calibri"/>
        </w:rPr>
      </w:pPr>
      <w:r w:rsidRPr="00874BFF">
        <w:rPr>
          <w:rFonts w:ascii="Calibri" w:hAnsi="Calibri"/>
        </w:rPr>
        <w:t>Compliance with other forms of public interventions</w:t>
      </w:r>
    </w:p>
    <w:p w14:paraId="43FB1E5E" w14:textId="77777777" w:rsidR="006D3AD5" w:rsidRPr="00874BFF" w:rsidRDefault="006D3AD5" w:rsidP="006D3AD5"/>
    <w:p w14:paraId="13C8DEE8" w14:textId="3120D97A" w:rsidR="006D3AD5" w:rsidRPr="00874BFF" w:rsidRDefault="006D3AD5" w:rsidP="006D3AD5">
      <w:r w:rsidRPr="00874BFF">
        <w:lastRenderedPageBreak/>
        <w:t xml:space="preserve">The pre-seed fund of the OP EIC will be a follow-up to the implemented support in the OP RDI (especially pre-seed and support of </w:t>
      </w:r>
      <w:r w:rsidR="00352D5B">
        <w:t>TTO</w:t>
      </w:r>
      <w:r w:rsidRPr="00874BFF">
        <w:t>s establishment) and GAMA TACR which helped create the basic infrastructures and processes for selecting and supporting commercialisation projects in public ROs. The financial support for the relevant sub-programme 1 of GAMA TACR in the grant version has been proposed until 2016 and only if simultaneous financing of projects with an identical subject of support in the OP EIC does not occur in the Czech Republic An overlap of functioning in the same areas is thus ruled out, on the contrary, a follow-up is likely to be smooth with regard to the expected time for instrument preparation in the OP EIC. The projects supported until a certain stage in the previous support programmes can be, in case of justified potential, included even in the pre-seed fund of the OP EIC.</w:t>
      </w:r>
    </w:p>
    <w:p w14:paraId="1C1C2D32" w14:textId="77777777" w:rsidR="006D3AD5" w:rsidRPr="00874BFF" w:rsidRDefault="006D3AD5" w:rsidP="006D3AD5"/>
    <w:p w14:paraId="7FFE9281" w14:textId="5443EC38" w:rsidR="006D3AD5" w:rsidRPr="00874BFF" w:rsidRDefault="006D3AD5" w:rsidP="006D3AD5">
      <w:r w:rsidRPr="00874BFF">
        <w:t>The key synergy is cooperation with supporting  services for commercialisation of R&amp;D results (</w:t>
      </w:r>
      <w:r w:rsidR="00352D5B">
        <w:t>TTO</w:t>
      </w:r>
      <w:r w:rsidRPr="00874BFF">
        <w:t>s and other infrastructures) and the start-up entrepreneurs (CzechInvest</w:t>
      </w:r>
      <w:r w:rsidR="00524A9F">
        <w:t>/ABI</w:t>
      </w:r>
      <w:r w:rsidRPr="00874BFF">
        <w:t>, SO 2.1).</w:t>
      </w:r>
    </w:p>
    <w:p w14:paraId="644759AB" w14:textId="77777777" w:rsidR="006D3AD5" w:rsidRPr="00874BFF" w:rsidRDefault="006D3AD5" w:rsidP="006D3AD5"/>
    <w:p w14:paraId="2047EA3C" w14:textId="77777777" w:rsidR="006D3AD5" w:rsidRPr="00874BFF" w:rsidRDefault="006D3AD5" w:rsidP="006D3AD5">
      <w:pPr>
        <w:rPr>
          <w:b/>
        </w:rPr>
      </w:pPr>
      <w:r w:rsidRPr="00874BFF">
        <w:t>Another key strategy is represented by the support of venture capital in SO 2.1.</w:t>
      </w:r>
    </w:p>
    <w:p w14:paraId="01F1D5F8" w14:textId="77777777" w:rsidR="006D3AD5" w:rsidRPr="00874BFF" w:rsidRDefault="006D3AD5" w:rsidP="006D3AD5">
      <w:pPr>
        <w:pStyle w:val="Nadpis4"/>
        <w:rPr>
          <w:rFonts w:ascii="Calibri" w:hAnsi="Calibri"/>
        </w:rPr>
      </w:pPr>
      <w:r w:rsidRPr="00874BFF">
        <w:rPr>
          <w:rFonts w:ascii="Calibri" w:hAnsi="Calibri"/>
        </w:rPr>
        <w:t>Possible solution for public support</w:t>
      </w:r>
    </w:p>
    <w:p w14:paraId="35AA3A39" w14:textId="77777777" w:rsidR="006D3AD5" w:rsidRPr="00874BFF" w:rsidRDefault="006D3AD5" w:rsidP="006D3AD5"/>
    <w:p w14:paraId="5E888036" w14:textId="77777777" w:rsidR="006D3AD5" w:rsidRPr="00874BFF" w:rsidRDefault="006D3AD5" w:rsidP="006D3AD5">
      <w:r w:rsidRPr="00874BFF">
        <w:t>Public support is expected particularly at the level of final recipients. Because of the expected large scope of projects (a project is commercialisation of the portfolio of R&amp;D results of a given organization), the de minimis public support is not considered. Consequently, to resolve public support, the General Regulation No 651/2014 on block exemptions or the Framework for state aid for research, development and innovations will be applied.</w:t>
      </w:r>
    </w:p>
    <w:p w14:paraId="35AB90DA" w14:textId="77777777" w:rsidR="006D3AD5" w:rsidRPr="00874BFF" w:rsidRDefault="006D3AD5" w:rsidP="006D3AD5"/>
    <w:p w14:paraId="11E0D0FE" w14:textId="77777777" w:rsidR="006D3AD5" w:rsidRPr="00874BFF" w:rsidRDefault="006D3AD5" w:rsidP="006D3AD5">
      <w:r w:rsidRPr="00874BFF">
        <w:t>If private investors are involved  in the financial instrument, public support is expected by means of preferential remuneration (disproportionate profit distribution).</w:t>
      </w:r>
    </w:p>
    <w:p w14:paraId="78BE52EC" w14:textId="77777777" w:rsidR="006D3AD5" w:rsidRPr="00874BFF" w:rsidRDefault="006D3AD5" w:rsidP="006D3AD5">
      <w:pPr>
        <w:rPr>
          <w:b/>
        </w:rPr>
      </w:pPr>
    </w:p>
    <w:p w14:paraId="38801FD8" w14:textId="77777777" w:rsidR="006D3AD5" w:rsidRPr="00874BFF" w:rsidRDefault="006D3AD5" w:rsidP="006D3AD5">
      <w:pPr>
        <w:pStyle w:val="Nadpis3"/>
        <w:rPr>
          <w:rFonts w:ascii="Calibri" w:hAnsi="Calibri"/>
        </w:rPr>
      </w:pPr>
      <w:bookmarkStart w:id="46" w:name="_Toc422312106"/>
      <w:r w:rsidRPr="00874BFF">
        <w:rPr>
          <w:rFonts w:ascii="Calibri" w:hAnsi="Calibri"/>
        </w:rPr>
        <w:t>Estimate of additional public and private resources</w:t>
      </w:r>
      <w:bookmarkEnd w:id="46"/>
    </w:p>
    <w:p w14:paraId="265281E7" w14:textId="77777777" w:rsidR="006D3AD5" w:rsidRPr="00874BFF" w:rsidRDefault="006D3AD5" w:rsidP="006D3AD5">
      <w:pPr>
        <w:pStyle w:val="Nadpis4"/>
        <w:rPr>
          <w:rFonts w:ascii="Calibri" w:hAnsi="Calibri"/>
        </w:rPr>
      </w:pPr>
      <w:r w:rsidRPr="00874BFF">
        <w:rPr>
          <w:rFonts w:ascii="Calibri" w:hAnsi="Calibri"/>
        </w:rPr>
        <w:t>Co-financing from private sources down to the level of final recipient</w:t>
      </w:r>
    </w:p>
    <w:p w14:paraId="464E4BFE" w14:textId="77777777" w:rsidR="006D3AD5" w:rsidRPr="00874BFF" w:rsidRDefault="006D3AD5" w:rsidP="006D3AD5">
      <w:r w:rsidRPr="00874BFF">
        <w:t>In the pre-seed fund of the OP EIC, we propose to provide up to 100 % of necessary funding from the ESIF. The final recipient's co-financing will take primarily the form of investment of appraised intangible property. It is possible to consider a small degree of direct financial participation of final recipients that would encourage a rational approach to the project and would not be demotivating for the public RO to join the fund.</w:t>
      </w:r>
    </w:p>
    <w:p w14:paraId="44C61748" w14:textId="77777777" w:rsidR="006D3AD5" w:rsidRPr="00874BFF" w:rsidRDefault="006D3AD5" w:rsidP="006D3AD5"/>
    <w:p w14:paraId="7E77EDFC" w14:textId="77777777" w:rsidR="006D3AD5" w:rsidRPr="00874BFF" w:rsidRDefault="006D3AD5" w:rsidP="006D3AD5">
      <w:r w:rsidRPr="00874BFF">
        <w:t xml:space="preserve">At the very early stage of the business plan development, we do not realistically await great interest by private investors in joining the fund itself, or individual projects at this initial stage. Therefore, the  conservative estimate of FI functioning does not anticipate private co-financing, nevertheless, this option will be maintained. On the contrary, </w:t>
      </w:r>
      <w:r w:rsidRPr="00874BFF">
        <w:rPr>
          <w:b/>
        </w:rPr>
        <w:t>the key role will be played by private investments at the fund exit stage</w:t>
      </w:r>
      <w:r w:rsidRPr="00874BFF">
        <w:t>, when commercialised results in the form of spin-off or intellectual property should attract private funding.</w:t>
      </w:r>
    </w:p>
    <w:p w14:paraId="59F1CBAA" w14:textId="77777777" w:rsidR="006D3AD5" w:rsidRPr="00874BFF" w:rsidRDefault="006D3AD5" w:rsidP="006D3AD5">
      <w:pPr>
        <w:pStyle w:val="Nadpis4"/>
        <w:rPr>
          <w:rFonts w:ascii="Calibri" w:hAnsi="Calibri"/>
        </w:rPr>
      </w:pPr>
      <w:r w:rsidRPr="00874BFF">
        <w:rPr>
          <w:rFonts w:ascii="Calibri" w:hAnsi="Calibri"/>
        </w:rPr>
        <w:t>Identification of key stakeholders</w:t>
      </w:r>
    </w:p>
    <w:p w14:paraId="2C1F20FC" w14:textId="3516F9A9" w:rsidR="006D3AD5" w:rsidRPr="00874BFF" w:rsidRDefault="006D3AD5" w:rsidP="006D3AD5">
      <w:r w:rsidRPr="00874BFF">
        <w:t xml:space="preserve">End recipients will be public research organizations via an established fund and their participation. </w:t>
      </w:r>
      <w:r w:rsidR="00CF3F95">
        <w:t>Final recipients</w:t>
      </w:r>
      <w:r w:rsidRPr="00874BFF">
        <w:t xml:space="preserve"> themselves will be responsible for the implementation of the proof-of-concept/pre-seed stage.</w:t>
      </w:r>
    </w:p>
    <w:p w14:paraId="4141306C" w14:textId="77777777" w:rsidR="006D3AD5" w:rsidRPr="00874BFF" w:rsidRDefault="006D3AD5" w:rsidP="006D3AD5">
      <w:pPr>
        <w:pStyle w:val="Nadpis4"/>
        <w:rPr>
          <w:rFonts w:ascii="Calibri" w:hAnsi="Calibri"/>
        </w:rPr>
      </w:pPr>
      <w:r w:rsidRPr="00874BFF">
        <w:rPr>
          <w:rFonts w:ascii="Calibri" w:hAnsi="Calibri"/>
        </w:rPr>
        <w:t>Estimate of additional resources that the financial instrument will potentially attract – expected leverage effect</w:t>
      </w:r>
    </w:p>
    <w:p w14:paraId="7CEB8702" w14:textId="77777777" w:rsidR="006D3AD5" w:rsidRPr="00874BFF" w:rsidRDefault="006D3AD5" w:rsidP="006D3AD5"/>
    <w:p w14:paraId="72A74784" w14:textId="77777777" w:rsidR="006D3AD5" w:rsidRPr="00874BFF" w:rsidRDefault="006D3AD5" w:rsidP="006D3AD5">
      <w:r w:rsidRPr="00874BFF">
        <w:lastRenderedPageBreak/>
        <w:t xml:space="preserve">The direct leverage effect of the equity investment instrument is dependent on the degree of co-financing by private investors at the fund level. In the view of the fact that private investors are not expected to join before the exit stage, </w:t>
      </w:r>
      <w:r w:rsidRPr="00874BFF">
        <w:rPr>
          <w:b/>
        </w:rPr>
        <w:t>the value of expected direct leverage effect is one – nevertheless, it does not include private investments at the exit stage.</w:t>
      </w:r>
    </w:p>
    <w:p w14:paraId="166F9375" w14:textId="77777777" w:rsidR="006D3AD5" w:rsidRPr="00874BFF" w:rsidRDefault="006D3AD5" w:rsidP="006D3AD5"/>
    <w:p w14:paraId="5178B6C3" w14:textId="77777777" w:rsidR="006D3AD5" w:rsidRPr="00874BFF" w:rsidRDefault="006D3AD5" w:rsidP="006D3AD5">
      <w:pPr>
        <w:pStyle w:val="Nadpis4"/>
        <w:rPr>
          <w:rFonts w:ascii="Calibri" w:hAnsi="Calibri"/>
        </w:rPr>
      </w:pPr>
      <w:r w:rsidRPr="00874BFF">
        <w:rPr>
          <w:rFonts w:ascii="Calibri" w:hAnsi="Calibri"/>
        </w:rPr>
        <w:t>Evaluating the need for and level of preferential remuneration</w:t>
      </w:r>
    </w:p>
    <w:p w14:paraId="1F0826B7" w14:textId="77777777" w:rsidR="006D3AD5" w:rsidRPr="00874BFF" w:rsidRDefault="006D3AD5" w:rsidP="006D3AD5"/>
    <w:p w14:paraId="16C20616" w14:textId="65D2771A" w:rsidR="006D3AD5" w:rsidRPr="00874BFF" w:rsidRDefault="006D3AD5" w:rsidP="006D3AD5">
      <w:r w:rsidRPr="00874BFF">
        <w:t>We consider introduction of preferential remuneration at the stage of the pre-seed fund of the OP EIC convenient for potential involvement of private investors – which is, however, not the primary objective of SO 1.2. Nevertheless, with regard to the very high risk of the fund, it is useful to motivate potential stakeholders by preferential setting similar to the equity instrument in SO 2.1 – by means of preferential distribution of profit in relation to the private investor if the profit from a successful project exceeds a defined basic limit</w:t>
      </w:r>
      <w:r w:rsidR="0078319F">
        <w:t xml:space="preserve"> (</w:t>
      </w:r>
      <w:r w:rsidR="0078319F" w:rsidRPr="00685AEF">
        <w:rPr>
          <w:b/>
        </w:rPr>
        <w:t>hurdle rate)</w:t>
      </w:r>
      <w:r w:rsidRPr="00874BFF">
        <w:t>.</w:t>
      </w:r>
      <w:r w:rsidR="00284AD9">
        <w:t xml:space="preserve"> </w:t>
      </w:r>
      <w:r w:rsidR="00284AD9" w:rsidRPr="00685AEF">
        <w:t xml:space="preserve">The applicable alternative is the preferential setting via an </w:t>
      </w:r>
      <w:r w:rsidR="00284AD9" w:rsidRPr="0078319F">
        <w:rPr>
          <w:b/>
        </w:rPr>
        <w:t>option</w:t>
      </w:r>
      <w:r w:rsidR="00284AD9" w:rsidRPr="00874BFF">
        <w:t xml:space="preserve"> – co-investor would gain the right to buy a share of ownership in the target company from the financial instrument for a predetermined price, regardless the current value of the share. The profit of the financial instrument from the investment would not then exceed the rate of return implied in the exercise price of the option.</w:t>
      </w:r>
    </w:p>
    <w:p w14:paraId="2C703809" w14:textId="77777777" w:rsidR="006D3AD5" w:rsidRPr="00874BFF" w:rsidRDefault="006D3AD5" w:rsidP="006D3AD5">
      <w:pPr>
        <w:pStyle w:val="Odstavecseseznamem1"/>
        <w:ind w:left="0"/>
      </w:pPr>
    </w:p>
    <w:p w14:paraId="68227407" w14:textId="77777777" w:rsidR="006D3AD5" w:rsidRPr="00874BFF" w:rsidRDefault="006D3AD5" w:rsidP="006D3AD5">
      <w:pPr>
        <w:pStyle w:val="Odstavecseseznamem1"/>
        <w:ind w:left="0"/>
      </w:pPr>
      <w:r w:rsidRPr="00874BFF">
        <w:t>Preferential remuneration in relation to the final recipient is not proposed.</w:t>
      </w:r>
    </w:p>
    <w:p w14:paraId="0CCA2AAE" w14:textId="77777777" w:rsidR="006D3AD5" w:rsidRPr="00874BFF" w:rsidRDefault="006D3AD5" w:rsidP="006D3AD5"/>
    <w:p w14:paraId="42D40B89" w14:textId="77777777" w:rsidR="006D3AD5" w:rsidRPr="00874BFF" w:rsidRDefault="006D3AD5" w:rsidP="006D3AD5">
      <w:pPr>
        <w:pStyle w:val="Nadpis2"/>
        <w:rPr>
          <w:rFonts w:ascii="Calibri" w:hAnsi="Calibri"/>
        </w:rPr>
      </w:pPr>
      <w:bookmarkStart w:id="47" w:name="_Toc417543391"/>
      <w:bookmarkStart w:id="48" w:name="_Toc417543392"/>
      <w:bookmarkStart w:id="49" w:name="_Toc417543393"/>
      <w:bookmarkStart w:id="50" w:name="_Toc417543394"/>
      <w:bookmarkStart w:id="51" w:name="_Toc417543396"/>
      <w:bookmarkStart w:id="52" w:name="_Toc417543397"/>
      <w:bookmarkStart w:id="53" w:name="_Toc417543398"/>
      <w:bookmarkStart w:id="54" w:name="_Toc417543399"/>
      <w:bookmarkStart w:id="55" w:name="_Toc417543400"/>
      <w:bookmarkStart w:id="56" w:name="_Toc417543401"/>
      <w:bookmarkStart w:id="57" w:name="_Toc417543402"/>
      <w:bookmarkStart w:id="58" w:name="_Toc417543403"/>
      <w:bookmarkStart w:id="59" w:name="_Toc417543404"/>
      <w:bookmarkStart w:id="60" w:name="_Toc417543405"/>
      <w:bookmarkStart w:id="61" w:name="_Toc417543406"/>
      <w:bookmarkStart w:id="62" w:name="_Toc417543407"/>
      <w:bookmarkStart w:id="63" w:name="_Toc417543408"/>
      <w:bookmarkStart w:id="64" w:name="_Toc417543409"/>
      <w:bookmarkStart w:id="65" w:name="_Toc417543410"/>
      <w:bookmarkStart w:id="66" w:name="_Toc417543411"/>
      <w:bookmarkStart w:id="67" w:name="_Toc417543412"/>
      <w:bookmarkStart w:id="68" w:name="_Toc417543413"/>
      <w:bookmarkStart w:id="69" w:name="_Toc417543414"/>
      <w:bookmarkStart w:id="70" w:name="_Toc417543415"/>
      <w:bookmarkStart w:id="71" w:name="_Toc417543417"/>
      <w:bookmarkStart w:id="72" w:name="_Toc417543418"/>
      <w:bookmarkStart w:id="73" w:name="_Toc417543419"/>
      <w:bookmarkStart w:id="74" w:name="_Toc417543420"/>
      <w:bookmarkStart w:id="75" w:name="_Toc417543422"/>
      <w:bookmarkStart w:id="76" w:name="_Toc417543423"/>
      <w:bookmarkStart w:id="77" w:name="_Toc417543424"/>
      <w:bookmarkStart w:id="78" w:name="_Toc417543529"/>
      <w:bookmarkStart w:id="79" w:name="_Toc416909214"/>
      <w:bookmarkStart w:id="80" w:name="_Toc417543648"/>
      <w:bookmarkStart w:id="81" w:name="_Toc416909215"/>
      <w:bookmarkStart w:id="82" w:name="_Toc417543649"/>
      <w:bookmarkStart w:id="83" w:name="_Toc417543650"/>
      <w:bookmarkStart w:id="84" w:name="_Toc417543665"/>
      <w:bookmarkStart w:id="85" w:name="_Toc417543666"/>
      <w:bookmarkStart w:id="86" w:name="_Toc417543667"/>
      <w:bookmarkStart w:id="87" w:name="_Toc417543668"/>
      <w:bookmarkStart w:id="88" w:name="_Toc417543670"/>
      <w:bookmarkStart w:id="89" w:name="_Toc417543672"/>
      <w:bookmarkStart w:id="90" w:name="_Toc417543674"/>
      <w:bookmarkStart w:id="91" w:name="_Toc417543676"/>
      <w:bookmarkStart w:id="92" w:name="_Toc417543678"/>
      <w:bookmarkStart w:id="93" w:name="_Toc417543681"/>
      <w:bookmarkStart w:id="94" w:name="_Toc417543683"/>
      <w:bookmarkStart w:id="95" w:name="_Toc417543685"/>
      <w:bookmarkStart w:id="96" w:name="_Toc417543686"/>
      <w:bookmarkStart w:id="97" w:name="_Toc417543689"/>
      <w:bookmarkStart w:id="98" w:name="_Toc417543690"/>
      <w:bookmarkStart w:id="99" w:name="_Toc417543693"/>
      <w:bookmarkStart w:id="100" w:name="_Toc417543696"/>
      <w:bookmarkStart w:id="101" w:name="_Toc417543702"/>
      <w:bookmarkStart w:id="102" w:name="_Toc417543707"/>
      <w:bookmarkStart w:id="103" w:name="_Toc417543709"/>
      <w:bookmarkStart w:id="104" w:name="_Toc417543711"/>
      <w:bookmarkStart w:id="105" w:name="_Toc417543713"/>
      <w:bookmarkStart w:id="106" w:name="_Toc417543715"/>
      <w:bookmarkStart w:id="107" w:name="_Toc417543717"/>
      <w:bookmarkStart w:id="108" w:name="_Toc417543720"/>
      <w:bookmarkStart w:id="109" w:name="_Toc417543722"/>
      <w:bookmarkStart w:id="110" w:name="_Toc417543728"/>
      <w:bookmarkStart w:id="111" w:name="_Toc417543730"/>
      <w:bookmarkStart w:id="112" w:name="_Toc417543746"/>
      <w:bookmarkStart w:id="113" w:name="_Toc417543761"/>
      <w:bookmarkStart w:id="114" w:name="_Toc417543771"/>
      <w:bookmarkStart w:id="115" w:name="_Toc417543781"/>
      <w:bookmarkStart w:id="116" w:name="_Toc417543796"/>
      <w:bookmarkStart w:id="117" w:name="_Toc417543806"/>
      <w:bookmarkStart w:id="118" w:name="_Toc417543816"/>
      <w:bookmarkStart w:id="119" w:name="_Toc417543826"/>
      <w:bookmarkStart w:id="120" w:name="_Toc417543836"/>
      <w:bookmarkStart w:id="121" w:name="_Toc417543856"/>
      <w:bookmarkStart w:id="122" w:name="_Toc417543866"/>
      <w:bookmarkStart w:id="123" w:name="_Toc416383560"/>
      <w:bookmarkStart w:id="124" w:name="_Toc416447542"/>
      <w:bookmarkStart w:id="125" w:name="_Toc416383561"/>
      <w:bookmarkStart w:id="126" w:name="_Toc416447543"/>
      <w:bookmarkStart w:id="127" w:name="_Toc416383562"/>
      <w:bookmarkStart w:id="128" w:name="_Toc416447544"/>
      <w:bookmarkStart w:id="129" w:name="_Toc416383563"/>
      <w:bookmarkStart w:id="130" w:name="_Toc416447545"/>
      <w:bookmarkStart w:id="131" w:name="_Toc416383564"/>
      <w:bookmarkStart w:id="132" w:name="_Toc416447546"/>
      <w:bookmarkStart w:id="133" w:name="_Toc416383565"/>
      <w:bookmarkStart w:id="134" w:name="_Toc416447547"/>
      <w:bookmarkStart w:id="135" w:name="_Toc416383566"/>
      <w:bookmarkStart w:id="136" w:name="_Toc416447548"/>
      <w:bookmarkStart w:id="137" w:name="_Toc416383567"/>
      <w:bookmarkStart w:id="138" w:name="_Toc416447549"/>
      <w:bookmarkStart w:id="139" w:name="_Toc416383568"/>
      <w:bookmarkStart w:id="140" w:name="_Toc416447550"/>
      <w:bookmarkStart w:id="141" w:name="_Toc416383569"/>
      <w:bookmarkStart w:id="142" w:name="_Toc416447551"/>
      <w:bookmarkStart w:id="143" w:name="_Toc416383570"/>
      <w:bookmarkStart w:id="144" w:name="_Toc416447552"/>
      <w:bookmarkStart w:id="145" w:name="_Toc416383571"/>
      <w:bookmarkStart w:id="146" w:name="_Toc416447553"/>
      <w:bookmarkStart w:id="147" w:name="_Toc416383572"/>
      <w:bookmarkStart w:id="148" w:name="_Toc416447554"/>
      <w:bookmarkStart w:id="149" w:name="_Toc416383573"/>
      <w:bookmarkStart w:id="150" w:name="_Toc416447555"/>
      <w:bookmarkStart w:id="151" w:name="_Toc416383574"/>
      <w:bookmarkStart w:id="152" w:name="_Toc416447556"/>
      <w:bookmarkStart w:id="153" w:name="_Toc416383575"/>
      <w:bookmarkStart w:id="154" w:name="_Toc416447557"/>
      <w:bookmarkStart w:id="155" w:name="_Toc416383576"/>
      <w:bookmarkStart w:id="156" w:name="_Toc416447558"/>
      <w:bookmarkStart w:id="157" w:name="_Toc416383577"/>
      <w:bookmarkStart w:id="158" w:name="_Toc416447559"/>
      <w:bookmarkStart w:id="159" w:name="_Toc416383578"/>
      <w:bookmarkStart w:id="160" w:name="_Toc416447560"/>
      <w:bookmarkStart w:id="161" w:name="_Toc416383579"/>
      <w:bookmarkStart w:id="162" w:name="_Toc416447561"/>
      <w:bookmarkStart w:id="163" w:name="_Toc416383580"/>
      <w:bookmarkStart w:id="164" w:name="_Toc416447562"/>
      <w:bookmarkStart w:id="165" w:name="_Toc416383581"/>
      <w:bookmarkStart w:id="166" w:name="_Toc416447563"/>
      <w:bookmarkStart w:id="167" w:name="_Toc416383582"/>
      <w:bookmarkStart w:id="168" w:name="_Toc416447564"/>
      <w:bookmarkStart w:id="169" w:name="_Toc416383583"/>
      <w:bookmarkStart w:id="170" w:name="_Toc416447565"/>
      <w:bookmarkStart w:id="171" w:name="_Toc416383584"/>
      <w:bookmarkStart w:id="172" w:name="_Toc416447566"/>
      <w:bookmarkStart w:id="173" w:name="_Toc416383585"/>
      <w:bookmarkStart w:id="174" w:name="_Toc416447567"/>
      <w:bookmarkStart w:id="175" w:name="_Toc416383586"/>
      <w:bookmarkStart w:id="176" w:name="_Toc416447568"/>
      <w:bookmarkStart w:id="177" w:name="_Toc416383587"/>
      <w:bookmarkStart w:id="178" w:name="_Toc416447569"/>
      <w:bookmarkStart w:id="179" w:name="_Toc416383588"/>
      <w:bookmarkStart w:id="180" w:name="_Toc416447570"/>
      <w:bookmarkStart w:id="181" w:name="_Toc416383589"/>
      <w:bookmarkStart w:id="182" w:name="_Toc416447571"/>
      <w:bookmarkStart w:id="183" w:name="_Toc416383590"/>
      <w:bookmarkStart w:id="184" w:name="_Toc416447572"/>
      <w:bookmarkStart w:id="185" w:name="_Toc416383591"/>
      <w:bookmarkStart w:id="186" w:name="_Toc416447573"/>
      <w:bookmarkStart w:id="187" w:name="_Toc416383592"/>
      <w:bookmarkStart w:id="188" w:name="_Toc416447574"/>
      <w:bookmarkStart w:id="189" w:name="_Toc416383593"/>
      <w:bookmarkStart w:id="190" w:name="_Toc416447575"/>
      <w:bookmarkStart w:id="191" w:name="_Toc416383594"/>
      <w:bookmarkStart w:id="192" w:name="_Toc416447576"/>
      <w:bookmarkStart w:id="193" w:name="_Toc416383595"/>
      <w:bookmarkStart w:id="194" w:name="_Toc416447577"/>
      <w:bookmarkStart w:id="195" w:name="_Toc416383596"/>
      <w:bookmarkStart w:id="196" w:name="_Toc416447578"/>
      <w:bookmarkStart w:id="197" w:name="_Toc416383597"/>
      <w:bookmarkStart w:id="198" w:name="_Toc416447579"/>
      <w:bookmarkStart w:id="199" w:name="_Toc416383598"/>
      <w:bookmarkStart w:id="200" w:name="_Toc416447580"/>
      <w:bookmarkStart w:id="201" w:name="_Toc416383599"/>
      <w:bookmarkStart w:id="202" w:name="_Toc416447581"/>
      <w:bookmarkStart w:id="203" w:name="_Toc416383600"/>
      <w:bookmarkStart w:id="204" w:name="_Toc416447582"/>
      <w:bookmarkStart w:id="205" w:name="_Toc416383601"/>
      <w:bookmarkStart w:id="206" w:name="_Toc416447583"/>
      <w:bookmarkStart w:id="207" w:name="_Toc416383602"/>
      <w:bookmarkStart w:id="208" w:name="_Toc416447584"/>
      <w:bookmarkStart w:id="209" w:name="_Toc416383603"/>
      <w:bookmarkStart w:id="210" w:name="_Toc416447585"/>
      <w:bookmarkStart w:id="211" w:name="_Toc416383604"/>
      <w:bookmarkStart w:id="212" w:name="_Toc416447586"/>
      <w:bookmarkStart w:id="213" w:name="_Toc416383605"/>
      <w:bookmarkStart w:id="214" w:name="_Toc416447587"/>
      <w:bookmarkStart w:id="215" w:name="_Toc416383606"/>
      <w:bookmarkStart w:id="216" w:name="_Toc416447588"/>
      <w:bookmarkStart w:id="217" w:name="_Toc416383607"/>
      <w:bookmarkStart w:id="218" w:name="_Toc416447589"/>
      <w:bookmarkStart w:id="219" w:name="_Toc416383608"/>
      <w:bookmarkStart w:id="220" w:name="_Toc416447590"/>
      <w:bookmarkStart w:id="221" w:name="_Toc416383609"/>
      <w:bookmarkStart w:id="222" w:name="_Toc416447591"/>
      <w:bookmarkStart w:id="223" w:name="_Toc416383610"/>
      <w:bookmarkStart w:id="224" w:name="_Toc416447592"/>
      <w:bookmarkStart w:id="225" w:name="_Toc416383611"/>
      <w:bookmarkStart w:id="226" w:name="_Toc416447593"/>
      <w:bookmarkStart w:id="227" w:name="_Toc416383613"/>
      <w:bookmarkStart w:id="228" w:name="_Toc416447595"/>
      <w:bookmarkStart w:id="229" w:name="_Toc416383614"/>
      <w:bookmarkStart w:id="230" w:name="_Toc416447596"/>
      <w:bookmarkStart w:id="231" w:name="_Toc416383615"/>
      <w:bookmarkStart w:id="232" w:name="_Toc416447597"/>
      <w:bookmarkStart w:id="233" w:name="_Toc416383616"/>
      <w:bookmarkStart w:id="234" w:name="_Toc416447598"/>
      <w:bookmarkStart w:id="235" w:name="_Toc416383617"/>
      <w:bookmarkStart w:id="236" w:name="_Toc416447599"/>
      <w:bookmarkStart w:id="237" w:name="_Toc416383618"/>
      <w:bookmarkStart w:id="238" w:name="_Toc416447600"/>
      <w:bookmarkStart w:id="239" w:name="_Toc416383619"/>
      <w:bookmarkStart w:id="240" w:name="_Toc416447601"/>
      <w:bookmarkStart w:id="241" w:name="_Toc416383620"/>
      <w:bookmarkStart w:id="242" w:name="_Toc416447602"/>
      <w:bookmarkStart w:id="243" w:name="_Toc416383621"/>
      <w:bookmarkStart w:id="244" w:name="_Toc416447603"/>
      <w:bookmarkStart w:id="245" w:name="_Toc416383622"/>
      <w:bookmarkStart w:id="246" w:name="_Toc416447604"/>
      <w:bookmarkStart w:id="247" w:name="_Toc416383623"/>
      <w:bookmarkStart w:id="248" w:name="_Toc416447605"/>
      <w:bookmarkStart w:id="249" w:name="_Toc416383624"/>
      <w:bookmarkStart w:id="250" w:name="_Toc416447606"/>
      <w:bookmarkStart w:id="251" w:name="_Toc416383625"/>
      <w:bookmarkStart w:id="252" w:name="_Toc416447607"/>
      <w:bookmarkStart w:id="253" w:name="_Toc416383626"/>
      <w:bookmarkStart w:id="254" w:name="_Toc416447608"/>
      <w:bookmarkStart w:id="255" w:name="_Toc416383627"/>
      <w:bookmarkStart w:id="256" w:name="_Toc416447609"/>
      <w:bookmarkStart w:id="257" w:name="_Toc417543868"/>
      <w:bookmarkStart w:id="258" w:name="_Toc417543874"/>
      <w:bookmarkStart w:id="259" w:name="_Toc417543880"/>
      <w:bookmarkStart w:id="260" w:name="_Toc417543894"/>
      <w:bookmarkStart w:id="261" w:name="_Toc417543895"/>
      <w:bookmarkStart w:id="262" w:name="_Toc417543896"/>
      <w:bookmarkStart w:id="263" w:name="_Toc417543903"/>
      <w:bookmarkStart w:id="264" w:name="_Toc417543907"/>
      <w:bookmarkStart w:id="265" w:name="_Toc417543911"/>
      <w:bookmarkStart w:id="266" w:name="_Toc417543912"/>
      <w:bookmarkStart w:id="267" w:name="_Toc417543918"/>
      <w:bookmarkStart w:id="268" w:name="_Toc417543919"/>
      <w:bookmarkStart w:id="269" w:name="_Toc417543920"/>
      <w:bookmarkStart w:id="270" w:name="_Toc417543929"/>
      <w:bookmarkStart w:id="271" w:name="_Toc417543931"/>
      <w:bookmarkStart w:id="272" w:name="_Toc417543950"/>
      <w:bookmarkStart w:id="273" w:name="_Toc417543951"/>
      <w:bookmarkStart w:id="274" w:name="_Toc417543952"/>
      <w:bookmarkStart w:id="275" w:name="_Toc416383631"/>
      <w:bookmarkStart w:id="276" w:name="_Toc416447613"/>
      <w:bookmarkStart w:id="277" w:name="_Toc416383632"/>
      <w:bookmarkStart w:id="278" w:name="_Toc416447614"/>
      <w:bookmarkStart w:id="279" w:name="_Toc416383633"/>
      <w:bookmarkStart w:id="280" w:name="_Toc416447615"/>
      <w:bookmarkStart w:id="281" w:name="_Toc416383634"/>
      <w:bookmarkStart w:id="282" w:name="_Toc416447616"/>
      <w:bookmarkStart w:id="283" w:name="_Toc416383635"/>
      <w:bookmarkStart w:id="284" w:name="_Toc416447617"/>
      <w:bookmarkStart w:id="285" w:name="_Toc416383636"/>
      <w:bookmarkStart w:id="286" w:name="_Toc416447618"/>
      <w:bookmarkStart w:id="287" w:name="_Toc416383637"/>
      <w:bookmarkStart w:id="288" w:name="_Toc416447619"/>
      <w:bookmarkStart w:id="289" w:name="_Toc416383638"/>
      <w:bookmarkStart w:id="290" w:name="_Toc416447620"/>
      <w:bookmarkStart w:id="291" w:name="_Toc416383639"/>
      <w:bookmarkStart w:id="292" w:name="_Toc416447621"/>
      <w:bookmarkStart w:id="293" w:name="_Toc416383640"/>
      <w:bookmarkStart w:id="294" w:name="_Toc416447622"/>
      <w:bookmarkStart w:id="295" w:name="_Toc416383641"/>
      <w:bookmarkStart w:id="296" w:name="_Toc416447623"/>
      <w:bookmarkStart w:id="297" w:name="_Toc416383642"/>
      <w:bookmarkStart w:id="298" w:name="_Toc416447624"/>
      <w:bookmarkStart w:id="299" w:name="_Toc416383643"/>
      <w:bookmarkStart w:id="300" w:name="_Toc416447625"/>
      <w:bookmarkStart w:id="301" w:name="_Toc416383644"/>
      <w:bookmarkStart w:id="302" w:name="_Toc416447626"/>
      <w:bookmarkStart w:id="303" w:name="_Toc416383645"/>
      <w:bookmarkStart w:id="304" w:name="_Toc416447627"/>
      <w:bookmarkStart w:id="305" w:name="_Toc416383646"/>
      <w:bookmarkStart w:id="306" w:name="_Toc416447628"/>
      <w:bookmarkStart w:id="307" w:name="_Toc416383647"/>
      <w:bookmarkStart w:id="308" w:name="_Toc416447629"/>
      <w:bookmarkStart w:id="309" w:name="_Toc413824141"/>
      <w:bookmarkStart w:id="310" w:name="_Toc413831124"/>
      <w:bookmarkStart w:id="311" w:name="_Toc413831154"/>
      <w:bookmarkStart w:id="312" w:name="_Toc417543954"/>
      <w:bookmarkStart w:id="313" w:name="_Toc417543956"/>
      <w:bookmarkStart w:id="314" w:name="_Toc416383649"/>
      <w:bookmarkStart w:id="315" w:name="_Toc416447631"/>
      <w:bookmarkStart w:id="316" w:name="_Toc416383650"/>
      <w:bookmarkStart w:id="317" w:name="_Toc416447632"/>
      <w:bookmarkStart w:id="318" w:name="_Toc416383651"/>
      <w:bookmarkStart w:id="319" w:name="_Toc416447633"/>
      <w:bookmarkStart w:id="320" w:name="_Toc416383652"/>
      <w:bookmarkStart w:id="321" w:name="_Toc416447634"/>
      <w:bookmarkStart w:id="322" w:name="_Toc416383653"/>
      <w:bookmarkStart w:id="323" w:name="_Toc416447635"/>
      <w:bookmarkStart w:id="324" w:name="_Toc416383654"/>
      <w:bookmarkStart w:id="325" w:name="_Toc416447636"/>
      <w:bookmarkStart w:id="326" w:name="_Toc416383655"/>
      <w:bookmarkStart w:id="327" w:name="_Toc416447637"/>
      <w:bookmarkStart w:id="328" w:name="_Toc416383656"/>
      <w:bookmarkStart w:id="329" w:name="_Toc416447638"/>
      <w:bookmarkStart w:id="330" w:name="_Toc416383657"/>
      <w:bookmarkStart w:id="331" w:name="_Toc416447639"/>
      <w:bookmarkStart w:id="332" w:name="_Toc416383658"/>
      <w:bookmarkStart w:id="333" w:name="_Toc416447640"/>
      <w:bookmarkStart w:id="334" w:name="_Toc416383659"/>
      <w:bookmarkStart w:id="335" w:name="_Toc416447641"/>
      <w:bookmarkStart w:id="336" w:name="_Toc416383660"/>
      <w:bookmarkStart w:id="337" w:name="_Toc416447642"/>
      <w:bookmarkStart w:id="338" w:name="_Toc416383661"/>
      <w:bookmarkStart w:id="339" w:name="_Toc416447643"/>
      <w:bookmarkStart w:id="340" w:name="_Toc416383662"/>
      <w:bookmarkStart w:id="341" w:name="_Toc416447644"/>
      <w:bookmarkStart w:id="342" w:name="_Toc416383663"/>
      <w:bookmarkStart w:id="343" w:name="_Toc416447645"/>
      <w:bookmarkStart w:id="344" w:name="_Toc416383664"/>
      <w:bookmarkStart w:id="345" w:name="_Toc416447646"/>
      <w:bookmarkStart w:id="346" w:name="_Toc416383665"/>
      <w:bookmarkStart w:id="347" w:name="_Toc416447647"/>
      <w:bookmarkStart w:id="348" w:name="_Toc416383666"/>
      <w:bookmarkStart w:id="349" w:name="_Toc416447648"/>
      <w:bookmarkStart w:id="350" w:name="_Toc416383667"/>
      <w:bookmarkStart w:id="351" w:name="_Toc416447649"/>
      <w:bookmarkStart w:id="352" w:name="_Toc416383668"/>
      <w:bookmarkStart w:id="353" w:name="_Toc416447650"/>
      <w:bookmarkStart w:id="354" w:name="_Toc416383669"/>
      <w:bookmarkStart w:id="355" w:name="_Toc416447651"/>
      <w:bookmarkStart w:id="356" w:name="_Toc416383670"/>
      <w:bookmarkStart w:id="357" w:name="_Toc416447652"/>
      <w:bookmarkStart w:id="358" w:name="_Toc416383671"/>
      <w:bookmarkStart w:id="359" w:name="_Toc416447653"/>
      <w:bookmarkStart w:id="360" w:name="_Toc416383672"/>
      <w:bookmarkStart w:id="361" w:name="_Toc416447654"/>
      <w:bookmarkStart w:id="362" w:name="_Toc416383673"/>
      <w:bookmarkStart w:id="363" w:name="_Toc416447655"/>
      <w:bookmarkStart w:id="364" w:name="_Toc416383674"/>
      <w:bookmarkStart w:id="365" w:name="_Toc416447656"/>
      <w:bookmarkStart w:id="366" w:name="_Toc416383675"/>
      <w:bookmarkStart w:id="367" w:name="_Toc416447657"/>
      <w:bookmarkStart w:id="368" w:name="_Toc416383676"/>
      <w:bookmarkStart w:id="369" w:name="_Toc416447658"/>
      <w:bookmarkStart w:id="370" w:name="_Toc416383677"/>
      <w:bookmarkStart w:id="371" w:name="_Toc416447659"/>
      <w:bookmarkStart w:id="372" w:name="_Toc416383678"/>
      <w:bookmarkStart w:id="373" w:name="_Toc416447660"/>
      <w:bookmarkStart w:id="374" w:name="_Toc416383679"/>
      <w:bookmarkStart w:id="375" w:name="_Toc416447661"/>
      <w:bookmarkStart w:id="376" w:name="_Toc416383680"/>
      <w:bookmarkStart w:id="377" w:name="_Toc416447662"/>
      <w:bookmarkStart w:id="378" w:name="_Toc416383681"/>
      <w:bookmarkStart w:id="379" w:name="_Toc416447663"/>
      <w:bookmarkStart w:id="380" w:name="_Toc417543957"/>
      <w:bookmarkStart w:id="381" w:name="_Toc417543958"/>
      <w:bookmarkStart w:id="382" w:name="_Toc417543966"/>
      <w:bookmarkStart w:id="383" w:name="_Toc417543967"/>
      <w:bookmarkStart w:id="384" w:name="_Toc417543970"/>
      <w:bookmarkStart w:id="385" w:name="_Toc417543973"/>
      <w:bookmarkStart w:id="386" w:name="_Toc417543976"/>
      <w:bookmarkStart w:id="387" w:name="_Toc417543978"/>
      <w:bookmarkStart w:id="388" w:name="_Toc417543980"/>
      <w:bookmarkStart w:id="389" w:name="_Toc417543981"/>
      <w:bookmarkStart w:id="390" w:name="_Toc417543983"/>
      <w:bookmarkStart w:id="391" w:name="_Toc417543985"/>
      <w:bookmarkStart w:id="392" w:name="_Toc417543987"/>
      <w:bookmarkStart w:id="393" w:name="_Toc417543989"/>
      <w:bookmarkStart w:id="394" w:name="_Toc417543991"/>
      <w:bookmarkStart w:id="395" w:name="_Toc417543992"/>
      <w:bookmarkStart w:id="396" w:name="_Toc417543994"/>
      <w:bookmarkStart w:id="397" w:name="_Toc417543995"/>
      <w:bookmarkStart w:id="398" w:name="_Toc417543998"/>
      <w:bookmarkStart w:id="399" w:name="_Toc417543999"/>
      <w:bookmarkStart w:id="400" w:name="_Toc417544000"/>
      <w:bookmarkStart w:id="401" w:name="_Toc417544002"/>
      <w:bookmarkStart w:id="402" w:name="_Toc417544004"/>
      <w:bookmarkStart w:id="403" w:name="_Toc417544005"/>
      <w:bookmarkStart w:id="404" w:name="_Toc417544008"/>
      <w:bookmarkStart w:id="405" w:name="_Toc417544009"/>
      <w:bookmarkStart w:id="406" w:name="_Toc417544010"/>
      <w:bookmarkStart w:id="407" w:name="_Toc417544011"/>
      <w:bookmarkStart w:id="408" w:name="_Toc417544012"/>
      <w:bookmarkStart w:id="409" w:name="_Toc417544013"/>
      <w:bookmarkStart w:id="410" w:name="_Toc417544014"/>
      <w:bookmarkStart w:id="411" w:name="_Toc417544015"/>
      <w:bookmarkStart w:id="412" w:name="_Toc417544016"/>
      <w:bookmarkStart w:id="413" w:name="_Toc417544019"/>
      <w:bookmarkStart w:id="414" w:name="_Toc417544021"/>
      <w:bookmarkStart w:id="415" w:name="_Toc417544023"/>
      <w:bookmarkStart w:id="416" w:name="_Toc417544025"/>
      <w:bookmarkStart w:id="417" w:name="_Toc417544027"/>
      <w:bookmarkStart w:id="418" w:name="_Toc417544028"/>
      <w:bookmarkStart w:id="419" w:name="_Toc417544029"/>
      <w:bookmarkStart w:id="420" w:name="_Toc417544031"/>
      <w:bookmarkStart w:id="421" w:name="_Toc417544032"/>
      <w:bookmarkStart w:id="422" w:name="_Toc417544034"/>
      <w:bookmarkStart w:id="423" w:name="_Toc417544036"/>
      <w:bookmarkStart w:id="424" w:name="_Toc417544037"/>
      <w:bookmarkStart w:id="425" w:name="_Toc417544038"/>
      <w:bookmarkStart w:id="426" w:name="_Toc417544039"/>
      <w:bookmarkStart w:id="427" w:name="_Toc417544040"/>
      <w:bookmarkStart w:id="428" w:name="_Toc417544042"/>
      <w:bookmarkStart w:id="429" w:name="_Toc417544044"/>
      <w:bookmarkStart w:id="430" w:name="_Toc417544046"/>
      <w:bookmarkStart w:id="431" w:name="_Toc417544047"/>
      <w:bookmarkStart w:id="432" w:name="_Toc417544048"/>
      <w:bookmarkStart w:id="433" w:name="_Toc417544049"/>
      <w:bookmarkStart w:id="434" w:name="_Toc417544050"/>
      <w:bookmarkStart w:id="435" w:name="_Toc417544051"/>
      <w:bookmarkStart w:id="436" w:name="_Toc417544052"/>
      <w:bookmarkStart w:id="437" w:name="_Toc417544053"/>
      <w:bookmarkStart w:id="438" w:name="_Toc417544055"/>
      <w:bookmarkStart w:id="439" w:name="_Toc417544057"/>
      <w:bookmarkStart w:id="440" w:name="_Toc417544059"/>
      <w:bookmarkStart w:id="441" w:name="_Toc417544060"/>
      <w:bookmarkStart w:id="442" w:name="_Toc417544061"/>
      <w:bookmarkStart w:id="443" w:name="_Toc417544063"/>
      <w:bookmarkStart w:id="444" w:name="_Toc417544065"/>
      <w:bookmarkStart w:id="445" w:name="_Toc417544066"/>
      <w:bookmarkStart w:id="446" w:name="_Toc417544069"/>
      <w:bookmarkStart w:id="447" w:name="_Toc417544071"/>
      <w:bookmarkStart w:id="448" w:name="_Toc416383687"/>
      <w:bookmarkStart w:id="449" w:name="_Toc416447669"/>
      <w:bookmarkStart w:id="450" w:name="_Toc416383688"/>
      <w:bookmarkStart w:id="451" w:name="_Toc416447670"/>
      <w:bookmarkStart w:id="452" w:name="_Toc416383689"/>
      <w:bookmarkStart w:id="453" w:name="_Toc416447671"/>
      <w:bookmarkStart w:id="454" w:name="_Toc416383690"/>
      <w:bookmarkStart w:id="455" w:name="_Toc416447672"/>
      <w:bookmarkStart w:id="456" w:name="_Toc416383691"/>
      <w:bookmarkStart w:id="457" w:name="_Toc416447673"/>
      <w:bookmarkStart w:id="458" w:name="_Toc416383692"/>
      <w:bookmarkStart w:id="459" w:name="_Toc416447674"/>
      <w:bookmarkStart w:id="460" w:name="_Toc417544072"/>
      <w:bookmarkStart w:id="461" w:name="_Toc417544073"/>
      <w:bookmarkStart w:id="462" w:name="_Toc417544075"/>
      <w:bookmarkStart w:id="463" w:name="_Toc417544076"/>
      <w:bookmarkStart w:id="464" w:name="_Toc417544077"/>
      <w:bookmarkStart w:id="465" w:name="_Toc417544079"/>
      <w:bookmarkStart w:id="466" w:name="_Toc417544082"/>
      <w:bookmarkStart w:id="467" w:name="_Toc417544083"/>
      <w:bookmarkStart w:id="468" w:name="_Toc417544084"/>
      <w:bookmarkStart w:id="469" w:name="_Toc417544085"/>
      <w:bookmarkStart w:id="470" w:name="_Toc417544087"/>
      <w:bookmarkStart w:id="471" w:name="_Toc417544088"/>
      <w:bookmarkStart w:id="472" w:name="_Toc417544093"/>
      <w:bookmarkStart w:id="473" w:name="_Toc417544105"/>
      <w:bookmarkStart w:id="474" w:name="_Toc417544111"/>
      <w:bookmarkStart w:id="475" w:name="_Toc417544117"/>
      <w:bookmarkStart w:id="476" w:name="_Toc417544123"/>
      <w:bookmarkStart w:id="477" w:name="_Toc417544129"/>
      <w:bookmarkStart w:id="478" w:name="_Toc417544135"/>
      <w:bookmarkStart w:id="479" w:name="_Toc417544141"/>
      <w:bookmarkStart w:id="480" w:name="_Toc417544147"/>
      <w:bookmarkStart w:id="481" w:name="_Toc417544159"/>
      <w:bookmarkStart w:id="482" w:name="_Toc417544165"/>
      <w:bookmarkStart w:id="483" w:name="_Toc417544171"/>
      <w:bookmarkStart w:id="484" w:name="_Toc417544177"/>
      <w:bookmarkStart w:id="485" w:name="_Toc417544183"/>
      <w:bookmarkStart w:id="486" w:name="_Toc417544189"/>
      <w:bookmarkStart w:id="487" w:name="_Toc417544197"/>
      <w:bookmarkStart w:id="488" w:name="_Toc417544198"/>
      <w:bookmarkStart w:id="489" w:name="_Toc417544199"/>
      <w:bookmarkStart w:id="490" w:name="_Toc417544200"/>
      <w:bookmarkStart w:id="491" w:name="_Toc417544253"/>
      <w:bookmarkStart w:id="492" w:name="_Toc417544256"/>
      <w:bookmarkStart w:id="493" w:name="_Toc417544257"/>
      <w:bookmarkStart w:id="494" w:name="_Toc417544259"/>
      <w:bookmarkStart w:id="495" w:name="_Toc417544260"/>
      <w:bookmarkStart w:id="496" w:name="_Toc417544261"/>
      <w:bookmarkStart w:id="497" w:name="_Toc417544263"/>
      <w:bookmarkStart w:id="498" w:name="_Toc417544264"/>
      <w:bookmarkStart w:id="499" w:name="_Toc417544265"/>
      <w:bookmarkStart w:id="500" w:name="_Toc417544267"/>
      <w:bookmarkStart w:id="501" w:name="_Toc417544269"/>
      <w:bookmarkStart w:id="502" w:name="_Toc417544270"/>
      <w:bookmarkStart w:id="503" w:name="_Toc417544271"/>
      <w:bookmarkStart w:id="504" w:name="_Toc417544272"/>
      <w:bookmarkStart w:id="505" w:name="_Toc417544273"/>
      <w:bookmarkStart w:id="506" w:name="_Toc417544274"/>
      <w:bookmarkStart w:id="507" w:name="_Toc417544275"/>
      <w:bookmarkStart w:id="508" w:name="_Toc417544276"/>
      <w:bookmarkStart w:id="509" w:name="_Toc417544277"/>
      <w:bookmarkStart w:id="510" w:name="_Toc417544278"/>
      <w:bookmarkStart w:id="511" w:name="_Toc417544281"/>
      <w:bookmarkStart w:id="512" w:name="_Toc417544282"/>
      <w:bookmarkStart w:id="513" w:name="_Toc417544284"/>
      <w:bookmarkStart w:id="514" w:name="_Toc417544285"/>
      <w:bookmarkStart w:id="515" w:name="_Toc417544287"/>
      <w:bookmarkStart w:id="516" w:name="_Toc417544288"/>
      <w:bookmarkStart w:id="517" w:name="_Toc417544290"/>
      <w:bookmarkStart w:id="518" w:name="_Toc417544292"/>
      <w:bookmarkStart w:id="519" w:name="_Toc417544293"/>
      <w:bookmarkStart w:id="520" w:name="_Toc417544302"/>
      <w:bookmarkStart w:id="521" w:name="_Toc417544305"/>
      <w:bookmarkStart w:id="522" w:name="_Toc417544308"/>
      <w:bookmarkStart w:id="523" w:name="_Toc417544311"/>
      <w:bookmarkStart w:id="524" w:name="_Toc417544313"/>
      <w:bookmarkStart w:id="525" w:name="_Toc416383697"/>
      <w:bookmarkStart w:id="526" w:name="_Toc416447679"/>
      <w:bookmarkStart w:id="527" w:name="_Toc417544314"/>
      <w:bookmarkStart w:id="528" w:name="_Toc417544316"/>
      <w:bookmarkStart w:id="529" w:name="_Toc417544318"/>
      <w:bookmarkStart w:id="530" w:name="_Toc417544320"/>
      <w:bookmarkStart w:id="531" w:name="_Toc417544323"/>
      <w:bookmarkStart w:id="532" w:name="_Toc417544325"/>
      <w:bookmarkStart w:id="533" w:name="_Toc417544327"/>
      <w:bookmarkStart w:id="534" w:name="_Toc417544328"/>
      <w:bookmarkStart w:id="535" w:name="_Toc417544329"/>
      <w:bookmarkStart w:id="536" w:name="_Toc417544331"/>
      <w:bookmarkStart w:id="537" w:name="_Toc417544332"/>
      <w:bookmarkStart w:id="538" w:name="_Toc417544333"/>
      <w:bookmarkStart w:id="539" w:name="_Toc417544335"/>
      <w:bookmarkStart w:id="540" w:name="_Toc417544337"/>
      <w:bookmarkStart w:id="541" w:name="_Toc417544339"/>
      <w:bookmarkStart w:id="542" w:name="_Toc417544342"/>
      <w:bookmarkStart w:id="543" w:name="_Toc417544344"/>
      <w:bookmarkStart w:id="544" w:name="_Toc417544346"/>
      <w:bookmarkStart w:id="545" w:name="_Toc417544348"/>
      <w:bookmarkStart w:id="546" w:name="_Toc417544349"/>
      <w:bookmarkStart w:id="547" w:name="_Toc416447682"/>
      <w:bookmarkStart w:id="548" w:name="_Toc416447689"/>
      <w:bookmarkStart w:id="549" w:name="_Toc417544351"/>
      <w:bookmarkStart w:id="550" w:name="_Toc417544352"/>
      <w:bookmarkStart w:id="551" w:name="_Toc417544354"/>
      <w:bookmarkStart w:id="552" w:name="_Toc417544356"/>
      <w:bookmarkStart w:id="553" w:name="_Toc417544358"/>
      <w:bookmarkStart w:id="554" w:name="_Toc417544360"/>
      <w:bookmarkStart w:id="555" w:name="_Toc417544362"/>
      <w:bookmarkStart w:id="556" w:name="_Toc417544364"/>
      <w:bookmarkStart w:id="557" w:name="_Toc417544366"/>
      <w:bookmarkStart w:id="558" w:name="_Toc416383700"/>
      <w:bookmarkStart w:id="559" w:name="_Toc416447691"/>
      <w:bookmarkStart w:id="560" w:name="_Toc416383701"/>
      <w:bookmarkStart w:id="561" w:name="_Toc416447692"/>
      <w:bookmarkStart w:id="562" w:name="_Toc416383702"/>
      <w:bookmarkStart w:id="563" w:name="_Toc416447693"/>
      <w:bookmarkStart w:id="564" w:name="_Toc416383703"/>
      <w:bookmarkStart w:id="565" w:name="_Toc416447694"/>
      <w:bookmarkStart w:id="566" w:name="_Toc416383704"/>
      <w:bookmarkStart w:id="567" w:name="_Toc416447695"/>
      <w:bookmarkStart w:id="568" w:name="_Toc416383705"/>
      <w:bookmarkStart w:id="569" w:name="_Toc416447696"/>
      <w:bookmarkStart w:id="570" w:name="_Toc416383706"/>
      <w:bookmarkStart w:id="571" w:name="_Toc416447697"/>
      <w:bookmarkStart w:id="572" w:name="_Toc416383707"/>
      <w:bookmarkStart w:id="573" w:name="_Toc416447698"/>
      <w:bookmarkStart w:id="574" w:name="_Toc416383708"/>
      <w:bookmarkStart w:id="575" w:name="_Toc416447699"/>
      <w:bookmarkStart w:id="576" w:name="_Toc416383709"/>
      <w:bookmarkStart w:id="577" w:name="_Toc416447700"/>
      <w:bookmarkStart w:id="578" w:name="_Toc416383710"/>
      <w:bookmarkStart w:id="579" w:name="_Toc416447701"/>
      <w:bookmarkStart w:id="580" w:name="_Toc416383711"/>
      <w:bookmarkStart w:id="581" w:name="_Toc416447702"/>
      <w:bookmarkStart w:id="582" w:name="_Toc416383712"/>
      <w:bookmarkStart w:id="583" w:name="_Toc416447703"/>
      <w:bookmarkStart w:id="584" w:name="_Toc416383713"/>
      <w:bookmarkStart w:id="585" w:name="_Toc416447704"/>
      <w:bookmarkStart w:id="586" w:name="_Toc416383714"/>
      <w:bookmarkStart w:id="587" w:name="_Toc416447705"/>
      <w:bookmarkStart w:id="588" w:name="_Toc416383715"/>
      <w:bookmarkStart w:id="589" w:name="_Toc416447706"/>
      <w:bookmarkStart w:id="590" w:name="_Toc416383716"/>
      <w:bookmarkStart w:id="591" w:name="_Toc416447707"/>
      <w:bookmarkStart w:id="592" w:name="_Toc417544368"/>
      <w:bookmarkStart w:id="593" w:name="_Toc417544369"/>
      <w:bookmarkStart w:id="594" w:name="_Toc417544370"/>
      <w:bookmarkStart w:id="595" w:name="_Toc417544372"/>
      <w:bookmarkStart w:id="596" w:name="_Toc417544374"/>
      <w:bookmarkStart w:id="597" w:name="_Toc417544376"/>
      <w:bookmarkStart w:id="598" w:name="_Toc417544378"/>
      <w:bookmarkStart w:id="599" w:name="_Toc417544381"/>
      <w:bookmarkStart w:id="600" w:name="_Toc417544383"/>
      <w:bookmarkStart w:id="601" w:name="_Toc417544385"/>
      <w:bookmarkStart w:id="602" w:name="_Toc417544390"/>
      <w:bookmarkStart w:id="603" w:name="_Toc417544400"/>
      <w:bookmarkStart w:id="604" w:name="_Toc417544405"/>
      <w:bookmarkStart w:id="605" w:name="_Toc417544410"/>
      <w:bookmarkStart w:id="606" w:name="_Toc417544415"/>
      <w:bookmarkStart w:id="607" w:name="_Toc417544420"/>
      <w:bookmarkStart w:id="608" w:name="_Toc417544425"/>
      <w:bookmarkStart w:id="609" w:name="_Toc417544430"/>
      <w:bookmarkStart w:id="610" w:name="_Toc417544435"/>
      <w:bookmarkStart w:id="611" w:name="_Toc417544440"/>
      <w:bookmarkStart w:id="612" w:name="_Toc417544445"/>
      <w:bookmarkStart w:id="613" w:name="_Toc417544450"/>
      <w:bookmarkStart w:id="614" w:name="_Toc417544455"/>
      <w:bookmarkStart w:id="615" w:name="_Toc417544465"/>
      <w:bookmarkStart w:id="616" w:name="_Toc417544470"/>
      <w:bookmarkStart w:id="617" w:name="_Toc417544475"/>
      <w:bookmarkStart w:id="618" w:name="_Toc417544480"/>
      <w:bookmarkStart w:id="619" w:name="_Toc417544485"/>
      <w:bookmarkStart w:id="620" w:name="_Toc417544490"/>
      <w:bookmarkStart w:id="621" w:name="_Toc417544495"/>
      <w:bookmarkStart w:id="622" w:name="_Toc417544500"/>
      <w:bookmarkStart w:id="623" w:name="_Toc417544505"/>
      <w:bookmarkStart w:id="624" w:name="_Toc417544506"/>
      <w:bookmarkStart w:id="625" w:name="_Toc417544507"/>
      <w:bookmarkStart w:id="626" w:name="_Toc417544508"/>
      <w:bookmarkStart w:id="627" w:name="_Toc417544509"/>
      <w:bookmarkStart w:id="628" w:name="_Toc417544510"/>
      <w:bookmarkStart w:id="629" w:name="_Toc417544511"/>
      <w:bookmarkStart w:id="630" w:name="_Toc417544512"/>
      <w:bookmarkStart w:id="631" w:name="_Toc417544513"/>
      <w:bookmarkStart w:id="632" w:name="_Toc417544514"/>
      <w:bookmarkStart w:id="633" w:name="_Toc417544515"/>
      <w:bookmarkStart w:id="634" w:name="_Toc417544516"/>
      <w:bookmarkStart w:id="635" w:name="_Toc417544517"/>
      <w:bookmarkStart w:id="636" w:name="_Toc417544518"/>
      <w:bookmarkStart w:id="637" w:name="_Toc417544519"/>
      <w:bookmarkStart w:id="638" w:name="_Toc417544520"/>
      <w:bookmarkStart w:id="639" w:name="_Toc417544521"/>
      <w:bookmarkStart w:id="640" w:name="_Toc417544522"/>
      <w:bookmarkStart w:id="641" w:name="_Toc417544523"/>
      <w:bookmarkStart w:id="642" w:name="_Toc417544524"/>
      <w:bookmarkStart w:id="643" w:name="_Toc417544525"/>
      <w:bookmarkStart w:id="644" w:name="_Toc417544526"/>
      <w:bookmarkStart w:id="645" w:name="_Toc417544527"/>
      <w:bookmarkStart w:id="646" w:name="_Toc417544528"/>
      <w:bookmarkStart w:id="647" w:name="_Toc417544529"/>
      <w:bookmarkStart w:id="648" w:name="_Toc417544531"/>
      <w:bookmarkStart w:id="649" w:name="_Toc417544568"/>
      <w:bookmarkStart w:id="650" w:name="_Toc417544570"/>
      <w:bookmarkStart w:id="651" w:name="_Toc417544572"/>
      <w:bookmarkStart w:id="652" w:name="_Toc417544573"/>
      <w:bookmarkStart w:id="653" w:name="_Toc417544575"/>
      <w:bookmarkStart w:id="654" w:name="_Toc417544576"/>
      <w:bookmarkStart w:id="655" w:name="_Toc417544578"/>
      <w:bookmarkStart w:id="656" w:name="_Toc417544579"/>
      <w:bookmarkStart w:id="657" w:name="_Toc417544580"/>
      <w:bookmarkStart w:id="658" w:name="_Toc417544581"/>
      <w:bookmarkStart w:id="659" w:name="_Toc417544583"/>
      <w:bookmarkStart w:id="660" w:name="_Toc417544584"/>
      <w:bookmarkStart w:id="661" w:name="_Toc417544585"/>
      <w:bookmarkStart w:id="662" w:name="_Toc417544586"/>
      <w:bookmarkStart w:id="663" w:name="_Toc417544588"/>
      <w:bookmarkStart w:id="664" w:name="_Toc417544589"/>
      <w:bookmarkStart w:id="665" w:name="_Toc417544590"/>
      <w:bookmarkStart w:id="666" w:name="_Toc417544591"/>
      <w:bookmarkStart w:id="667" w:name="_Toc417544592"/>
      <w:bookmarkStart w:id="668" w:name="_Toc417544595"/>
      <w:bookmarkStart w:id="669" w:name="_Toc417544596"/>
      <w:bookmarkStart w:id="670" w:name="_Toc417544598"/>
      <w:bookmarkStart w:id="671" w:name="_Toc417544599"/>
      <w:bookmarkStart w:id="672" w:name="_Toc417544601"/>
      <w:bookmarkStart w:id="673" w:name="_Toc417544602"/>
      <w:bookmarkStart w:id="674" w:name="_Toc417544603"/>
      <w:bookmarkStart w:id="675" w:name="_Toc417544605"/>
      <w:bookmarkStart w:id="676" w:name="_Toc417544607"/>
      <w:bookmarkStart w:id="677" w:name="_Toc417544608"/>
      <w:bookmarkStart w:id="678" w:name="_Toc416383720"/>
      <w:bookmarkStart w:id="679" w:name="_Toc416447710"/>
      <w:bookmarkStart w:id="680" w:name="_Toc416383721"/>
      <w:bookmarkStart w:id="681" w:name="_Toc416447711"/>
      <w:bookmarkStart w:id="682" w:name="_Toc416383722"/>
      <w:bookmarkStart w:id="683" w:name="_Toc416447712"/>
      <w:bookmarkStart w:id="684" w:name="_Toc416383723"/>
      <w:bookmarkStart w:id="685" w:name="_Toc416447713"/>
      <w:bookmarkStart w:id="686" w:name="_Toc416383724"/>
      <w:bookmarkStart w:id="687" w:name="_Toc416447714"/>
      <w:bookmarkStart w:id="688" w:name="_Toc416800434"/>
      <w:bookmarkStart w:id="689" w:name="_Toc42231210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874BFF">
        <w:rPr>
          <w:rFonts w:ascii="Calibri" w:hAnsi="Calibri"/>
        </w:rPr>
        <w:t>Specific objective 2.1 – Enhancing competitiveness of start-ups and developing SMEs</w:t>
      </w:r>
      <w:bookmarkEnd w:id="688"/>
      <w:bookmarkEnd w:id="689"/>
    </w:p>
    <w:p w14:paraId="5BCB54B2" w14:textId="77777777" w:rsidR="006D3AD5" w:rsidRPr="00874BFF" w:rsidRDefault="006D3AD5" w:rsidP="006D3AD5">
      <w:pPr>
        <w:pStyle w:val="Nadpis3"/>
        <w:rPr>
          <w:rFonts w:ascii="Calibri" w:hAnsi="Calibri"/>
        </w:rPr>
      </w:pPr>
      <w:bookmarkStart w:id="690" w:name="_Toc416800435"/>
      <w:bookmarkStart w:id="691" w:name="_Toc422312108"/>
      <w:r w:rsidRPr="00874BFF">
        <w:rPr>
          <w:rFonts w:ascii="Calibri" w:hAnsi="Calibri"/>
        </w:rPr>
        <w:t>Focus of the specific objective</w:t>
      </w:r>
      <w:bookmarkEnd w:id="690"/>
      <w:bookmarkEnd w:id="691"/>
    </w:p>
    <w:p w14:paraId="227D06E9" w14:textId="77777777" w:rsidR="006D3AD5" w:rsidRPr="00874BFF" w:rsidRDefault="006D3AD5" w:rsidP="006D3AD5">
      <w:pPr>
        <w:pStyle w:val="Neslovannadpisy"/>
      </w:pPr>
      <w:r w:rsidRPr="00874BFF">
        <w:t>Supported activities:</w:t>
      </w:r>
    </w:p>
    <w:p w14:paraId="317ECEBE" w14:textId="77777777" w:rsidR="006D3AD5" w:rsidRPr="00874BFF" w:rsidRDefault="006D3AD5" w:rsidP="006D3AD5">
      <w:pPr>
        <w:pStyle w:val="Odstavecseseznamem1"/>
        <w:numPr>
          <w:ilvl w:val="0"/>
          <w:numId w:val="5"/>
        </w:numPr>
      </w:pPr>
      <w:r w:rsidRPr="00874BFF">
        <w:t>Implementation of business plans of start-ups (up to 3 years of existence) and developing businesses via appropriate financial instruments and subsidies for SMEs, micro-companies in particular.</w:t>
      </w:r>
    </w:p>
    <w:p w14:paraId="68CE2E68" w14:textId="77777777" w:rsidR="006D3AD5" w:rsidRPr="00874BFF" w:rsidRDefault="006D3AD5" w:rsidP="006D3AD5">
      <w:pPr>
        <w:pStyle w:val="Odstavecseseznamem1"/>
        <w:numPr>
          <w:ilvl w:val="0"/>
          <w:numId w:val="5"/>
        </w:numPr>
      </w:pPr>
      <w:r w:rsidRPr="00874BFF">
        <w:t>Provision of consultancy services and services for start-ups all over the Czech Republic except for the capital city of Prague (e.g. through businesses incubators).</w:t>
      </w:r>
    </w:p>
    <w:p w14:paraId="48D72E63" w14:textId="77777777" w:rsidR="006D3AD5" w:rsidRPr="00874BFF" w:rsidRDefault="006D3AD5" w:rsidP="006D3AD5"/>
    <w:p w14:paraId="021B674E" w14:textId="77777777" w:rsidR="006D3AD5" w:rsidRPr="00874BFF" w:rsidRDefault="006D3AD5" w:rsidP="006D3AD5">
      <w:pPr>
        <w:pStyle w:val="Neslovannadpisy"/>
      </w:pPr>
      <w:r w:rsidRPr="00874BFF">
        <w:t>Target group of final recipients:</w:t>
      </w:r>
    </w:p>
    <w:p w14:paraId="7056DEEB" w14:textId="0AE5F2FC" w:rsidR="006D3AD5" w:rsidRPr="00874BFF" w:rsidRDefault="006D3AD5" w:rsidP="006D3AD5">
      <w:r w:rsidRPr="00874BFF">
        <w:t xml:space="preserve">Entrepreneurs (small and medium sized enterprises) in manufacturing industry and services, operators of innovation infrastructure, such as business incubators, scientific and technology parks and innovation centres (only for activities of consultancy and services for start-ups); </w:t>
      </w:r>
      <w:r w:rsidR="00CF3F95">
        <w:t>final recipients</w:t>
      </w:r>
      <w:r w:rsidRPr="00874BFF">
        <w:t xml:space="preserve"> in this specific objective will be non-agricultural entrepreneurs with the project output outside the items contained in the amendment to the Treaty (on the EU), at the same time, support will be provided for projects of agricultural entrepreneurs focusing on business consultancy (not consultancy on agricultural activity).</w:t>
      </w:r>
    </w:p>
    <w:p w14:paraId="4FB2D76E" w14:textId="77777777" w:rsidR="006D3AD5" w:rsidRPr="00874BFF" w:rsidRDefault="006D3AD5" w:rsidP="006D3AD5"/>
    <w:p w14:paraId="1AFF83AF" w14:textId="77777777" w:rsidR="006D3AD5" w:rsidRPr="00874BFF" w:rsidRDefault="006D3AD5" w:rsidP="006D3AD5">
      <w:pPr>
        <w:pStyle w:val="Neslovannadpisy"/>
      </w:pPr>
      <w:r w:rsidRPr="00874BFF">
        <w:t>Target area:</w:t>
      </w:r>
    </w:p>
    <w:p w14:paraId="576B998E" w14:textId="77777777" w:rsidR="006D3AD5" w:rsidRPr="00874BFF" w:rsidRDefault="006D3AD5" w:rsidP="006D3AD5">
      <w:r w:rsidRPr="00874BFF">
        <w:t>Target area: the Czech Republic except for the capital city of Prague</w:t>
      </w:r>
    </w:p>
    <w:p w14:paraId="55EEB347" w14:textId="77777777" w:rsidR="006D3AD5" w:rsidRPr="00874BFF" w:rsidRDefault="006D3AD5" w:rsidP="006D3AD5"/>
    <w:p w14:paraId="41608AB4" w14:textId="77777777" w:rsidR="006D3AD5" w:rsidRPr="00874BFF" w:rsidRDefault="006D3AD5" w:rsidP="006D3AD5">
      <w:pPr>
        <w:pStyle w:val="Neslovannadpisy"/>
      </w:pPr>
      <w:r w:rsidRPr="00874BFF">
        <w:t>Selection of activities for evaluating appropriateness of the financial instrument</w:t>
      </w:r>
    </w:p>
    <w:p w14:paraId="2FB5E20D" w14:textId="77777777" w:rsidR="006D3AD5" w:rsidRPr="00874BFF" w:rsidRDefault="006D3AD5" w:rsidP="006D3AD5">
      <w:r w:rsidRPr="00874BFF">
        <w:t xml:space="preserve">Objective SO 2.1, implementation of business plans and development of companies, is by definition widely suitable for application of financial instruments. The exception is the area of consultancy </w:t>
      </w:r>
      <w:r w:rsidRPr="00874BFF">
        <w:lastRenderedPageBreak/>
        <w:t>services and services for start-ups, which are activities of non-investment character which may, however, help a more efficient implementation of projects supported by financial instruments.</w:t>
      </w:r>
    </w:p>
    <w:p w14:paraId="6FADCB36" w14:textId="77777777" w:rsidR="006D3AD5" w:rsidRPr="00874BFF" w:rsidRDefault="006D3AD5" w:rsidP="006D3AD5"/>
    <w:p w14:paraId="7959C32F" w14:textId="77777777" w:rsidR="006D3AD5" w:rsidRPr="00874BFF" w:rsidRDefault="006D3AD5" w:rsidP="006D3AD5">
      <w:pPr>
        <w:pStyle w:val="Nadpis3"/>
        <w:rPr>
          <w:rFonts w:ascii="Calibri" w:hAnsi="Calibri"/>
        </w:rPr>
      </w:pPr>
      <w:bookmarkStart w:id="692" w:name="_Toc417544611"/>
      <w:bookmarkStart w:id="693" w:name="_Toc416800436"/>
      <w:bookmarkStart w:id="694" w:name="_Toc422312109"/>
      <w:bookmarkEnd w:id="692"/>
      <w:r w:rsidRPr="00874BFF">
        <w:rPr>
          <w:rFonts w:ascii="Calibri" w:hAnsi="Calibri"/>
        </w:rPr>
        <w:t>Analysis of market failures</w:t>
      </w:r>
      <w:bookmarkStart w:id="695" w:name="RANGE!F22"/>
      <w:bookmarkStart w:id="696" w:name="RANGE!G22"/>
      <w:bookmarkStart w:id="697" w:name="RANGE!H22"/>
      <w:bookmarkStart w:id="698" w:name="RANGE!I22"/>
      <w:bookmarkStart w:id="699" w:name="RANGE!J22"/>
      <w:bookmarkStart w:id="700" w:name="RANGE!K22"/>
      <w:bookmarkStart w:id="701" w:name="RANGE!L22"/>
      <w:bookmarkStart w:id="702" w:name="RANGE!M22"/>
      <w:bookmarkStart w:id="703" w:name="RANGE!N22"/>
      <w:bookmarkStart w:id="704" w:name="RANGE!F23"/>
      <w:bookmarkStart w:id="705" w:name="RANGE!H23"/>
      <w:bookmarkStart w:id="706" w:name="RANGE!I23"/>
      <w:bookmarkStart w:id="707" w:name="RANGE!J23"/>
      <w:bookmarkStart w:id="708" w:name="RANGE!K23"/>
      <w:bookmarkStart w:id="709" w:name="RANGE!L23"/>
      <w:bookmarkStart w:id="710" w:name="RANGE!M23"/>
      <w:bookmarkStart w:id="711" w:name="RANGE!N23"/>
      <w:bookmarkStart w:id="712" w:name="RANGE!F24"/>
      <w:bookmarkStart w:id="713" w:name="RANGE!H24"/>
      <w:bookmarkStart w:id="714" w:name="RANGE!I24"/>
      <w:bookmarkStart w:id="715" w:name="RANGE!J24"/>
      <w:bookmarkStart w:id="716" w:name="RANGE!K24"/>
      <w:bookmarkStart w:id="717" w:name="RANGE!L24"/>
      <w:bookmarkStart w:id="718" w:name="RANGE!M24"/>
      <w:bookmarkStart w:id="719" w:name="RANGE!N24"/>
      <w:bookmarkStart w:id="720" w:name="RANGE!F25"/>
      <w:bookmarkStart w:id="721" w:name="RANGE!H25"/>
      <w:bookmarkStart w:id="722" w:name="RANGE!I25"/>
      <w:bookmarkStart w:id="723" w:name="RANGE!J25"/>
      <w:bookmarkStart w:id="724" w:name="RANGE!K25"/>
      <w:bookmarkStart w:id="725" w:name="RANGE!L25"/>
      <w:bookmarkStart w:id="726" w:name="RANGE!M25"/>
      <w:bookmarkStart w:id="727" w:name="RANGE!N25"/>
      <w:bookmarkStart w:id="728" w:name="RANGE!F26"/>
      <w:bookmarkStart w:id="729" w:name="RANGE!G26"/>
      <w:bookmarkStart w:id="730" w:name="RANGE!H26"/>
      <w:bookmarkStart w:id="731" w:name="RANGE!I26"/>
      <w:bookmarkStart w:id="732" w:name="RANGE!J26"/>
      <w:bookmarkStart w:id="733" w:name="RANGE!K26"/>
      <w:bookmarkStart w:id="734" w:name="RANGE!L26"/>
      <w:bookmarkStart w:id="735" w:name="RANGE!M26"/>
      <w:bookmarkStart w:id="736" w:name="RANGE!N26"/>
      <w:bookmarkEnd w:id="693"/>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694"/>
    </w:p>
    <w:p w14:paraId="03A1E9EC" w14:textId="77777777" w:rsidR="006D3AD5" w:rsidRPr="00874BFF" w:rsidRDefault="006D3AD5" w:rsidP="006D3AD5">
      <w:pPr>
        <w:pStyle w:val="Nadpis4"/>
        <w:rPr>
          <w:rFonts w:ascii="Calibri" w:hAnsi="Calibri"/>
        </w:rPr>
      </w:pPr>
      <w:r w:rsidRPr="00874BFF">
        <w:rPr>
          <w:rFonts w:ascii="Calibri" w:hAnsi="Calibri"/>
        </w:rPr>
        <w:t>Market analysis</w:t>
      </w:r>
    </w:p>
    <w:p w14:paraId="7597C258" w14:textId="77777777" w:rsidR="006D3AD5" w:rsidRPr="00874BFF" w:rsidRDefault="006D3AD5" w:rsidP="006D3AD5"/>
    <w:p w14:paraId="5A07B256" w14:textId="77777777" w:rsidR="006D3AD5" w:rsidRPr="00874BFF" w:rsidRDefault="006D3AD5" w:rsidP="006D3AD5">
      <w:r w:rsidRPr="00874BFF">
        <w:t xml:space="preserve">The number of small and medium sized enterprises in the Czech Republic has been around 1 million in the long term. </w:t>
      </w:r>
      <w:r w:rsidRPr="00874BFF">
        <w:rPr>
          <w:b/>
        </w:rPr>
        <w:t>Their investment activity was worth CZK 321 billion in 2013</w:t>
      </w:r>
      <w:r w:rsidRPr="00874BFF">
        <w:t xml:space="preserve"> and showed a radical year-on-year decrease already in the second successive year. These results are also corresponding to the OECD data on business loans of SMEs. </w:t>
      </w:r>
      <w:r w:rsidRPr="00874BFF">
        <w:rPr>
          <w:b/>
        </w:rPr>
        <w:t>In 2013, loans to Czech SMEs decreased from CZK 129 bn to CZK 87 bn</w:t>
      </w:r>
      <w:r w:rsidRPr="00874BFF">
        <w:t>. These slumps are closely connected with the recession in the Czech Republic in 2013. Since 2014, the Czech Republic has been showing a low growth and a slow recovery of economic activity, which means that there is a projection of gradual growth of the volume of SMEs' investments and loans. Nevertheless, negative impacts of economic turbulences after 2007 are clearly evident from the development in business loans.</w:t>
      </w:r>
    </w:p>
    <w:p w14:paraId="74517D8F" w14:textId="77777777" w:rsidR="006D3AD5" w:rsidRPr="00874BFF" w:rsidRDefault="006D3AD5" w:rsidP="006D3AD5">
      <w:pPr>
        <w:pStyle w:val="Titulek"/>
        <w:keepNext/>
        <w:jc w:val="left"/>
      </w:pPr>
      <w:r>
        <w:rPr>
          <w:noProof/>
          <w:lang w:eastAsia="cs-CZ"/>
        </w:rPr>
        <w:drawing>
          <wp:inline distT="0" distB="0" distL="0" distR="0" wp14:anchorId="6BDD5EB8" wp14:editId="05945E89">
            <wp:extent cx="5135245" cy="3263900"/>
            <wp:effectExtent l="0" t="0" r="0" b="0"/>
            <wp:docPr id="106" name="Graf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4ABB80" w14:textId="3A86996B" w:rsidR="006D3AD5" w:rsidRPr="00874BFF" w:rsidRDefault="00AE6275" w:rsidP="006D3AD5">
      <w:pPr>
        <w:pStyle w:val="Titulek"/>
      </w:pPr>
      <w:r>
        <w:t>Figure</w:t>
      </w:r>
      <w:r w:rsidRPr="00874BFF">
        <w:t> </w:t>
      </w:r>
      <w:r>
        <w:t>11</w:t>
      </w:r>
      <w:r w:rsidR="006D3AD5" w:rsidRPr="00874BFF">
        <w:t>: Development of SMEs' investments in 2009–2013</w:t>
      </w:r>
    </w:p>
    <w:p w14:paraId="4F0814B6" w14:textId="77777777" w:rsidR="006D3AD5" w:rsidRPr="00874BFF" w:rsidRDefault="006D3AD5" w:rsidP="006D3AD5">
      <w:pPr>
        <w:pStyle w:val="Titulek"/>
      </w:pPr>
      <w:r w:rsidRPr="00874BFF">
        <w:t>Source: Report on SMEs' development in 2013, MIT</w:t>
      </w:r>
    </w:p>
    <w:p w14:paraId="040F63A9" w14:textId="77777777" w:rsidR="006D3AD5" w:rsidRPr="00874BFF" w:rsidRDefault="006D3AD5" w:rsidP="006D3AD5">
      <w:pPr>
        <w:pStyle w:val="Titulek"/>
        <w:keepNext/>
      </w:pPr>
    </w:p>
    <w:p w14:paraId="5D6F0031" w14:textId="77777777" w:rsidR="006D3AD5" w:rsidRPr="00874BFF" w:rsidRDefault="006D3AD5" w:rsidP="006D3AD5">
      <w:pPr>
        <w:pStyle w:val="Titulek"/>
        <w:keepNext/>
      </w:pPr>
      <w:r w:rsidRPr="00874BFF">
        <w:rPr>
          <w:noProof/>
          <w:lang w:eastAsia="cs-CZ"/>
        </w:rPr>
        <w:drawing>
          <wp:inline distT="0" distB="0" distL="0" distR="0" wp14:anchorId="3F0F5BE7" wp14:editId="4B45729A">
            <wp:extent cx="5215890" cy="3124835"/>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890" cy="3124835"/>
                    </a:xfrm>
                    <a:prstGeom prst="rect">
                      <a:avLst/>
                    </a:prstGeom>
                    <a:noFill/>
                    <a:ln>
                      <a:noFill/>
                    </a:ln>
                  </pic:spPr>
                </pic:pic>
              </a:graphicData>
            </a:graphic>
          </wp:inline>
        </w:drawing>
      </w:r>
    </w:p>
    <w:p w14:paraId="066741AE" w14:textId="38AA0938" w:rsidR="006D3AD5" w:rsidRPr="00874BFF" w:rsidRDefault="00AE6275" w:rsidP="006D3AD5">
      <w:pPr>
        <w:pStyle w:val="Titulek"/>
        <w:keepNext/>
      </w:pPr>
      <w:r>
        <w:t>Figure</w:t>
      </w:r>
      <w:r w:rsidRPr="00874BFF">
        <w:t> </w:t>
      </w:r>
      <w:r>
        <w:t>12</w:t>
      </w:r>
      <w:r w:rsidR="006D3AD5" w:rsidRPr="00874BFF">
        <w:t>: Development of SMEs' loans in the Czech Republic, 2007–2014, in million CZK</w:t>
      </w:r>
      <w:r w:rsidR="006D3AD5" w:rsidRPr="00874BFF">
        <w:rPr>
          <w:rStyle w:val="Znakapoznpodarou"/>
          <w:rFonts w:ascii="Calibri" w:hAnsi="Calibri"/>
        </w:rPr>
        <w:footnoteReference w:id="24"/>
      </w:r>
    </w:p>
    <w:p w14:paraId="424F5693" w14:textId="77777777" w:rsidR="006D3AD5" w:rsidRPr="00874BFF" w:rsidRDefault="006D3AD5" w:rsidP="006D3AD5">
      <w:pPr>
        <w:pStyle w:val="Titulek"/>
        <w:keepNext/>
      </w:pPr>
      <w:r w:rsidRPr="00874BFF">
        <w:t>Source: CNB, OECD</w:t>
      </w:r>
    </w:p>
    <w:p w14:paraId="78B91F3D" w14:textId="77777777" w:rsidR="006D3AD5" w:rsidRPr="00874BFF" w:rsidRDefault="006D3AD5" w:rsidP="006D3AD5"/>
    <w:p w14:paraId="70F05F31" w14:textId="6FB3087E" w:rsidR="006D3AD5" w:rsidRPr="00874BFF" w:rsidRDefault="006D3AD5" w:rsidP="006D3AD5">
      <w:r w:rsidRPr="00874BFF">
        <w:rPr>
          <w:b/>
        </w:rPr>
        <w:t xml:space="preserve">The supply of resources and availability of funding were influenced by the public support from programmes implemented by the CMZR Bank (Českomoravská záruční a rozvojová banka). </w:t>
      </w:r>
      <w:r w:rsidRPr="00874BFF">
        <w:t>In the 2007–2013 programming period, the OPEI, namely programmes Start, Guarantee and Progress, provided soft loans worth CZK 3.9 bn and guarantees worth CZK 11.5 bn which attracted other private funding. According to th</w:t>
      </w:r>
      <w:r w:rsidR="008C457B">
        <w:t>e current data by the CMZR Bank</w:t>
      </w:r>
      <w:r w:rsidRPr="00874BFF">
        <w:t>,</w:t>
      </w:r>
      <w:r w:rsidR="008C457B">
        <w:t xml:space="preserve"> </w:t>
      </w:r>
      <w:r w:rsidRPr="00874BFF">
        <w:t xml:space="preserve">the national programme Guarantee provided guarantees of CZK 18.8 bn. </w:t>
      </w:r>
    </w:p>
    <w:p w14:paraId="5080DAB4" w14:textId="77777777" w:rsidR="006D3AD5" w:rsidRPr="00874BFF" w:rsidRDefault="006D3AD5" w:rsidP="006D3AD5"/>
    <w:tbl>
      <w:tblPr>
        <w:tblW w:w="9591" w:type="dxa"/>
        <w:tblInd w:w="93" w:type="dxa"/>
        <w:tblLayout w:type="fixed"/>
        <w:tblLook w:val="00A0" w:firstRow="1" w:lastRow="0" w:firstColumn="1" w:lastColumn="0" w:noHBand="0" w:noVBand="0"/>
      </w:tblPr>
      <w:tblGrid>
        <w:gridCol w:w="2564"/>
        <w:gridCol w:w="995"/>
        <w:gridCol w:w="861"/>
        <w:gridCol w:w="862"/>
        <w:gridCol w:w="862"/>
        <w:gridCol w:w="861"/>
        <w:gridCol w:w="862"/>
        <w:gridCol w:w="862"/>
        <w:gridCol w:w="862"/>
      </w:tblGrid>
      <w:tr w:rsidR="006D3AD5" w:rsidRPr="00874BFF" w14:paraId="010719D4" w14:textId="77777777" w:rsidTr="00443B8F">
        <w:trPr>
          <w:trHeight w:val="270"/>
        </w:trPr>
        <w:tc>
          <w:tcPr>
            <w:tcW w:w="2564" w:type="dxa"/>
            <w:tcBorders>
              <w:top w:val="single" w:sz="8" w:space="0" w:color="auto"/>
              <w:left w:val="nil"/>
              <w:bottom w:val="single" w:sz="8" w:space="0" w:color="auto"/>
              <w:right w:val="nil"/>
            </w:tcBorders>
            <w:shd w:val="clear" w:color="000000" w:fill="95B3D7"/>
            <w:noWrap/>
            <w:vAlign w:val="center"/>
          </w:tcPr>
          <w:p w14:paraId="7A5307A0" w14:textId="77777777" w:rsidR="006D3AD5" w:rsidRPr="00874BFF" w:rsidRDefault="006D3AD5" w:rsidP="00443B8F">
            <w:pPr>
              <w:rPr>
                <w:rFonts w:cs="Arial"/>
                <w:b/>
                <w:bCs/>
                <w:color w:val="000000"/>
                <w:sz w:val="16"/>
                <w:szCs w:val="16"/>
              </w:rPr>
            </w:pPr>
            <w:r w:rsidRPr="00874BFF">
              <w:rPr>
                <w:b/>
                <w:color w:val="000000"/>
                <w:sz w:val="16"/>
              </w:rPr>
              <w:t>Indicators</w:t>
            </w:r>
          </w:p>
        </w:tc>
        <w:tc>
          <w:tcPr>
            <w:tcW w:w="995" w:type="dxa"/>
            <w:tcBorders>
              <w:top w:val="single" w:sz="8" w:space="0" w:color="auto"/>
              <w:left w:val="nil"/>
              <w:bottom w:val="single" w:sz="8" w:space="0" w:color="auto"/>
              <w:right w:val="nil"/>
            </w:tcBorders>
            <w:shd w:val="clear" w:color="000000" w:fill="95B3D7"/>
            <w:noWrap/>
            <w:vAlign w:val="center"/>
          </w:tcPr>
          <w:p w14:paraId="5E5875F7" w14:textId="77777777" w:rsidR="006D3AD5" w:rsidRPr="00874BFF" w:rsidRDefault="006D3AD5" w:rsidP="00443B8F">
            <w:pPr>
              <w:rPr>
                <w:rFonts w:cs="Arial"/>
                <w:b/>
                <w:bCs/>
                <w:color w:val="000000"/>
                <w:sz w:val="16"/>
                <w:szCs w:val="16"/>
              </w:rPr>
            </w:pPr>
            <w:r w:rsidRPr="00874BFF">
              <w:rPr>
                <w:b/>
                <w:color w:val="000000"/>
                <w:sz w:val="16"/>
              </w:rPr>
              <w:t>Units</w:t>
            </w:r>
          </w:p>
        </w:tc>
        <w:tc>
          <w:tcPr>
            <w:tcW w:w="861" w:type="dxa"/>
            <w:tcBorders>
              <w:top w:val="single" w:sz="8" w:space="0" w:color="auto"/>
              <w:left w:val="nil"/>
              <w:bottom w:val="single" w:sz="8" w:space="0" w:color="auto"/>
              <w:right w:val="nil"/>
            </w:tcBorders>
            <w:shd w:val="clear" w:color="000000" w:fill="95B3D7"/>
            <w:vAlign w:val="center"/>
          </w:tcPr>
          <w:p w14:paraId="02B273DA" w14:textId="77777777" w:rsidR="006D3AD5" w:rsidRPr="00874BFF" w:rsidRDefault="006D3AD5" w:rsidP="00443B8F">
            <w:pPr>
              <w:jc w:val="center"/>
              <w:rPr>
                <w:rFonts w:cs="Arial"/>
                <w:b/>
                <w:bCs/>
                <w:color w:val="000000"/>
                <w:sz w:val="16"/>
                <w:szCs w:val="16"/>
              </w:rPr>
            </w:pPr>
            <w:r w:rsidRPr="00874BFF">
              <w:rPr>
                <w:b/>
                <w:color w:val="000000"/>
                <w:sz w:val="16"/>
              </w:rPr>
              <w:t>2007</w:t>
            </w:r>
          </w:p>
        </w:tc>
        <w:tc>
          <w:tcPr>
            <w:tcW w:w="862" w:type="dxa"/>
            <w:tcBorders>
              <w:top w:val="single" w:sz="8" w:space="0" w:color="auto"/>
              <w:left w:val="nil"/>
              <w:bottom w:val="single" w:sz="8" w:space="0" w:color="auto"/>
              <w:right w:val="nil"/>
            </w:tcBorders>
            <w:shd w:val="clear" w:color="000000" w:fill="95B3D7"/>
            <w:vAlign w:val="center"/>
          </w:tcPr>
          <w:p w14:paraId="131333FC" w14:textId="77777777" w:rsidR="006D3AD5" w:rsidRPr="00874BFF" w:rsidRDefault="006D3AD5" w:rsidP="00443B8F">
            <w:pPr>
              <w:jc w:val="center"/>
              <w:rPr>
                <w:rFonts w:cs="Arial"/>
                <w:b/>
                <w:bCs/>
                <w:color w:val="000000"/>
                <w:sz w:val="16"/>
                <w:szCs w:val="16"/>
              </w:rPr>
            </w:pPr>
            <w:r w:rsidRPr="00874BFF">
              <w:rPr>
                <w:b/>
                <w:color w:val="000000"/>
                <w:sz w:val="16"/>
              </w:rPr>
              <w:t>2008</w:t>
            </w:r>
          </w:p>
        </w:tc>
        <w:tc>
          <w:tcPr>
            <w:tcW w:w="862" w:type="dxa"/>
            <w:tcBorders>
              <w:top w:val="single" w:sz="8" w:space="0" w:color="auto"/>
              <w:left w:val="nil"/>
              <w:bottom w:val="single" w:sz="8" w:space="0" w:color="auto"/>
              <w:right w:val="nil"/>
            </w:tcBorders>
            <w:shd w:val="clear" w:color="000000" w:fill="95B3D7"/>
            <w:vAlign w:val="center"/>
          </w:tcPr>
          <w:p w14:paraId="62BE1075" w14:textId="77777777" w:rsidR="006D3AD5" w:rsidRPr="00874BFF" w:rsidRDefault="006D3AD5" w:rsidP="00443B8F">
            <w:pPr>
              <w:jc w:val="center"/>
              <w:rPr>
                <w:rFonts w:cs="Arial"/>
                <w:b/>
                <w:bCs/>
                <w:color w:val="000000"/>
                <w:sz w:val="16"/>
                <w:szCs w:val="16"/>
              </w:rPr>
            </w:pPr>
            <w:r w:rsidRPr="00874BFF">
              <w:rPr>
                <w:b/>
                <w:color w:val="000000"/>
                <w:sz w:val="16"/>
              </w:rPr>
              <w:t>2009</w:t>
            </w:r>
          </w:p>
        </w:tc>
        <w:tc>
          <w:tcPr>
            <w:tcW w:w="861" w:type="dxa"/>
            <w:tcBorders>
              <w:top w:val="single" w:sz="8" w:space="0" w:color="auto"/>
              <w:left w:val="nil"/>
              <w:bottom w:val="single" w:sz="8" w:space="0" w:color="auto"/>
              <w:right w:val="nil"/>
            </w:tcBorders>
            <w:shd w:val="clear" w:color="000000" w:fill="95B3D7"/>
            <w:noWrap/>
            <w:vAlign w:val="center"/>
          </w:tcPr>
          <w:p w14:paraId="308A350B" w14:textId="77777777" w:rsidR="006D3AD5" w:rsidRPr="00874BFF" w:rsidRDefault="006D3AD5" w:rsidP="00443B8F">
            <w:pPr>
              <w:jc w:val="center"/>
              <w:rPr>
                <w:rFonts w:cs="Arial"/>
                <w:b/>
                <w:bCs/>
                <w:color w:val="000000"/>
                <w:sz w:val="16"/>
                <w:szCs w:val="16"/>
              </w:rPr>
            </w:pPr>
            <w:r w:rsidRPr="00874BFF">
              <w:rPr>
                <w:b/>
                <w:color w:val="000000"/>
                <w:sz w:val="16"/>
              </w:rPr>
              <w:t>2010</w:t>
            </w:r>
          </w:p>
        </w:tc>
        <w:tc>
          <w:tcPr>
            <w:tcW w:w="862" w:type="dxa"/>
            <w:tcBorders>
              <w:top w:val="single" w:sz="8" w:space="0" w:color="auto"/>
              <w:left w:val="nil"/>
              <w:bottom w:val="single" w:sz="8" w:space="0" w:color="auto"/>
              <w:right w:val="nil"/>
            </w:tcBorders>
            <w:shd w:val="clear" w:color="000000" w:fill="95B3D7"/>
            <w:vAlign w:val="center"/>
          </w:tcPr>
          <w:p w14:paraId="4121A6FC" w14:textId="77777777" w:rsidR="006D3AD5" w:rsidRPr="00874BFF" w:rsidRDefault="006D3AD5" w:rsidP="00443B8F">
            <w:pPr>
              <w:jc w:val="center"/>
              <w:rPr>
                <w:rFonts w:cs="Arial"/>
                <w:b/>
                <w:bCs/>
                <w:color w:val="000000"/>
                <w:sz w:val="16"/>
                <w:szCs w:val="16"/>
              </w:rPr>
            </w:pPr>
            <w:r w:rsidRPr="00874BFF">
              <w:rPr>
                <w:b/>
                <w:color w:val="000000"/>
                <w:sz w:val="16"/>
              </w:rPr>
              <w:t>2011</w:t>
            </w:r>
          </w:p>
        </w:tc>
        <w:tc>
          <w:tcPr>
            <w:tcW w:w="862" w:type="dxa"/>
            <w:tcBorders>
              <w:top w:val="single" w:sz="8" w:space="0" w:color="auto"/>
              <w:left w:val="nil"/>
              <w:bottom w:val="single" w:sz="8" w:space="0" w:color="auto"/>
              <w:right w:val="nil"/>
            </w:tcBorders>
            <w:shd w:val="clear" w:color="000000" w:fill="95B3D7"/>
            <w:vAlign w:val="center"/>
          </w:tcPr>
          <w:p w14:paraId="430FF008" w14:textId="77777777" w:rsidR="006D3AD5" w:rsidRPr="00874BFF" w:rsidRDefault="006D3AD5" w:rsidP="00443B8F">
            <w:pPr>
              <w:jc w:val="center"/>
              <w:rPr>
                <w:rFonts w:cs="Arial"/>
                <w:b/>
                <w:bCs/>
                <w:color w:val="000000"/>
                <w:sz w:val="16"/>
                <w:szCs w:val="16"/>
              </w:rPr>
            </w:pPr>
            <w:r w:rsidRPr="00874BFF">
              <w:rPr>
                <w:b/>
                <w:color w:val="000000"/>
                <w:sz w:val="16"/>
              </w:rPr>
              <w:t>2012</w:t>
            </w:r>
          </w:p>
        </w:tc>
        <w:tc>
          <w:tcPr>
            <w:tcW w:w="862" w:type="dxa"/>
            <w:tcBorders>
              <w:top w:val="single" w:sz="8" w:space="0" w:color="auto"/>
              <w:left w:val="nil"/>
              <w:bottom w:val="single" w:sz="8" w:space="0" w:color="auto"/>
              <w:right w:val="nil"/>
            </w:tcBorders>
            <w:shd w:val="clear" w:color="000000" w:fill="95B3D7"/>
            <w:vAlign w:val="center"/>
          </w:tcPr>
          <w:p w14:paraId="55783E9E" w14:textId="77777777" w:rsidR="006D3AD5" w:rsidRPr="00874BFF" w:rsidRDefault="006D3AD5" w:rsidP="00443B8F">
            <w:pPr>
              <w:jc w:val="center"/>
              <w:rPr>
                <w:rFonts w:cs="Arial"/>
                <w:b/>
                <w:bCs/>
                <w:color w:val="000000"/>
                <w:sz w:val="16"/>
                <w:szCs w:val="16"/>
              </w:rPr>
            </w:pPr>
            <w:r w:rsidRPr="00874BFF">
              <w:rPr>
                <w:b/>
                <w:color w:val="000000"/>
                <w:sz w:val="16"/>
              </w:rPr>
              <w:t>2013</w:t>
            </w:r>
          </w:p>
        </w:tc>
      </w:tr>
      <w:tr w:rsidR="006D3AD5" w:rsidRPr="00874BFF" w14:paraId="2F649840" w14:textId="77777777" w:rsidTr="00443B8F">
        <w:trPr>
          <w:trHeight w:val="270"/>
        </w:trPr>
        <w:tc>
          <w:tcPr>
            <w:tcW w:w="2564" w:type="dxa"/>
            <w:tcBorders>
              <w:top w:val="nil"/>
              <w:left w:val="nil"/>
              <w:bottom w:val="single" w:sz="8" w:space="0" w:color="auto"/>
              <w:right w:val="nil"/>
            </w:tcBorders>
            <w:shd w:val="clear" w:color="000000" w:fill="B8CCE4"/>
            <w:noWrap/>
            <w:vAlign w:val="center"/>
          </w:tcPr>
          <w:p w14:paraId="0876991C" w14:textId="77777777" w:rsidR="006D3AD5" w:rsidRPr="00874BFF" w:rsidRDefault="006D3AD5" w:rsidP="00443B8F">
            <w:pPr>
              <w:rPr>
                <w:rFonts w:cs="Arial"/>
                <w:b/>
                <w:bCs/>
                <w:color w:val="000000"/>
                <w:sz w:val="16"/>
                <w:szCs w:val="16"/>
              </w:rPr>
            </w:pPr>
          </w:p>
        </w:tc>
        <w:tc>
          <w:tcPr>
            <w:tcW w:w="995" w:type="dxa"/>
            <w:tcBorders>
              <w:top w:val="nil"/>
              <w:left w:val="nil"/>
              <w:bottom w:val="single" w:sz="8" w:space="0" w:color="auto"/>
              <w:right w:val="nil"/>
            </w:tcBorders>
            <w:shd w:val="clear" w:color="000000" w:fill="B8CCE4"/>
            <w:noWrap/>
            <w:vAlign w:val="center"/>
          </w:tcPr>
          <w:p w14:paraId="48DC7867" w14:textId="77777777" w:rsidR="006D3AD5" w:rsidRPr="00874BFF" w:rsidRDefault="006D3AD5" w:rsidP="00443B8F">
            <w:pPr>
              <w:rPr>
                <w:rFonts w:cs="Arial"/>
                <w:b/>
                <w:bCs/>
                <w:color w:val="000000"/>
                <w:sz w:val="16"/>
                <w:szCs w:val="16"/>
              </w:rPr>
            </w:pPr>
            <w:r w:rsidRPr="00874BFF">
              <w:rPr>
                <w:b/>
                <w:color w:val="000000"/>
                <w:sz w:val="16"/>
              </w:rPr>
              <w:t> </w:t>
            </w:r>
          </w:p>
        </w:tc>
        <w:tc>
          <w:tcPr>
            <w:tcW w:w="861" w:type="dxa"/>
            <w:tcBorders>
              <w:top w:val="nil"/>
              <w:left w:val="nil"/>
              <w:bottom w:val="single" w:sz="8" w:space="0" w:color="auto"/>
              <w:right w:val="nil"/>
            </w:tcBorders>
            <w:shd w:val="clear" w:color="000000" w:fill="B8CCE4"/>
            <w:noWrap/>
            <w:vAlign w:val="center"/>
          </w:tcPr>
          <w:p w14:paraId="4D03D35B" w14:textId="77777777" w:rsidR="006D3AD5" w:rsidRPr="00874BFF" w:rsidRDefault="006D3AD5" w:rsidP="00443B8F">
            <w:pPr>
              <w:jc w:val="center"/>
              <w:rPr>
                <w:rFonts w:cs="Arial"/>
                <w:b/>
                <w:bCs/>
                <w:color w:val="000000"/>
                <w:sz w:val="16"/>
                <w:szCs w:val="16"/>
              </w:rPr>
            </w:pPr>
            <w:r w:rsidRPr="00874BFF">
              <w:rPr>
                <w:b/>
                <w:color w:val="000000"/>
                <w:sz w:val="16"/>
              </w:rPr>
              <w:t> </w:t>
            </w:r>
          </w:p>
        </w:tc>
        <w:tc>
          <w:tcPr>
            <w:tcW w:w="862" w:type="dxa"/>
            <w:tcBorders>
              <w:top w:val="nil"/>
              <w:left w:val="nil"/>
              <w:bottom w:val="single" w:sz="8" w:space="0" w:color="auto"/>
              <w:right w:val="nil"/>
            </w:tcBorders>
            <w:shd w:val="clear" w:color="000000" w:fill="B8CCE4"/>
            <w:noWrap/>
            <w:vAlign w:val="center"/>
          </w:tcPr>
          <w:p w14:paraId="26D03A9A" w14:textId="77777777" w:rsidR="006D3AD5" w:rsidRPr="00874BFF" w:rsidRDefault="006D3AD5" w:rsidP="00443B8F">
            <w:pPr>
              <w:jc w:val="center"/>
              <w:rPr>
                <w:rFonts w:cs="Arial"/>
                <w:b/>
                <w:bCs/>
                <w:color w:val="000000"/>
                <w:sz w:val="16"/>
                <w:szCs w:val="16"/>
              </w:rPr>
            </w:pPr>
            <w:r w:rsidRPr="00874BFF">
              <w:rPr>
                <w:b/>
                <w:color w:val="000000"/>
                <w:sz w:val="16"/>
              </w:rPr>
              <w:t> </w:t>
            </w:r>
          </w:p>
        </w:tc>
        <w:tc>
          <w:tcPr>
            <w:tcW w:w="862" w:type="dxa"/>
            <w:tcBorders>
              <w:top w:val="nil"/>
              <w:left w:val="nil"/>
              <w:bottom w:val="single" w:sz="8" w:space="0" w:color="auto"/>
              <w:right w:val="nil"/>
            </w:tcBorders>
            <w:shd w:val="clear" w:color="000000" w:fill="B8CCE4"/>
            <w:noWrap/>
            <w:vAlign w:val="center"/>
          </w:tcPr>
          <w:p w14:paraId="1D64F90B" w14:textId="77777777" w:rsidR="006D3AD5" w:rsidRPr="00874BFF" w:rsidRDefault="006D3AD5" w:rsidP="00443B8F">
            <w:pPr>
              <w:jc w:val="center"/>
              <w:rPr>
                <w:rFonts w:cs="Arial"/>
                <w:b/>
                <w:bCs/>
                <w:color w:val="000000"/>
                <w:sz w:val="16"/>
                <w:szCs w:val="16"/>
              </w:rPr>
            </w:pPr>
            <w:r w:rsidRPr="00874BFF">
              <w:rPr>
                <w:b/>
                <w:color w:val="000000"/>
                <w:sz w:val="16"/>
              </w:rPr>
              <w:t> </w:t>
            </w:r>
          </w:p>
        </w:tc>
        <w:tc>
          <w:tcPr>
            <w:tcW w:w="861" w:type="dxa"/>
            <w:tcBorders>
              <w:top w:val="nil"/>
              <w:left w:val="nil"/>
              <w:bottom w:val="single" w:sz="8" w:space="0" w:color="auto"/>
              <w:right w:val="nil"/>
            </w:tcBorders>
            <w:shd w:val="clear" w:color="000000" w:fill="B8CCE4"/>
            <w:noWrap/>
            <w:vAlign w:val="center"/>
          </w:tcPr>
          <w:p w14:paraId="45B2DF55" w14:textId="77777777" w:rsidR="006D3AD5" w:rsidRPr="00874BFF" w:rsidRDefault="006D3AD5" w:rsidP="00443B8F">
            <w:pPr>
              <w:jc w:val="center"/>
              <w:rPr>
                <w:rFonts w:cs="Arial"/>
                <w:color w:val="000000"/>
                <w:sz w:val="16"/>
                <w:szCs w:val="16"/>
              </w:rPr>
            </w:pPr>
            <w:r w:rsidRPr="00874BFF">
              <w:rPr>
                <w:color w:val="000000"/>
                <w:sz w:val="16"/>
              </w:rPr>
              <w:t> </w:t>
            </w:r>
          </w:p>
        </w:tc>
        <w:tc>
          <w:tcPr>
            <w:tcW w:w="862" w:type="dxa"/>
            <w:tcBorders>
              <w:top w:val="nil"/>
              <w:left w:val="nil"/>
              <w:bottom w:val="single" w:sz="8" w:space="0" w:color="auto"/>
              <w:right w:val="nil"/>
            </w:tcBorders>
            <w:shd w:val="clear" w:color="000000" w:fill="B8CCE4"/>
            <w:vAlign w:val="center"/>
          </w:tcPr>
          <w:p w14:paraId="7A2E8C87" w14:textId="77777777" w:rsidR="006D3AD5" w:rsidRPr="00874BFF" w:rsidRDefault="006D3AD5" w:rsidP="00443B8F">
            <w:pPr>
              <w:jc w:val="center"/>
              <w:rPr>
                <w:rFonts w:cs="Arial"/>
                <w:color w:val="000000"/>
                <w:sz w:val="16"/>
                <w:szCs w:val="16"/>
              </w:rPr>
            </w:pPr>
            <w:r w:rsidRPr="00874BFF">
              <w:rPr>
                <w:color w:val="000000"/>
                <w:sz w:val="16"/>
              </w:rPr>
              <w:t> </w:t>
            </w:r>
          </w:p>
        </w:tc>
        <w:tc>
          <w:tcPr>
            <w:tcW w:w="862" w:type="dxa"/>
            <w:tcBorders>
              <w:top w:val="nil"/>
              <w:left w:val="nil"/>
              <w:bottom w:val="single" w:sz="8" w:space="0" w:color="auto"/>
              <w:right w:val="nil"/>
            </w:tcBorders>
            <w:shd w:val="clear" w:color="000000" w:fill="B8CCE4"/>
            <w:vAlign w:val="center"/>
          </w:tcPr>
          <w:p w14:paraId="66D21046" w14:textId="77777777" w:rsidR="006D3AD5" w:rsidRPr="00874BFF" w:rsidRDefault="006D3AD5" w:rsidP="00443B8F">
            <w:pPr>
              <w:jc w:val="center"/>
              <w:rPr>
                <w:rFonts w:cs="Arial"/>
                <w:color w:val="000000"/>
                <w:sz w:val="16"/>
                <w:szCs w:val="16"/>
              </w:rPr>
            </w:pPr>
            <w:r w:rsidRPr="00874BFF">
              <w:rPr>
                <w:color w:val="000000"/>
                <w:sz w:val="16"/>
              </w:rPr>
              <w:t> </w:t>
            </w:r>
          </w:p>
        </w:tc>
        <w:tc>
          <w:tcPr>
            <w:tcW w:w="862" w:type="dxa"/>
            <w:tcBorders>
              <w:top w:val="nil"/>
              <w:left w:val="nil"/>
              <w:bottom w:val="single" w:sz="8" w:space="0" w:color="auto"/>
              <w:right w:val="nil"/>
            </w:tcBorders>
            <w:shd w:val="clear" w:color="000000" w:fill="B8CCE4"/>
            <w:vAlign w:val="center"/>
          </w:tcPr>
          <w:p w14:paraId="23C749BD" w14:textId="77777777" w:rsidR="006D3AD5" w:rsidRPr="00874BFF" w:rsidRDefault="006D3AD5" w:rsidP="00443B8F">
            <w:pPr>
              <w:jc w:val="center"/>
              <w:rPr>
                <w:rFonts w:cs="Arial"/>
                <w:color w:val="000000"/>
                <w:sz w:val="16"/>
                <w:szCs w:val="16"/>
              </w:rPr>
            </w:pPr>
            <w:r w:rsidRPr="00874BFF">
              <w:rPr>
                <w:color w:val="000000"/>
                <w:sz w:val="16"/>
              </w:rPr>
              <w:t> </w:t>
            </w:r>
          </w:p>
        </w:tc>
      </w:tr>
      <w:tr w:rsidR="006D3AD5" w:rsidRPr="00874BFF" w14:paraId="2AD46D45" w14:textId="77777777" w:rsidTr="00443B8F">
        <w:trPr>
          <w:trHeight w:val="255"/>
        </w:trPr>
        <w:tc>
          <w:tcPr>
            <w:tcW w:w="2564" w:type="dxa"/>
            <w:tcBorders>
              <w:top w:val="nil"/>
              <w:left w:val="nil"/>
              <w:bottom w:val="nil"/>
              <w:right w:val="nil"/>
            </w:tcBorders>
            <w:noWrap/>
            <w:vAlign w:val="center"/>
          </w:tcPr>
          <w:p w14:paraId="413198C1" w14:textId="77777777" w:rsidR="006D3AD5" w:rsidRPr="00874BFF" w:rsidRDefault="006D3AD5" w:rsidP="00443B8F">
            <w:pPr>
              <w:rPr>
                <w:rFonts w:cs="Arial"/>
                <w:color w:val="000000"/>
                <w:sz w:val="16"/>
                <w:szCs w:val="16"/>
              </w:rPr>
            </w:pPr>
            <w:r w:rsidRPr="00874BFF">
              <w:rPr>
                <w:color w:val="000000"/>
                <w:sz w:val="16"/>
              </w:rPr>
              <w:t>New business loans in total, SMEs (flows)</w:t>
            </w:r>
          </w:p>
        </w:tc>
        <w:tc>
          <w:tcPr>
            <w:tcW w:w="995" w:type="dxa"/>
            <w:tcBorders>
              <w:top w:val="nil"/>
              <w:left w:val="nil"/>
              <w:bottom w:val="nil"/>
              <w:right w:val="nil"/>
            </w:tcBorders>
            <w:noWrap/>
            <w:vAlign w:val="center"/>
          </w:tcPr>
          <w:p w14:paraId="26BE0539" w14:textId="77777777" w:rsidR="006D3AD5" w:rsidRPr="00874BFF" w:rsidRDefault="006D3AD5" w:rsidP="00443B8F">
            <w:pPr>
              <w:rPr>
                <w:rFonts w:cs="Arial"/>
                <w:color w:val="000000"/>
                <w:sz w:val="16"/>
                <w:szCs w:val="16"/>
              </w:rPr>
            </w:pPr>
            <w:r w:rsidRPr="00874BFF">
              <w:rPr>
                <w:color w:val="000000"/>
                <w:sz w:val="16"/>
              </w:rPr>
              <w:t>CZK millions</w:t>
            </w:r>
          </w:p>
        </w:tc>
        <w:tc>
          <w:tcPr>
            <w:tcW w:w="861" w:type="dxa"/>
            <w:tcBorders>
              <w:top w:val="nil"/>
              <w:left w:val="nil"/>
              <w:bottom w:val="nil"/>
              <w:right w:val="nil"/>
            </w:tcBorders>
            <w:noWrap/>
            <w:vAlign w:val="center"/>
          </w:tcPr>
          <w:p w14:paraId="62DB1EC4" w14:textId="77777777" w:rsidR="006D3AD5" w:rsidRPr="00874BFF" w:rsidRDefault="006D3AD5" w:rsidP="00443B8F">
            <w:pPr>
              <w:jc w:val="center"/>
              <w:rPr>
                <w:rFonts w:cs="Arial"/>
                <w:color w:val="000000"/>
                <w:sz w:val="16"/>
                <w:szCs w:val="16"/>
              </w:rPr>
            </w:pPr>
            <w:r w:rsidRPr="00874BFF">
              <w:rPr>
                <w:color w:val="000000"/>
                <w:sz w:val="16"/>
              </w:rPr>
              <w:t>208.216</w:t>
            </w:r>
          </w:p>
        </w:tc>
        <w:tc>
          <w:tcPr>
            <w:tcW w:w="862" w:type="dxa"/>
            <w:tcBorders>
              <w:top w:val="nil"/>
              <w:left w:val="nil"/>
              <w:bottom w:val="nil"/>
              <w:right w:val="nil"/>
            </w:tcBorders>
            <w:noWrap/>
            <w:vAlign w:val="center"/>
          </w:tcPr>
          <w:p w14:paraId="0B3834DA" w14:textId="77777777" w:rsidR="006D3AD5" w:rsidRPr="00874BFF" w:rsidRDefault="006D3AD5" w:rsidP="00443B8F">
            <w:pPr>
              <w:jc w:val="center"/>
              <w:rPr>
                <w:rFonts w:cs="Arial"/>
                <w:color w:val="000000"/>
                <w:sz w:val="16"/>
                <w:szCs w:val="16"/>
              </w:rPr>
            </w:pPr>
            <w:r w:rsidRPr="00874BFF">
              <w:rPr>
                <w:color w:val="000000"/>
                <w:sz w:val="16"/>
              </w:rPr>
              <w:t>207.237</w:t>
            </w:r>
          </w:p>
        </w:tc>
        <w:tc>
          <w:tcPr>
            <w:tcW w:w="862" w:type="dxa"/>
            <w:tcBorders>
              <w:top w:val="nil"/>
              <w:left w:val="nil"/>
              <w:bottom w:val="nil"/>
              <w:right w:val="nil"/>
            </w:tcBorders>
            <w:noWrap/>
            <w:vAlign w:val="center"/>
          </w:tcPr>
          <w:p w14:paraId="0650350A" w14:textId="77777777" w:rsidR="006D3AD5" w:rsidRPr="00874BFF" w:rsidRDefault="006D3AD5" w:rsidP="00443B8F">
            <w:pPr>
              <w:jc w:val="center"/>
              <w:rPr>
                <w:rFonts w:cs="Arial"/>
                <w:color w:val="000000"/>
                <w:sz w:val="16"/>
                <w:szCs w:val="16"/>
              </w:rPr>
            </w:pPr>
            <w:r w:rsidRPr="00874BFF">
              <w:rPr>
                <w:color w:val="000000"/>
                <w:sz w:val="16"/>
              </w:rPr>
              <w:t>147.986</w:t>
            </w:r>
          </w:p>
        </w:tc>
        <w:tc>
          <w:tcPr>
            <w:tcW w:w="861" w:type="dxa"/>
            <w:tcBorders>
              <w:top w:val="nil"/>
              <w:left w:val="nil"/>
              <w:bottom w:val="nil"/>
              <w:right w:val="nil"/>
            </w:tcBorders>
            <w:noWrap/>
            <w:vAlign w:val="center"/>
          </w:tcPr>
          <w:p w14:paraId="4E0F69B1" w14:textId="77777777" w:rsidR="006D3AD5" w:rsidRPr="00874BFF" w:rsidRDefault="006D3AD5" w:rsidP="00443B8F">
            <w:pPr>
              <w:jc w:val="center"/>
              <w:rPr>
                <w:rFonts w:cs="Arial"/>
                <w:color w:val="000000"/>
                <w:sz w:val="16"/>
                <w:szCs w:val="16"/>
              </w:rPr>
            </w:pPr>
            <w:r w:rsidRPr="00874BFF">
              <w:rPr>
                <w:color w:val="000000"/>
                <w:sz w:val="16"/>
              </w:rPr>
              <w:t>123.398</w:t>
            </w:r>
          </w:p>
        </w:tc>
        <w:tc>
          <w:tcPr>
            <w:tcW w:w="862" w:type="dxa"/>
            <w:tcBorders>
              <w:top w:val="nil"/>
              <w:left w:val="nil"/>
              <w:bottom w:val="nil"/>
              <w:right w:val="nil"/>
            </w:tcBorders>
            <w:vAlign w:val="center"/>
          </w:tcPr>
          <w:p w14:paraId="405699D2" w14:textId="77777777" w:rsidR="006D3AD5" w:rsidRPr="00874BFF" w:rsidRDefault="006D3AD5" w:rsidP="00443B8F">
            <w:pPr>
              <w:jc w:val="center"/>
              <w:rPr>
                <w:rFonts w:cs="Arial"/>
                <w:color w:val="000000"/>
                <w:sz w:val="16"/>
                <w:szCs w:val="16"/>
              </w:rPr>
            </w:pPr>
            <w:r w:rsidRPr="00874BFF">
              <w:rPr>
                <w:color w:val="000000"/>
                <w:sz w:val="16"/>
              </w:rPr>
              <w:t>124.117</w:t>
            </w:r>
          </w:p>
        </w:tc>
        <w:tc>
          <w:tcPr>
            <w:tcW w:w="862" w:type="dxa"/>
            <w:tcBorders>
              <w:top w:val="nil"/>
              <w:left w:val="nil"/>
              <w:bottom w:val="nil"/>
              <w:right w:val="nil"/>
            </w:tcBorders>
            <w:vAlign w:val="center"/>
          </w:tcPr>
          <w:p w14:paraId="5557E40E" w14:textId="77777777" w:rsidR="006D3AD5" w:rsidRPr="00874BFF" w:rsidRDefault="006D3AD5" w:rsidP="00443B8F">
            <w:pPr>
              <w:jc w:val="center"/>
              <w:rPr>
                <w:rFonts w:cs="Arial"/>
                <w:color w:val="000000"/>
                <w:sz w:val="16"/>
                <w:szCs w:val="16"/>
              </w:rPr>
            </w:pPr>
            <w:r w:rsidRPr="00874BFF">
              <w:rPr>
                <w:color w:val="000000"/>
                <w:sz w:val="16"/>
              </w:rPr>
              <w:t>129.830</w:t>
            </w:r>
          </w:p>
        </w:tc>
        <w:tc>
          <w:tcPr>
            <w:tcW w:w="862" w:type="dxa"/>
            <w:tcBorders>
              <w:top w:val="nil"/>
              <w:left w:val="nil"/>
              <w:bottom w:val="nil"/>
              <w:right w:val="nil"/>
            </w:tcBorders>
            <w:vAlign w:val="center"/>
          </w:tcPr>
          <w:p w14:paraId="27D4D3F7" w14:textId="77777777" w:rsidR="006D3AD5" w:rsidRPr="00874BFF" w:rsidRDefault="006D3AD5" w:rsidP="00443B8F">
            <w:pPr>
              <w:jc w:val="center"/>
              <w:rPr>
                <w:rFonts w:cs="Arial"/>
                <w:color w:val="000000"/>
                <w:sz w:val="16"/>
                <w:szCs w:val="16"/>
              </w:rPr>
            </w:pPr>
            <w:r w:rsidRPr="00874BFF">
              <w:rPr>
                <w:color w:val="000000"/>
                <w:sz w:val="16"/>
              </w:rPr>
              <w:t>86.660</w:t>
            </w:r>
          </w:p>
        </w:tc>
      </w:tr>
      <w:tr w:rsidR="006D3AD5" w:rsidRPr="00874BFF" w14:paraId="1CF31FD0" w14:textId="77777777" w:rsidTr="00443B8F">
        <w:trPr>
          <w:trHeight w:val="255"/>
        </w:trPr>
        <w:tc>
          <w:tcPr>
            <w:tcW w:w="2564" w:type="dxa"/>
            <w:tcBorders>
              <w:top w:val="nil"/>
              <w:left w:val="nil"/>
              <w:bottom w:val="nil"/>
              <w:right w:val="nil"/>
            </w:tcBorders>
            <w:shd w:val="clear" w:color="000000" w:fill="DBE5F1"/>
            <w:noWrap/>
            <w:vAlign w:val="center"/>
          </w:tcPr>
          <w:p w14:paraId="3270AEEF" w14:textId="77777777" w:rsidR="006D3AD5" w:rsidRPr="00874BFF" w:rsidRDefault="006D3AD5" w:rsidP="00443B8F">
            <w:pPr>
              <w:rPr>
                <w:rFonts w:cs="Arial"/>
                <w:color w:val="000000"/>
                <w:sz w:val="16"/>
                <w:szCs w:val="16"/>
              </w:rPr>
            </w:pPr>
            <w:r w:rsidRPr="00874BFF">
              <w:rPr>
                <w:color w:val="000000"/>
                <w:sz w:val="16"/>
              </w:rPr>
              <w:t>New business loans in total (flows)</w:t>
            </w:r>
          </w:p>
        </w:tc>
        <w:tc>
          <w:tcPr>
            <w:tcW w:w="995" w:type="dxa"/>
            <w:tcBorders>
              <w:top w:val="nil"/>
              <w:left w:val="nil"/>
              <w:bottom w:val="nil"/>
              <w:right w:val="nil"/>
            </w:tcBorders>
            <w:shd w:val="clear" w:color="000000" w:fill="DBE5F1"/>
            <w:noWrap/>
            <w:vAlign w:val="center"/>
          </w:tcPr>
          <w:p w14:paraId="27F3C983" w14:textId="77777777" w:rsidR="006D3AD5" w:rsidRPr="00874BFF" w:rsidRDefault="006D3AD5" w:rsidP="00443B8F">
            <w:pPr>
              <w:rPr>
                <w:rFonts w:cs="Arial"/>
                <w:color w:val="000000"/>
                <w:sz w:val="16"/>
                <w:szCs w:val="16"/>
              </w:rPr>
            </w:pPr>
            <w:r w:rsidRPr="00874BFF">
              <w:rPr>
                <w:color w:val="000000"/>
                <w:sz w:val="16"/>
              </w:rPr>
              <w:t>CZK millions</w:t>
            </w:r>
          </w:p>
        </w:tc>
        <w:tc>
          <w:tcPr>
            <w:tcW w:w="861" w:type="dxa"/>
            <w:tcBorders>
              <w:top w:val="nil"/>
              <w:left w:val="nil"/>
              <w:bottom w:val="nil"/>
              <w:right w:val="nil"/>
            </w:tcBorders>
            <w:shd w:val="clear" w:color="000000" w:fill="DBE5F1"/>
            <w:noWrap/>
            <w:vAlign w:val="center"/>
          </w:tcPr>
          <w:p w14:paraId="4E867364" w14:textId="77777777" w:rsidR="006D3AD5" w:rsidRPr="00874BFF" w:rsidRDefault="006D3AD5" w:rsidP="00443B8F">
            <w:pPr>
              <w:jc w:val="center"/>
              <w:rPr>
                <w:rFonts w:cs="Arial"/>
                <w:color w:val="000000"/>
                <w:sz w:val="16"/>
                <w:szCs w:val="16"/>
              </w:rPr>
            </w:pPr>
            <w:r w:rsidRPr="00874BFF">
              <w:rPr>
                <w:color w:val="000000"/>
                <w:sz w:val="16"/>
              </w:rPr>
              <w:t>852.729</w:t>
            </w:r>
          </w:p>
        </w:tc>
        <w:tc>
          <w:tcPr>
            <w:tcW w:w="862" w:type="dxa"/>
            <w:tcBorders>
              <w:top w:val="nil"/>
              <w:left w:val="nil"/>
              <w:bottom w:val="nil"/>
              <w:right w:val="nil"/>
            </w:tcBorders>
            <w:shd w:val="clear" w:color="000000" w:fill="DBE5F1"/>
            <w:noWrap/>
            <w:vAlign w:val="center"/>
          </w:tcPr>
          <w:p w14:paraId="1705A423" w14:textId="77777777" w:rsidR="006D3AD5" w:rsidRPr="00874BFF" w:rsidRDefault="006D3AD5" w:rsidP="00443B8F">
            <w:pPr>
              <w:jc w:val="center"/>
              <w:rPr>
                <w:rFonts w:cs="Arial"/>
                <w:color w:val="000000"/>
                <w:sz w:val="16"/>
                <w:szCs w:val="16"/>
              </w:rPr>
            </w:pPr>
            <w:r w:rsidRPr="00874BFF">
              <w:rPr>
                <w:color w:val="000000"/>
                <w:sz w:val="16"/>
              </w:rPr>
              <w:t>866.109</w:t>
            </w:r>
          </w:p>
        </w:tc>
        <w:tc>
          <w:tcPr>
            <w:tcW w:w="862" w:type="dxa"/>
            <w:tcBorders>
              <w:top w:val="nil"/>
              <w:left w:val="nil"/>
              <w:bottom w:val="nil"/>
              <w:right w:val="nil"/>
            </w:tcBorders>
            <w:shd w:val="clear" w:color="000000" w:fill="DBE5F1"/>
            <w:noWrap/>
            <w:vAlign w:val="center"/>
          </w:tcPr>
          <w:p w14:paraId="4E76A044" w14:textId="77777777" w:rsidR="006D3AD5" w:rsidRPr="00874BFF" w:rsidRDefault="006D3AD5" w:rsidP="00443B8F">
            <w:pPr>
              <w:jc w:val="center"/>
              <w:rPr>
                <w:rFonts w:cs="Arial"/>
                <w:color w:val="000000"/>
                <w:sz w:val="16"/>
                <w:szCs w:val="16"/>
              </w:rPr>
            </w:pPr>
            <w:r w:rsidRPr="00874BFF">
              <w:rPr>
                <w:color w:val="000000"/>
                <w:sz w:val="16"/>
              </w:rPr>
              <w:t>780.874</w:t>
            </w:r>
          </w:p>
        </w:tc>
        <w:tc>
          <w:tcPr>
            <w:tcW w:w="861" w:type="dxa"/>
            <w:tcBorders>
              <w:top w:val="nil"/>
              <w:left w:val="nil"/>
              <w:bottom w:val="nil"/>
              <w:right w:val="nil"/>
            </w:tcBorders>
            <w:shd w:val="clear" w:color="000000" w:fill="DBE5F1"/>
            <w:noWrap/>
            <w:vAlign w:val="center"/>
          </w:tcPr>
          <w:p w14:paraId="37EF2A78" w14:textId="77777777" w:rsidR="006D3AD5" w:rsidRPr="00874BFF" w:rsidRDefault="006D3AD5" w:rsidP="00443B8F">
            <w:pPr>
              <w:jc w:val="center"/>
              <w:rPr>
                <w:rFonts w:cs="Arial"/>
                <w:color w:val="000000"/>
                <w:sz w:val="16"/>
                <w:szCs w:val="16"/>
              </w:rPr>
            </w:pPr>
            <w:r w:rsidRPr="00874BFF">
              <w:rPr>
                <w:color w:val="000000"/>
                <w:sz w:val="16"/>
              </w:rPr>
              <w:t>667.977</w:t>
            </w:r>
          </w:p>
        </w:tc>
        <w:tc>
          <w:tcPr>
            <w:tcW w:w="862" w:type="dxa"/>
            <w:tcBorders>
              <w:top w:val="nil"/>
              <w:left w:val="nil"/>
              <w:bottom w:val="nil"/>
              <w:right w:val="nil"/>
            </w:tcBorders>
            <w:shd w:val="clear" w:color="000000" w:fill="DBE5F1"/>
            <w:vAlign w:val="center"/>
          </w:tcPr>
          <w:p w14:paraId="6D3D084B" w14:textId="77777777" w:rsidR="006D3AD5" w:rsidRPr="00874BFF" w:rsidRDefault="006D3AD5" w:rsidP="00443B8F">
            <w:pPr>
              <w:jc w:val="center"/>
              <w:rPr>
                <w:rFonts w:cs="Arial"/>
                <w:color w:val="000000"/>
                <w:sz w:val="16"/>
                <w:szCs w:val="16"/>
              </w:rPr>
            </w:pPr>
            <w:r w:rsidRPr="00874BFF">
              <w:rPr>
                <w:color w:val="000000"/>
                <w:sz w:val="16"/>
              </w:rPr>
              <w:t>599.089</w:t>
            </w:r>
          </w:p>
        </w:tc>
        <w:tc>
          <w:tcPr>
            <w:tcW w:w="862" w:type="dxa"/>
            <w:tcBorders>
              <w:top w:val="nil"/>
              <w:left w:val="nil"/>
              <w:bottom w:val="nil"/>
              <w:right w:val="nil"/>
            </w:tcBorders>
            <w:shd w:val="clear" w:color="000000" w:fill="DBE5F1"/>
            <w:vAlign w:val="center"/>
          </w:tcPr>
          <w:p w14:paraId="5974291E" w14:textId="77777777" w:rsidR="006D3AD5" w:rsidRPr="00874BFF" w:rsidRDefault="006D3AD5" w:rsidP="00443B8F">
            <w:pPr>
              <w:jc w:val="center"/>
              <w:rPr>
                <w:rFonts w:cs="Arial"/>
                <w:color w:val="000000"/>
                <w:sz w:val="16"/>
                <w:szCs w:val="16"/>
              </w:rPr>
            </w:pPr>
            <w:r w:rsidRPr="00874BFF">
              <w:rPr>
                <w:color w:val="000000"/>
                <w:sz w:val="16"/>
              </w:rPr>
              <w:t>694.944</w:t>
            </w:r>
          </w:p>
        </w:tc>
        <w:tc>
          <w:tcPr>
            <w:tcW w:w="862" w:type="dxa"/>
            <w:tcBorders>
              <w:top w:val="nil"/>
              <w:left w:val="nil"/>
              <w:bottom w:val="nil"/>
              <w:right w:val="nil"/>
            </w:tcBorders>
            <w:shd w:val="clear" w:color="000000" w:fill="DBE5F1"/>
            <w:vAlign w:val="center"/>
          </w:tcPr>
          <w:p w14:paraId="585A581C" w14:textId="77777777" w:rsidR="006D3AD5" w:rsidRPr="00874BFF" w:rsidRDefault="006D3AD5" w:rsidP="00443B8F">
            <w:pPr>
              <w:jc w:val="center"/>
              <w:rPr>
                <w:rFonts w:cs="Arial"/>
                <w:color w:val="000000"/>
                <w:sz w:val="16"/>
                <w:szCs w:val="16"/>
              </w:rPr>
            </w:pPr>
            <w:r w:rsidRPr="00874BFF">
              <w:rPr>
                <w:color w:val="000000"/>
                <w:sz w:val="16"/>
              </w:rPr>
              <w:t>500.502</w:t>
            </w:r>
          </w:p>
        </w:tc>
      </w:tr>
      <w:tr w:rsidR="006D3AD5" w:rsidRPr="00874BFF" w14:paraId="56BE2387" w14:textId="77777777" w:rsidTr="00443B8F">
        <w:trPr>
          <w:trHeight w:val="255"/>
        </w:trPr>
        <w:tc>
          <w:tcPr>
            <w:tcW w:w="2564" w:type="dxa"/>
            <w:tcBorders>
              <w:top w:val="nil"/>
              <w:left w:val="nil"/>
              <w:bottom w:val="nil"/>
              <w:right w:val="nil"/>
            </w:tcBorders>
            <w:noWrap/>
            <w:vAlign w:val="center"/>
          </w:tcPr>
          <w:p w14:paraId="361828C8" w14:textId="77777777" w:rsidR="006D3AD5" w:rsidRPr="00874BFF" w:rsidRDefault="006D3AD5" w:rsidP="00443B8F">
            <w:pPr>
              <w:rPr>
                <w:rFonts w:cs="Arial"/>
                <w:color w:val="000000"/>
                <w:sz w:val="16"/>
                <w:szCs w:val="16"/>
              </w:rPr>
            </w:pPr>
            <w:r w:rsidRPr="00874BFF">
              <w:rPr>
                <w:color w:val="000000"/>
                <w:sz w:val="16"/>
              </w:rPr>
              <w:t>Share of SMEs</w:t>
            </w:r>
          </w:p>
        </w:tc>
        <w:tc>
          <w:tcPr>
            <w:tcW w:w="995" w:type="dxa"/>
            <w:tcBorders>
              <w:top w:val="nil"/>
              <w:left w:val="nil"/>
              <w:bottom w:val="nil"/>
              <w:right w:val="nil"/>
            </w:tcBorders>
            <w:noWrap/>
            <w:vAlign w:val="center"/>
          </w:tcPr>
          <w:p w14:paraId="57E15FAA" w14:textId="77777777" w:rsidR="006D3AD5" w:rsidRPr="00874BFF" w:rsidRDefault="006D3AD5" w:rsidP="00443B8F">
            <w:pPr>
              <w:rPr>
                <w:rFonts w:cs="Arial"/>
                <w:color w:val="000000"/>
                <w:sz w:val="16"/>
                <w:szCs w:val="16"/>
              </w:rPr>
            </w:pPr>
            <w:r w:rsidRPr="00874BFF">
              <w:rPr>
                <w:color w:val="000000"/>
                <w:sz w:val="16"/>
              </w:rPr>
              <w:t>%</w:t>
            </w:r>
          </w:p>
        </w:tc>
        <w:tc>
          <w:tcPr>
            <w:tcW w:w="861" w:type="dxa"/>
            <w:tcBorders>
              <w:top w:val="nil"/>
              <w:left w:val="nil"/>
              <w:bottom w:val="nil"/>
              <w:right w:val="nil"/>
            </w:tcBorders>
            <w:noWrap/>
            <w:vAlign w:val="center"/>
          </w:tcPr>
          <w:p w14:paraId="7C1FE2E2" w14:textId="77777777" w:rsidR="006D3AD5" w:rsidRPr="00874BFF" w:rsidRDefault="006D3AD5" w:rsidP="00443B8F">
            <w:pPr>
              <w:jc w:val="center"/>
              <w:rPr>
                <w:rFonts w:cs="Arial"/>
                <w:color w:val="000000"/>
                <w:sz w:val="16"/>
                <w:szCs w:val="16"/>
              </w:rPr>
            </w:pPr>
            <w:r w:rsidRPr="00874BFF">
              <w:rPr>
                <w:color w:val="000000"/>
                <w:sz w:val="16"/>
              </w:rPr>
              <w:t>0.24</w:t>
            </w:r>
          </w:p>
        </w:tc>
        <w:tc>
          <w:tcPr>
            <w:tcW w:w="862" w:type="dxa"/>
            <w:tcBorders>
              <w:top w:val="nil"/>
              <w:left w:val="nil"/>
              <w:bottom w:val="nil"/>
              <w:right w:val="nil"/>
            </w:tcBorders>
            <w:noWrap/>
            <w:vAlign w:val="center"/>
          </w:tcPr>
          <w:p w14:paraId="6E4FE80B" w14:textId="77777777" w:rsidR="006D3AD5" w:rsidRPr="00874BFF" w:rsidRDefault="006D3AD5" w:rsidP="00443B8F">
            <w:pPr>
              <w:jc w:val="center"/>
              <w:rPr>
                <w:rFonts w:cs="Arial"/>
                <w:color w:val="000000"/>
                <w:sz w:val="16"/>
                <w:szCs w:val="16"/>
              </w:rPr>
            </w:pPr>
            <w:r w:rsidRPr="00874BFF">
              <w:rPr>
                <w:color w:val="000000"/>
                <w:sz w:val="16"/>
              </w:rPr>
              <w:t>0.24</w:t>
            </w:r>
          </w:p>
        </w:tc>
        <w:tc>
          <w:tcPr>
            <w:tcW w:w="862" w:type="dxa"/>
            <w:tcBorders>
              <w:top w:val="nil"/>
              <w:left w:val="nil"/>
              <w:bottom w:val="nil"/>
              <w:right w:val="nil"/>
            </w:tcBorders>
            <w:noWrap/>
            <w:vAlign w:val="center"/>
          </w:tcPr>
          <w:p w14:paraId="0A85D63A" w14:textId="77777777" w:rsidR="006D3AD5" w:rsidRPr="00874BFF" w:rsidRDefault="006D3AD5" w:rsidP="00443B8F">
            <w:pPr>
              <w:jc w:val="center"/>
              <w:rPr>
                <w:rFonts w:cs="Arial"/>
                <w:color w:val="000000"/>
                <w:sz w:val="16"/>
                <w:szCs w:val="16"/>
              </w:rPr>
            </w:pPr>
            <w:r w:rsidRPr="00874BFF">
              <w:rPr>
                <w:color w:val="000000"/>
                <w:sz w:val="16"/>
              </w:rPr>
              <w:t>0.19</w:t>
            </w:r>
          </w:p>
        </w:tc>
        <w:tc>
          <w:tcPr>
            <w:tcW w:w="861" w:type="dxa"/>
            <w:tcBorders>
              <w:top w:val="nil"/>
              <w:left w:val="nil"/>
              <w:bottom w:val="nil"/>
              <w:right w:val="nil"/>
            </w:tcBorders>
            <w:noWrap/>
            <w:vAlign w:val="center"/>
          </w:tcPr>
          <w:p w14:paraId="4B7815A8" w14:textId="77777777" w:rsidR="006D3AD5" w:rsidRPr="00874BFF" w:rsidRDefault="006D3AD5" w:rsidP="00443B8F">
            <w:pPr>
              <w:jc w:val="center"/>
              <w:rPr>
                <w:rFonts w:cs="Arial"/>
                <w:color w:val="000000"/>
                <w:sz w:val="16"/>
                <w:szCs w:val="16"/>
              </w:rPr>
            </w:pPr>
            <w:r w:rsidRPr="00874BFF">
              <w:rPr>
                <w:color w:val="000000"/>
                <w:sz w:val="16"/>
              </w:rPr>
              <w:t>0.18</w:t>
            </w:r>
          </w:p>
        </w:tc>
        <w:tc>
          <w:tcPr>
            <w:tcW w:w="862" w:type="dxa"/>
            <w:tcBorders>
              <w:top w:val="nil"/>
              <w:left w:val="nil"/>
              <w:bottom w:val="nil"/>
              <w:right w:val="nil"/>
            </w:tcBorders>
            <w:vAlign w:val="center"/>
          </w:tcPr>
          <w:p w14:paraId="58E3BCC6" w14:textId="77777777" w:rsidR="006D3AD5" w:rsidRPr="00874BFF" w:rsidRDefault="006D3AD5" w:rsidP="00443B8F">
            <w:pPr>
              <w:jc w:val="center"/>
              <w:rPr>
                <w:rFonts w:cs="Arial"/>
                <w:color w:val="000000"/>
                <w:sz w:val="16"/>
                <w:szCs w:val="16"/>
              </w:rPr>
            </w:pPr>
            <w:r w:rsidRPr="00874BFF">
              <w:rPr>
                <w:color w:val="000000"/>
                <w:sz w:val="16"/>
              </w:rPr>
              <w:t>0.21</w:t>
            </w:r>
          </w:p>
        </w:tc>
        <w:tc>
          <w:tcPr>
            <w:tcW w:w="862" w:type="dxa"/>
            <w:tcBorders>
              <w:top w:val="nil"/>
              <w:left w:val="nil"/>
              <w:bottom w:val="nil"/>
              <w:right w:val="nil"/>
            </w:tcBorders>
            <w:vAlign w:val="center"/>
          </w:tcPr>
          <w:p w14:paraId="33CDE39A" w14:textId="77777777" w:rsidR="006D3AD5" w:rsidRPr="00874BFF" w:rsidRDefault="006D3AD5" w:rsidP="00443B8F">
            <w:pPr>
              <w:jc w:val="center"/>
              <w:rPr>
                <w:rFonts w:cs="Arial"/>
                <w:color w:val="000000"/>
                <w:sz w:val="16"/>
                <w:szCs w:val="16"/>
              </w:rPr>
            </w:pPr>
            <w:r w:rsidRPr="00874BFF">
              <w:rPr>
                <w:color w:val="000000"/>
                <w:sz w:val="16"/>
              </w:rPr>
              <w:t>0.19</w:t>
            </w:r>
          </w:p>
        </w:tc>
        <w:tc>
          <w:tcPr>
            <w:tcW w:w="862" w:type="dxa"/>
            <w:tcBorders>
              <w:top w:val="nil"/>
              <w:left w:val="nil"/>
              <w:bottom w:val="nil"/>
              <w:right w:val="nil"/>
            </w:tcBorders>
            <w:vAlign w:val="center"/>
          </w:tcPr>
          <w:p w14:paraId="7CA16575" w14:textId="77777777" w:rsidR="006D3AD5" w:rsidRPr="00874BFF" w:rsidRDefault="006D3AD5" w:rsidP="00443B8F">
            <w:pPr>
              <w:jc w:val="center"/>
              <w:rPr>
                <w:rFonts w:cs="Arial"/>
                <w:color w:val="000000"/>
                <w:sz w:val="16"/>
                <w:szCs w:val="16"/>
              </w:rPr>
            </w:pPr>
            <w:r w:rsidRPr="00874BFF">
              <w:rPr>
                <w:color w:val="000000"/>
                <w:sz w:val="16"/>
              </w:rPr>
              <w:t>0.17</w:t>
            </w:r>
          </w:p>
        </w:tc>
      </w:tr>
      <w:tr w:rsidR="006D3AD5" w:rsidRPr="00874BFF" w14:paraId="737967E2" w14:textId="77777777" w:rsidTr="00443B8F">
        <w:trPr>
          <w:trHeight w:val="255"/>
        </w:trPr>
        <w:tc>
          <w:tcPr>
            <w:tcW w:w="2564" w:type="dxa"/>
            <w:tcBorders>
              <w:top w:val="nil"/>
              <w:left w:val="nil"/>
              <w:bottom w:val="nil"/>
              <w:right w:val="nil"/>
            </w:tcBorders>
            <w:shd w:val="clear" w:color="000000" w:fill="DBE5F1"/>
            <w:noWrap/>
            <w:vAlign w:val="center"/>
          </w:tcPr>
          <w:p w14:paraId="5765CCC8" w14:textId="77777777" w:rsidR="006D3AD5" w:rsidRPr="00874BFF" w:rsidRDefault="006D3AD5" w:rsidP="00443B8F">
            <w:pPr>
              <w:rPr>
                <w:rFonts w:cs="Arial"/>
                <w:color w:val="000000"/>
                <w:sz w:val="16"/>
                <w:szCs w:val="16"/>
              </w:rPr>
            </w:pPr>
            <w:r w:rsidRPr="00874BFF">
              <w:rPr>
                <w:color w:val="000000"/>
                <w:sz w:val="16"/>
              </w:rPr>
              <w:t>Government guarantees for SMEs</w:t>
            </w:r>
          </w:p>
        </w:tc>
        <w:tc>
          <w:tcPr>
            <w:tcW w:w="995" w:type="dxa"/>
            <w:tcBorders>
              <w:top w:val="nil"/>
              <w:left w:val="nil"/>
              <w:bottom w:val="nil"/>
              <w:right w:val="nil"/>
            </w:tcBorders>
            <w:shd w:val="clear" w:color="000000" w:fill="DBE5F1"/>
            <w:noWrap/>
            <w:vAlign w:val="center"/>
          </w:tcPr>
          <w:p w14:paraId="776DED38" w14:textId="77777777" w:rsidR="006D3AD5" w:rsidRPr="00874BFF" w:rsidRDefault="006D3AD5" w:rsidP="00443B8F">
            <w:pPr>
              <w:rPr>
                <w:rFonts w:cs="Arial"/>
                <w:color w:val="000000"/>
                <w:sz w:val="16"/>
                <w:szCs w:val="16"/>
              </w:rPr>
            </w:pPr>
            <w:r w:rsidRPr="00874BFF">
              <w:rPr>
                <w:color w:val="000000"/>
                <w:sz w:val="16"/>
              </w:rPr>
              <w:t>CZK millions</w:t>
            </w:r>
          </w:p>
        </w:tc>
        <w:tc>
          <w:tcPr>
            <w:tcW w:w="861" w:type="dxa"/>
            <w:tcBorders>
              <w:top w:val="nil"/>
              <w:left w:val="nil"/>
              <w:bottom w:val="nil"/>
              <w:right w:val="nil"/>
            </w:tcBorders>
            <w:shd w:val="clear" w:color="000000" w:fill="DBE5F1"/>
            <w:noWrap/>
            <w:vAlign w:val="center"/>
          </w:tcPr>
          <w:p w14:paraId="4F327202" w14:textId="77777777" w:rsidR="006D3AD5" w:rsidRPr="00874BFF" w:rsidRDefault="006D3AD5" w:rsidP="00443B8F">
            <w:pPr>
              <w:jc w:val="center"/>
              <w:rPr>
                <w:rFonts w:cs="Arial"/>
                <w:color w:val="000000"/>
                <w:sz w:val="16"/>
                <w:szCs w:val="16"/>
              </w:rPr>
            </w:pPr>
            <w:r w:rsidRPr="00874BFF">
              <w:rPr>
                <w:color w:val="000000"/>
                <w:sz w:val="16"/>
              </w:rPr>
              <w:t>1.925</w:t>
            </w:r>
          </w:p>
        </w:tc>
        <w:tc>
          <w:tcPr>
            <w:tcW w:w="862" w:type="dxa"/>
            <w:tcBorders>
              <w:top w:val="nil"/>
              <w:left w:val="nil"/>
              <w:bottom w:val="nil"/>
              <w:right w:val="nil"/>
            </w:tcBorders>
            <w:shd w:val="clear" w:color="000000" w:fill="DBE5F1"/>
            <w:noWrap/>
            <w:vAlign w:val="center"/>
          </w:tcPr>
          <w:p w14:paraId="5D4C8985" w14:textId="77777777" w:rsidR="006D3AD5" w:rsidRPr="00874BFF" w:rsidRDefault="006D3AD5" w:rsidP="00443B8F">
            <w:pPr>
              <w:jc w:val="center"/>
              <w:rPr>
                <w:rFonts w:cs="Arial"/>
                <w:color w:val="000000"/>
                <w:sz w:val="16"/>
                <w:szCs w:val="16"/>
              </w:rPr>
            </w:pPr>
            <w:r w:rsidRPr="00874BFF">
              <w:rPr>
                <w:color w:val="000000"/>
                <w:sz w:val="16"/>
              </w:rPr>
              <w:t>3.529</w:t>
            </w:r>
          </w:p>
        </w:tc>
        <w:tc>
          <w:tcPr>
            <w:tcW w:w="862" w:type="dxa"/>
            <w:tcBorders>
              <w:top w:val="nil"/>
              <w:left w:val="nil"/>
              <w:bottom w:val="nil"/>
              <w:right w:val="nil"/>
            </w:tcBorders>
            <w:shd w:val="clear" w:color="000000" w:fill="DBE5F1"/>
            <w:noWrap/>
            <w:vAlign w:val="center"/>
          </w:tcPr>
          <w:p w14:paraId="5C44A881" w14:textId="77777777" w:rsidR="006D3AD5" w:rsidRPr="00874BFF" w:rsidRDefault="006D3AD5" w:rsidP="00443B8F">
            <w:pPr>
              <w:jc w:val="center"/>
              <w:rPr>
                <w:rFonts w:cs="Arial"/>
                <w:color w:val="000000"/>
                <w:sz w:val="16"/>
                <w:szCs w:val="16"/>
              </w:rPr>
            </w:pPr>
            <w:r w:rsidRPr="00874BFF">
              <w:rPr>
                <w:color w:val="000000"/>
                <w:sz w:val="16"/>
              </w:rPr>
              <w:t>6.369</w:t>
            </w:r>
          </w:p>
        </w:tc>
        <w:tc>
          <w:tcPr>
            <w:tcW w:w="861" w:type="dxa"/>
            <w:tcBorders>
              <w:top w:val="nil"/>
              <w:left w:val="nil"/>
              <w:bottom w:val="nil"/>
              <w:right w:val="nil"/>
            </w:tcBorders>
            <w:shd w:val="clear" w:color="000000" w:fill="DBE5F1"/>
            <w:noWrap/>
            <w:vAlign w:val="center"/>
          </w:tcPr>
          <w:p w14:paraId="51013A00" w14:textId="77777777" w:rsidR="006D3AD5" w:rsidRPr="00874BFF" w:rsidRDefault="006D3AD5" w:rsidP="00443B8F">
            <w:pPr>
              <w:jc w:val="center"/>
              <w:rPr>
                <w:rFonts w:cs="Arial"/>
                <w:color w:val="000000"/>
                <w:sz w:val="16"/>
                <w:szCs w:val="16"/>
              </w:rPr>
            </w:pPr>
            <w:r w:rsidRPr="00874BFF">
              <w:rPr>
                <w:color w:val="000000"/>
                <w:sz w:val="16"/>
              </w:rPr>
              <w:t>6.593</w:t>
            </w:r>
          </w:p>
        </w:tc>
        <w:tc>
          <w:tcPr>
            <w:tcW w:w="862" w:type="dxa"/>
            <w:tcBorders>
              <w:top w:val="nil"/>
              <w:left w:val="nil"/>
              <w:bottom w:val="nil"/>
              <w:right w:val="nil"/>
            </w:tcBorders>
            <w:shd w:val="clear" w:color="000000" w:fill="DBE5F1"/>
            <w:vAlign w:val="center"/>
          </w:tcPr>
          <w:p w14:paraId="371AE35F" w14:textId="77777777" w:rsidR="006D3AD5" w:rsidRPr="00874BFF" w:rsidRDefault="006D3AD5" w:rsidP="00443B8F">
            <w:pPr>
              <w:jc w:val="center"/>
              <w:rPr>
                <w:rFonts w:cs="Arial"/>
                <w:color w:val="000000"/>
                <w:sz w:val="16"/>
                <w:szCs w:val="16"/>
              </w:rPr>
            </w:pPr>
            <w:r w:rsidRPr="00874BFF">
              <w:rPr>
                <w:color w:val="000000"/>
                <w:sz w:val="16"/>
              </w:rPr>
              <w:t>472</w:t>
            </w:r>
          </w:p>
        </w:tc>
        <w:tc>
          <w:tcPr>
            <w:tcW w:w="862" w:type="dxa"/>
            <w:tcBorders>
              <w:top w:val="nil"/>
              <w:left w:val="nil"/>
              <w:bottom w:val="nil"/>
              <w:right w:val="nil"/>
            </w:tcBorders>
            <w:shd w:val="clear" w:color="000000" w:fill="DBE5F1"/>
            <w:vAlign w:val="center"/>
          </w:tcPr>
          <w:p w14:paraId="1D919765" w14:textId="77777777" w:rsidR="006D3AD5" w:rsidRPr="00874BFF" w:rsidRDefault="006D3AD5" w:rsidP="00443B8F">
            <w:pPr>
              <w:jc w:val="center"/>
              <w:rPr>
                <w:rFonts w:cs="Arial"/>
                <w:color w:val="000000"/>
                <w:sz w:val="16"/>
                <w:szCs w:val="16"/>
              </w:rPr>
            </w:pPr>
            <w:r w:rsidRPr="00874BFF">
              <w:rPr>
                <w:color w:val="000000"/>
                <w:sz w:val="16"/>
              </w:rPr>
              <w:t>1.534</w:t>
            </w:r>
          </w:p>
        </w:tc>
        <w:tc>
          <w:tcPr>
            <w:tcW w:w="862" w:type="dxa"/>
            <w:tcBorders>
              <w:top w:val="nil"/>
              <w:left w:val="nil"/>
              <w:bottom w:val="nil"/>
              <w:right w:val="nil"/>
            </w:tcBorders>
            <w:shd w:val="clear" w:color="000000" w:fill="DBE5F1"/>
            <w:vAlign w:val="center"/>
          </w:tcPr>
          <w:p w14:paraId="7569B609" w14:textId="77777777" w:rsidR="006D3AD5" w:rsidRPr="00874BFF" w:rsidRDefault="006D3AD5" w:rsidP="00443B8F">
            <w:pPr>
              <w:jc w:val="center"/>
              <w:rPr>
                <w:rFonts w:cs="Arial"/>
                <w:color w:val="000000"/>
                <w:sz w:val="16"/>
                <w:szCs w:val="16"/>
              </w:rPr>
            </w:pPr>
            <w:r w:rsidRPr="00874BFF">
              <w:rPr>
                <w:color w:val="000000"/>
                <w:sz w:val="16"/>
              </w:rPr>
              <w:t>3.251</w:t>
            </w:r>
          </w:p>
        </w:tc>
      </w:tr>
      <w:tr w:rsidR="006D3AD5" w:rsidRPr="00874BFF" w14:paraId="33C25B3E" w14:textId="77777777" w:rsidTr="00443B8F">
        <w:trPr>
          <w:trHeight w:val="255"/>
        </w:trPr>
        <w:tc>
          <w:tcPr>
            <w:tcW w:w="2564" w:type="dxa"/>
            <w:tcBorders>
              <w:top w:val="nil"/>
              <w:left w:val="nil"/>
              <w:bottom w:val="nil"/>
              <w:right w:val="nil"/>
            </w:tcBorders>
            <w:noWrap/>
            <w:vAlign w:val="center"/>
          </w:tcPr>
          <w:p w14:paraId="1393499B" w14:textId="77777777" w:rsidR="006D3AD5" w:rsidRPr="00874BFF" w:rsidRDefault="006D3AD5" w:rsidP="00443B8F">
            <w:pPr>
              <w:rPr>
                <w:rFonts w:cs="Arial"/>
                <w:color w:val="000000"/>
                <w:sz w:val="16"/>
                <w:szCs w:val="16"/>
              </w:rPr>
            </w:pPr>
            <w:r w:rsidRPr="00874BFF">
              <w:rPr>
                <w:color w:val="000000"/>
                <w:sz w:val="16"/>
              </w:rPr>
              <w:t>Loans with government guarantee</w:t>
            </w:r>
          </w:p>
        </w:tc>
        <w:tc>
          <w:tcPr>
            <w:tcW w:w="995" w:type="dxa"/>
            <w:tcBorders>
              <w:top w:val="nil"/>
              <w:left w:val="nil"/>
              <w:bottom w:val="nil"/>
              <w:right w:val="nil"/>
            </w:tcBorders>
            <w:noWrap/>
            <w:vAlign w:val="center"/>
          </w:tcPr>
          <w:p w14:paraId="147B8692" w14:textId="77777777" w:rsidR="006D3AD5" w:rsidRPr="00874BFF" w:rsidRDefault="006D3AD5" w:rsidP="00443B8F">
            <w:pPr>
              <w:rPr>
                <w:rFonts w:cs="Arial"/>
                <w:color w:val="000000"/>
                <w:sz w:val="16"/>
                <w:szCs w:val="16"/>
              </w:rPr>
            </w:pPr>
            <w:r w:rsidRPr="00874BFF">
              <w:rPr>
                <w:color w:val="000000"/>
                <w:sz w:val="16"/>
              </w:rPr>
              <w:t>CZK millions</w:t>
            </w:r>
          </w:p>
        </w:tc>
        <w:tc>
          <w:tcPr>
            <w:tcW w:w="861" w:type="dxa"/>
            <w:tcBorders>
              <w:top w:val="nil"/>
              <w:left w:val="nil"/>
              <w:bottom w:val="nil"/>
              <w:right w:val="nil"/>
            </w:tcBorders>
            <w:noWrap/>
            <w:vAlign w:val="center"/>
          </w:tcPr>
          <w:p w14:paraId="61E6388C" w14:textId="77777777" w:rsidR="006D3AD5" w:rsidRPr="00874BFF" w:rsidRDefault="006D3AD5" w:rsidP="00443B8F">
            <w:pPr>
              <w:jc w:val="center"/>
              <w:rPr>
                <w:rFonts w:cs="Arial"/>
                <w:color w:val="000000"/>
                <w:sz w:val="16"/>
                <w:szCs w:val="16"/>
              </w:rPr>
            </w:pPr>
            <w:r w:rsidRPr="00874BFF">
              <w:rPr>
                <w:color w:val="000000"/>
                <w:sz w:val="16"/>
              </w:rPr>
              <w:t>2.959</w:t>
            </w:r>
          </w:p>
        </w:tc>
        <w:tc>
          <w:tcPr>
            <w:tcW w:w="862" w:type="dxa"/>
            <w:tcBorders>
              <w:top w:val="nil"/>
              <w:left w:val="nil"/>
              <w:bottom w:val="nil"/>
              <w:right w:val="nil"/>
            </w:tcBorders>
            <w:noWrap/>
            <w:vAlign w:val="center"/>
          </w:tcPr>
          <w:p w14:paraId="581444D3" w14:textId="77777777" w:rsidR="006D3AD5" w:rsidRPr="00874BFF" w:rsidRDefault="006D3AD5" w:rsidP="00443B8F">
            <w:pPr>
              <w:jc w:val="center"/>
              <w:rPr>
                <w:rFonts w:cs="Arial"/>
                <w:color w:val="000000"/>
                <w:sz w:val="16"/>
                <w:szCs w:val="16"/>
              </w:rPr>
            </w:pPr>
            <w:r w:rsidRPr="00874BFF">
              <w:rPr>
                <w:color w:val="000000"/>
                <w:sz w:val="16"/>
              </w:rPr>
              <w:t>5.094</w:t>
            </w:r>
          </w:p>
        </w:tc>
        <w:tc>
          <w:tcPr>
            <w:tcW w:w="862" w:type="dxa"/>
            <w:tcBorders>
              <w:top w:val="nil"/>
              <w:left w:val="nil"/>
              <w:bottom w:val="nil"/>
              <w:right w:val="nil"/>
            </w:tcBorders>
            <w:noWrap/>
            <w:vAlign w:val="center"/>
          </w:tcPr>
          <w:p w14:paraId="1CA1370F" w14:textId="77777777" w:rsidR="006D3AD5" w:rsidRPr="00874BFF" w:rsidRDefault="006D3AD5" w:rsidP="00443B8F">
            <w:pPr>
              <w:jc w:val="center"/>
              <w:rPr>
                <w:rFonts w:cs="Arial"/>
                <w:color w:val="000000"/>
                <w:sz w:val="16"/>
                <w:szCs w:val="16"/>
              </w:rPr>
            </w:pPr>
            <w:r w:rsidRPr="00874BFF">
              <w:rPr>
                <w:color w:val="000000"/>
                <w:sz w:val="16"/>
              </w:rPr>
              <w:t>9.550</w:t>
            </w:r>
          </w:p>
        </w:tc>
        <w:tc>
          <w:tcPr>
            <w:tcW w:w="861" w:type="dxa"/>
            <w:tcBorders>
              <w:top w:val="nil"/>
              <w:left w:val="nil"/>
              <w:bottom w:val="nil"/>
              <w:right w:val="nil"/>
            </w:tcBorders>
            <w:noWrap/>
            <w:vAlign w:val="center"/>
          </w:tcPr>
          <w:p w14:paraId="6FC9FD35" w14:textId="77777777" w:rsidR="006D3AD5" w:rsidRPr="00874BFF" w:rsidRDefault="006D3AD5" w:rsidP="00443B8F">
            <w:pPr>
              <w:jc w:val="center"/>
              <w:rPr>
                <w:rFonts w:cs="Arial"/>
                <w:color w:val="000000"/>
                <w:sz w:val="16"/>
                <w:szCs w:val="16"/>
              </w:rPr>
            </w:pPr>
            <w:r w:rsidRPr="00874BFF">
              <w:rPr>
                <w:color w:val="000000"/>
                <w:sz w:val="16"/>
              </w:rPr>
              <w:t>10.070</w:t>
            </w:r>
          </w:p>
        </w:tc>
        <w:tc>
          <w:tcPr>
            <w:tcW w:w="862" w:type="dxa"/>
            <w:tcBorders>
              <w:top w:val="nil"/>
              <w:left w:val="nil"/>
              <w:bottom w:val="nil"/>
              <w:right w:val="nil"/>
            </w:tcBorders>
            <w:vAlign w:val="center"/>
          </w:tcPr>
          <w:p w14:paraId="3303D463" w14:textId="77777777" w:rsidR="006D3AD5" w:rsidRPr="00874BFF" w:rsidRDefault="006D3AD5" w:rsidP="00443B8F">
            <w:pPr>
              <w:jc w:val="center"/>
              <w:rPr>
                <w:rFonts w:cs="Arial"/>
                <w:color w:val="000000"/>
                <w:sz w:val="16"/>
                <w:szCs w:val="16"/>
              </w:rPr>
            </w:pPr>
            <w:r w:rsidRPr="00874BFF">
              <w:rPr>
                <w:color w:val="000000"/>
                <w:sz w:val="16"/>
              </w:rPr>
              <w:t>630</w:t>
            </w:r>
          </w:p>
        </w:tc>
        <w:tc>
          <w:tcPr>
            <w:tcW w:w="862" w:type="dxa"/>
            <w:tcBorders>
              <w:top w:val="nil"/>
              <w:left w:val="nil"/>
              <w:bottom w:val="nil"/>
              <w:right w:val="nil"/>
            </w:tcBorders>
            <w:vAlign w:val="center"/>
          </w:tcPr>
          <w:p w14:paraId="34F7B6CD" w14:textId="77777777" w:rsidR="006D3AD5" w:rsidRPr="00874BFF" w:rsidRDefault="006D3AD5" w:rsidP="00443B8F">
            <w:pPr>
              <w:jc w:val="center"/>
              <w:rPr>
                <w:rFonts w:cs="Arial"/>
                <w:color w:val="000000"/>
                <w:sz w:val="16"/>
                <w:szCs w:val="16"/>
              </w:rPr>
            </w:pPr>
            <w:r w:rsidRPr="00874BFF">
              <w:rPr>
                <w:color w:val="000000"/>
                <w:sz w:val="16"/>
              </w:rPr>
              <w:t>2.215</w:t>
            </w:r>
          </w:p>
        </w:tc>
        <w:tc>
          <w:tcPr>
            <w:tcW w:w="862" w:type="dxa"/>
            <w:tcBorders>
              <w:top w:val="nil"/>
              <w:left w:val="nil"/>
              <w:bottom w:val="nil"/>
              <w:right w:val="nil"/>
            </w:tcBorders>
            <w:vAlign w:val="center"/>
          </w:tcPr>
          <w:p w14:paraId="1E2CB256" w14:textId="77777777" w:rsidR="006D3AD5" w:rsidRPr="00874BFF" w:rsidRDefault="006D3AD5" w:rsidP="00443B8F">
            <w:pPr>
              <w:jc w:val="center"/>
              <w:rPr>
                <w:rFonts w:cs="Arial"/>
                <w:color w:val="000000"/>
                <w:sz w:val="16"/>
                <w:szCs w:val="16"/>
              </w:rPr>
            </w:pPr>
            <w:r w:rsidRPr="00874BFF">
              <w:rPr>
                <w:color w:val="000000"/>
                <w:sz w:val="16"/>
              </w:rPr>
              <w:t>4.616</w:t>
            </w:r>
          </w:p>
        </w:tc>
      </w:tr>
      <w:tr w:rsidR="006D3AD5" w:rsidRPr="00874BFF" w14:paraId="26B8CE98" w14:textId="77777777" w:rsidTr="00443B8F">
        <w:trPr>
          <w:trHeight w:val="255"/>
        </w:trPr>
        <w:tc>
          <w:tcPr>
            <w:tcW w:w="2564" w:type="dxa"/>
            <w:tcBorders>
              <w:top w:val="nil"/>
              <w:left w:val="nil"/>
              <w:bottom w:val="nil"/>
              <w:right w:val="nil"/>
            </w:tcBorders>
            <w:shd w:val="clear" w:color="000000" w:fill="DBE5F1"/>
            <w:noWrap/>
            <w:vAlign w:val="center"/>
          </w:tcPr>
          <w:p w14:paraId="423336BC" w14:textId="77777777" w:rsidR="006D3AD5" w:rsidRPr="00874BFF" w:rsidRDefault="006D3AD5" w:rsidP="00443B8F">
            <w:pPr>
              <w:rPr>
                <w:rFonts w:cs="Arial"/>
                <w:color w:val="000000"/>
                <w:sz w:val="16"/>
                <w:szCs w:val="16"/>
              </w:rPr>
            </w:pPr>
            <w:r w:rsidRPr="00874BFF">
              <w:rPr>
                <w:color w:val="000000"/>
                <w:sz w:val="16"/>
              </w:rPr>
              <w:t>Interest rate, SMEs</w:t>
            </w:r>
          </w:p>
        </w:tc>
        <w:tc>
          <w:tcPr>
            <w:tcW w:w="995" w:type="dxa"/>
            <w:tcBorders>
              <w:top w:val="nil"/>
              <w:left w:val="nil"/>
              <w:bottom w:val="nil"/>
              <w:right w:val="nil"/>
            </w:tcBorders>
            <w:shd w:val="clear" w:color="000000" w:fill="DBE5F1"/>
            <w:noWrap/>
            <w:vAlign w:val="center"/>
          </w:tcPr>
          <w:p w14:paraId="41C7A2A3" w14:textId="77777777" w:rsidR="006D3AD5" w:rsidRPr="00874BFF" w:rsidRDefault="006D3AD5" w:rsidP="00443B8F">
            <w:pPr>
              <w:rPr>
                <w:rFonts w:cs="Arial"/>
                <w:color w:val="000000"/>
                <w:sz w:val="16"/>
                <w:szCs w:val="16"/>
              </w:rPr>
            </w:pPr>
            <w:r w:rsidRPr="00874BFF">
              <w:rPr>
                <w:color w:val="000000"/>
                <w:sz w:val="16"/>
              </w:rPr>
              <w:t>%</w:t>
            </w:r>
          </w:p>
        </w:tc>
        <w:tc>
          <w:tcPr>
            <w:tcW w:w="861" w:type="dxa"/>
            <w:tcBorders>
              <w:top w:val="nil"/>
              <w:left w:val="nil"/>
              <w:bottom w:val="nil"/>
              <w:right w:val="nil"/>
            </w:tcBorders>
            <w:shd w:val="clear" w:color="000000" w:fill="DBE5F1"/>
            <w:noWrap/>
            <w:vAlign w:val="center"/>
          </w:tcPr>
          <w:p w14:paraId="22B726FA" w14:textId="77777777" w:rsidR="006D3AD5" w:rsidRPr="00874BFF" w:rsidRDefault="006D3AD5" w:rsidP="00443B8F">
            <w:pPr>
              <w:jc w:val="center"/>
              <w:rPr>
                <w:rFonts w:cs="Arial"/>
                <w:color w:val="000000"/>
                <w:sz w:val="16"/>
                <w:szCs w:val="16"/>
              </w:rPr>
            </w:pPr>
            <w:r w:rsidRPr="00874BFF">
              <w:rPr>
                <w:color w:val="000000"/>
                <w:sz w:val="16"/>
              </w:rPr>
              <w:t>5.03%</w:t>
            </w:r>
          </w:p>
        </w:tc>
        <w:tc>
          <w:tcPr>
            <w:tcW w:w="862" w:type="dxa"/>
            <w:tcBorders>
              <w:top w:val="nil"/>
              <w:left w:val="nil"/>
              <w:bottom w:val="nil"/>
              <w:right w:val="nil"/>
            </w:tcBorders>
            <w:shd w:val="clear" w:color="000000" w:fill="DBE5F1"/>
            <w:noWrap/>
            <w:vAlign w:val="center"/>
          </w:tcPr>
          <w:p w14:paraId="675EFD8A" w14:textId="77777777" w:rsidR="006D3AD5" w:rsidRPr="00874BFF" w:rsidRDefault="006D3AD5" w:rsidP="00443B8F">
            <w:pPr>
              <w:jc w:val="center"/>
              <w:rPr>
                <w:rFonts w:cs="Arial"/>
                <w:color w:val="000000"/>
                <w:sz w:val="16"/>
                <w:szCs w:val="16"/>
              </w:rPr>
            </w:pPr>
            <w:r w:rsidRPr="00874BFF">
              <w:rPr>
                <w:color w:val="000000"/>
                <w:sz w:val="16"/>
              </w:rPr>
              <w:t>5.57%</w:t>
            </w:r>
          </w:p>
        </w:tc>
        <w:tc>
          <w:tcPr>
            <w:tcW w:w="862" w:type="dxa"/>
            <w:tcBorders>
              <w:top w:val="nil"/>
              <w:left w:val="nil"/>
              <w:bottom w:val="nil"/>
              <w:right w:val="nil"/>
            </w:tcBorders>
            <w:shd w:val="clear" w:color="000000" w:fill="DBE5F1"/>
            <w:noWrap/>
            <w:vAlign w:val="center"/>
          </w:tcPr>
          <w:p w14:paraId="4231843B" w14:textId="77777777" w:rsidR="006D3AD5" w:rsidRPr="00874BFF" w:rsidRDefault="006D3AD5" w:rsidP="00443B8F">
            <w:pPr>
              <w:jc w:val="center"/>
              <w:rPr>
                <w:rFonts w:cs="Arial"/>
                <w:color w:val="000000"/>
                <w:sz w:val="16"/>
                <w:szCs w:val="16"/>
              </w:rPr>
            </w:pPr>
            <w:r w:rsidRPr="00874BFF">
              <w:rPr>
                <w:color w:val="000000"/>
                <w:sz w:val="16"/>
              </w:rPr>
              <w:t>4.64%</w:t>
            </w:r>
          </w:p>
        </w:tc>
        <w:tc>
          <w:tcPr>
            <w:tcW w:w="861" w:type="dxa"/>
            <w:tcBorders>
              <w:top w:val="nil"/>
              <w:left w:val="nil"/>
              <w:bottom w:val="nil"/>
              <w:right w:val="nil"/>
            </w:tcBorders>
            <w:shd w:val="clear" w:color="000000" w:fill="DBE5F1"/>
            <w:noWrap/>
            <w:vAlign w:val="center"/>
          </w:tcPr>
          <w:p w14:paraId="00AA90E5" w14:textId="77777777" w:rsidR="006D3AD5" w:rsidRPr="00874BFF" w:rsidRDefault="006D3AD5" w:rsidP="00443B8F">
            <w:pPr>
              <w:jc w:val="center"/>
              <w:rPr>
                <w:rFonts w:cs="Arial"/>
                <w:color w:val="000000"/>
                <w:sz w:val="16"/>
                <w:szCs w:val="16"/>
              </w:rPr>
            </w:pPr>
            <w:r w:rsidRPr="00874BFF">
              <w:rPr>
                <w:color w:val="000000"/>
                <w:sz w:val="16"/>
              </w:rPr>
              <w:t>4.01%</w:t>
            </w:r>
          </w:p>
        </w:tc>
        <w:tc>
          <w:tcPr>
            <w:tcW w:w="862" w:type="dxa"/>
            <w:tcBorders>
              <w:top w:val="nil"/>
              <w:left w:val="nil"/>
              <w:bottom w:val="nil"/>
              <w:right w:val="nil"/>
            </w:tcBorders>
            <w:shd w:val="clear" w:color="000000" w:fill="DBE5F1"/>
            <w:vAlign w:val="center"/>
          </w:tcPr>
          <w:p w14:paraId="2A856348" w14:textId="77777777" w:rsidR="006D3AD5" w:rsidRPr="00874BFF" w:rsidRDefault="006D3AD5" w:rsidP="00443B8F">
            <w:pPr>
              <w:jc w:val="center"/>
              <w:rPr>
                <w:rFonts w:cs="Arial"/>
                <w:color w:val="000000"/>
                <w:sz w:val="16"/>
                <w:szCs w:val="16"/>
              </w:rPr>
            </w:pPr>
            <w:r w:rsidRPr="00874BFF">
              <w:rPr>
                <w:color w:val="000000"/>
                <w:sz w:val="16"/>
              </w:rPr>
              <w:t>3.73%</w:t>
            </w:r>
          </w:p>
        </w:tc>
        <w:tc>
          <w:tcPr>
            <w:tcW w:w="862" w:type="dxa"/>
            <w:tcBorders>
              <w:top w:val="nil"/>
              <w:left w:val="nil"/>
              <w:bottom w:val="nil"/>
              <w:right w:val="nil"/>
            </w:tcBorders>
            <w:shd w:val="clear" w:color="000000" w:fill="DBE5F1"/>
            <w:vAlign w:val="center"/>
          </w:tcPr>
          <w:p w14:paraId="5A3E7C93" w14:textId="77777777" w:rsidR="006D3AD5" w:rsidRPr="00874BFF" w:rsidRDefault="006D3AD5" w:rsidP="00443B8F">
            <w:pPr>
              <w:jc w:val="center"/>
              <w:rPr>
                <w:rFonts w:cs="Arial"/>
                <w:color w:val="000000"/>
                <w:sz w:val="16"/>
                <w:szCs w:val="16"/>
              </w:rPr>
            </w:pPr>
            <w:r w:rsidRPr="00874BFF">
              <w:rPr>
                <w:color w:val="000000"/>
                <w:sz w:val="16"/>
              </w:rPr>
              <w:t>3.48%</w:t>
            </w:r>
          </w:p>
        </w:tc>
        <w:tc>
          <w:tcPr>
            <w:tcW w:w="862" w:type="dxa"/>
            <w:tcBorders>
              <w:top w:val="nil"/>
              <w:left w:val="nil"/>
              <w:bottom w:val="nil"/>
              <w:right w:val="nil"/>
            </w:tcBorders>
            <w:shd w:val="clear" w:color="000000" w:fill="DBE5F1"/>
            <w:vAlign w:val="center"/>
          </w:tcPr>
          <w:p w14:paraId="2A3DFA51" w14:textId="77777777" w:rsidR="006D3AD5" w:rsidRPr="00874BFF" w:rsidRDefault="006D3AD5" w:rsidP="00443B8F">
            <w:pPr>
              <w:jc w:val="center"/>
              <w:rPr>
                <w:rFonts w:cs="Arial"/>
                <w:color w:val="000000"/>
                <w:sz w:val="16"/>
                <w:szCs w:val="16"/>
              </w:rPr>
            </w:pPr>
            <w:r w:rsidRPr="00874BFF">
              <w:rPr>
                <w:color w:val="000000"/>
                <w:sz w:val="16"/>
              </w:rPr>
              <w:t>3.13%</w:t>
            </w:r>
          </w:p>
        </w:tc>
      </w:tr>
      <w:tr w:rsidR="006D3AD5" w:rsidRPr="00874BFF" w14:paraId="76C57869" w14:textId="77777777" w:rsidTr="00443B8F">
        <w:trPr>
          <w:trHeight w:val="255"/>
        </w:trPr>
        <w:tc>
          <w:tcPr>
            <w:tcW w:w="2564" w:type="dxa"/>
            <w:tcBorders>
              <w:top w:val="nil"/>
              <w:left w:val="nil"/>
              <w:bottom w:val="nil"/>
              <w:right w:val="nil"/>
            </w:tcBorders>
            <w:noWrap/>
            <w:vAlign w:val="center"/>
          </w:tcPr>
          <w:p w14:paraId="1ADA568B" w14:textId="77777777" w:rsidR="006D3AD5" w:rsidRPr="00874BFF" w:rsidRDefault="006D3AD5" w:rsidP="00443B8F">
            <w:pPr>
              <w:rPr>
                <w:rFonts w:cs="Arial"/>
                <w:color w:val="000000"/>
                <w:sz w:val="16"/>
                <w:szCs w:val="16"/>
              </w:rPr>
            </w:pPr>
            <w:r w:rsidRPr="00874BFF">
              <w:rPr>
                <w:color w:val="000000"/>
                <w:sz w:val="16"/>
              </w:rPr>
              <w:t xml:space="preserve">Interest rate, LEs </w:t>
            </w:r>
          </w:p>
        </w:tc>
        <w:tc>
          <w:tcPr>
            <w:tcW w:w="995" w:type="dxa"/>
            <w:tcBorders>
              <w:top w:val="nil"/>
              <w:left w:val="nil"/>
              <w:bottom w:val="nil"/>
              <w:right w:val="nil"/>
            </w:tcBorders>
            <w:noWrap/>
            <w:vAlign w:val="center"/>
          </w:tcPr>
          <w:p w14:paraId="4536C440" w14:textId="77777777" w:rsidR="006D3AD5" w:rsidRPr="00874BFF" w:rsidRDefault="006D3AD5" w:rsidP="00443B8F">
            <w:pPr>
              <w:rPr>
                <w:rFonts w:cs="Arial"/>
                <w:color w:val="000000"/>
                <w:sz w:val="16"/>
                <w:szCs w:val="16"/>
              </w:rPr>
            </w:pPr>
            <w:r w:rsidRPr="00874BFF">
              <w:rPr>
                <w:color w:val="000000"/>
                <w:sz w:val="16"/>
              </w:rPr>
              <w:t>%</w:t>
            </w:r>
          </w:p>
        </w:tc>
        <w:tc>
          <w:tcPr>
            <w:tcW w:w="861" w:type="dxa"/>
            <w:tcBorders>
              <w:top w:val="nil"/>
              <w:left w:val="nil"/>
              <w:bottom w:val="nil"/>
              <w:right w:val="nil"/>
            </w:tcBorders>
            <w:noWrap/>
            <w:vAlign w:val="center"/>
          </w:tcPr>
          <w:p w14:paraId="6113961A" w14:textId="77777777" w:rsidR="006D3AD5" w:rsidRPr="00874BFF" w:rsidRDefault="006D3AD5" w:rsidP="00443B8F">
            <w:pPr>
              <w:jc w:val="center"/>
              <w:rPr>
                <w:rFonts w:cs="Arial"/>
                <w:color w:val="000000"/>
                <w:sz w:val="16"/>
                <w:szCs w:val="16"/>
              </w:rPr>
            </w:pPr>
            <w:r w:rsidRPr="00874BFF">
              <w:rPr>
                <w:color w:val="000000"/>
                <w:sz w:val="16"/>
              </w:rPr>
              <w:t>4.05%</w:t>
            </w:r>
          </w:p>
        </w:tc>
        <w:tc>
          <w:tcPr>
            <w:tcW w:w="862" w:type="dxa"/>
            <w:tcBorders>
              <w:top w:val="nil"/>
              <w:left w:val="nil"/>
              <w:bottom w:val="nil"/>
              <w:right w:val="nil"/>
            </w:tcBorders>
            <w:noWrap/>
            <w:vAlign w:val="center"/>
          </w:tcPr>
          <w:p w14:paraId="47724EE4" w14:textId="77777777" w:rsidR="006D3AD5" w:rsidRPr="00874BFF" w:rsidRDefault="006D3AD5" w:rsidP="00443B8F">
            <w:pPr>
              <w:jc w:val="center"/>
              <w:rPr>
                <w:rFonts w:cs="Arial"/>
                <w:color w:val="000000"/>
                <w:sz w:val="16"/>
                <w:szCs w:val="16"/>
              </w:rPr>
            </w:pPr>
            <w:r w:rsidRPr="00874BFF">
              <w:rPr>
                <w:color w:val="000000"/>
                <w:sz w:val="16"/>
              </w:rPr>
              <w:t>4.84%</w:t>
            </w:r>
          </w:p>
        </w:tc>
        <w:tc>
          <w:tcPr>
            <w:tcW w:w="862" w:type="dxa"/>
            <w:tcBorders>
              <w:top w:val="nil"/>
              <w:left w:val="nil"/>
              <w:bottom w:val="nil"/>
              <w:right w:val="nil"/>
            </w:tcBorders>
            <w:noWrap/>
            <w:vAlign w:val="center"/>
          </w:tcPr>
          <w:p w14:paraId="07496CCE" w14:textId="77777777" w:rsidR="006D3AD5" w:rsidRPr="00874BFF" w:rsidRDefault="006D3AD5" w:rsidP="00443B8F">
            <w:pPr>
              <w:jc w:val="center"/>
              <w:rPr>
                <w:rFonts w:cs="Arial"/>
                <w:color w:val="000000"/>
                <w:sz w:val="16"/>
                <w:szCs w:val="16"/>
              </w:rPr>
            </w:pPr>
            <w:r w:rsidRPr="00874BFF">
              <w:rPr>
                <w:color w:val="000000"/>
                <w:sz w:val="16"/>
              </w:rPr>
              <w:t>3.46%</w:t>
            </w:r>
          </w:p>
        </w:tc>
        <w:tc>
          <w:tcPr>
            <w:tcW w:w="861" w:type="dxa"/>
            <w:tcBorders>
              <w:top w:val="nil"/>
              <w:left w:val="nil"/>
              <w:bottom w:val="nil"/>
              <w:right w:val="nil"/>
            </w:tcBorders>
            <w:noWrap/>
            <w:vAlign w:val="center"/>
          </w:tcPr>
          <w:p w14:paraId="26DFC47F" w14:textId="77777777" w:rsidR="006D3AD5" w:rsidRPr="00874BFF" w:rsidRDefault="006D3AD5" w:rsidP="00443B8F">
            <w:pPr>
              <w:jc w:val="center"/>
              <w:rPr>
                <w:rFonts w:cs="Arial"/>
                <w:color w:val="000000"/>
                <w:sz w:val="16"/>
                <w:szCs w:val="16"/>
              </w:rPr>
            </w:pPr>
            <w:r w:rsidRPr="00874BFF">
              <w:rPr>
                <w:color w:val="000000"/>
                <w:sz w:val="16"/>
              </w:rPr>
              <w:t>3.34%</w:t>
            </w:r>
          </w:p>
        </w:tc>
        <w:tc>
          <w:tcPr>
            <w:tcW w:w="862" w:type="dxa"/>
            <w:tcBorders>
              <w:top w:val="nil"/>
              <w:left w:val="nil"/>
              <w:bottom w:val="nil"/>
              <w:right w:val="nil"/>
            </w:tcBorders>
            <w:vAlign w:val="center"/>
          </w:tcPr>
          <w:p w14:paraId="718215AC" w14:textId="77777777" w:rsidR="006D3AD5" w:rsidRPr="00874BFF" w:rsidRDefault="006D3AD5" w:rsidP="00443B8F">
            <w:pPr>
              <w:jc w:val="center"/>
              <w:rPr>
                <w:rFonts w:cs="Arial"/>
                <w:color w:val="000000"/>
                <w:sz w:val="16"/>
                <w:szCs w:val="16"/>
              </w:rPr>
            </w:pPr>
            <w:r w:rsidRPr="00874BFF">
              <w:rPr>
                <w:color w:val="000000"/>
                <w:sz w:val="16"/>
              </w:rPr>
              <w:t>2.63%</w:t>
            </w:r>
          </w:p>
        </w:tc>
        <w:tc>
          <w:tcPr>
            <w:tcW w:w="862" w:type="dxa"/>
            <w:tcBorders>
              <w:top w:val="nil"/>
              <w:left w:val="nil"/>
              <w:bottom w:val="nil"/>
              <w:right w:val="nil"/>
            </w:tcBorders>
            <w:vAlign w:val="center"/>
          </w:tcPr>
          <w:p w14:paraId="26866A03" w14:textId="77777777" w:rsidR="006D3AD5" w:rsidRPr="00874BFF" w:rsidRDefault="006D3AD5" w:rsidP="00443B8F">
            <w:pPr>
              <w:jc w:val="center"/>
              <w:rPr>
                <w:rFonts w:cs="Arial"/>
                <w:color w:val="000000"/>
                <w:sz w:val="16"/>
                <w:szCs w:val="16"/>
              </w:rPr>
            </w:pPr>
            <w:r w:rsidRPr="00874BFF">
              <w:rPr>
                <w:color w:val="000000"/>
                <w:sz w:val="16"/>
              </w:rPr>
              <w:t>2.43%</w:t>
            </w:r>
          </w:p>
        </w:tc>
        <w:tc>
          <w:tcPr>
            <w:tcW w:w="862" w:type="dxa"/>
            <w:tcBorders>
              <w:top w:val="nil"/>
              <w:left w:val="nil"/>
              <w:bottom w:val="nil"/>
              <w:right w:val="nil"/>
            </w:tcBorders>
            <w:vAlign w:val="center"/>
          </w:tcPr>
          <w:p w14:paraId="0D9DB8C1" w14:textId="77777777" w:rsidR="006D3AD5" w:rsidRPr="00874BFF" w:rsidRDefault="006D3AD5" w:rsidP="00443B8F">
            <w:pPr>
              <w:jc w:val="center"/>
              <w:rPr>
                <w:rFonts w:cs="Arial"/>
                <w:color w:val="000000"/>
                <w:sz w:val="16"/>
                <w:szCs w:val="16"/>
              </w:rPr>
            </w:pPr>
            <w:r w:rsidRPr="00874BFF">
              <w:rPr>
                <w:color w:val="000000"/>
                <w:sz w:val="16"/>
              </w:rPr>
              <w:t>1.89%</w:t>
            </w:r>
          </w:p>
        </w:tc>
      </w:tr>
      <w:tr w:rsidR="006D3AD5" w:rsidRPr="00874BFF" w14:paraId="3E5F65A3" w14:textId="77777777" w:rsidTr="00443B8F">
        <w:trPr>
          <w:trHeight w:val="255"/>
        </w:trPr>
        <w:tc>
          <w:tcPr>
            <w:tcW w:w="2564" w:type="dxa"/>
            <w:tcBorders>
              <w:top w:val="nil"/>
              <w:left w:val="nil"/>
              <w:bottom w:val="nil"/>
              <w:right w:val="nil"/>
            </w:tcBorders>
            <w:shd w:val="clear" w:color="000000" w:fill="DBE5F1"/>
            <w:noWrap/>
            <w:vAlign w:val="center"/>
          </w:tcPr>
          <w:p w14:paraId="10A94C1C" w14:textId="77777777" w:rsidR="006D3AD5" w:rsidRPr="00874BFF" w:rsidRDefault="006D3AD5" w:rsidP="00443B8F">
            <w:pPr>
              <w:rPr>
                <w:rFonts w:cs="Arial"/>
                <w:color w:val="000000"/>
                <w:sz w:val="16"/>
                <w:szCs w:val="16"/>
              </w:rPr>
            </w:pPr>
            <w:r w:rsidRPr="00874BFF">
              <w:rPr>
                <w:color w:val="000000"/>
                <w:sz w:val="16"/>
              </w:rPr>
              <w:t>Interest differentiation SMEs – LEs</w:t>
            </w:r>
          </w:p>
        </w:tc>
        <w:tc>
          <w:tcPr>
            <w:tcW w:w="995" w:type="dxa"/>
            <w:tcBorders>
              <w:top w:val="nil"/>
              <w:left w:val="nil"/>
              <w:bottom w:val="nil"/>
              <w:right w:val="nil"/>
            </w:tcBorders>
            <w:shd w:val="clear" w:color="000000" w:fill="DBE5F1"/>
            <w:noWrap/>
            <w:vAlign w:val="center"/>
          </w:tcPr>
          <w:p w14:paraId="49D97A4E" w14:textId="77777777" w:rsidR="006D3AD5" w:rsidRPr="00874BFF" w:rsidRDefault="006D3AD5" w:rsidP="00443B8F">
            <w:pPr>
              <w:rPr>
                <w:rFonts w:cs="Arial"/>
                <w:color w:val="000000"/>
                <w:sz w:val="16"/>
                <w:szCs w:val="16"/>
              </w:rPr>
            </w:pPr>
            <w:r w:rsidRPr="00874BFF">
              <w:rPr>
                <w:color w:val="000000"/>
                <w:sz w:val="16"/>
              </w:rPr>
              <w:t>Percentage points</w:t>
            </w:r>
          </w:p>
        </w:tc>
        <w:tc>
          <w:tcPr>
            <w:tcW w:w="861" w:type="dxa"/>
            <w:tcBorders>
              <w:top w:val="nil"/>
              <w:left w:val="nil"/>
              <w:bottom w:val="nil"/>
              <w:right w:val="nil"/>
            </w:tcBorders>
            <w:shd w:val="clear" w:color="000000" w:fill="DBE5F1"/>
            <w:noWrap/>
            <w:vAlign w:val="center"/>
          </w:tcPr>
          <w:p w14:paraId="3735DBA7" w14:textId="77777777" w:rsidR="006D3AD5" w:rsidRPr="00874BFF" w:rsidRDefault="006D3AD5" w:rsidP="00443B8F">
            <w:pPr>
              <w:jc w:val="center"/>
              <w:rPr>
                <w:rFonts w:cs="Arial"/>
                <w:color w:val="000000"/>
                <w:sz w:val="16"/>
                <w:szCs w:val="16"/>
              </w:rPr>
            </w:pPr>
            <w:r w:rsidRPr="00874BFF">
              <w:rPr>
                <w:color w:val="000000"/>
                <w:sz w:val="16"/>
              </w:rPr>
              <w:t>0.97</w:t>
            </w:r>
          </w:p>
        </w:tc>
        <w:tc>
          <w:tcPr>
            <w:tcW w:w="862" w:type="dxa"/>
            <w:tcBorders>
              <w:top w:val="nil"/>
              <w:left w:val="nil"/>
              <w:bottom w:val="nil"/>
              <w:right w:val="nil"/>
            </w:tcBorders>
            <w:shd w:val="clear" w:color="000000" w:fill="DBE5F1"/>
            <w:noWrap/>
            <w:vAlign w:val="center"/>
          </w:tcPr>
          <w:p w14:paraId="28385CED" w14:textId="77777777" w:rsidR="006D3AD5" w:rsidRPr="00874BFF" w:rsidRDefault="006D3AD5" w:rsidP="00443B8F">
            <w:pPr>
              <w:jc w:val="center"/>
              <w:rPr>
                <w:rFonts w:cs="Arial"/>
                <w:color w:val="000000"/>
                <w:sz w:val="16"/>
                <w:szCs w:val="16"/>
              </w:rPr>
            </w:pPr>
            <w:r w:rsidRPr="00874BFF">
              <w:rPr>
                <w:color w:val="000000"/>
                <w:sz w:val="16"/>
              </w:rPr>
              <w:t>0.73</w:t>
            </w:r>
          </w:p>
        </w:tc>
        <w:tc>
          <w:tcPr>
            <w:tcW w:w="862" w:type="dxa"/>
            <w:tcBorders>
              <w:top w:val="nil"/>
              <w:left w:val="nil"/>
              <w:bottom w:val="nil"/>
              <w:right w:val="nil"/>
            </w:tcBorders>
            <w:shd w:val="clear" w:color="000000" w:fill="DBE5F1"/>
            <w:noWrap/>
            <w:vAlign w:val="center"/>
          </w:tcPr>
          <w:p w14:paraId="1551BFF9" w14:textId="77777777" w:rsidR="006D3AD5" w:rsidRPr="00874BFF" w:rsidRDefault="006D3AD5" w:rsidP="00443B8F">
            <w:pPr>
              <w:jc w:val="center"/>
              <w:rPr>
                <w:rFonts w:cs="Arial"/>
                <w:color w:val="000000"/>
                <w:sz w:val="16"/>
                <w:szCs w:val="16"/>
              </w:rPr>
            </w:pPr>
            <w:r w:rsidRPr="00874BFF">
              <w:rPr>
                <w:color w:val="000000"/>
                <w:sz w:val="16"/>
              </w:rPr>
              <w:t>1.18</w:t>
            </w:r>
          </w:p>
        </w:tc>
        <w:tc>
          <w:tcPr>
            <w:tcW w:w="861" w:type="dxa"/>
            <w:tcBorders>
              <w:top w:val="nil"/>
              <w:left w:val="nil"/>
              <w:bottom w:val="nil"/>
              <w:right w:val="nil"/>
            </w:tcBorders>
            <w:shd w:val="clear" w:color="000000" w:fill="DBE5F1"/>
            <w:noWrap/>
            <w:vAlign w:val="center"/>
          </w:tcPr>
          <w:p w14:paraId="7C3E7F0E" w14:textId="77777777" w:rsidR="006D3AD5" w:rsidRPr="00874BFF" w:rsidRDefault="006D3AD5" w:rsidP="00443B8F">
            <w:pPr>
              <w:jc w:val="center"/>
              <w:rPr>
                <w:rFonts w:cs="Arial"/>
                <w:color w:val="000000"/>
                <w:sz w:val="16"/>
                <w:szCs w:val="16"/>
              </w:rPr>
            </w:pPr>
            <w:r w:rsidRPr="00874BFF">
              <w:rPr>
                <w:color w:val="000000"/>
                <w:sz w:val="16"/>
              </w:rPr>
              <w:t>0.68</w:t>
            </w:r>
          </w:p>
        </w:tc>
        <w:tc>
          <w:tcPr>
            <w:tcW w:w="862" w:type="dxa"/>
            <w:tcBorders>
              <w:top w:val="nil"/>
              <w:left w:val="nil"/>
              <w:bottom w:val="nil"/>
              <w:right w:val="nil"/>
            </w:tcBorders>
            <w:shd w:val="clear" w:color="000000" w:fill="DBE5F1"/>
            <w:noWrap/>
            <w:vAlign w:val="center"/>
          </w:tcPr>
          <w:p w14:paraId="049D46DB" w14:textId="77777777" w:rsidR="006D3AD5" w:rsidRPr="00874BFF" w:rsidRDefault="006D3AD5" w:rsidP="00443B8F">
            <w:pPr>
              <w:jc w:val="center"/>
              <w:rPr>
                <w:rFonts w:cs="Arial"/>
                <w:color w:val="000000"/>
                <w:sz w:val="16"/>
                <w:szCs w:val="16"/>
              </w:rPr>
            </w:pPr>
            <w:r w:rsidRPr="00874BFF">
              <w:rPr>
                <w:color w:val="000000"/>
                <w:sz w:val="16"/>
              </w:rPr>
              <w:t>1.11</w:t>
            </w:r>
          </w:p>
        </w:tc>
        <w:tc>
          <w:tcPr>
            <w:tcW w:w="862" w:type="dxa"/>
            <w:tcBorders>
              <w:top w:val="nil"/>
              <w:left w:val="nil"/>
              <w:bottom w:val="nil"/>
              <w:right w:val="nil"/>
            </w:tcBorders>
            <w:shd w:val="clear" w:color="000000" w:fill="DBE5F1"/>
            <w:noWrap/>
            <w:vAlign w:val="center"/>
          </w:tcPr>
          <w:p w14:paraId="20B40252" w14:textId="77777777" w:rsidR="006D3AD5" w:rsidRPr="00874BFF" w:rsidRDefault="006D3AD5" w:rsidP="00443B8F">
            <w:pPr>
              <w:jc w:val="center"/>
              <w:rPr>
                <w:rFonts w:cs="Arial"/>
                <w:color w:val="000000"/>
                <w:sz w:val="16"/>
                <w:szCs w:val="16"/>
              </w:rPr>
            </w:pPr>
            <w:r w:rsidRPr="00874BFF">
              <w:rPr>
                <w:color w:val="000000"/>
                <w:sz w:val="16"/>
              </w:rPr>
              <w:t>0.98</w:t>
            </w:r>
          </w:p>
        </w:tc>
        <w:tc>
          <w:tcPr>
            <w:tcW w:w="862" w:type="dxa"/>
            <w:tcBorders>
              <w:top w:val="nil"/>
              <w:left w:val="nil"/>
              <w:bottom w:val="nil"/>
              <w:right w:val="nil"/>
            </w:tcBorders>
            <w:shd w:val="clear" w:color="000000" w:fill="DBE5F1"/>
            <w:noWrap/>
            <w:vAlign w:val="center"/>
          </w:tcPr>
          <w:p w14:paraId="34C9D78F" w14:textId="77777777" w:rsidR="006D3AD5" w:rsidRPr="00874BFF" w:rsidRDefault="006D3AD5" w:rsidP="00443B8F">
            <w:pPr>
              <w:keepNext/>
              <w:jc w:val="center"/>
              <w:rPr>
                <w:rFonts w:cs="Arial"/>
                <w:color w:val="000000"/>
                <w:sz w:val="16"/>
                <w:szCs w:val="16"/>
              </w:rPr>
            </w:pPr>
            <w:r w:rsidRPr="00874BFF">
              <w:rPr>
                <w:color w:val="000000"/>
                <w:sz w:val="16"/>
              </w:rPr>
              <w:t>1.24</w:t>
            </w:r>
          </w:p>
        </w:tc>
      </w:tr>
    </w:tbl>
    <w:p w14:paraId="6CCAEC23" w14:textId="565EF129" w:rsidR="006D3AD5" w:rsidRPr="00874BFF" w:rsidRDefault="006D3AD5" w:rsidP="006D3AD5">
      <w:pPr>
        <w:pStyle w:val="Titulek"/>
      </w:pPr>
      <w:r w:rsidRPr="00874BFF">
        <w:t>Table 1</w:t>
      </w:r>
      <w:r w:rsidR="007C6DD6">
        <w:t>6</w:t>
      </w:r>
      <w:r w:rsidRPr="00874BFF">
        <w:t>: Summary of lending activities in the Czech market 2007–2013</w:t>
      </w:r>
    </w:p>
    <w:p w14:paraId="3FD1F752" w14:textId="77777777" w:rsidR="006D3AD5" w:rsidRPr="00874BFF" w:rsidRDefault="006D3AD5" w:rsidP="006D3AD5">
      <w:pPr>
        <w:pStyle w:val="Titulek"/>
      </w:pPr>
      <w:r w:rsidRPr="00874BFF">
        <w:t>Source: ČNB, OECD, ČMZRB</w:t>
      </w:r>
    </w:p>
    <w:p w14:paraId="7509E153" w14:textId="77777777" w:rsidR="006D3AD5" w:rsidRPr="00874BFF" w:rsidRDefault="006D3AD5" w:rsidP="006D3AD5"/>
    <w:p w14:paraId="17161382" w14:textId="77777777" w:rsidR="006D3AD5" w:rsidRPr="00874BFF" w:rsidRDefault="006D3AD5" w:rsidP="006D3AD5">
      <w:r w:rsidRPr="00874BFF">
        <w:rPr>
          <w:noProof/>
        </w:rPr>
        <w:lastRenderedPageBreak/>
        <w:drawing>
          <wp:inline distT="0" distB="0" distL="0" distR="0" wp14:anchorId="424A54F0" wp14:editId="38A9509B">
            <wp:extent cx="4612005" cy="2759075"/>
            <wp:effectExtent l="0" t="0" r="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05" cy="2759075"/>
                    </a:xfrm>
                    <a:prstGeom prst="rect">
                      <a:avLst/>
                    </a:prstGeom>
                    <a:noFill/>
                    <a:ln>
                      <a:noFill/>
                    </a:ln>
                  </pic:spPr>
                </pic:pic>
              </a:graphicData>
            </a:graphic>
          </wp:inline>
        </w:drawing>
      </w:r>
    </w:p>
    <w:p w14:paraId="44F71A7F" w14:textId="79558750" w:rsidR="006D3AD5" w:rsidRPr="00874BFF" w:rsidRDefault="00AE6275" w:rsidP="006D3AD5">
      <w:pPr>
        <w:pStyle w:val="Titulek"/>
        <w:keepNext/>
      </w:pPr>
      <w:r>
        <w:t>Figure</w:t>
      </w:r>
      <w:r w:rsidRPr="00874BFF">
        <w:t> </w:t>
      </w:r>
      <w:r>
        <w:t>13</w:t>
      </w:r>
      <w:r w:rsidR="006D3AD5" w:rsidRPr="00874BFF">
        <w:t>: Development in interest rates of SMEs and LEs, 2007–2014</w:t>
      </w:r>
    </w:p>
    <w:p w14:paraId="56C063C9" w14:textId="77777777" w:rsidR="006D3AD5" w:rsidRPr="00874BFF" w:rsidRDefault="006D3AD5" w:rsidP="006D3AD5">
      <w:pPr>
        <w:pStyle w:val="Titulek"/>
      </w:pPr>
      <w:r w:rsidRPr="00874BFF">
        <w:t>Source: CNB, OECD</w:t>
      </w:r>
    </w:p>
    <w:p w14:paraId="2DC0F435" w14:textId="77777777" w:rsidR="006D3AD5" w:rsidRPr="00874BFF" w:rsidRDefault="006D3AD5" w:rsidP="006D3AD5">
      <w:pPr>
        <w:rPr>
          <w:b/>
          <w:bCs/>
        </w:rPr>
      </w:pPr>
    </w:p>
    <w:p w14:paraId="5E655517" w14:textId="77777777" w:rsidR="006D3AD5" w:rsidRPr="00874BFF" w:rsidRDefault="006D3AD5" w:rsidP="006D3AD5">
      <w:r w:rsidRPr="00874BFF">
        <w:t>The financial market in the Czech Republic can be currently characterised by a high volume of deposits in banks and a low level of interest rates on loans the slump of which in the segment of large enterprises (LEs) and SMEs is shown in the table above. Also, a growing differentiation is evident in the rates on  loans for LEs and SMEs. Continuation of this trend is particularly marked in the most recent data from 2014, when interest rates for SMEs increased substantially and the difference between both rates rose up to 1.75 percentage point – SMEs pay almost a half more for loans than large enterprises.</w:t>
      </w:r>
    </w:p>
    <w:p w14:paraId="707E4A44" w14:textId="77777777" w:rsidR="006D3AD5" w:rsidRPr="00874BFF" w:rsidRDefault="006D3AD5" w:rsidP="006D3AD5"/>
    <w:p w14:paraId="37F3F6A9" w14:textId="77777777" w:rsidR="006D3AD5" w:rsidRPr="00874BFF" w:rsidRDefault="006D3AD5" w:rsidP="006D3AD5">
      <w:pPr>
        <w:pStyle w:val="Neslovannadpisy"/>
      </w:pPr>
      <w:bookmarkStart w:id="737" w:name="_Toc416383728"/>
      <w:bookmarkStart w:id="738" w:name="_Toc416447718"/>
      <w:bookmarkEnd w:id="737"/>
      <w:bookmarkEnd w:id="738"/>
      <w:r w:rsidRPr="00874BFF">
        <w:t>New business activity</w:t>
      </w:r>
    </w:p>
    <w:p w14:paraId="254A70DC" w14:textId="77777777" w:rsidR="006D3AD5" w:rsidRPr="00874BFF" w:rsidRDefault="006D3AD5" w:rsidP="006D3AD5">
      <w:r w:rsidRPr="00874BFF">
        <w:t xml:space="preserve">According to the survey  Global Entrepreneurship Monitor (GEM) </w:t>
      </w:r>
      <w:r w:rsidRPr="00874BFF">
        <w:rPr>
          <w:b/>
        </w:rPr>
        <w:t>2013</w:t>
      </w:r>
      <w:r w:rsidRPr="00874BFF">
        <w:t xml:space="preserve"> in the Czech Republic, 7.33 % of adult population aged 18–64, corresponding to 513,000 people, are involved in a new business activity (establishment steps  or existence of up to 42 months). </w:t>
      </w:r>
      <w:r w:rsidRPr="00874BFF">
        <w:rPr>
          <w:b/>
        </w:rPr>
        <w:t xml:space="preserve">Of which 27.5 % can be described as innovation-oriented, which represents a certain decrease when compared to 2011. 7.8 % of new entrepreneurs are active in the sector which is moderately or highly technologically demanding. </w:t>
      </w:r>
      <w:r w:rsidRPr="00874BFF">
        <w:t>In comparison with 2011, new business activity slightly decreased by 0.31 %, in comparison with 2006 by 0.52 %. Of the population involved in a new business activity in the Czech Republic, people below the age of 35 represent more than 50 %; they are mostly academically qualified and are able, thanks to their knowledge of technology and languages, to generate innovative projects with a high added value. The same applies to students. We expect  this group to be more open-minded to financial instruments.</w:t>
      </w:r>
    </w:p>
    <w:p w14:paraId="33D87BFE" w14:textId="77777777" w:rsidR="006D3AD5" w:rsidRPr="00874BFF" w:rsidRDefault="006D3AD5" w:rsidP="006D3AD5"/>
    <w:p w14:paraId="13199179" w14:textId="77777777" w:rsidR="006D3AD5" w:rsidRPr="00874BFF" w:rsidRDefault="006D3AD5" w:rsidP="006D3AD5">
      <w:r w:rsidRPr="00874BFF">
        <w:t xml:space="preserve">Innovative entrepreneurs were further asked in the GEM survey which form of support they would use in the future to develop their innovation activities. Most, 65 % (or 59 % in the smaller sample) responded that they would use coaching and training courses. The second and third places were occupied by the subsidy for implementation of innovations (54 % in both samples) and individual counselling (53 %, or 50 %). With a certain distance, the fourth and fifth places were occupied by the state guarantee for easier access to loan (44 % and 48 %, respectively) and the soft loan for implementation of innovations (42 % in both samples).  The less frequent forms of support in which entrepreneurs were interested were  subsidies for cooperation with the research sector (31 %, 23 %) and principal interest in capital participation of the state to finance expansion (24 %, 23 %). </w:t>
      </w:r>
      <w:r w:rsidRPr="00874BFF">
        <w:rPr>
          <w:b/>
        </w:rPr>
        <w:t>Based on their extrapolation, the GEM deduces the lower limit of the number of new innovative entrepreneurs in technologically demanding branches with potential interest in an equity investment to be 9,200 people.</w:t>
      </w:r>
    </w:p>
    <w:p w14:paraId="56EE8C66" w14:textId="77777777" w:rsidR="006D3AD5" w:rsidRPr="00874BFF" w:rsidRDefault="006D3AD5" w:rsidP="006D3AD5"/>
    <w:p w14:paraId="188CFCCC" w14:textId="77777777" w:rsidR="006D3AD5" w:rsidRPr="00874BFF" w:rsidRDefault="006D3AD5" w:rsidP="006D3AD5">
      <w:r w:rsidRPr="00874BFF">
        <w:lastRenderedPageBreak/>
        <w:t>As part of the second questionnaire survey for this study, a questionnaire was sent out, focusing on the early stage companies that are in contact with business incubators and accelerators, technology transfer centres, etc. In the responses received, most company respondents (70 %) were established after a development of an individual's business plan, however, the second, most numerous category (16 %) is establishment through a spin-off from a university or another public funded project. This fact makes us believe that the support under SO 1.2 and 2.1 needs to be viewed comprehensively, since only coordinated support can result in a creation of a stable pipeline which can help projects to move from the stage of an idea or a plan to the stage of an established company ready for a later stage investment.</w:t>
      </w:r>
    </w:p>
    <w:p w14:paraId="73CAEC7B" w14:textId="77777777" w:rsidR="006D3AD5" w:rsidRPr="00874BFF" w:rsidRDefault="006D3AD5" w:rsidP="006D3AD5">
      <w:pPr>
        <w:pStyle w:val="Neslovannadpisy"/>
      </w:pPr>
    </w:p>
    <w:p w14:paraId="4ADF2ABC" w14:textId="77777777" w:rsidR="006D3AD5" w:rsidRPr="00874BFF" w:rsidRDefault="006D3AD5" w:rsidP="006D3AD5">
      <w:pPr>
        <w:pStyle w:val="Neslovannadpisy"/>
      </w:pPr>
      <w:r w:rsidRPr="00874BFF">
        <w:t>Private sources of financing – funds and investors of Venture Capital (VC) and Private Equity (PE)</w:t>
      </w:r>
    </w:p>
    <w:p w14:paraId="6E775878" w14:textId="77777777" w:rsidR="006D3AD5" w:rsidRPr="00874BFF" w:rsidRDefault="006D3AD5" w:rsidP="006D3AD5">
      <w:r w:rsidRPr="00874BFF">
        <w:t>Unlike in loan financing of development of established companies with a business history (approx. more than 3 years of existence), the role of banks in venture capital and financing of early stage companies is small and currently only a marginal attention is paid to this area. Loan financing, at adequate securing, is possible, however, it is difficult even in terms of the costs and burden for the company at an early stage of development, when it usually does not generate profit and needs capital for investments. The more suitable method consists in investments in the company's equity capital. The main providers of external financing on the market principle are funds investing in private equity (PE). If focusing on venture capital, they are called venture capital  (VC) funds.</w:t>
      </w:r>
    </w:p>
    <w:p w14:paraId="7389DC31" w14:textId="77777777" w:rsidR="006D3AD5" w:rsidRPr="00874BFF" w:rsidRDefault="006D3AD5" w:rsidP="006D3AD5"/>
    <w:p w14:paraId="0AD13386" w14:textId="77777777" w:rsidR="006D3AD5" w:rsidRPr="00874BFF" w:rsidRDefault="006D3AD5" w:rsidP="006D3AD5">
      <w:r w:rsidRPr="00874BFF">
        <w:t>The total volumes of PE investments in the Czech Republic in 2007–2012 showed considerable year-on-year fluctuations and ranged from EUR 106 million to EUR 1,358 million, which accounted for 0.069 % – 0.955 % share in GDP. The 0.955 % share of PE investments in the GDP in 2009 was rather exceptional, it was a departure from the long-term trend caused by a huge transaction of CVC Capital Partners which accounted for more than 50 % of the total value of PE investments in 2009.</w:t>
      </w:r>
    </w:p>
    <w:p w14:paraId="16B24891" w14:textId="77777777" w:rsidR="006D3AD5" w:rsidRPr="00874BFF" w:rsidRDefault="006D3AD5" w:rsidP="006D3AD5">
      <w:r w:rsidRPr="00874BFF">
        <w:t xml:space="preserve">The share of the number of venture capital investments in the total PE investments in the Czech Republic was on average </w:t>
      </w:r>
      <w:r w:rsidRPr="00874BFF">
        <w:rPr>
          <w:b/>
        </w:rPr>
        <w:t>5.7 % in 2007–2012.</w:t>
      </w:r>
    </w:p>
    <w:p w14:paraId="50968E95" w14:textId="77777777" w:rsidR="006D3AD5" w:rsidRPr="00874BFF" w:rsidRDefault="006D3AD5" w:rsidP="006D3AD5"/>
    <w:tbl>
      <w:tblPr>
        <w:tblW w:w="9322" w:type="dxa"/>
        <w:tblBorders>
          <w:bottom w:val="single" w:sz="4" w:space="0" w:color="72C7E7"/>
          <w:insideH w:val="single" w:sz="4" w:space="0" w:color="72C7E7"/>
        </w:tblBorders>
        <w:tblCellMar>
          <w:left w:w="0" w:type="dxa"/>
          <w:right w:w="0" w:type="dxa"/>
        </w:tblCellMar>
        <w:tblLook w:val="00A0" w:firstRow="1" w:lastRow="0" w:firstColumn="1" w:lastColumn="0" w:noHBand="0" w:noVBand="0"/>
      </w:tblPr>
      <w:tblGrid>
        <w:gridCol w:w="2109"/>
        <w:gridCol w:w="1433"/>
        <w:gridCol w:w="1021"/>
        <w:gridCol w:w="1421"/>
        <w:gridCol w:w="1021"/>
        <w:gridCol w:w="1421"/>
        <w:gridCol w:w="1008"/>
      </w:tblGrid>
      <w:tr w:rsidR="006D3AD5" w:rsidRPr="00874BFF" w14:paraId="5A1A3240" w14:textId="77777777" w:rsidTr="00443B8F">
        <w:trPr>
          <w:trHeight w:val="20"/>
        </w:trPr>
        <w:tc>
          <w:tcPr>
            <w:tcW w:w="2093" w:type="dxa"/>
            <w:shd w:val="clear" w:color="auto" w:fill="72C7E7"/>
            <w:noWrap/>
            <w:vAlign w:val="center"/>
          </w:tcPr>
          <w:p w14:paraId="3AE8D4E7" w14:textId="77777777" w:rsidR="006D3AD5" w:rsidRPr="00874BFF" w:rsidRDefault="006D3AD5" w:rsidP="00443B8F">
            <w:pPr>
              <w:keepNext/>
              <w:jc w:val="center"/>
              <w:rPr>
                <w:b/>
                <w:color w:val="FFFFFF"/>
                <w:sz w:val="18"/>
                <w:szCs w:val="18"/>
              </w:rPr>
            </w:pPr>
            <w:r w:rsidRPr="00874BFF">
              <w:rPr>
                <w:b/>
                <w:color w:val="FFFFFF"/>
                <w:sz w:val="18"/>
              </w:rPr>
              <w:t>Private equity investment stage</w:t>
            </w:r>
          </w:p>
        </w:tc>
        <w:tc>
          <w:tcPr>
            <w:tcW w:w="1417" w:type="dxa"/>
            <w:shd w:val="clear" w:color="auto" w:fill="72C7E7"/>
            <w:noWrap/>
            <w:vAlign w:val="center"/>
          </w:tcPr>
          <w:p w14:paraId="113C758B" w14:textId="77777777" w:rsidR="006D3AD5" w:rsidRPr="00874BFF" w:rsidRDefault="006D3AD5" w:rsidP="00443B8F">
            <w:pPr>
              <w:keepNext/>
              <w:jc w:val="center"/>
              <w:rPr>
                <w:b/>
                <w:color w:val="FFFFFF"/>
                <w:sz w:val="18"/>
                <w:szCs w:val="18"/>
              </w:rPr>
            </w:pPr>
            <w:r w:rsidRPr="00874BFF">
              <w:rPr>
                <w:b/>
                <w:color w:val="FFFFFF"/>
                <w:sz w:val="18"/>
              </w:rPr>
              <w:t xml:space="preserve">Total, CZ </w:t>
            </w:r>
          </w:p>
          <w:p w14:paraId="5775FDE2" w14:textId="77777777" w:rsidR="006D3AD5" w:rsidRPr="00874BFF" w:rsidRDefault="006D3AD5" w:rsidP="00443B8F">
            <w:pPr>
              <w:keepNext/>
              <w:jc w:val="center"/>
              <w:rPr>
                <w:b/>
                <w:color w:val="FFFFFF"/>
                <w:sz w:val="18"/>
                <w:szCs w:val="18"/>
              </w:rPr>
            </w:pPr>
            <w:r w:rsidRPr="00874BFF">
              <w:rPr>
                <w:b/>
                <w:color w:val="FFFFFF"/>
                <w:sz w:val="18"/>
              </w:rPr>
              <w:t>In thousands €</w:t>
            </w:r>
          </w:p>
        </w:tc>
        <w:tc>
          <w:tcPr>
            <w:tcW w:w="1005" w:type="dxa"/>
            <w:shd w:val="clear" w:color="auto" w:fill="72C7E7"/>
            <w:noWrap/>
            <w:vAlign w:val="center"/>
          </w:tcPr>
          <w:p w14:paraId="64999D44" w14:textId="77777777" w:rsidR="006D3AD5" w:rsidRPr="00874BFF" w:rsidRDefault="006D3AD5" w:rsidP="00443B8F">
            <w:pPr>
              <w:keepNext/>
              <w:jc w:val="center"/>
              <w:rPr>
                <w:b/>
                <w:color w:val="FFFFFF"/>
                <w:sz w:val="18"/>
                <w:szCs w:val="18"/>
              </w:rPr>
            </w:pPr>
            <w:r w:rsidRPr="00874BFF">
              <w:rPr>
                <w:b/>
                <w:color w:val="FFFFFF"/>
                <w:sz w:val="18"/>
              </w:rPr>
              <w:t>Share in %</w:t>
            </w:r>
          </w:p>
        </w:tc>
        <w:tc>
          <w:tcPr>
            <w:tcW w:w="1405" w:type="dxa"/>
            <w:shd w:val="clear" w:color="auto" w:fill="72C7E7"/>
            <w:noWrap/>
            <w:vAlign w:val="center"/>
          </w:tcPr>
          <w:p w14:paraId="7433358F" w14:textId="77777777" w:rsidR="006D3AD5" w:rsidRPr="00874BFF" w:rsidRDefault="006D3AD5" w:rsidP="00443B8F">
            <w:pPr>
              <w:keepNext/>
              <w:jc w:val="center"/>
              <w:rPr>
                <w:b/>
                <w:color w:val="FFFFFF"/>
                <w:sz w:val="18"/>
                <w:szCs w:val="18"/>
              </w:rPr>
            </w:pPr>
            <w:r w:rsidRPr="00874BFF">
              <w:rPr>
                <w:b/>
                <w:color w:val="FFFFFF"/>
                <w:sz w:val="18"/>
              </w:rPr>
              <w:t>CEE in total</w:t>
            </w:r>
          </w:p>
          <w:p w14:paraId="6B9A9274" w14:textId="77777777" w:rsidR="006D3AD5" w:rsidRPr="00874BFF" w:rsidRDefault="006D3AD5" w:rsidP="00443B8F">
            <w:pPr>
              <w:keepNext/>
              <w:jc w:val="center"/>
              <w:rPr>
                <w:b/>
                <w:color w:val="FFFFFF"/>
                <w:sz w:val="18"/>
                <w:szCs w:val="18"/>
              </w:rPr>
            </w:pPr>
            <w:r w:rsidRPr="00874BFF">
              <w:rPr>
                <w:b/>
                <w:color w:val="FFFFFF"/>
                <w:sz w:val="18"/>
              </w:rPr>
              <w:t>in thousands €</w:t>
            </w:r>
          </w:p>
        </w:tc>
        <w:tc>
          <w:tcPr>
            <w:tcW w:w="1005" w:type="dxa"/>
            <w:shd w:val="clear" w:color="auto" w:fill="72C7E7"/>
            <w:noWrap/>
            <w:vAlign w:val="center"/>
          </w:tcPr>
          <w:p w14:paraId="23F14E60" w14:textId="77777777" w:rsidR="006D3AD5" w:rsidRPr="00874BFF" w:rsidRDefault="006D3AD5" w:rsidP="00443B8F">
            <w:pPr>
              <w:keepNext/>
              <w:jc w:val="center"/>
              <w:rPr>
                <w:b/>
                <w:color w:val="FFFFFF"/>
                <w:sz w:val="18"/>
                <w:szCs w:val="18"/>
              </w:rPr>
            </w:pPr>
            <w:r w:rsidRPr="00874BFF">
              <w:rPr>
                <w:b/>
                <w:color w:val="FFFFFF"/>
                <w:sz w:val="18"/>
              </w:rPr>
              <w:t>Share in %</w:t>
            </w:r>
          </w:p>
        </w:tc>
        <w:tc>
          <w:tcPr>
            <w:tcW w:w="1405" w:type="dxa"/>
            <w:shd w:val="clear" w:color="auto" w:fill="72C7E7"/>
            <w:noWrap/>
            <w:vAlign w:val="center"/>
          </w:tcPr>
          <w:p w14:paraId="7B587171" w14:textId="77777777" w:rsidR="006D3AD5" w:rsidRPr="00874BFF" w:rsidRDefault="006D3AD5" w:rsidP="00443B8F">
            <w:pPr>
              <w:keepNext/>
              <w:jc w:val="center"/>
              <w:rPr>
                <w:b/>
                <w:color w:val="FFFFFF"/>
                <w:sz w:val="18"/>
                <w:szCs w:val="18"/>
              </w:rPr>
            </w:pPr>
            <w:r w:rsidRPr="00874BFF">
              <w:rPr>
                <w:b/>
                <w:color w:val="FFFFFF"/>
                <w:sz w:val="18"/>
              </w:rPr>
              <w:t>Europe in total, In thousands €</w:t>
            </w:r>
          </w:p>
        </w:tc>
        <w:tc>
          <w:tcPr>
            <w:tcW w:w="992" w:type="dxa"/>
            <w:shd w:val="clear" w:color="auto" w:fill="72C7E7"/>
            <w:noWrap/>
            <w:vAlign w:val="center"/>
          </w:tcPr>
          <w:p w14:paraId="0B050194" w14:textId="77777777" w:rsidR="006D3AD5" w:rsidRPr="00874BFF" w:rsidRDefault="006D3AD5" w:rsidP="00443B8F">
            <w:pPr>
              <w:keepNext/>
              <w:jc w:val="center"/>
              <w:rPr>
                <w:b/>
                <w:color w:val="FFFFFF"/>
                <w:sz w:val="18"/>
                <w:szCs w:val="18"/>
              </w:rPr>
            </w:pPr>
            <w:r w:rsidRPr="00874BFF">
              <w:rPr>
                <w:b/>
                <w:color w:val="FFFFFF"/>
                <w:sz w:val="18"/>
              </w:rPr>
              <w:t>Share in %</w:t>
            </w:r>
          </w:p>
        </w:tc>
      </w:tr>
      <w:tr w:rsidR="006D3AD5" w:rsidRPr="00874BFF" w14:paraId="288E99C4" w14:textId="77777777" w:rsidTr="00443B8F">
        <w:trPr>
          <w:trHeight w:val="20"/>
        </w:trPr>
        <w:tc>
          <w:tcPr>
            <w:tcW w:w="2093" w:type="dxa"/>
            <w:shd w:val="clear" w:color="auto" w:fill="FFFFFF"/>
            <w:noWrap/>
          </w:tcPr>
          <w:p w14:paraId="3A06B6E3" w14:textId="77777777" w:rsidR="006D3AD5" w:rsidRPr="00874BFF" w:rsidRDefault="006D3AD5" w:rsidP="00443B8F">
            <w:pPr>
              <w:keepNext/>
              <w:rPr>
                <w:sz w:val="18"/>
                <w:szCs w:val="18"/>
              </w:rPr>
            </w:pPr>
            <w:r w:rsidRPr="00874BFF">
              <w:rPr>
                <w:sz w:val="18"/>
              </w:rPr>
              <w:t>Seed</w:t>
            </w:r>
          </w:p>
        </w:tc>
        <w:tc>
          <w:tcPr>
            <w:tcW w:w="1417" w:type="dxa"/>
            <w:shd w:val="clear" w:color="auto" w:fill="FFFFFF"/>
            <w:noWrap/>
            <w:vAlign w:val="center"/>
          </w:tcPr>
          <w:p w14:paraId="2EA3030C" w14:textId="77777777" w:rsidR="006D3AD5" w:rsidRPr="00874BFF" w:rsidRDefault="006D3AD5" w:rsidP="00443B8F">
            <w:pPr>
              <w:keepNext/>
              <w:jc w:val="right"/>
              <w:rPr>
                <w:sz w:val="18"/>
                <w:szCs w:val="18"/>
              </w:rPr>
            </w:pPr>
            <w:r w:rsidRPr="00874BFF">
              <w:rPr>
                <w:sz w:val="18"/>
              </w:rPr>
              <w:t>0</w:t>
            </w:r>
          </w:p>
        </w:tc>
        <w:tc>
          <w:tcPr>
            <w:tcW w:w="1005" w:type="dxa"/>
            <w:shd w:val="clear" w:color="auto" w:fill="FFFFFF"/>
            <w:noWrap/>
            <w:vAlign w:val="center"/>
          </w:tcPr>
          <w:p w14:paraId="3EB8C25E" w14:textId="77777777" w:rsidR="006D3AD5" w:rsidRPr="00874BFF" w:rsidRDefault="006D3AD5" w:rsidP="00443B8F">
            <w:pPr>
              <w:keepNext/>
              <w:jc w:val="right"/>
              <w:rPr>
                <w:sz w:val="18"/>
                <w:szCs w:val="18"/>
              </w:rPr>
            </w:pPr>
            <w:r w:rsidRPr="00874BFF">
              <w:rPr>
                <w:sz w:val="18"/>
              </w:rPr>
              <w:t>0.00%</w:t>
            </w:r>
          </w:p>
        </w:tc>
        <w:tc>
          <w:tcPr>
            <w:tcW w:w="1405" w:type="dxa"/>
            <w:shd w:val="clear" w:color="auto" w:fill="FFFFFF"/>
            <w:noWrap/>
            <w:vAlign w:val="center"/>
          </w:tcPr>
          <w:p w14:paraId="51057646" w14:textId="77777777" w:rsidR="006D3AD5" w:rsidRPr="00874BFF" w:rsidRDefault="006D3AD5" w:rsidP="00443B8F">
            <w:pPr>
              <w:keepNext/>
              <w:jc w:val="right"/>
              <w:rPr>
                <w:sz w:val="18"/>
                <w:szCs w:val="18"/>
              </w:rPr>
            </w:pPr>
            <w:r w:rsidRPr="00874BFF">
              <w:rPr>
                <w:sz w:val="18"/>
              </w:rPr>
              <w:t>22,005</w:t>
            </w:r>
          </w:p>
        </w:tc>
        <w:tc>
          <w:tcPr>
            <w:tcW w:w="1005" w:type="dxa"/>
            <w:shd w:val="clear" w:color="auto" w:fill="FFFFFF"/>
            <w:noWrap/>
            <w:vAlign w:val="center"/>
          </w:tcPr>
          <w:p w14:paraId="59974B5F" w14:textId="77777777" w:rsidR="006D3AD5" w:rsidRPr="00874BFF" w:rsidRDefault="006D3AD5" w:rsidP="00443B8F">
            <w:pPr>
              <w:keepNext/>
              <w:jc w:val="right"/>
              <w:rPr>
                <w:sz w:val="18"/>
                <w:szCs w:val="18"/>
              </w:rPr>
            </w:pPr>
            <w:r w:rsidRPr="00874BFF">
              <w:rPr>
                <w:sz w:val="18"/>
              </w:rPr>
              <w:t>0.50%</w:t>
            </w:r>
          </w:p>
        </w:tc>
        <w:tc>
          <w:tcPr>
            <w:tcW w:w="1405" w:type="dxa"/>
            <w:shd w:val="clear" w:color="auto" w:fill="FFFFFF"/>
            <w:noWrap/>
            <w:vAlign w:val="center"/>
          </w:tcPr>
          <w:p w14:paraId="1C336397" w14:textId="77777777" w:rsidR="006D3AD5" w:rsidRPr="00874BFF" w:rsidRDefault="006D3AD5" w:rsidP="00443B8F">
            <w:pPr>
              <w:keepNext/>
              <w:jc w:val="right"/>
              <w:rPr>
                <w:sz w:val="18"/>
                <w:szCs w:val="18"/>
              </w:rPr>
            </w:pPr>
            <w:r w:rsidRPr="00874BFF">
              <w:rPr>
                <w:sz w:val="18"/>
              </w:rPr>
              <w:t>1,030,201</w:t>
            </w:r>
          </w:p>
        </w:tc>
        <w:tc>
          <w:tcPr>
            <w:tcW w:w="992" w:type="dxa"/>
            <w:shd w:val="clear" w:color="auto" w:fill="FFFFFF"/>
            <w:noWrap/>
            <w:vAlign w:val="center"/>
          </w:tcPr>
          <w:p w14:paraId="7A8056CB" w14:textId="77777777" w:rsidR="006D3AD5" w:rsidRPr="00874BFF" w:rsidRDefault="006D3AD5" w:rsidP="00443B8F">
            <w:pPr>
              <w:keepNext/>
              <w:jc w:val="right"/>
              <w:rPr>
                <w:sz w:val="18"/>
                <w:szCs w:val="18"/>
              </w:rPr>
            </w:pPr>
            <w:r w:rsidRPr="00874BFF">
              <w:rPr>
                <w:sz w:val="18"/>
              </w:rPr>
              <w:t>0.40%</w:t>
            </w:r>
          </w:p>
        </w:tc>
      </w:tr>
      <w:tr w:rsidR="006D3AD5" w:rsidRPr="00874BFF" w14:paraId="5DE7D990" w14:textId="77777777" w:rsidTr="00443B8F">
        <w:trPr>
          <w:trHeight w:val="20"/>
        </w:trPr>
        <w:tc>
          <w:tcPr>
            <w:tcW w:w="2093" w:type="dxa"/>
            <w:shd w:val="clear" w:color="auto" w:fill="FFFFFF"/>
            <w:noWrap/>
          </w:tcPr>
          <w:p w14:paraId="01ADBCF6" w14:textId="77777777" w:rsidR="006D3AD5" w:rsidRPr="00874BFF" w:rsidRDefault="006D3AD5" w:rsidP="00443B8F">
            <w:pPr>
              <w:keepNext/>
              <w:rPr>
                <w:sz w:val="18"/>
                <w:szCs w:val="18"/>
              </w:rPr>
            </w:pPr>
            <w:r w:rsidRPr="00874BFF">
              <w:rPr>
                <w:sz w:val="18"/>
              </w:rPr>
              <w:t>Start-up</w:t>
            </w:r>
          </w:p>
        </w:tc>
        <w:tc>
          <w:tcPr>
            <w:tcW w:w="1417" w:type="dxa"/>
            <w:shd w:val="clear" w:color="auto" w:fill="FFFFFF"/>
            <w:noWrap/>
            <w:vAlign w:val="center"/>
          </w:tcPr>
          <w:p w14:paraId="0136EB29" w14:textId="77777777" w:rsidR="006D3AD5" w:rsidRPr="00874BFF" w:rsidRDefault="006D3AD5" w:rsidP="00443B8F">
            <w:pPr>
              <w:keepNext/>
              <w:jc w:val="right"/>
              <w:rPr>
                <w:sz w:val="18"/>
                <w:szCs w:val="18"/>
              </w:rPr>
            </w:pPr>
            <w:r w:rsidRPr="00874BFF">
              <w:rPr>
                <w:sz w:val="18"/>
              </w:rPr>
              <w:t>16,760</w:t>
            </w:r>
          </w:p>
        </w:tc>
        <w:tc>
          <w:tcPr>
            <w:tcW w:w="1005" w:type="dxa"/>
            <w:shd w:val="clear" w:color="auto" w:fill="FFFFFF"/>
            <w:noWrap/>
            <w:vAlign w:val="center"/>
          </w:tcPr>
          <w:p w14:paraId="32E82371" w14:textId="77777777" w:rsidR="006D3AD5" w:rsidRPr="00874BFF" w:rsidRDefault="006D3AD5" w:rsidP="00443B8F">
            <w:pPr>
              <w:keepNext/>
              <w:jc w:val="right"/>
              <w:rPr>
                <w:sz w:val="18"/>
                <w:szCs w:val="18"/>
              </w:rPr>
            </w:pPr>
            <w:r w:rsidRPr="00874BFF">
              <w:rPr>
                <w:sz w:val="18"/>
              </w:rPr>
              <w:t>1.35%</w:t>
            </w:r>
          </w:p>
        </w:tc>
        <w:tc>
          <w:tcPr>
            <w:tcW w:w="1405" w:type="dxa"/>
            <w:shd w:val="clear" w:color="auto" w:fill="FFFFFF"/>
            <w:noWrap/>
            <w:vAlign w:val="center"/>
          </w:tcPr>
          <w:p w14:paraId="0EA48296" w14:textId="77777777" w:rsidR="006D3AD5" w:rsidRPr="00874BFF" w:rsidRDefault="006D3AD5" w:rsidP="00443B8F">
            <w:pPr>
              <w:keepNext/>
              <w:jc w:val="right"/>
              <w:rPr>
                <w:sz w:val="18"/>
                <w:szCs w:val="18"/>
              </w:rPr>
            </w:pPr>
            <w:r w:rsidRPr="00874BFF">
              <w:rPr>
                <w:sz w:val="18"/>
              </w:rPr>
              <w:t>265,796</w:t>
            </w:r>
          </w:p>
        </w:tc>
        <w:tc>
          <w:tcPr>
            <w:tcW w:w="1005" w:type="dxa"/>
            <w:shd w:val="clear" w:color="auto" w:fill="FFFFFF"/>
            <w:noWrap/>
            <w:vAlign w:val="center"/>
          </w:tcPr>
          <w:p w14:paraId="58326156" w14:textId="77777777" w:rsidR="006D3AD5" w:rsidRPr="00874BFF" w:rsidRDefault="006D3AD5" w:rsidP="00443B8F">
            <w:pPr>
              <w:keepNext/>
              <w:jc w:val="right"/>
              <w:rPr>
                <w:sz w:val="18"/>
                <w:szCs w:val="18"/>
              </w:rPr>
            </w:pPr>
            <w:r w:rsidRPr="00874BFF">
              <w:rPr>
                <w:sz w:val="18"/>
              </w:rPr>
              <w:t>5.57%</w:t>
            </w:r>
          </w:p>
        </w:tc>
        <w:tc>
          <w:tcPr>
            <w:tcW w:w="1405" w:type="dxa"/>
            <w:shd w:val="clear" w:color="auto" w:fill="FFFFFF"/>
            <w:noWrap/>
            <w:vAlign w:val="center"/>
          </w:tcPr>
          <w:p w14:paraId="1FCD0237" w14:textId="77777777" w:rsidR="006D3AD5" w:rsidRPr="00874BFF" w:rsidRDefault="006D3AD5" w:rsidP="00443B8F">
            <w:pPr>
              <w:keepNext/>
              <w:jc w:val="right"/>
              <w:rPr>
                <w:sz w:val="18"/>
                <w:szCs w:val="18"/>
              </w:rPr>
            </w:pPr>
            <w:r w:rsidRPr="00874BFF">
              <w:rPr>
                <w:sz w:val="18"/>
              </w:rPr>
              <w:t>12,089,052</w:t>
            </w:r>
          </w:p>
        </w:tc>
        <w:tc>
          <w:tcPr>
            <w:tcW w:w="992" w:type="dxa"/>
            <w:shd w:val="clear" w:color="auto" w:fill="FFFFFF"/>
            <w:noWrap/>
            <w:vAlign w:val="center"/>
          </w:tcPr>
          <w:p w14:paraId="16DAAB3C" w14:textId="77777777" w:rsidR="006D3AD5" w:rsidRPr="00874BFF" w:rsidRDefault="006D3AD5" w:rsidP="00443B8F">
            <w:pPr>
              <w:keepNext/>
              <w:jc w:val="right"/>
              <w:rPr>
                <w:sz w:val="18"/>
                <w:szCs w:val="18"/>
              </w:rPr>
            </w:pPr>
            <w:r w:rsidRPr="00874BFF">
              <w:rPr>
                <w:sz w:val="18"/>
              </w:rPr>
              <w:t>4.83%</w:t>
            </w:r>
          </w:p>
        </w:tc>
      </w:tr>
      <w:tr w:rsidR="006D3AD5" w:rsidRPr="00874BFF" w14:paraId="45A2AB55" w14:textId="77777777" w:rsidTr="00443B8F">
        <w:trPr>
          <w:trHeight w:val="20"/>
        </w:trPr>
        <w:tc>
          <w:tcPr>
            <w:tcW w:w="2093" w:type="dxa"/>
            <w:shd w:val="clear" w:color="auto" w:fill="FFFFFF"/>
            <w:noWrap/>
          </w:tcPr>
          <w:p w14:paraId="22924F11" w14:textId="77777777" w:rsidR="006D3AD5" w:rsidRPr="00874BFF" w:rsidRDefault="006D3AD5" w:rsidP="00443B8F">
            <w:pPr>
              <w:keepNext/>
              <w:rPr>
                <w:sz w:val="18"/>
                <w:szCs w:val="18"/>
              </w:rPr>
            </w:pPr>
            <w:r w:rsidRPr="00874BFF">
              <w:rPr>
                <w:sz w:val="18"/>
              </w:rPr>
              <w:t>Subtotal Early stage</w:t>
            </w:r>
          </w:p>
        </w:tc>
        <w:tc>
          <w:tcPr>
            <w:tcW w:w="1417" w:type="dxa"/>
            <w:shd w:val="clear" w:color="auto" w:fill="FFFFFF"/>
            <w:noWrap/>
            <w:vAlign w:val="center"/>
          </w:tcPr>
          <w:p w14:paraId="61F00C46" w14:textId="77777777" w:rsidR="006D3AD5" w:rsidRPr="00874BFF" w:rsidRDefault="006D3AD5" w:rsidP="00443B8F">
            <w:pPr>
              <w:keepNext/>
              <w:jc w:val="right"/>
              <w:rPr>
                <w:sz w:val="18"/>
                <w:szCs w:val="18"/>
              </w:rPr>
            </w:pPr>
            <w:r w:rsidRPr="00874BFF">
              <w:rPr>
                <w:sz w:val="18"/>
              </w:rPr>
              <w:t>16,760</w:t>
            </w:r>
          </w:p>
        </w:tc>
        <w:tc>
          <w:tcPr>
            <w:tcW w:w="1005" w:type="dxa"/>
            <w:shd w:val="clear" w:color="auto" w:fill="FFFFFF"/>
            <w:noWrap/>
            <w:vAlign w:val="center"/>
          </w:tcPr>
          <w:p w14:paraId="5113D61C" w14:textId="77777777" w:rsidR="006D3AD5" w:rsidRPr="00874BFF" w:rsidRDefault="006D3AD5" w:rsidP="00443B8F">
            <w:pPr>
              <w:keepNext/>
              <w:jc w:val="right"/>
              <w:rPr>
                <w:sz w:val="18"/>
                <w:szCs w:val="18"/>
              </w:rPr>
            </w:pPr>
            <w:r w:rsidRPr="00874BFF">
              <w:rPr>
                <w:sz w:val="18"/>
              </w:rPr>
              <w:t>1.35%</w:t>
            </w:r>
          </w:p>
        </w:tc>
        <w:tc>
          <w:tcPr>
            <w:tcW w:w="1405" w:type="dxa"/>
            <w:shd w:val="clear" w:color="auto" w:fill="FFFFFF"/>
            <w:noWrap/>
            <w:vAlign w:val="center"/>
          </w:tcPr>
          <w:p w14:paraId="0109D39B" w14:textId="77777777" w:rsidR="006D3AD5" w:rsidRPr="00874BFF" w:rsidRDefault="006D3AD5" w:rsidP="00443B8F">
            <w:pPr>
              <w:keepNext/>
              <w:jc w:val="right"/>
              <w:rPr>
                <w:sz w:val="18"/>
                <w:szCs w:val="18"/>
              </w:rPr>
            </w:pPr>
            <w:r w:rsidRPr="00874BFF">
              <w:rPr>
                <w:sz w:val="18"/>
              </w:rPr>
              <w:t>287,800</w:t>
            </w:r>
          </w:p>
        </w:tc>
        <w:tc>
          <w:tcPr>
            <w:tcW w:w="1005" w:type="dxa"/>
            <w:shd w:val="clear" w:color="auto" w:fill="FFFFFF"/>
            <w:noWrap/>
            <w:vAlign w:val="center"/>
          </w:tcPr>
          <w:p w14:paraId="71079635" w14:textId="77777777" w:rsidR="006D3AD5" w:rsidRPr="00874BFF" w:rsidRDefault="006D3AD5" w:rsidP="00443B8F">
            <w:pPr>
              <w:keepNext/>
              <w:jc w:val="right"/>
              <w:rPr>
                <w:sz w:val="18"/>
                <w:szCs w:val="18"/>
              </w:rPr>
            </w:pPr>
            <w:r w:rsidRPr="00874BFF">
              <w:rPr>
                <w:sz w:val="18"/>
              </w:rPr>
              <w:t>6.07%</w:t>
            </w:r>
          </w:p>
        </w:tc>
        <w:tc>
          <w:tcPr>
            <w:tcW w:w="1405" w:type="dxa"/>
            <w:shd w:val="clear" w:color="auto" w:fill="FFFFFF"/>
            <w:noWrap/>
            <w:vAlign w:val="center"/>
          </w:tcPr>
          <w:p w14:paraId="4B1A523C" w14:textId="77777777" w:rsidR="006D3AD5" w:rsidRPr="00874BFF" w:rsidRDefault="006D3AD5" w:rsidP="00443B8F">
            <w:pPr>
              <w:keepNext/>
              <w:jc w:val="right"/>
              <w:rPr>
                <w:sz w:val="18"/>
                <w:szCs w:val="18"/>
              </w:rPr>
            </w:pPr>
            <w:r w:rsidRPr="00874BFF">
              <w:rPr>
                <w:sz w:val="18"/>
              </w:rPr>
              <w:t>13,119,252</w:t>
            </w:r>
          </w:p>
        </w:tc>
        <w:tc>
          <w:tcPr>
            <w:tcW w:w="992" w:type="dxa"/>
            <w:shd w:val="clear" w:color="auto" w:fill="FFFFFF"/>
            <w:noWrap/>
            <w:vAlign w:val="center"/>
          </w:tcPr>
          <w:p w14:paraId="4BD1AB3A" w14:textId="77777777" w:rsidR="006D3AD5" w:rsidRPr="00874BFF" w:rsidRDefault="006D3AD5" w:rsidP="00443B8F">
            <w:pPr>
              <w:keepNext/>
              <w:jc w:val="right"/>
              <w:rPr>
                <w:sz w:val="18"/>
                <w:szCs w:val="18"/>
              </w:rPr>
            </w:pPr>
            <w:r w:rsidRPr="00874BFF">
              <w:rPr>
                <w:sz w:val="18"/>
              </w:rPr>
              <w:t>5.23%</w:t>
            </w:r>
          </w:p>
        </w:tc>
      </w:tr>
      <w:tr w:rsidR="006D3AD5" w:rsidRPr="00874BFF" w14:paraId="0579506B" w14:textId="77777777" w:rsidTr="00443B8F">
        <w:trPr>
          <w:trHeight w:val="20"/>
        </w:trPr>
        <w:tc>
          <w:tcPr>
            <w:tcW w:w="2093" w:type="dxa"/>
            <w:shd w:val="clear" w:color="auto" w:fill="FFFFFF"/>
            <w:noWrap/>
          </w:tcPr>
          <w:p w14:paraId="0C93BEDD" w14:textId="77777777" w:rsidR="006D3AD5" w:rsidRPr="00874BFF" w:rsidRDefault="006D3AD5" w:rsidP="00443B8F">
            <w:pPr>
              <w:keepNext/>
              <w:rPr>
                <w:sz w:val="18"/>
                <w:szCs w:val="18"/>
              </w:rPr>
            </w:pPr>
            <w:r w:rsidRPr="00874BFF">
              <w:rPr>
                <w:sz w:val="18"/>
              </w:rPr>
              <w:t>Later stage venture</w:t>
            </w:r>
          </w:p>
        </w:tc>
        <w:tc>
          <w:tcPr>
            <w:tcW w:w="1417" w:type="dxa"/>
            <w:shd w:val="clear" w:color="auto" w:fill="FFFFFF"/>
            <w:noWrap/>
            <w:vAlign w:val="center"/>
          </w:tcPr>
          <w:p w14:paraId="1B0DD5BE" w14:textId="77777777" w:rsidR="006D3AD5" w:rsidRPr="00874BFF" w:rsidRDefault="006D3AD5" w:rsidP="00443B8F">
            <w:pPr>
              <w:keepNext/>
              <w:jc w:val="right"/>
              <w:rPr>
                <w:sz w:val="18"/>
                <w:szCs w:val="18"/>
              </w:rPr>
            </w:pPr>
            <w:r w:rsidRPr="00874BFF">
              <w:rPr>
                <w:sz w:val="18"/>
              </w:rPr>
              <w:t>86,305</w:t>
            </w:r>
          </w:p>
        </w:tc>
        <w:tc>
          <w:tcPr>
            <w:tcW w:w="1005" w:type="dxa"/>
            <w:shd w:val="clear" w:color="auto" w:fill="FFFFFF"/>
            <w:noWrap/>
            <w:vAlign w:val="center"/>
          </w:tcPr>
          <w:p w14:paraId="7CCD8900" w14:textId="77777777" w:rsidR="006D3AD5" w:rsidRPr="00874BFF" w:rsidRDefault="006D3AD5" w:rsidP="00443B8F">
            <w:pPr>
              <w:keepNext/>
              <w:jc w:val="right"/>
              <w:rPr>
                <w:sz w:val="18"/>
                <w:szCs w:val="18"/>
              </w:rPr>
            </w:pPr>
            <w:r w:rsidRPr="00874BFF">
              <w:rPr>
                <w:sz w:val="18"/>
              </w:rPr>
              <w:t>4.36%</w:t>
            </w:r>
          </w:p>
        </w:tc>
        <w:tc>
          <w:tcPr>
            <w:tcW w:w="1405" w:type="dxa"/>
            <w:shd w:val="clear" w:color="auto" w:fill="FFFFFF"/>
            <w:noWrap/>
            <w:vAlign w:val="center"/>
          </w:tcPr>
          <w:p w14:paraId="740DC0EE" w14:textId="77777777" w:rsidR="006D3AD5" w:rsidRPr="00874BFF" w:rsidRDefault="006D3AD5" w:rsidP="00443B8F">
            <w:pPr>
              <w:keepNext/>
              <w:jc w:val="right"/>
              <w:rPr>
                <w:sz w:val="18"/>
                <w:szCs w:val="18"/>
              </w:rPr>
            </w:pPr>
            <w:r w:rsidRPr="00874BFF">
              <w:rPr>
                <w:sz w:val="18"/>
              </w:rPr>
              <w:t>439,566</w:t>
            </w:r>
          </w:p>
        </w:tc>
        <w:tc>
          <w:tcPr>
            <w:tcW w:w="1005" w:type="dxa"/>
            <w:shd w:val="clear" w:color="auto" w:fill="FFFFFF"/>
            <w:noWrap/>
            <w:vAlign w:val="center"/>
          </w:tcPr>
          <w:p w14:paraId="4EAF5515" w14:textId="77777777" w:rsidR="006D3AD5" w:rsidRPr="00874BFF" w:rsidRDefault="006D3AD5" w:rsidP="00443B8F">
            <w:pPr>
              <w:keepNext/>
              <w:jc w:val="right"/>
              <w:rPr>
                <w:sz w:val="18"/>
                <w:szCs w:val="18"/>
              </w:rPr>
            </w:pPr>
            <w:r w:rsidRPr="00874BFF">
              <w:rPr>
                <w:sz w:val="18"/>
              </w:rPr>
              <w:t>4.89%</w:t>
            </w:r>
          </w:p>
        </w:tc>
        <w:tc>
          <w:tcPr>
            <w:tcW w:w="1405" w:type="dxa"/>
            <w:shd w:val="clear" w:color="auto" w:fill="FFFFFF"/>
            <w:noWrap/>
            <w:vAlign w:val="center"/>
          </w:tcPr>
          <w:p w14:paraId="375FF2C0" w14:textId="77777777" w:rsidR="006D3AD5" w:rsidRPr="00874BFF" w:rsidRDefault="006D3AD5" w:rsidP="00443B8F">
            <w:pPr>
              <w:keepNext/>
              <w:jc w:val="right"/>
              <w:rPr>
                <w:sz w:val="18"/>
                <w:szCs w:val="18"/>
              </w:rPr>
            </w:pPr>
            <w:r w:rsidRPr="00874BFF">
              <w:rPr>
                <w:sz w:val="18"/>
              </w:rPr>
              <w:t>13,564,725</w:t>
            </w:r>
          </w:p>
        </w:tc>
        <w:tc>
          <w:tcPr>
            <w:tcW w:w="992" w:type="dxa"/>
            <w:shd w:val="clear" w:color="auto" w:fill="FFFFFF"/>
            <w:noWrap/>
            <w:vAlign w:val="center"/>
          </w:tcPr>
          <w:p w14:paraId="76F08DB5" w14:textId="77777777" w:rsidR="006D3AD5" w:rsidRPr="00874BFF" w:rsidRDefault="006D3AD5" w:rsidP="00443B8F">
            <w:pPr>
              <w:keepNext/>
              <w:jc w:val="right"/>
              <w:rPr>
                <w:sz w:val="18"/>
                <w:szCs w:val="18"/>
              </w:rPr>
            </w:pPr>
            <w:r w:rsidRPr="00874BFF">
              <w:rPr>
                <w:sz w:val="18"/>
              </w:rPr>
              <w:t>5.08%</w:t>
            </w:r>
          </w:p>
        </w:tc>
      </w:tr>
      <w:tr w:rsidR="006D3AD5" w:rsidRPr="00874BFF" w14:paraId="7CF10125" w14:textId="77777777" w:rsidTr="00443B8F">
        <w:trPr>
          <w:trHeight w:val="20"/>
        </w:trPr>
        <w:tc>
          <w:tcPr>
            <w:tcW w:w="2093" w:type="dxa"/>
            <w:shd w:val="clear" w:color="auto" w:fill="FFFFFF"/>
            <w:noWrap/>
          </w:tcPr>
          <w:p w14:paraId="1A0ECF7F" w14:textId="77777777" w:rsidR="006D3AD5" w:rsidRPr="00874BFF" w:rsidRDefault="006D3AD5" w:rsidP="00443B8F">
            <w:pPr>
              <w:keepNext/>
              <w:rPr>
                <w:sz w:val="18"/>
                <w:szCs w:val="18"/>
              </w:rPr>
            </w:pPr>
            <w:r w:rsidRPr="00874BFF">
              <w:rPr>
                <w:sz w:val="18"/>
              </w:rPr>
              <w:t>VC in total</w:t>
            </w:r>
          </w:p>
        </w:tc>
        <w:tc>
          <w:tcPr>
            <w:tcW w:w="1417" w:type="dxa"/>
            <w:shd w:val="clear" w:color="auto" w:fill="FFFFFF"/>
            <w:noWrap/>
            <w:vAlign w:val="center"/>
          </w:tcPr>
          <w:p w14:paraId="453AFE92" w14:textId="77777777" w:rsidR="006D3AD5" w:rsidRPr="00874BFF" w:rsidRDefault="006D3AD5" w:rsidP="00443B8F">
            <w:pPr>
              <w:keepNext/>
              <w:jc w:val="right"/>
              <w:rPr>
                <w:sz w:val="18"/>
                <w:szCs w:val="18"/>
              </w:rPr>
            </w:pPr>
            <w:r w:rsidRPr="00874BFF">
              <w:rPr>
                <w:sz w:val="18"/>
              </w:rPr>
              <w:t>103,065</w:t>
            </w:r>
          </w:p>
        </w:tc>
        <w:tc>
          <w:tcPr>
            <w:tcW w:w="1005" w:type="dxa"/>
            <w:shd w:val="clear" w:color="auto" w:fill="FFFFFF"/>
            <w:noWrap/>
            <w:vAlign w:val="center"/>
          </w:tcPr>
          <w:p w14:paraId="0345132A" w14:textId="77777777" w:rsidR="006D3AD5" w:rsidRPr="00874BFF" w:rsidRDefault="006D3AD5" w:rsidP="00443B8F">
            <w:pPr>
              <w:keepNext/>
              <w:jc w:val="right"/>
              <w:rPr>
                <w:sz w:val="18"/>
                <w:szCs w:val="18"/>
              </w:rPr>
            </w:pPr>
            <w:r w:rsidRPr="00874BFF">
              <w:rPr>
                <w:sz w:val="18"/>
              </w:rPr>
              <w:t>5.71%</w:t>
            </w:r>
          </w:p>
        </w:tc>
        <w:tc>
          <w:tcPr>
            <w:tcW w:w="1405" w:type="dxa"/>
            <w:shd w:val="clear" w:color="auto" w:fill="FFFFFF"/>
            <w:noWrap/>
            <w:vAlign w:val="center"/>
          </w:tcPr>
          <w:p w14:paraId="0BFCE9DC" w14:textId="77777777" w:rsidR="006D3AD5" w:rsidRPr="00874BFF" w:rsidRDefault="006D3AD5" w:rsidP="00443B8F">
            <w:pPr>
              <w:keepNext/>
              <w:jc w:val="right"/>
              <w:rPr>
                <w:sz w:val="18"/>
                <w:szCs w:val="18"/>
              </w:rPr>
            </w:pPr>
            <w:r w:rsidRPr="00874BFF">
              <w:rPr>
                <w:sz w:val="18"/>
              </w:rPr>
              <w:t>708,634</w:t>
            </w:r>
          </w:p>
        </w:tc>
        <w:tc>
          <w:tcPr>
            <w:tcW w:w="1005" w:type="dxa"/>
            <w:shd w:val="clear" w:color="auto" w:fill="FFFFFF"/>
            <w:noWrap/>
            <w:vAlign w:val="center"/>
          </w:tcPr>
          <w:p w14:paraId="00A447DD" w14:textId="77777777" w:rsidR="006D3AD5" w:rsidRPr="00874BFF" w:rsidRDefault="006D3AD5" w:rsidP="00443B8F">
            <w:pPr>
              <w:keepNext/>
              <w:jc w:val="right"/>
              <w:rPr>
                <w:sz w:val="18"/>
                <w:szCs w:val="18"/>
              </w:rPr>
            </w:pPr>
            <w:r w:rsidRPr="00874BFF">
              <w:rPr>
                <w:sz w:val="18"/>
              </w:rPr>
              <w:t>10.39%</w:t>
            </w:r>
          </w:p>
        </w:tc>
        <w:tc>
          <w:tcPr>
            <w:tcW w:w="1405" w:type="dxa"/>
            <w:shd w:val="clear" w:color="auto" w:fill="FFFFFF"/>
            <w:noWrap/>
            <w:vAlign w:val="center"/>
          </w:tcPr>
          <w:p w14:paraId="39659077" w14:textId="77777777" w:rsidR="006D3AD5" w:rsidRPr="00874BFF" w:rsidRDefault="006D3AD5" w:rsidP="00443B8F">
            <w:pPr>
              <w:keepNext/>
              <w:jc w:val="right"/>
              <w:rPr>
                <w:sz w:val="18"/>
                <w:szCs w:val="18"/>
              </w:rPr>
            </w:pPr>
            <w:r w:rsidRPr="00874BFF">
              <w:rPr>
                <w:sz w:val="18"/>
              </w:rPr>
              <w:t>26,683,977</w:t>
            </w:r>
          </w:p>
        </w:tc>
        <w:tc>
          <w:tcPr>
            <w:tcW w:w="992" w:type="dxa"/>
            <w:shd w:val="clear" w:color="auto" w:fill="FFFFFF"/>
            <w:noWrap/>
            <w:vAlign w:val="center"/>
          </w:tcPr>
          <w:p w14:paraId="0863EFBE" w14:textId="77777777" w:rsidR="006D3AD5" w:rsidRPr="00874BFF" w:rsidRDefault="006D3AD5" w:rsidP="00443B8F">
            <w:pPr>
              <w:keepNext/>
              <w:jc w:val="right"/>
              <w:rPr>
                <w:sz w:val="18"/>
                <w:szCs w:val="18"/>
              </w:rPr>
            </w:pPr>
            <w:r w:rsidRPr="00874BFF">
              <w:rPr>
                <w:sz w:val="18"/>
              </w:rPr>
              <w:t>10.31%</w:t>
            </w:r>
          </w:p>
        </w:tc>
      </w:tr>
      <w:tr w:rsidR="006D3AD5" w:rsidRPr="00874BFF" w14:paraId="5539326B" w14:textId="77777777" w:rsidTr="00443B8F">
        <w:trPr>
          <w:trHeight w:val="20"/>
        </w:trPr>
        <w:tc>
          <w:tcPr>
            <w:tcW w:w="2093" w:type="dxa"/>
            <w:shd w:val="clear" w:color="auto" w:fill="FFFFFF"/>
            <w:noWrap/>
          </w:tcPr>
          <w:p w14:paraId="44C5E054" w14:textId="77777777" w:rsidR="006D3AD5" w:rsidRPr="00874BFF" w:rsidRDefault="006D3AD5" w:rsidP="00443B8F">
            <w:pPr>
              <w:keepNext/>
              <w:rPr>
                <w:sz w:val="18"/>
                <w:szCs w:val="18"/>
              </w:rPr>
            </w:pPr>
            <w:r w:rsidRPr="00874BFF">
              <w:rPr>
                <w:sz w:val="18"/>
              </w:rPr>
              <w:t>Growth</w:t>
            </w:r>
          </w:p>
        </w:tc>
        <w:tc>
          <w:tcPr>
            <w:tcW w:w="1417" w:type="dxa"/>
            <w:shd w:val="clear" w:color="auto" w:fill="FFFFFF"/>
            <w:noWrap/>
            <w:vAlign w:val="center"/>
          </w:tcPr>
          <w:p w14:paraId="763BC1F7" w14:textId="77777777" w:rsidR="006D3AD5" w:rsidRPr="00874BFF" w:rsidRDefault="006D3AD5" w:rsidP="00443B8F">
            <w:pPr>
              <w:keepNext/>
              <w:jc w:val="right"/>
              <w:rPr>
                <w:sz w:val="18"/>
                <w:szCs w:val="18"/>
              </w:rPr>
            </w:pPr>
            <w:r w:rsidRPr="00874BFF">
              <w:rPr>
                <w:sz w:val="18"/>
              </w:rPr>
              <w:t>507,801</w:t>
            </w:r>
          </w:p>
        </w:tc>
        <w:tc>
          <w:tcPr>
            <w:tcW w:w="1005" w:type="dxa"/>
            <w:shd w:val="clear" w:color="auto" w:fill="FFFFFF"/>
            <w:noWrap/>
            <w:vAlign w:val="center"/>
          </w:tcPr>
          <w:p w14:paraId="6D8D1D8F" w14:textId="77777777" w:rsidR="006D3AD5" w:rsidRPr="00874BFF" w:rsidRDefault="006D3AD5" w:rsidP="00443B8F">
            <w:pPr>
              <w:keepNext/>
              <w:jc w:val="right"/>
              <w:rPr>
                <w:sz w:val="18"/>
                <w:szCs w:val="18"/>
              </w:rPr>
            </w:pPr>
            <w:r w:rsidRPr="00874BFF">
              <w:rPr>
                <w:sz w:val="18"/>
              </w:rPr>
              <w:t>25.91%</w:t>
            </w:r>
          </w:p>
        </w:tc>
        <w:tc>
          <w:tcPr>
            <w:tcW w:w="1405" w:type="dxa"/>
            <w:shd w:val="clear" w:color="auto" w:fill="FFFFFF"/>
            <w:noWrap/>
            <w:vAlign w:val="center"/>
          </w:tcPr>
          <w:p w14:paraId="59B3E877" w14:textId="77777777" w:rsidR="006D3AD5" w:rsidRPr="00874BFF" w:rsidRDefault="006D3AD5" w:rsidP="00443B8F">
            <w:pPr>
              <w:keepNext/>
              <w:jc w:val="right"/>
              <w:rPr>
                <w:sz w:val="18"/>
                <w:szCs w:val="18"/>
              </w:rPr>
            </w:pPr>
            <w:r w:rsidRPr="00874BFF">
              <w:rPr>
                <w:sz w:val="18"/>
              </w:rPr>
              <w:t>2,364,639</w:t>
            </w:r>
          </w:p>
        </w:tc>
        <w:tc>
          <w:tcPr>
            <w:tcW w:w="1005" w:type="dxa"/>
            <w:shd w:val="clear" w:color="auto" w:fill="FFFFFF"/>
            <w:noWrap/>
            <w:vAlign w:val="center"/>
          </w:tcPr>
          <w:p w14:paraId="65E9FE43" w14:textId="77777777" w:rsidR="006D3AD5" w:rsidRPr="00874BFF" w:rsidRDefault="006D3AD5" w:rsidP="00443B8F">
            <w:pPr>
              <w:keepNext/>
              <w:jc w:val="right"/>
              <w:rPr>
                <w:sz w:val="18"/>
                <w:szCs w:val="18"/>
              </w:rPr>
            </w:pPr>
            <w:r w:rsidRPr="00874BFF">
              <w:rPr>
                <w:sz w:val="18"/>
              </w:rPr>
              <w:t>30.37%</w:t>
            </w:r>
          </w:p>
        </w:tc>
        <w:tc>
          <w:tcPr>
            <w:tcW w:w="1405" w:type="dxa"/>
            <w:shd w:val="clear" w:color="auto" w:fill="FFFFFF"/>
            <w:noWrap/>
            <w:vAlign w:val="center"/>
          </w:tcPr>
          <w:p w14:paraId="5CCC32CB" w14:textId="77777777" w:rsidR="006D3AD5" w:rsidRPr="00874BFF" w:rsidRDefault="006D3AD5" w:rsidP="00443B8F">
            <w:pPr>
              <w:keepNext/>
              <w:jc w:val="right"/>
              <w:rPr>
                <w:sz w:val="18"/>
                <w:szCs w:val="18"/>
              </w:rPr>
            </w:pPr>
            <w:r w:rsidRPr="00874BFF">
              <w:rPr>
                <w:sz w:val="18"/>
              </w:rPr>
              <w:t>31,406,288</w:t>
            </w:r>
          </w:p>
        </w:tc>
        <w:tc>
          <w:tcPr>
            <w:tcW w:w="992" w:type="dxa"/>
            <w:shd w:val="clear" w:color="auto" w:fill="FFFFFF"/>
            <w:noWrap/>
            <w:vAlign w:val="center"/>
          </w:tcPr>
          <w:p w14:paraId="20C58983" w14:textId="77777777" w:rsidR="006D3AD5" w:rsidRPr="00874BFF" w:rsidRDefault="006D3AD5" w:rsidP="00443B8F">
            <w:pPr>
              <w:keepNext/>
              <w:jc w:val="right"/>
              <w:rPr>
                <w:sz w:val="18"/>
                <w:szCs w:val="18"/>
              </w:rPr>
            </w:pPr>
            <w:r w:rsidRPr="00874BFF">
              <w:rPr>
                <w:sz w:val="18"/>
              </w:rPr>
              <w:t>12.80%</w:t>
            </w:r>
          </w:p>
        </w:tc>
      </w:tr>
      <w:tr w:rsidR="006D3AD5" w:rsidRPr="00874BFF" w14:paraId="3011A74D" w14:textId="77777777" w:rsidTr="00443B8F">
        <w:trPr>
          <w:trHeight w:val="20"/>
        </w:trPr>
        <w:tc>
          <w:tcPr>
            <w:tcW w:w="2093" w:type="dxa"/>
            <w:shd w:val="clear" w:color="auto" w:fill="FFFFFF"/>
            <w:noWrap/>
          </w:tcPr>
          <w:p w14:paraId="0E5005D2" w14:textId="77777777" w:rsidR="006D3AD5" w:rsidRPr="00874BFF" w:rsidRDefault="006D3AD5" w:rsidP="00443B8F">
            <w:pPr>
              <w:keepNext/>
              <w:rPr>
                <w:sz w:val="18"/>
                <w:szCs w:val="18"/>
              </w:rPr>
            </w:pPr>
            <w:r w:rsidRPr="00874BFF">
              <w:rPr>
                <w:sz w:val="18"/>
              </w:rPr>
              <w:t>Rescue/Turnaround</w:t>
            </w:r>
          </w:p>
        </w:tc>
        <w:tc>
          <w:tcPr>
            <w:tcW w:w="1417" w:type="dxa"/>
            <w:shd w:val="clear" w:color="auto" w:fill="FFFFFF"/>
            <w:noWrap/>
            <w:vAlign w:val="center"/>
          </w:tcPr>
          <w:p w14:paraId="2EFBFFB0" w14:textId="77777777" w:rsidR="006D3AD5" w:rsidRPr="00874BFF" w:rsidRDefault="006D3AD5" w:rsidP="00443B8F">
            <w:pPr>
              <w:keepNext/>
              <w:jc w:val="right"/>
              <w:rPr>
                <w:sz w:val="18"/>
                <w:szCs w:val="18"/>
              </w:rPr>
            </w:pPr>
            <w:r w:rsidRPr="00874BFF">
              <w:rPr>
                <w:sz w:val="18"/>
              </w:rPr>
              <w:t>475</w:t>
            </w:r>
          </w:p>
        </w:tc>
        <w:tc>
          <w:tcPr>
            <w:tcW w:w="1005" w:type="dxa"/>
            <w:shd w:val="clear" w:color="auto" w:fill="FFFFFF"/>
            <w:noWrap/>
            <w:vAlign w:val="center"/>
          </w:tcPr>
          <w:p w14:paraId="148CD7D6" w14:textId="77777777" w:rsidR="006D3AD5" w:rsidRPr="00874BFF" w:rsidRDefault="006D3AD5" w:rsidP="00443B8F">
            <w:pPr>
              <w:keepNext/>
              <w:jc w:val="right"/>
              <w:rPr>
                <w:sz w:val="18"/>
                <w:szCs w:val="18"/>
              </w:rPr>
            </w:pPr>
            <w:r w:rsidRPr="00874BFF">
              <w:rPr>
                <w:sz w:val="18"/>
              </w:rPr>
              <w:t>0.01%</w:t>
            </w:r>
          </w:p>
        </w:tc>
        <w:tc>
          <w:tcPr>
            <w:tcW w:w="1405" w:type="dxa"/>
            <w:shd w:val="clear" w:color="auto" w:fill="FFFFFF"/>
            <w:noWrap/>
            <w:vAlign w:val="center"/>
          </w:tcPr>
          <w:p w14:paraId="7A40D87F" w14:textId="77777777" w:rsidR="006D3AD5" w:rsidRPr="00874BFF" w:rsidRDefault="006D3AD5" w:rsidP="00443B8F">
            <w:pPr>
              <w:keepNext/>
              <w:jc w:val="right"/>
              <w:rPr>
                <w:sz w:val="18"/>
                <w:szCs w:val="18"/>
              </w:rPr>
            </w:pPr>
            <w:r w:rsidRPr="00874BFF">
              <w:rPr>
                <w:sz w:val="18"/>
              </w:rPr>
              <w:t>18,295</w:t>
            </w:r>
          </w:p>
        </w:tc>
        <w:tc>
          <w:tcPr>
            <w:tcW w:w="1005" w:type="dxa"/>
            <w:shd w:val="clear" w:color="auto" w:fill="FFFFFF"/>
            <w:noWrap/>
            <w:vAlign w:val="center"/>
          </w:tcPr>
          <w:p w14:paraId="24BE8357" w14:textId="77777777" w:rsidR="006D3AD5" w:rsidRPr="00874BFF" w:rsidRDefault="006D3AD5" w:rsidP="00443B8F">
            <w:pPr>
              <w:keepNext/>
              <w:jc w:val="right"/>
              <w:rPr>
                <w:sz w:val="18"/>
                <w:szCs w:val="18"/>
              </w:rPr>
            </w:pPr>
            <w:r w:rsidRPr="00874BFF">
              <w:rPr>
                <w:sz w:val="18"/>
              </w:rPr>
              <w:t>0.28%</w:t>
            </w:r>
          </w:p>
        </w:tc>
        <w:tc>
          <w:tcPr>
            <w:tcW w:w="1405" w:type="dxa"/>
            <w:shd w:val="clear" w:color="auto" w:fill="FFFFFF"/>
            <w:noWrap/>
            <w:vAlign w:val="center"/>
          </w:tcPr>
          <w:p w14:paraId="3BC1562E" w14:textId="77777777" w:rsidR="006D3AD5" w:rsidRPr="00874BFF" w:rsidRDefault="006D3AD5" w:rsidP="00443B8F">
            <w:pPr>
              <w:keepNext/>
              <w:jc w:val="right"/>
              <w:rPr>
                <w:sz w:val="18"/>
                <w:szCs w:val="18"/>
              </w:rPr>
            </w:pPr>
            <w:r w:rsidRPr="00874BFF">
              <w:rPr>
                <w:sz w:val="18"/>
              </w:rPr>
              <w:t>2,799,031</w:t>
            </w:r>
          </w:p>
        </w:tc>
        <w:tc>
          <w:tcPr>
            <w:tcW w:w="992" w:type="dxa"/>
            <w:shd w:val="clear" w:color="auto" w:fill="FFFFFF"/>
            <w:noWrap/>
            <w:vAlign w:val="center"/>
          </w:tcPr>
          <w:p w14:paraId="0313F7AF" w14:textId="77777777" w:rsidR="006D3AD5" w:rsidRPr="00874BFF" w:rsidRDefault="006D3AD5" w:rsidP="00443B8F">
            <w:pPr>
              <w:keepNext/>
              <w:jc w:val="right"/>
              <w:rPr>
                <w:sz w:val="18"/>
                <w:szCs w:val="18"/>
              </w:rPr>
            </w:pPr>
            <w:r w:rsidRPr="00874BFF">
              <w:rPr>
                <w:sz w:val="18"/>
              </w:rPr>
              <w:t>1.22%</w:t>
            </w:r>
          </w:p>
        </w:tc>
      </w:tr>
      <w:tr w:rsidR="006D3AD5" w:rsidRPr="00874BFF" w14:paraId="3B5A995B" w14:textId="77777777" w:rsidTr="00443B8F">
        <w:trPr>
          <w:trHeight w:val="20"/>
        </w:trPr>
        <w:tc>
          <w:tcPr>
            <w:tcW w:w="2093" w:type="dxa"/>
            <w:shd w:val="clear" w:color="auto" w:fill="FFFFFF"/>
            <w:noWrap/>
          </w:tcPr>
          <w:p w14:paraId="304C0DB1" w14:textId="77777777" w:rsidR="006D3AD5" w:rsidRPr="00874BFF" w:rsidRDefault="006D3AD5" w:rsidP="00443B8F">
            <w:pPr>
              <w:keepNext/>
              <w:rPr>
                <w:sz w:val="18"/>
                <w:szCs w:val="18"/>
              </w:rPr>
            </w:pPr>
            <w:r w:rsidRPr="00874BFF">
              <w:rPr>
                <w:sz w:val="18"/>
              </w:rPr>
              <w:t>Replacement capital</w:t>
            </w:r>
          </w:p>
        </w:tc>
        <w:tc>
          <w:tcPr>
            <w:tcW w:w="1417" w:type="dxa"/>
            <w:shd w:val="clear" w:color="auto" w:fill="FFFFFF"/>
            <w:noWrap/>
            <w:vAlign w:val="center"/>
          </w:tcPr>
          <w:p w14:paraId="70B60C2D" w14:textId="77777777" w:rsidR="006D3AD5" w:rsidRPr="00874BFF" w:rsidRDefault="006D3AD5" w:rsidP="00443B8F">
            <w:pPr>
              <w:keepNext/>
              <w:jc w:val="right"/>
              <w:rPr>
                <w:sz w:val="18"/>
                <w:szCs w:val="18"/>
              </w:rPr>
            </w:pPr>
            <w:r w:rsidRPr="00874BFF">
              <w:rPr>
                <w:sz w:val="18"/>
              </w:rPr>
              <w:t>289,965</w:t>
            </w:r>
          </w:p>
        </w:tc>
        <w:tc>
          <w:tcPr>
            <w:tcW w:w="1005" w:type="dxa"/>
            <w:shd w:val="clear" w:color="auto" w:fill="FFFFFF"/>
            <w:noWrap/>
            <w:vAlign w:val="center"/>
          </w:tcPr>
          <w:p w14:paraId="12FE0220" w14:textId="77777777" w:rsidR="006D3AD5" w:rsidRPr="00874BFF" w:rsidRDefault="006D3AD5" w:rsidP="00443B8F">
            <w:pPr>
              <w:keepNext/>
              <w:jc w:val="right"/>
              <w:rPr>
                <w:sz w:val="18"/>
                <w:szCs w:val="18"/>
              </w:rPr>
            </w:pPr>
            <w:r w:rsidRPr="00874BFF">
              <w:rPr>
                <w:sz w:val="18"/>
              </w:rPr>
              <w:t>7.63%</w:t>
            </w:r>
          </w:p>
        </w:tc>
        <w:tc>
          <w:tcPr>
            <w:tcW w:w="1405" w:type="dxa"/>
            <w:shd w:val="clear" w:color="auto" w:fill="FFFFFF"/>
            <w:noWrap/>
            <w:vAlign w:val="center"/>
          </w:tcPr>
          <w:p w14:paraId="35A44F21" w14:textId="77777777" w:rsidR="006D3AD5" w:rsidRPr="00874BFF" w:rsidRDefault="006D3AD5" w:rsidP="00443B8F">
            <w:pPr>
              <w:keepNext/>
              <w:jc w:val="right"/>
              <w:rPr>
                <w:sz w:val="18"/>
                <w:szCs w:val="18"/>
              </w:rPr>
            </w:pPr>
            <w:r w:rsidRPr="00874BFF">
              <w:rPr>
                <w:sz w:val="18"/>
              </w:rPr>
              <w:t>517,134</w:t>
            </w:r>
          </w:p>
        </w:tc>
        <w:tc>
          <w:tcPr>
            <w:tcW w:w="1005" w:type="dxa"/>
            <w:shd w:val="clear" w:color="auto" w:fill="FFFFFF"/>
            <w:noWrap/>
            <w:vAlign w:val="center"/>
          </w:tcPr>
          <w:p w14:paraId="7B7C8618" w14:textId="77777777" w:rsidR="006D3AD5" w:rsidRPr="00874BFF" w:rsidRDefault="006D3AD5" w:rsidP="00443B8F">
            <w:pPr>
              <w:keepNext/>
              <w:jc w:val="right"/>
              <w:rPr>
                <w:sz w:val="18"/>
                <w:szCs w:val="18"/>
              </w:rPr>
            </w:pPr>
            <w:r w:rsidRPr="00874BFF">
              <w:rPr>
                <w:sz w:val="18"/>
              </w:rPr>
              <w:t>4.41%</w:t>
            </w:r>
          </w:p>
        </w:tc>
        <w:tc>
          <w:tcPr>
            <w:tcW w:w="1405" w:type="dxa"/>
            <w:shd w:val="clear" w:color="auto" w:fill="FFFFFF"/>
            <w:noWrap/>
            <w:vAlign w:val="center"/>
          </w:tcPr>
          <w:p w14:paraId="73313024" w14:textId="77777777" w:rsidR="006D3AD5" w:rsidRPr="00874BFF" w:rsidRDefault="006D3AD5" w:rsidP="00443B8F">
            <w:pPr>
              <w:keepNext/>
              <w:jc w:val="right"/>
              <w:rPr>
                <w:sz w:val="18"/>
                <w:szCs w:val="18"/>
              </w:rPr>
            </w:pPr>
            <w:r w:rsidRPr="00874BFF">
              <w:rPr>
                <w:sz w:val="18"/>
              </w:rPr>
              <w:t>9,329,771</w:t>
            </w:r>
          </w:p>
        </w:tc>
        <w:tc>
          <w:tcPr>
            <w:tcW w:w="992" w:type="dxa"/>
            <w:shd w:val="clear" w:color="auto" w:fill="FFFFFF"/>
            <w:noWrap/>
            <w:vAlign w:val="center"/>
          </w:tcPr>
          <w:p w14:paraId="4110C4CC" w14:textId="77777777" w:rsidR="006D3AD5" w:rsidRPr="00874BFF" w:rsidRDefault="006D3AD5" w:rsidP="00443B8F">
            <w:pPr>
              <w:keepNext/>
              <w:jc w:val="right"/>
              <w:rPr>
                <w:sz w:val="18"/>
                <w:szCs w:val="18"/>
              </w:rPr>
            </w:pPr>
            <w:r w:rsidRPr="00874BFF">
              <w:rPr>
                <w:sz w:val="18"/>
              </w:rPr>
              <w:t>3.88%</w:t>
            </w:r>
          </w:p>
        </w:tc>
      </w:tr>
      <w:tr w:rsidR="006D3AD5" w:rsidRPr="00874BFF" w14:paraId="618A660A" w14:textId="77777777" w:rsidTr="00443B8F">
        <w:trPr>
          <w:trHeight w:val="20"/>
        </w:trPr>
        <w:tc>
          <w:tcPr>
            <w:tcW w:w="2093" w:type="dxa"/>
            <w:shd w:val="clear" w:color="auto" w:fill="FFFFFF"/>
            <w:noWrap/>
          </w:tcPr>
          <w:p w14:paraId="1DBA0A55" w14:textId="77777777" w:rsidR="006D3AD5" w:rsidRPr="00874BFF" w:rsidRDefault="006D3AD5" w:rsidP="00443B8F">
            <w:pPr>
              <w:keepNext/>
              <w:rPr>
                <w:sz w:val="18"/>
                <w:szCs w:val="18"/>
              </w:rPr>
            </w:pPr>
            <w:r w:rsidRPr="00874BFF">
              <w:rPr>
                <w:sz w:val="18"/>
              </w:rPr>
              <w:t>Buyout</w:t>
            </w:r>
          </w:p>
        </w:tc>
        <w:tc>
          <w:tcPr>
            <w:tcW w:w="1417" w:type="dxa"/>
            <w:shd w:val="clear" w:color="auto" w:fill="FFFFFF"/>
            <w:noWrap/>
            <w:vAlign w:val="center"/>
          </w:tcPr>
          <w:p w14:paraId="052B234B" w14:textId="77777777" w:rsidR="006D3AD5" w:rsidRPr="00874BFF" w:rsidRDefault="006D3AD5" w:rsidP="00443B8F">
            <w:pPr>
              <w:keepNext/>
              <w:jc w:val="right"/>
              <w:rPr>
                <w:sz w:val="18"/>
                <w:szCs w:val="18"/>
              </w:rPr>
            </w:pPr>
            <w:r w:rsidRPr="00874BFF">
              <w:rPr>
                <w:sz w:val="18"/>
              </w:rPr>
              <w:t>1,539,369</w:t>
            </w:r>
          </w:p>
        </w:tc>
        <w:tc>
          <w:tcPr>
            <w:tcW w:w="1005" w:type="dxa"/>
            <w:shd w:val="clear" w:color="auto" w:fill="FFFFFF"/>
            <w:noWrap/>
            <w:vAlign w:val="center"/>
          </w:tcPr>
          <w:p w14:paraId="62F5A180" w14:textId="77777777" w:rsidR="006D3AD5" w:rsidRPr="00874BFF" w:rsidRDefault="006D3AD5" w:rsidP="00443B8F">
            <w:pPr>
              <w:keepNext/>
              <w:jc w:val="right"/>
              <w:rPr>
                <w:sz w:val="18"/>
                <w:szCs w:val="18"/>
              </w:rPr>
            </w:pPr>
            <w:r w:rsidRPr="00874BFF">
              <w:rPr>
                <w:sz w:val="18"/>
              </w:rPr>
              <w:t>60.75%</w:t>
            </w:r>
          </w:p>
        </w:tc>
        <w:tc>
          <w:tcPr>
            <w:tcW w:w="1405" w:type="dxa"/>
            <w:shd w:val="clear" w:color="auto" w:fill="FFFFFF"/>
            <w:noWrap/>
            <w:vAlign w:val="center"/>
          </w:tcPr>
          <w:p w14:paraId="0441A09E" w14:textId="77777777" w:rsidR="006D3AD5" w:rsidRPr="00874BFF" w:rsidRDefault="006D3AD5" w:rsidP="00443B8F">
            <w:pPr>
              <w:keepNext/>
              <w:jc w:val="right"/>
              <w:rPr>
                <w:sz w:val="18"/>
                <w:szCs w:val="18"/>
              </w:rPr>
            </w:pPr>
            <w:r w:rsidRPr="00874BFF">
              <w:rPr>
                <w:sz w:val="18"/>
              </w:rPr>
              <w:t>6,698,770</w:t>
            </w:r>
          </w:p>
        </w:tc>
        <w:tc>
          <w:tcPr>
            <w:tcW w:w="1005" w:type="dxa"/>
            <w:shd w:val="clear" w:color="auto" w:fill="FFFFFF"/>
            <w:noWrap/>
            <w:vAlign w:val="center"/>
          </w:tcPr>
          <w:p w14:paraId="64BB7D33" w14:textId="77777777" w:rsidR="006D3AD5" w:rsidRPr="00874BFF" w:rsidRDefault="006D3AD5" w:rsidP="00443B8F">
            <w:pPr>
              <w:keepNext/>
              <w:jc w:val="right"/>
              <w:rPr>
                <w:sz w:val="18"/>
                <w:szCs w:val="18"/>
              </w:rPr>
            </w:pPr>
            <w:r w:rsidRPr="00874BFF">
              <w:rPr>
                <w:sz w:val="18"/>
              </w:rPr>
              <w:t>54.55%</w:t>
            </w:r>
          </w:p>
        </w:tc>
        <w:tc>
          <w:tcPr>
            <w:tcW w:w="1405" w:type="dxa"/>
            <w:shd w:val="clear" w:color="auto" w:fill="FFFFFF"/>
            <w:noWrap/>
            <w:vAlign w:val="center"/>
          </w:tcPr>
          <w:p w14:paraId="07BF0963" w14:textId="77777777" w:rsidR="006D3AD5" w:rsidRPr="00874BFF" w:rsidRDefault="006D3AD5" w:rsidP="00443B8F">
            <w:pPr>
              <w:keepNext/>
              <w:jc w:val="right"/>
              <w:rPr>
                <w:sz w:val="18"/>
                <w:szCs w:val="18"/>
              </w:rPr>
            </w:pPr>
            <w:r w:rsidRPr="00874BFF">
              <w:rPr>
                <w:sz w:val="18"/>
              </w:rPr>
              <w:t>200,544,333</w:t>
            </w:r>
          </w:p>
        </w:tc>
        <w:tc>
          <w:tcPr>
            <w:tcW w:w="992" w:type="dxa"/>
            <w:shd w:val="clear" w:color="auto" w:fill="FFFFFF"/>
            <w:noWrap/>
            <w:vAlign w:val="center"/>
          </w:tcPr>
          <w:p w14:paraId="46D7D81B" w14:textId="77777777" w:rsidR="006D3AD5" w:rsidRPr="00874BFF" w:rsidRDefault="006D3AD5" w:rsidP="00443B8F">
            <w:pPr>
              <w:keepNext/>
              <w:jc w:val="right"/>
              <w:rPr>
                <w:sz w:val="18"/>
                <w:szCs w:val="18"/>
              </w:rPr>
            </w:pPr>
            <w:r w:rsidRPr="00874BFF">
              <w:rPr>
                <w:sz w:val="18"/>
              </w:rPr>
              <w:t>71.79%</w:t>
            </w:r>
          </w:p>
        </w:tc>
      </w:tr>
      <w:tr w:rsidR="006D3AD5" w:rsidRPr="00874BFF" w14:paraId="32FB16F6" w14:textId="77777777" w:rsidTr="00443B8F">
        <w:trPr>
          <w:trHeight w:val="20"/>
        </w:trPr>
        <w:tc>
          <w:tcPr>
            <w:tcW w:w="2093" w:type="dxa"/>
            <w:shd w:val="clear" w:color="auto" w:fill="92D050"/>
            <w:noWrap/>
          </w:tcPr>
          <w:p w14:paraId="15796C7F" w14:textId="77777777" w:rsidR="006D3AD5" w:rsidRPr="00874BFF" w:rsidRDefault="006D3AD5" w:rsidP="00443B8F">
            <w:pPr>
              <w:keepNext/>
              <w:rPr>
                <w:b/>
                <w:sz w:val="18"/>
                <w:szCs w:val="18"/>
              </w:rPr>
            </w:pPr>
            <w:r w:rsidRPr="00874BFF">
              <w:rPr>
                <w:b/>
                <w:sz w:val="18"/>
              </w:rPr>
              <w:t>Total</w:t>
            </w:r>
          </w:p>
        </w:tc>
        <w:tc>
          <w:tcPr>
            <w:tcW w:w="1417" w:type="dxa"/>
            <w:shd w:val="clear" w:color="auto" w:fill="92D050"/>
            <w:noWrap/>
            <w:vAlign w:val="center"/>
          </w:tcPr>
          <w:p w14:paraId="6E43F5F6" w14:textId="77777777" w:rsidR="006D3AD5" w:rsidRPr="00874BFF" w:rsidRDefault="006D3AD5" w:rsidP="00443B8F">
            <w:pPr>
              <w:keepNext/>
              <w:jc w:val="right"/>
              <w:rPr>
                <w:b/>
                <w:sz w:val="18"/>
                <w:szCs w:val="18"/>
              </w:rPr>
            </w:pPr>
            <w:r w:rsidRPr="00874BFF">
              <w:rPr>
                <w:b/>
                <w:sz w:val="18"/>
              </w:rPr>
              <w:t>2,445,367</w:t>
            </w:r>
          </w:p>
        </w:tc>
        <w:tc>
          <w:tcPr>
            <w:tcW w:w="1005" w:type="dxa"/>
            <w:shd w:val="clear" w:color="auto" w:fill="92D050"/>
            <w:noWrap/>
            <w:vAlign w:val="center"/>
          </w:tcPr>
          <w:p w14:paraId="403FD68D" w14:textId="77777777" w:rsidR="006D3AD5" w:rsidRPr="00874BFF" w:rsidRDefault="006D3AD5" w:rsidP="00443B8F">
            <w:pPr>
              <w:keepNext/>
              <w:jc w:val="right"/>
              <w:rPr>
                <w:b/>
                <w:sz w:val="18"/>
                <w:szCs w:val="18"/>
              </w:rPr>
            </w:pPr>
            <w:r w:rsidRPr="00874BFF">
              <w:rPr>
                <w:b/>
                <w:sz w:val="18"/>
              </w:rPr>
              <w:t>100.00%</w:t>
            </w:r>
          </w:p>
        </w:tc>
        <w:tc>
          <w:tcPr>
            <w:tcW w:w="1405" w:type="dxa"/>
            <w:shd w:val="clear" w:color="auto" w:fill="92D050"/>
            <w:noWrap/>
            <w:vAlign w:val="center"/>
          </w:tcPr>
          <w:p w14:paraId="6C16C68C" w14:textId="77777777" w:rsidR="006D3AD5" w:rsidRPr="00874BFF" w:rsidRDefault="006D3AD5" w:rsidP="00443B8F">
            <w:pPr>
              <w:keepNext/>
              <w:jc w:val="right"/>
              <w:rPr>
                <w:b/>
                <w:sz w:val="18"/>
                <w:szCs w:val="18"/>
              </w:rPr>
            </w:pPr>
            <w:r w:rsidRPr="00874BFF">
              <w:rPr>
                <w:b/>
                <w:sz w:val="18"/>
              </w:rPr>
              <w:t>10,312,164</w:t>
            </w:r>
          </w:p>
        </w:tc>
        <w:tc>
          <w:tcPr>
            <w:tcW w:w="1005" w:type="dxa"/>
            <w:shd w:val="clear" w:color="auto" w:fill="92D050"/>
            <w:noWrap/>
            <w:vAlign w:val="center"/>
          </w:tcPr>
          <w:p w14:paraId="40CBD535" w14:textId="77777777" w:rsidR="006D3AD5" w:rsidRPr="00874BFF" w:rsidRDefault="006D3AD5" w:rsidP="00443B8F">
            <w:pPr>
              <w:keepNext/>
              <w:jc w:val="right"/>
              <w:rPr>
                <w:b/>
                <w:sz w:val="18"/>
                <w:szCs w:val="18"/>
              </w:rPr>
            </w:pPr>
            <w:r w:rsidRPr="00874BFF">
              <w:rPr>
                <w:b/>
                <w:sz w:val="18"/>
              </w:rPr>
              <w:t>100.00%</w:t>
            </w:r>
          </w:p>
        </w:tc>
        <w:tc>
          <w:tcPr>
            <w:tcW w:w="1405" w:type="dxa"/>
            <w:shd w:val="clear" w:color="auto" w:fill="92D050"/>
            <w:noWrap/>
            <w:vAlign w:val="center"/>
          </w:tcPr>
          <w:p w14:paraId="66BF1EE7" w14:textId="77777777" w:rsidR="006D3AD5" w:rsidRPr="00874BFF" w:rsidRDefault="006D3AD5" w:rsidP="00443B8F">
            <w:pPr>
              <w:keepNext/>
              <w:jc w:val="right"/>
              <w:rPr>
                <w:b/>
                <w:sz w:val="18"/>
                <w:szCs w:val="18"/>
              </w:rPr>
            </w:pPr>
            <w:r w:rsidRPr="00874BFF">
              <w:rPr>
                <w:b/>
                <w:sz w:val="18"/>
              </w:rPr>
              <w:t>270,763,400</w:t>
            </w:r>
          </w:p>
        </w:tc>
        <w:tc>
          <w:tcPr>
            <w:tcW w:w="992" w:type="dxa"/>
            <w:shd w:val="clear" w:color="auto" w:fill="92D050"/>
            <w:noWrap/>
            <w:vAlign w:val="center"/>
          </w:tcPr>
          <w:p w14:paraId="4D117D27" w14:textId="77777777" w:rsidR="006D3AD5" w:rsidRPr="00874BFF" w:rsidRDefault="006D3AD5" w:rsidP="00443B8F">
            <w:pPr>
              <w:keepNext/>
              <w:jc w:val="right"/>
              <w:rPr>
                <w:b/>
                <w:sz w:val="18"/>
                <w:szCs w:val="18"/>
              </w:rPr>
            </w:pPr>
            <w:r w:rsidRPr="00874BFF">
              <w:rPr>
                <w:b/>
                <w:sz w:val="18"/>
              </w:rPr>
              <w:t>100.00%</w:t>
            </w:r>
          </w:p>
        </w:tc>
      </w:tr>
    </w:tbl>
    <w:p w14:paraId="65ACB461" w14:textId="6134F83A" w:rsidR="006D3AD5" w:rsidRPr="00874BFF" w:rsidRDefault="006D3AD5" w:rsidP="006D3AD5">
      <w:pPr>
        <w:pStyle w:val="Titulek"/>
      </w:pPr>
      <w:r w:rsidRPr="00874BFF">
        <w:t xml:space="preserve">Table </w:t>
      </w:r>
      <w:r w:rsidR="007C6DD6">
        <w:t>17</w:t>
      </w:r>
      <w:r w:rsidRPr="00874BFF">
        <w:t>: PE investments by segment, in thousand €, aggregates 2007–2013</w:t>
      </w:r>
    </w:p>
    <w:p w14:paraId="2D90E55A" w14:textId="77777777" w:rsidR="006D3AD5" w:rsidRPr="00874BFF" w:rsidRDefault="006D3AD5" w:rsidP="006D3AD5">
      <w:pPr>
        <w:pStyle w:val="Titulek"/>
        <w:rPr>
          <w:b w:val="0"/>
          <w:color w:val="000000"/>
        </w:rPr>
      </w:pPr>
      <w:r w:rsidRPr="00874BFF">
        <w:t>Source: EVCA, interpreted by the MIT</w:t>
      </w:r>
    </w:p>
    <w:p w14:paraId="2ABB67B1" w14:textId="77777777" w:rsidR="006D3AD5" w:rsidRPr="00874BFF" w:rsidRDefault="006D3AD5" w:rsidP="006D3AD5"/>
    <w:p w14:paraId="7285BB67" w14:textId="77777777" w:rsidR="006D3AD5" w:rsidRPr="00874BFF" w:rsidRDefault="006D3AD5" w:rsidP="006D3AD5">
      <w:r w:rsidRPr="00874BFF">
        <w:t xml:space="preserve">The Czech PE/VC market is characterised by a unstable development which is caused primarily by a low total turnover and the number of transactions. Each year, only 10–20 investments are carried out in the Czech Republic. In 2007–2012, the total value of private equity investments in the Czech Republic contributed to the GDP by 0.280 % on average, whereas the European average was 0.349 % as followed from Chart </w:t>
      </w:r>
      <w:r w:rsidR="00AE65A1">
        <w:fldChar w:fldCharType="begin"/>
      </w:r>
      <w:r w:rsidR="00AE65A1">
        <w:instrText xml:space="preserve"> SEQ Graf \* ARABIC </w:instrText>
      </w:r>
      <w:r w:rsidR="00AE65A1">
        <w:fldChar w:fldCharType="separate"/>
      </w:r>
      <w:r w:rsidRPr="00874BFF">
        <w:rPr>
          <w:noProof/>
        </w:rPr>
        <w:t>1</w:t>
      </w:r>
      <w:r w:rsidR="00AE65A1">
        <w:rPr>
          <w:noProof/>
        </w:rPr>
        <w:fldChar w:fldCharType="end"/>
      </w:r>
      <w:r w:rsidRPr="00874BFF">
        <w:t>. The positive variance in the Czech Republic in 2009  was caused by the above-mentioned buyout of CVC CapitalPartners.</w:t>
      </w:r>
    </w:p>
    <w:p w14:paraId="0F7350E9" w14:textId="77777777" w:rsidR="006D3AD5" w:rsidRPr="00874BFF" w:rsidRDefault="006D3AD5" w:rsidP="006D3AD5"/>
    <w:p w14:paraId="55F3C319" w14:textId="77777777" w:rsidR="006D3AD5" w:rsidRPr="00874BFF" w:rsidRDefault="006D3AD5" w:rsidP="006D3AD5">
      <w:pPr>
        <w:rPr>
          <w:rFonts w:cs="Calibri"/>
          <w:szCs w:val="24"/>
        </w:rPr>
      </w:pPr>
      <w:r w:rsidRPr="00874BFF">
        <w:t xml:space="preserve">Since 1997, an association of PE and venture capital investors (CVCA) exists in the Czech Republic. The association is member of the EVCA and focuses on, among other things, statistical monitoring of PE/VC </w:t>
      </w:r>
      <w:r w:rsidRPr="00874BFF">
        <w:lastRenderedPageBreak/>
        <w:t>development in the Czech market. The overwhelming majority of investments in the Czech Republic is focused on later segments of buyout and growth.</w:t>
      </w:r>
    </w:p>
    <w:p w14:paraId="039088BA" w14:textId="77777777" w:rsidR="006D3AD5" w:rsidRPr="00874BFF" w:rsidRDefault="006D3AD5" w:rsidP="006D3AD5"/>
    <w:p w14:paraId="5AD9F799" w14:textId="77777777" w:rsidR="006D3AD5" w:rsidRPr="00874BFF" w:rsidDel="00A47A43" w:rsidRDefault="006D3AD5" w:rsidP="006D3AD5"/>
    <w:p w14:paraId="76FC92FA" w14:textId="77777777" w:rsidR="006D3AD5" w:rsidRPr="00874BFF" w:rsidRDefault="006D3AD5" w:rsidP="006D3AD5">
      <w:pPr>
        <w:pStyle w:val="Textpspvku"/>
        <w:keepNext/>
        <w:jc w:val="center"/>
      </w:pPr>
      <w:r w:rsidRPr="00874BFF">
        <w:rPr>
          <w:rFonts w:cs="Calibri"/>
          <w:noProof/>
          <w:sz w:val="24"/>
          <w:szCs w:val="22"/>
          <w:lang w:eastAsia="cs-CZ"/>
        </w:rPr>
        <w:drawing>
          <wp:inline distT="0" distB="0" distL="0" distR="0" wp14:anchorId="528626D8" wp14:editId="7F8D12D1">
            <wp:extent cx="4373245" cy="2106930"/>
            <wp:effectExtent l="0" t="0" r="8255" b="762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106930"/>
                    </a:xfrm>
                    <a:prstGeom prst="rect">
                      <a:avLst/>
                    </a:prstGeom>
                    <a:noFill/>
                    <a:ln>
                      <a:noFill/>
                    </a:ln>
                  </pic:spPr>
                </pic:pic>
              </a:graphicData>
            </a:graphic>
          </wp:inline>
        </w:drawing>
      </w:r>
    </w:p>
    <w:p w14:paraId="529F7E53" w14:textId="1F749989" w:rsidR="006D3AD5" w:rsidRPr="00874BFF" w:rsidRDefault="00AE6275" w:rsidP="006D3AD5">
      <w:pPr>
        <w:pStyle w:val="Titulek"/>
      </w:pPr>
      <w:r>
        <w:t>Figure</w:t>
      </w:r>
      <w:r w:rsidRPr="00874BFF">
        <w:t> </w:t>
      </w:r>
      <w:r>
        <w:t>14</w:t>
      </w:r>
      <w:r w:rsidR="006D3AD5" w:rsidRPr="00874BFF">
        <w:t>: PE investments (EUR) as % GDP (common prices, EUR) in Europe</w:t>
      </w:r>
      <w:r w:rsidR="006D3AD5" w:rsidRPr="00874BFF">
        <w:rPr>
          <w:rStyle w:val="Znakapoznpodarou"/>
          <w:rFonts w:ascii="Calibri" w:hAnsi="Calibri"/>
          <w:b w:val="0"/>
        </w:rPr>
        <w:footnoteReference w:id="25"/>
      </w:r>
      <w:r w:rsidR="006D3AD5" w:rsidRPr="00874BFF">
        <w:t xml:space="preserve"> and the Czech Republic</w:t>
      </w:r>
    </w:p>
    <w:p w14:paraId="4BBE1995" w14:textId="77777777" w:rsidR="006D3AD5" w:rsidRPr="00874BFF" w:rsidRDefault="006D3AD5" w:rsidP="006D3AD5">
      <w:pPr>
        <w:pStyle w:val="Titulek"/>
      </w:pPr>
      <w:r w:rsidRPr="00874BFF">
        <w:t>Source: EVCA, EUROSTAT</w:t>
      </w:r>
    </w:p>
    <w:p w14:paraId="56E84464" w14:textId="77777777" w:rsidR="006D3AD5" w:rsidRPr="00874BFF" w:rsidRDefault="006D3AD5" w:rsidP="006D3AD5"/>
    <w:p w14:paraId="2794934F" w14:textId="77777777" w:rsidR="006D3AD5" w:rsidRPr="00874BFF" w:rsidRDefault="006D3AD5" w:rsidP="006D3AD5">
      <w:pPr>
        <w:rPr>
          <w:b/>
        </w:rPr>
      </w:pPr>
      <w:r w:rsidRPr="00874BFF">
        <w:t xml:space="preserve">As followed from the above-mentioned summary, the overwhelming part of the volume of PE investments are heading not for venture capital, but  for buyout, growth or replacement capital, where the volume of investments is an order of magnitude higher. </w:t>
      </w:r>
      <w:r w:rsidRPr="00874BFF">
        <w:rPr>
          <w:b/>
        </w:rPr>
        <w:t>The share of the volume of venture capital investments in the total PE investments in the Czech Republic was not more than 5.7 %, on average, in 2007–2012.</w:t>
      </w:r>
      <w:r w:rsidRPr="00874BFF">
        <w:t xml:space="preserve">  Within this share, an investment was received by 19 companies at the later stage and 8 start-up companies in the Czech Republic, in the total amount of EUR 103 million. The latest data show that </w:t>
      </w:r>
      <w:r w:rsidRPr="00874BFF">
        <w:rPr>
          <w:b/>
        </w:rPr>
        <w:t>in 2013 the total venture capital investments further decreased from EUR 5.2 million in 2012 to EUR 2.8 million.</w:t>
      </w:r>
      <w:r w:rsidRPr="00874BFF">
        <w:t xml:space="preserve"> The data for the last year confirm considerable instability of the investment trend in the Czech market, when in the year-on-year slump by EUR 2.4 million the early seed and start-up stages reinforced, whereas later stage investments, by contrast, weakened considerably.</w:t>
      </w:r>
      <w:r w:rsidRPr="00874BFF">
        <w:rPr>
          <w:b/>
        </w:rPr>
        <w:t xml:space="preserve"> Despite the decrease in the volume of VC investments, their number has been growing. According to the CVCA data, in 2013–2014  it was almost half compared to the other PE segments.</w:t>
      </w:r>
    </w:p>
    <w:p w14:paraId="09E41585" w14:textId="77777777" w:rsidR="006D3AD5" w:rsidRPr="00874BFF" w:rsidRDefault="006D3AD5" w:rsidP="006D3AD5">
      <w:pPr>
        <w:rPr>
          <w:b/>
        </w:rPr>
      </w:pPr>
    </w:p>
    <w:p w14:paraId="0E1A3E4D" w14:textId="77777777" w:rsidR="006D3AD5" w:rsidRPr="00874BFF" w:rsidRDefault="006D3AD5" w:rsidP="006D3AD5">
      <w:pPr>
        <w:rPr>
          <w:rFonts w:cs="Calibri"/>
          <w:szCs w:val="24"/>
        </w:rPr>
      </w:pPr>
      <w:r w:rsidRPr="00874BFF">
        <w:t xml:space="preserve">The marked lagging behind in the VC segment in the Czech Republic is evident particularly from the comparative point of view. </w:t>
      </w:r>
      <w:r w:rsidRPr="00874BFF">
        <w:rPr>
          <w:b/>
        </w:rPr>
        <w:t xml:space="preserve">The 5.7 % VC share in the volume of PE investments is deeply below the European level of 10.3 % as well as below the level of the Central and Eastern Europe (10.4 %). </w:t>
      </w:r>
      <w:r w:rsidRPr="00874BFF">
        <w:t xml:space="preserve">The long-term development shows that </w:t>
      </w:r>
      <w:r w:rsidRPr="00874BFF">
        <w:rPr>
          <w:b/>
        </w:rPr>
        <w:t>the Czech Republic lacks investments primarily at early stages – start-up and seed.</w:t>
      </w:r>
    </w:p>
    <w:p w14:paraId="1FD4BF2E" w14:textId="77777777" w:rsidR="006D3AD5" w:rsidRPr="00874BFF" w:rsidRDefault="006D3AD5" w:rsidP="006D3AD5"/>
    <w:p w14:paraId="3FB70BD2" w14:textId="5732E36D" w:rsidR="006D3AD5" w:rsidRPr="00874BFF" w:rsidRDefault="006D3AD5" w:rsidP="006D3AD5">
      <w:r w:rsidRPr="00874BFF">
        <w:rPr>
          <w:b/>
        </w:rPr>
        <w:t xml:space="preserve">The conclusions above on the low investment activity in VC in the Czech Republic, and specifically at the early stage, can be made also with knowledge of the relative development in recent years which is not entirely expressible by the above-mentioned statistics. </w:t>
      </w:r>
      <w:r w:rsidRPr="00874BFF">
        <w:t xml:space="preserve">It can be assumed that a significant part of the transactions made at the start-up and especially seed stage is not recorded in the CVCA and EVCA statistics and they come from funds and investment groups outside the CVCA and from </w:t>
      </w:r>
      <w:r w:rsidRPr="00874BFF">
        <w:rPr>
          <w:b/>
        </w:rPr>
        <w:t>business angels (BAs)</w:t>
      </w:r>
      <w:r w:rsidRPr="00874BFF">
        <w:t xml:space="preserve">, i.e. investors specialised at the early stage companies, who act as </w:t>
      </w:r>
      <w:r w:rsidR="00400620">
        <w:t>natural</w:t>
      </w:r>
      <w:r w:rsidR="00400620" w:rsidRPr="00874BFF">
        <w:t xml:space="preserve"> </w:t>
      </w:r>
      <w:r w:rsidRPr="00874BFF">
        <w:t>persons. And they are the BAs  who are typically active in investing in companies at the seed – early stage of their existence.</w:t>
      </w:r>
    </w:p>
    <w:p w14:paraId="6C4D5566" w14:textId="77777777" w:rsidR="006D3AD5" w:rsidRPr="00874BFF" w:rsidRDefault="006D3AD5" w:rsidP="006D3AD5"/>
    <w:p w14:paraId="6DD20949" w14:textId="77777777" w:rsidR="006D3AD5" w:rsidRPr="00874BFF" w:rsidRDefault="006D3AD5" w:rsidP="006D3AD5">
      <w:r w:rsidRPr="00685AEF">
        <w:rPr>
          <w:b/>
        </w:rPr>
        <w:lastRenderedPageBreak/>
        <w:t>In the Czech Republic, BAs are not grouped in any central organisation and their activity is thus hard to monitor. In the EBAN (European Business Angel Network) survey, the Czech Republic is currently at one of the last positions in Europ</w:t>
      </w:r>
      <w:r w:rsidRPr="00874BFF">
        <w:t>e, nevertheless, the expert poll in the GEM survey implies a considerable improvement compared to the previous level. One of the reasons can be that an increasing number of entrepreneurs and former top managers advance in their careers to the situation, when they have funds and time to engage in angel financing. However, in comparison with other European countries, this activity is still weak and moreover not very transparent.</w:t>
      </w:r>
    </w:p>
    <w:p w14:paraId="2DBB30A1" w14:textId="77777777" w:rsidR="006D3AD5" w:rsidRPr="00874BFF" w:rsidDel="006F628A" w:rsidRDefault="006D3AD5" w:rsidP="006D3AD5">
      <w:pPr>
        <w:rPr>
          <w:rFonts w:cs="Calibri"/>
          <w:szCs w:val="24"/>
        </w:rPr>
      </w:pPr>
    </w:p>
    <w:p w14:paraId="014554C1" w14:textId="77777777" w:rsidR="006D3AD5" w:rsidRPr="00874BFF" w:rsidRDefault="006D3AD5" w:rsidP="006D3AD5">
      <w:pPr>
        <w:rPr>
          <w:rFonts w:cs="Calibri"/>
          <w:szCs w:val="24"/>
        </w:rPr>
      </w:pPr>
    </w:p>
    <w:p w14:paraId="5BD10F6F" w14:textId="77777777" w:rsidR="006D3AD5" w:rsidRPr="00874BFF" w:rsidRDefault="006D3AD5" w:rsidP="006D3AD5">
      <w:pPr>
        <w:rPr>
          <w:rFonts w:cs="Calibri"/>
          <w:szCs w:val="24"/>
        </w:rPr>
      </w:pPr>
      <w:r w:rsidRPr="00874BFF">
        <w:t>According to the GEM 2013 survey, a relatively great part of the population (8 %) supported a start-up of someone else's business in the recent three years. Nevertheless, the amounts are predominantly rather small, not exceeding CZK 100,000 which are mostly provided to relatives, friends or colleagues. This sources is thus rather negligible for the segment of new innovative SMEs under review.</w:t>
      </w:r>
    </w:p>
    <w:p w14:paraId="7E49EC50" w14:textId="77777777" w:rsidR="006D3AD5" w:rsidRPr="00874BFF" w:rsidRDefault="006D3AD5" w:rsidP="006D3AD5">
      <w:pPr>
        <w:rPr>
          <w:rFonts w:cs="Calibri"/>
          <w:szCs w:val="24"/>
        </w:rPr>
      </w:pPr>
    </w:p>
    <w:p w14:paraId="74FBC04E" w14:textId="77777777" w:rsidR="006D3AD5" w:rsidRPr="00874BFF" w:rsidRDefault="006D3AD5" w:rsidP="006D3AD5">
      <w:pPr>
        <w:rPr>
          <w:rFonts w:cs="Calibri"/>
          <w:szCs w:val="24"/>
        </w:rPr>
      </w:pPr>
      <w:r w:rsidRPr="00874BFF">
        <w:rPr>
          <w:b/>
        </w:rPr>
        <w:t xml:space="preserve">Some improvement in recent years is also visible at the start-up stage and in activities of VC funds and investment groups. </w:t>
      </w:r>
      <w:r w:rsidRPr="00874BFF">
        <w:t xml:space="preserve">In recent years, the number of active VC funds and investment groups has been slowly growing, although at the start-up stage not more than only a few examples can be found. </w:t>
      </w:r>
      <w:r w:rsidRPr="00874BFF">
        <w:rPr>
          <w:b/>
        </w:rPr>
        <w:t xml:space="preserve">However, in the European comparison, even in the context of the CEE region, these activities are still very modest and by far do not reach the level in advanced countries. </w:t>
      </w:r>
      <w:r w:rsidRPr="00874BFF">
        <w:t>The GEM 2013 survey also indicates some progress since 2011 based on evaluation of the addressed experts; nevertheless, availability of venture capital continues to be evaluated as rather insufficient. Since the PE market in the Czech Republic except for VC segments in the CEE region is relatively strong, it indicates a lack of investors' interest in this particular segment.</w:t>
      </w:r>
    </w:p>
    <w:p w14:paraId="790D6B4A" w14:textId="77777777" w:rsidR="006D3AD5" w:rsidRPr="00874BFF" w:rsidRDefault="006D3AD5" w:rsidP="006D3AD5"/>
    <w:p w14:paraId="12D9F8EF" w14:textId="77777777" w:rsidR="006D3AD5" w:rsidRPr="00874BFF" w:rsidRDefault="006D3AD5" w:rsidP="006D3AD5">
      <w:r w:rsidRPr="00874BFF">
        <w:t xml:space="preserve">Currently even in the Czech Republic, the developing alternative source of financing for new business projects is </w:t>
      </w:r>
      <w:r w:rsidRPr="00874BFF">
        <w:rPr>
          <w:b/>
        </w:rPr>
        <w:t>crowdfunding</w:t>
      </w:r>
      <w:r w:rsidRPr="00874BFF">
        <w:t>. Its essential principal is to raise funds not only from big investors, but by means of massive addressing of the general public to collect money for a project implementation, usually via internet platforms. Small investments are usually non-repayable, however, payable alternatives start also developing. In the future, crowdfunding can be an interesting alternative, especially for rather small creative business projects, in contrast to the venture capital, the development in this respect in the Czech Republic closely follows the development in other advanced countries.</w:t>
      </w:r>
    </w:p>
    <w:p w14:paraId="4F2FB6D3" w14:textId="77777777" w:rsidR="006D3AD5" w:rsidRPr="00874BFF" w:rsidRDefault="006D3AD5" w:rsidP="006D3AD5">
      <w:pPr>
        <w:rPr>
          <w:rFonts w:cs="Calibri"/>
          <w:szCs w:val="24"/>
        </w:rPr>
      </w:pPr>
    </w:p>
    <w:p w14:paraId="748599DC" w14:textId="77777777" w:rsidR="006D3AD5" w:rsidRPr="00874BFF" w:rsidRDefault="006D3AD5" w:rsidP="006D3AD5">
      <w:pPr>
        <w:pStyle w:val="Neslovannadpisy"/>
      </w:pPr>
      <w:r w:rsidRPr="00874BFF">
        <w:t>Comparison of regions</w:t>
      </w:r>
    </w:p>
    <w:p w14:paraId="446C8BA0" w14:textId="77777777" w:rsidR="006D3AD5" w:rsidRPr="00874BFF" w:rsidRDefault="006D3AD5" w:rsidP="006D3AD5">
      <w:r w:rsidRPr="00874BFF">
        <w:t>It is necessary to put the insufficient development of the venture capital in the Czech Republic into the context of the overall development of the PE and VC market in Europe and specifically in the CEE region. Serious damage to the PE market was caused by the financial crisis in 2009. Indicators of investments, fund raising and exits slumped by two thirds when compared to the figures in 2006–2008. This slump was even more marked in the CEE region, where imbalanced development continues in recent years as well.</w:t>
      </w:r>
      <w:r w:rsidRPr="00874BFF">
        <w:rPr>
          <w:b/>
        </w:rPr>
        <w:t xml:space="preserve"> In 2013, the fund raising in the CEE slumped by 37 % on the year-on-year basis, unlike the positive development in EU 15.</w:t>
      </w:r>
      <w:r w:rsidRPr="00874BFF">
        <w:t xml:space="preserve"> The CEE share slumped to the mere 1 % of the fundraising in Europe.</w:t>
      </w:r>
    </w:p>
    <w:p w14:paraId="133558F6" w14:textId="77777777" w:rsidR="006D3AD5" w:rsidRPr="00874BFF" w:rsidRDefault="006D3AD5" w:rsidP="006D3AD5"/>
    <w:p w14:paraId="00A2950F" w14:textId="77777777" w:rsidR="006D3AD5" w:rsidRPr="00874BFF" w:rsidRDefault="006D3AD5" w:rsidP="006D3AD5">
      <w:pPr>
        <w:rPr>
          <w:rFonts w:cs="Calibri"/>
          <w:szCs w:val="24"/>
        </w:rPr>
      </w:pPr>
      <w:r w:rsidRPr="00874BFF">
        <w:t xml:space="preserve">In contrast, the recent fundraising in the very VC in the CEE has been maintaining a relatively high level. However, the biggest share (48 % in 2013) is received by government agencies, including the EBRD and the EIF, which have become the leading capital providers in recent years. In 2012, an investment was received by a total of 123 companies in the total amount of EUR 103 million. Of these companies, 74 % are at the early stage of development. </w:t>
      </w:r>
      <w:r w:rsidRPr="00874BFF">
        <w:rPr>
          <w:b/>
        </w:rPr>
        <w:t>In 2007–2012, the share of start-up capital in the CEE in the total PE expressed as percentage increased (5.57 %), even exceeding the Europe-wide result of 4.83 %. In the Czech Republic, it is very modest 1.35 %.</w:t>
      </w:r>
    </w:p>
    <w:p w14:paraId="783D230F" w14:textId="77777777" w:rsidR="006D3AD5" w:rsidRPr="00874BFF" w:rsidRDefault="006D3AD5" w:rsidP="006D3AD5"/>
    <w:p w14:paraId="5C76E2A5" w14:textId="77777777" w:rsidR="006D3AD5" w:rsidRPr="00874BFF" w:rsidRDefault="006D3AD5" w:rsidP="006D3AD5">
      <w:r w:rsidRPr="00874BFF">
        <w:lastRenderedPageBreak/>
        <w:t xml:space="preserve">These figures need to be attributed to the high fundraising of the public sector which logically focuses on support for start-up entrepreneurs in particular. By its own co-investment (at the level of a fund or project), the state/region usually strives to attract a private investor of venture capital for a start-up small or medium sized enterprise (SME), by means of e.g.  JEREMIE share funds in Poland, Hungary, Slovakia or Bulgaria. </w:t>
      </w:r>
    </w:p>
    <w:p w14:paraId="57E1C468" w14:textId="77777777" w:rsidR="006D3AD5" w:rsidRPr="00874BFF" w:rsidRDefault="006D3AD5" w:rsidP="006D3AD5"/>
    <w:p w14:paraId="0B38BC46" w14:textId="77777777" w:rsidR="006D3AD5" w:rsidRPr="00874BFF" w:rsidRDefault="006D3AD5" w:rsidP="006D3AD5">
      <w:r w:rsidRPr="00874BFF">
        <w:t>In the Czech Republic, on the contrary, the venture capital market is not supported by the public sector which may be one of the reasons why the Czech Republic has not caught the wave of the venture capital development in the CEE after 2009.</w:t>
      </w:r>
    </w:p>
    <w:p w14:paraId="1A9B91E3" w14:textId="77777777" w:rsidR="006D3AD5" w:rsidRPr="00874BFF" w:rsidRDefault="006D3AD5" w:rsidP="006D3AD5"/>
    <w:p w14:paraId="06D401CC" w14:textId="564BB173" w:rsidR="001A475B" w:rsidRDefault="006D3AD5" w:rsidP="001A475B">
      <w:pPr>
        <w:pStyle w:val="Nadpis4"/>
        <w:rPr>
          <w:rFonts w:ascii="Calibri" w:hAnsi="Calibri"/>
        </w:rPr>
      </w:pPr>
      <w:r w:rsidRPr="00874BFF">
        <w:rPr>
          <w:rFonts w:ascii="Calibri" w:hAnsi="Calibri"/>
        </w:rPr>
        <w:t>Questionnaire survey</w:t>
      </w:r>
    </w:p>
    <w:p w14:paraId="5D387DBE" w14:textId="30E3755A" w:rsidR="006D3AD5" w:rsidRPr="001A475B" w:rsidRDefault="00A017C8" w:rsidP="00685AEF">
      <w:pPr>
        <w:pStyle w:val="Neslovannadpisy"/>
      </w:pPr>
      <w:r w:rsidRPr="00685AEF">
        <w:t>Results of the questionnaire survey</w:t>
      </w:r>
      <w:r>
        <w:rPr>
          <w:b w:val="0"/>
        </w:rPr>
        <w:t xml:space="preserve"> –</w:t>
      </w:r>
      <w:r w:rsidRPr="001A475B" w:rsidDel="001A475B">
        <w:t xml:space="preserve"> </w:t>
      </w:r>
      <w:r w:rsidR="001A475B">
        <w:t>S</w:t>
      </w:r>
      <w:r w:rsidR="006D3AD5" w:rsidRPr="001A475B">
        <w:t>mall and medium sized companies at later stages of development</w:t>
      </w:r>
    </w:p>
    <w:p w14:paraId="5B3CB86A" w14:textId="77777777" w:rsidR="006D3AD5" w:rsidRPr="00874BFF" w:rsidRDefault="006D3AD5" w:rsidP="006D3AD5">
      <w:r w:rsidRPr="00874BFF">
        <w:t xml:space="preserve">In the questionnaire survey conducted among more than 15,000 enterprises, 600 responses were received of small and medium sized enterprises planning to invest  in fixed assets in the next three years. </w:t>
      </w:r>
    </w:p>
    <w:p w14:paraId="437BA4E8" w14:textId="77777777" w:rsidR="006D3AD5" w:rsidRPr="00874BFF" w:rsidRDefault="006D3AD5" w:rsidP="006D3AD5"/>
    <w:p w14:paraId="79722F6B" w14:textId="2119B8BE" w:rsidR="006D3AD5" w:rsidRPr="00874BFF" w:rsidRDefault="006D3AD5" w:rsidP="006D3AD5">
      <w:pPr>
        <w:pStyle w:val="Titulek"/>
      </w:pPr>
      <w:r w:rsidRPr="00874BFF">
        <w:t>Table 1</w:t>
      </w:r>
      <w:r w:rsidR="007C6DD6">
        <w:t>8</w:t>
      </w:r>
      <w:r w:rsidRPr="00874BFF">
        <w:t>: Respondents' composition by size of companies</w:t>
      </w:r>
    </w:p>
    <w:tbl>
      <w:tblPr>
        <w:tblW w:w="3310" w:type="dxa"/>
        <w:tblInd w:w="55" w:type="dxa"/>
        <w:tblCellMar>
          <w:left w:w="70" w:type="dxa"/>
          <w:right w:w="70" w:type="dxa"/>
        </w:tblCellMar>
        <w:tblLook w:val="00A0" w:firstRow="1" w:lastRow="0" w:firstColumn="1" w:lastColumn="0" w:noHBand="0" w:noVBand="0"/>
      </w:tblPr>
      <w:tblGrid>
        <w:gridCol w:w="1387"/>
        <w:gridCol w:w="963"/>
        <w:gridCol w:w="960"/>
      </w:tblGrid>
      <w:tr w:rsidR="006D3AD5" w:rsidRPr="00874BFF" w14:paraId="62083DA7" w14:textId="77777777" w:rsidTr="00443B8F">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14:paraId="2C922597"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Respondents' composition by size of companies</w:t>
            </w:r>
          </w:p>
        </w:tc>
        <w:tc>
          <w:tcPr>
            <w:tcW w:w="963" w:type="dxa"/>
            <w:tcBorders>
              <w:top w:val="single" w:sz="4" w:space="0" w:color="auto"/>
              <w:left w:val="nil"/>
              <w:bottom w:val="single" w:sz="4" w:space="0" w:color="auto"/>
              <w:right w:val="single" w:sz="4" w:space="0" w:color="auto"/>
            </w:tcBorders>
            <w:noWrap/>
            <w:vAlign w:val="bottom"/>
          </w:tcPr>
          <w:p w14:paraId="7DB8E64C"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3967E6A6"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6D4B301D"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71321737" w14:textId="77777777" w:rsidR="006D3AD5" w:rsidRPr="00874BFF" w:rsidRDefault="006D3AD5" w:rsidP="00443B8F">
            <w:pPr>
              <w:overflowPunct/>
              <w:autoSpaceDE/>
              <w:autoSpaceDN/>
              <w:adjustRightInd/>
              <w:jc w:val="left"/>
              <w:textAlignment w:val="auto"/>
              <w:rPr>
                <w:rFonts w:cs="Arial"/>
                <w:sz w:val="20"/>
              </w:rPr>
            </w:pPr>
            <w:r w:rsidRPr="00874BFF">
              <w:rPr>
                <w:sz w:val="20"/>
              </w:rPr>
              <w:t>Small enterprises</w:t>
            </w:r>
          </w:p>
        </w:tc>
        <w:tc>
          <w:tcPr>
            <w:tcW w:w="963" w:type="dxa"/>
            <w:tcBorders>
              <w:top w:val="nil"/>
              <w:left w:val="nil"/>
              <w:bottom w:val="single" w:sz="4" w:space="0" w:color="auto"/>
              <w:right w:val="single" w:sz="4" w:space="0" w:color="auto"/>
            </w:tcBorders>
            <w:noWrap/>
            <w:vAlign w:val="bottom"/>
          </w:tcPr>
          <w:p w14:paraId="29B19A3C" w14:textId="77777777" w:rsidR="006D3AD5" w:rsidRPr="00874BFF" w:rsidRDefault="006D3AD5" w:rsidP="00443B8F">
            <w:pPr>
              <w:overflowPunct/>
              <w:autoSpaceDE/>
              <w:autoSpaceDN/>
              <w:adjustRightInd/>
              <w:jc w:val="right"/>
              <w:textAlignment w:val="auto"/>
              <w:rPr>
                <w:rFonts w:cs="Arial"/>
                <w:sz w:val="20"/>
              </w:rPr>
            </w:pPr>
            <w:r w:rsidRPr="00874BFF">
              <w:rPr>
                <w:sz w:val="20"/>
              </w:rPr>
              <w:t>286</w:t>
            </w:r>
          </w:p>
        </w:tc>
        <w:tc>
          <w:tcPr>
            <w:tcW w:w="960" w:type="dxa"/>
            <w:tcBorders>
              <w:top w:val="nil"/>
              <w:left w:val="nil"/>
              <w:bottom w:val="single" w:sz="4" w:space="0" w:color="auto"/>
              <w:right w:val="single" w:sz="4" w:space="0" w:color="auto"/>
            </w:tcBorders>
            <w:noWrap/>
            <w:vAlign w:val="bottom"/>
          </w:tcPr>
          <w:p w14:paraId="1D76B003" w14:textId="77777777" w:rsidR="006D3AD5" w:rsidRPr="00874BFF" w:rsidRDefault="006D3AD5" w:rsidP="00443B8F">
            <w:pPr>
              <w:overflowPunct/>
              <w:autoSpaceDE/>
              <w:autoSpaceDN/>
              <w:adjustRightInd/>
              <w:jc w:val="right"/>
              <w:textAlignment w:val="auto"/>
              <w:rPr>
                <w:rFonts w:cs="Arial"/>
                <w:sz w:val="20"/>
              </w:rPr>
            </w:pPr>
            <w:r w:rsidRPr="00874BFF">
              <w:rPr>
                <w:sz w:val="20"/>
              </w:rPr>
              <w:t>47.7%</w:t>
            </w:r>
          </w:p>
        </w:tc>
      </w:tr>
      <w:tr w:rsidR="006D3AD5" w:rsidRPr="00874BFF" w14:paraId="05DE3CAB"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7881BE3F" w14:textId="77777777" w:rsidR="006D3AD5" w:rsidRPr="00874BFF" w:rsidRDefault="006D3AD5" w:rsidP="00443B8F">
            <w:pPr>
              <w:overflowPunct/>
              <w:autoSpaceDE/>
              <w:autoSpaceDN/>
              <w:adjustRightInd/>
              <w:jc w:val="left"/>
              <w:textAlignment w:val="auto"/>
              <w:rPr>
                <w:rFonts w:cs="Arial"/>
                <w:sz w:val="20"/>
              </w:rPr>
            </w:pPr>
            <w:r w:rsidRPr="00874BFF">
              <w:rPr>
                <w:sz w:val="20"/>
              </w:rPr>
              <w:t>Micro-enterprises</w:t>
            </w:r>
          </w:p>
        </w:tc>
        <w:tc>
          <w:tcPr>
            <w:tcW w:w="963" w:type="dxa"/>
            <w:tcBorders>
              <w:top w:val="nil"/>
              <w:left w:val="nil"/>
              <w:bottom w:val="single" w:sz="4" w:space="0" w:color="auto"/>
              <w:right w:val="single" w:sz="4" w:space="0" w:color="auto"/>
            </w:tcBorders>
            <w:noWrap/>
            <w:vAlign w:val="bottom"/>
          </w:tcPr>
          <w:p w14:paraId="246C5E84" w14:textId="77777777" w:rsidR="006D3AD5" w:rsidRPr="00874BFF" w:rsidRDefault="006D3AD5" w:rsidP="00443B8F">
            <w:pPr>
              <w:overflowPunct/>
              <w:autoSpaceDE/>
              <w:autoSpaceDN/>
              <w:adjustRightInd/>
              <w:jc w:val="right"/>
              <w:textAlignment w:val="auto"/>
              <w:rPr>
                <w:rFonts w:cs="Arial"/>
                <w:sz w:val="20"/>
              </w:rPr>
            </w:pPr>
            <w:r w:rsidRPr="00874BFF">
              <w:rPr>
                <w:sz w:val="20"/>
              </w:rPr>
              <w:t>78</w:t>
            </w:r>
          </w:p>
        </w:tc>
        <w:tc>
          <w:tcPr>
            <w:tcW w:w="960" w:type="dxa"/>
            <w:tcBorders>
              <w:top w:val="nil"/>
              <w:left w:val="nil"/>
              <w:bottom w:val="single" w:sz="4" w:space="0" w:color="auto"/>
              <w:right w:val="single" w:sz="4" w:space="0" w:color="auto"/>
            </w:tcBorders>
            <w:noWrap/>
            <w:vAlign w:val="bottom"/>
          </w:tcPr>
          <w:p w14:paraId="6C72A985" w14:textId="77777777" w:rsidR="006D3AD5" w:rsidRPr="00874BFF" w:rsidRDefault="006D3AD5" w:rsidP="00443B8F">
            <w:pPr>
              <w:overflowPunct/>
              <w:autoSpaceDE/>
              <w:autoSpaceDN/>
              <w:adjustRightInd/>
              <w:jc w:val="right"/>
              <w:textAlignment w:val="auto"/>
              <w:rPr>
                <w:rFonts w:cs="Arial"/>
                <w:sz w:val="20"/>
              </w:rPr>
            </w:pPr>
            <w:r w:rsidRPr="00874BFF">
              <w:rPr>
                <w:sz w:val="20"/>
              </w:rPr>
              <w:t>13.0%</w:t>
            </w:r>
          </w:p>
        </w:tc>
      </w:tr>
      <w:tr w:rsidR="006D3AD5" w:rsidRPr="00874BFF" w14:paraId="2A890A25"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39CA2E95" w14:textId="77777777" w:rsidR="006D3AD5" w:rsidRPr="00874BFF" w:rsidRDefault="006D3AD5" w:rsidP="00443B8F">
            <w:pPr>
              <w:overflowPunct/>
              <w:autoSpaceDE/>
              <w:autoSpaceDN/>
              <w:adjustRightInd/>
              <w:jc w:val="left"/>
              <w:textAlignment w:val="auto"/>
              <w:rPr>
                <w:rFonts w:cs="Arial"/>
                <w:sz w:val="20"/>
              </w:rPr>
            </w:pPr>
            <w:r w:rsidRPr="00874BFF">
              <w:rPr>
                <w:sz w:val="20"/>
              </w:rPr>
              <w:t>Medium size enterprises</w:t>
            </w:r>
          </w:p>
        </w:tc>
        <w:tc>
          <w:tcPr>
            <w:tcW w:w="963" w:type="dxa"/>
            <w:tcBorders>
              <w:top w:val="nil"/>
              <w:left w:val="nil"/>
              <w:bottom w:val="single" w:sz="4" w:space="0" w:color="auto"/>
              <w:right w:val="single" w:sz="4" w:space="0" w:color="auto"/>
            </w:tcBorders>
            <w:noWrap/>
            <w:vAlign w:val="bottom"/>
          </w:tcPr>
          <w:p w14:paraId="1C69E864" w14:textId="77777777" w:rsidR="006D3AD5" w:rsidRPr="00874BFF" w:rsidRDefault="006D3AD5" w:rsidP="00443B8F">
            <w:pPr>
              <w:overflowPunct/>
              <w:autoSpaceDE/>
              <w:autoSpaceDN/>
              <w:adjustRightInd/>
              <w:jc w:val="right"/>
              <w:textAlignment w:val="auto"/>
              <w:rPr>
                <w:rFonts w:cs="Arial"/>
                <w:sz w:val="20"/>
              </w:rPr>
            </w:pPr>
            <w:r w:rsidRPr="00874BFF">
              <w:rPr>
                <w:sz w:val="20"/>
              </w:rPr>
              <w:t>236</w:t>
            </w:r>
          </w:p>
        </w:tc>
        <w:tc>
          <w:tcPr>
            <w:tcW w:w="960" w:type="dxa"/>
            <w:tcBorders>
              <w:top w:val="nil"/>
              <w:left w:val="nil"/>
              <w:bottom w:val="single" w:sz="4" w:space="0" w:color="auto"/>
              <w:right w:val="single" w:sz="4" w:space="0" w:color="auto"/>
            </w:tcBorders>
            <w:noWrap/>
            <w:vAlign w:val="bottom"/>
          </w:tcPr>
          <w:p w14:paraId="26050B23" w14:textId="77777777" w:rsidR="006D3AD5" w:rsidRPr="00874BFF" w:rsidRDefault="006D3AD5" w:rsidP="00443B8F">
            <w:pPr>
              <w:overflowPunct/>
              <w:autoSpaceDE/>
              <w:autoSpaceDN/>
              <w:adjustRightInd/>
              <w:jc w:val="right"/>
              <w:textAlignment w:val="auto"/>
              <w:rPr>
                <w:rFonts w:cs="Arial"/>
                <w:sz w:val="20"/>
              </w:rPr>
            </w:pPr>
            <w:r w:rsidRPr="00874BFF">
              <w:rPr>
                <w:sz w:val="20"/>
              </w:rPr>
              <w:t>39.3%</w:t>
            </w:r>
          </w:p>
        </w:tc>
      </w:tr>
      <w:tr w:rsidR="006D3AD5" w:rsidRPr="00874BFF" w14:paraId="69041493" w14:textId="77777777" w:rsidTr="00443B8F">
        <w:trPr>
          <w:trHeight w:val="255"/>
        </w:trPr>
        <w:tc>
          <w:tcPr>
            <w:tcW w:w="1387" w:type="dxa"/>
            <w:tcBorders>
              <w:top w:val="nil"/>
              <w:left w:val="nil"/>
              <w:bottom w:val="nil"/>
              <w:right w:val="nil"/>
            </w:tcBorders>
            <w:noWrap/>
            <w:vAlign w:val="bottom"/>
          </w:tcPr>
          <w:p w14:paraId="6656EB68"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2F91D6F0" w14:textId="77777777" w:rsidR="006D3AD5" w:rsidRPr="00874BFF" w:rsidRDefault="006D3AD5" w:rsidP="00443B8F">
            <w:pPr>
              <w:overflowPunct/>
              <w:autoSpaceDE/>
              <w:autoSpaceDN/>
              <w:adjustRightInd/>
              <w:jc w:val="left"/>
              <w:textAlignment w:val="auto"/>
              <w:rPr>
                <w:rFonts w:cs="Arial"/>
                <w:sz w:val="20"/>
              </w:rPr>
            </w:pPr>
            <w:r w:rsidRPr="00874BFF">
              <w:rPr>
                <w:sz w:val="20"/>
              </w:rPr>
              <w:t>600</w:t>
            </w:r>
          </w:p>
        </w:tc>
        <w:tc>
          <w:tcPr>
            <w:tcW w:w="960" w:type="dxa"/>
            <w:tcBorders>
              <w:top w:val="nil"/>
              <w:left w:val="nil"/>
              <w:bottom w:val="nil"/>
              <w:right w:val="nil"/>
            </w:tcBorders>
            <w:noWrap/>
            <w:vAlign w:val="bottom"/>
          </w:tcPr>
          <w:p w14:paraId="08EF8D15" w14:textId="77777777" w:rsidR="006D3AD5" w:rsidRPr="00874BFF" w:rsidRDefault="006D3AD5" w:rsidP="00443B8F">
            <w:pPr>
              <w:overflowPunct/>
              <w:autoSpaceDE/>
              <w:autoSpaceDN/>
              <w:adjustRightInd/>
              <w:jc w:val="left"/>
              <w:textAlignment w:val="auto"/>
              <w:rPr>
                <w:rFonts w:cs="Arial"/>
                <w:sz w:val="20"/>
              </w:rPr>
            </w:pPr>
          </w:p>
        </w:tc>
      </w:tr>
    </w:tbl>
    <w:p w14:paraId="5C964336" w14:textId="72D10997" w:rsidR="006D3AD5" w:rsidRPr="00874BFF" w:rsidRDefault="006D3AD5" w:rsidP="006D3AD5">
      <w:r w:rsidRPr="00874BFF">
        <w:t xml:space="preserve">More than 60 % of the respondents planning to invest in their </w:t>
      </w:r>
      <w:r w:rsidR="003F3012">
        <w:t>innovative development</w:t>
      </w:r>
      <w:r w:rsidRPr="00874BFF">
        <w:t xml:space="preserve"> were small and medium size enterprises.</w:t>
      </w:r>
    </w:p>
    <w:p w14:paraId="0B9D5978" w14:textId="77777777" w:rsidR="006D3AD5" w:rsidRPr="00874BFF" w:rsidRDefault="006D3AD5" w:rsidP="006D3AD5"/>
    <w:p w14:paraId="2E7E04D2" w14:textId="5869EB60" w:rsidR="006D3AD5" w:rsidRPr="00874BFF" w:rsidRDefault="006D3AD5" w:rsidP="006D3AD5">
      <w:pPr>
        <w:pStyle w:val="Titulek"/>
      </w:pPr>
      <w:r w:rsidRPr="00874BFF">
        <w:t>Table 1</w:t>
      </w:r>
      <w:r w:rsidR="007C6DD6">
        <w:t>9</w:t>
      </w:r>
      <w:r w:rsidRPr="00874BFF">
        <w:t>: Business stages</w:t>
      </w:r>
    </w:p>
    <w:tbl>
      <w:tblPr>
        <w:tblW w:w="5745" w:type="dxa"/>
        <w:tblInd w:w="55" w:type="dxa"/>
        <w:tblCellMar>
          <w:left w:w="70" w:type="dxa"/>
          <w:right w:w="70" w:type="dxa"/>
        </w:tblCellMar>
        <w:tblLook w:val="00A0" w:firstRow="1" w:lastRow="0" w:firstColumn="1" w:lastColumn="0" w:noHBand="0" w:noVBand="0"/>
      </w:tblPr>
      <w:tblGrid>
        <w:gridCol w:w="3822"/>
        <w:gridCol w:w="963"/>
        <w:gridCol w:w="960"/>
      </w:tblGrid>
      <w:tr w:rsidR="006D3AD5" w:rsidRPr="00874BFF" w14:paraId="46614915" w14:textId="77777777" w:rsidTr="00443B8F">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14:paraId="338BB6EB"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Business stages</w:t>
            </w:r>
          </w:p>
        </w:tc>
        <w:tc>
          <w:tcPr>
            <w:tcW w:w="963" w:type="dxa"/>
            <w:tcBorders>
              <w:top w:val="single" w:sz="4" w:space="0" w:color="auto"/>
              <w:left w:val="nil"/>
              <w:bottom w:val="single" w:sz="4" w:space="0" w:color="auto"/>
              <w:right w:val="single" w:sz="4" w:space="0" w:color="auto"/>
            </w:tcBorders>
            <w:noWrap/>
            <w:vAlign w:val="bottom"/>
          </w:tcPr>
          <w:p w14:paraId="11F52BEB"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05A281FC"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0A9D7DBA"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1D3D8EBC" w14:textId="77777777" w:rsidR="006D3AD5" w:rsidRPr="00874BFF" w:rsidRDefault="006D3AD5" w:rsidP="00443B8F">
            <w:pPr>
              <w:overflowPunct/>
              <w:autoSpaceDE/>
              <w:autoSpaceDN/>
              <w:adjustRightInd/>
              <w:jc w:val="left"/>
              <w:textAlignment w:val="auto"/>
              <w:rPr>
                <w:rFonts w:cs="Arial"/>
                <w:sz w:val="20"/>
              </w:rPr>
            </w:pPr>
            <w:r w:rsidRPr="00874BFF">
              <w:rPr>
                <w:sz w:val="20"/>
              </w:rPr>
              <w:t>Initial stage: post-creation, seed, startup</w:t>
            </w:r>
          </w:p>
        </w:tc>
        <w:tc>
          <w:tcPr>
            <w:tcW w:w="963" w:type="dxa"/>
            <w:tcBorders>
              <w:top w:val="nil"/>
              <w:left w:val="nil"/>
              <w:bottom w:val="single" w:sz="4" w:space="0" w:color="auto"/>
              <w:right w:val="single" w:sz="4" w:space="0" w:color="auto"/>
            </w:tcBorders>
            <w:noWrap/>
            <w:vAlign w:val="bottom"/>
          </w:tcPr>
          <w:p w14:paraId="5D998F8C" w14:textId="77777777" w:rsidR="006D3AD5" w:rsidRPr="00874BFF" w:rsidRDefault="006D3AD5" w:rsidP="00443B8F">
            <w:pPr>
              <w:overflowPunct/>
              <w:autoSpaceDE/>
              <w:autoSpaceDN/>
              <w:adjustRightInd/>
              <w:jc w:val="right"/>
              <w:textAlignment w:val="auto"/>
              <w:rPr>
                <w:rFonts w:cs="Arial"/>
                <w:sz w:val="20"/>
              </w:rPr>
            </w:pPr>
            <w:r w:rsidRPr="00874BFF">
              <w:rPr>
                <w:sz w:val="20"/>
              </w:rPr>
              <w:t>18</w:t>
            </w:r>
          </w:p>
        </w:tc>
        <w:tc>
          <w:tcPr>
            <w:tcW w:w="960" w:type="dxa"/>
            <w:tcBorders>
              <w:top w:val="nil"/>
              <w:left w:val="nil"/>
              <w:bottom w:val="single" w:sz="4" w:space="0" w:color="auto"/>
              <w:right w:val="single" w:sz="4" w:space="0" w:color="auto"/>
            </w:tcBorders>
            <w:noWrap/>
            <w:vAlign w:val="bottom"/>
          </w:tcPr>
          <w:p w14:paraId="6724D21D" w14:textId="77777777" w:rsidR="006D3AD5" w:rsidRPr="00874BFF" w:rsidRDefault="006D3AD5" w:rsidP="00443B8F">
            <w:pPr>
              <w:overflowPunct/>
              <w:autoSpaceDE/>
              <w:autoSpaceDN/>
              <w:adjustRightInd/>
              <w:jc w:val="right"/>
              <w:textAlignment w:val="auto"/>
              <w:rPr>
                <w:rFonts w:cs="Arial"/>
                <w:sz w:val="20"/>
              </w:rPr>
            </w:pPr>
            <w:r w:rsidRPr="00874BFF">
              <w:rPr>
                <w:sz w:val="20"/>
              </w:rPr>
              <w:t>3.0%</w:t>
            </w:r>
          </w:p>
        </w:tc>
      </w:tr>
      <w:tr w:rsidR="006D3AD5" w:rsidRPr="00874BFF" w14:paraId="5B409DB7"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56ECFE38" w14:textId="77777777" w:rsidR="006D3AD5" w:rsidRPr="00874BFF" w:rsidRDefault="006D3AD5" w:rsidP="00443B8F">
            <w:pPr>
              <w:overflowPunct/>
              <w:autoSpaceDE/>
              <w:autoSpaceDN/>
              <w:adjustRightInd/>
              <w:jc w:val="left"/>
              <w:textAlignment w:val="auto"/>
              <w:rPr>
                <w:rFonts w:cs="Arial"/>
                <w:sz w:val="20"/>
              </w:rPr>
            </w:pPr>
            <w:r w:rsidRPr="00874BFF">
              <w:rPr>
                <w:sz w:val="20"/>
              </w:rPr>
              <w:t>Growth stage (expansion)</w:t>
            </w:r>
          </w:p>
        </w:tc>
        <w:tc>
          <w:tcPr>
            <w:tcW w:w="963" w:type="dxa"/>
            <w:tcBorders>
              <w:top w:val="nil"/>
              <w:left w:val="nil"/>
              <w:bottom w:val="single" w:sz="4" w:space="0" w:color="auto"/>
              <w:right w:val="single" w:sz="4" w:space="0" w:color="auto"/>
            </w:tcBorders>
            <w:noWrap/>
            <w:vAlign w:val="bottom"/>
          </w:tcPr>
          <w:p w14:paraId="5CE18648" w14:textId="77777777" w:rsidR="006D3AD5" w:rsidRPr="00874BFF" w:rsidRDefault="006D3AD5" w:rsidP="00443B8F">
            <w:pPr>
              <w:overflowPunct/>
              <w:autoSpaceDE/>
              <w:autoSpaceDN/>
              <w:adjustRightInd/>
              <w:jc w:val="right"/>
              <w:textAlignment w:val="auto"/>
              <w:rPr>
                <w:rFonts w:cs="Arial"/>
                <w:sz w:val="20"/>
              </w:rPr>
            </w:pPr>
            <w:r w:rsidRPr="00874BFF">
              <w:rPr>
                <w:sz w:val="20"/>
              </w:rPr>
              <w:t>440</w:t>
            </w:r>
          </w:p>
        </w:tc>
        <w:tc>
          <w:tcPr>
            <w:tcW w:w="960" w:type="dxa"/>
            <w:tcBorders>
              <w:top w:val="nil"/>
              <w:left w:val="nil"/>
              <w:bottom w:val="single" w:sz="4" w:space="0" w:color="auto"/>
              <w:right w:val="single" w:sz="4" w:space="0" w:color="auto"/>
            </w:tcBorders>
            <w:noWrap/>
            <w:vAlign w:val="bottom"/>
          </w:tcPr>
          <w:p w14:paraId="52E94D20" w14:textId="77777777" w:rsidR="006D3AD5" w:rsidRPr="00874BFF" w:rsidRDefault="006D3AD5" w:rsidP="00443B8F">
            <w:pPr>
              <w:overflowPunct/>
              <w:autoSpaceDE/>
              <w:autoSpaceDN/>
              <w:adjustRightInd/>
              <w:jc w:val="right"/>
              <w:textAlignment w:val="auto"/>
              <w:rPr>
                <w:rFonts w:cs="Arial"/>
                <w:sz w:val="20"/>
              </w:rPr>
            </w:pPr>
            <w:r w:rsidRPr="00874BFF">
              <w:rPr>
                <w:sz w:val="20"/>
              </w:rPr>
              <w:t>73.6%</w:t>
            </w:r>
          </w:p>
        </w:tc>
      </w:tr>
      <w:tr w:rsidR="006D3AD5" w:rsidRPr="00874BFF" w14:paraId="0FEF2550"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58EF4E32" w14:textId="77777777" w:rsidR="006D3AD5" w:rsidRPr="00874BFF" w:rsidRDefault="006D3AD5" w:rsidP="00443B8F">
            <w:pPr>
              <w:overflowPunct/>
              <w:autoSpaceDE/>
              <w:autoSpaceDN/>
              <w:adjustRightInd/>
              <w:jc w:val="left"/>
              <w:textAlignment w:val="auto"/>
              <w:rPr>
                <w:rFonts w:cs="Arial"/>
                <w:sz w:val="20"/>
              </w:rPr>
            </w:pPr>
            <w:r w:rsidRPr="00874BFF">
              <w:rPr>
                <w:sz w:val="20"/>
              </w:rPr>
              <w:t>Stable stage: buyout or maturity</w:t>
            </w:r>
          </w:p>
        </w:tc>
        <w:tc>
          <w:tcPr>
            <w:tcW w:w="963" w:type="dxa"/>
            <w:tcBorders>
              <w:top w:val="nil"/>
              <w:left w:val="nil"/>
              <w:bottom w:val="single" w:sz="4" w:space="0" w:color="auto"/>
              <w:right w:val="single" w:sz="4" w:space="0" w:color="auto"/>
            </w:tcBorders>
            <w:noWrap/>
            <w:vAlign w:val="bottom"/>
          </w:tcPr>
          <w:p w14:paraId="6F97B066" w14:textId="77777777" w:rsidR="006D3AD5" w:rsidRPr="00874BFF" w:rsidRDefault="006D3AD5" w:rsidP="00443B8F">
            <w:pPr>
              <w:overflowPunct/>
              <w:autoSpaceDE/>
              <w:autoSpaceDN/>
              <w:adjustRightInd/>
              <w:jc w:val="right"/>
              <w:textAlignment w:val="auto"/>
              <w:rPr>
                <w:rFonts w:cs="Arial"/>
                <w:sz w:val="20"/>
              </w:rPr>
            </w:pPr>
            <w:r w:rsidRPr="00874BFF">
              <w:rPr>
                <w:sz w:val="20"/>
              </w:rPr>
              <w:t>91</w:t>
            </w:r>
          </w:p>
        </w:tc>
        <w:tc>
          <w:tcPr>
            <w:tcW w:w="960" w:type="dxa"/>
            <w:tcBorders>
              <w:top w:val="nil"/>
              <w:left w:val="nil"/>
              <w:bottom w:val="single" w:sz="4" w:space="0" w:color="auto"/>
              <w:right w:val="single" w:sz="4" w:space="0" w:color="auto"/>
            </w:tcBorders>
            <w:noWrap/>
            <w:vAlign w:val="bottom"/>
          </w:tcPr>
          <w:p w14:paraId="295729E6" w14:textId="77777777" w:rsidR="006D3AD5" w:rsidRPr="00874BFF" w:rsidRDefault="006D3AD5" w:rsidP="00443B8F">
            <w:pPr>
              <w:overflowPunct/>
              <w:autoSpaceDE/>
              <w:autoSpaceDN/>
              <w:adjustRightInd/>
              <w:jc w:val="right"/>
              <w:textAlignment w:val="auto"/>
              <w:rPr>
                <w:rFonts w:cs="Arial"/>
                <w:sz w:val="20"/>
              </w:rPr>
            </w:pPr>
            <w:r w:rsidRPr="00874BFF">
              <w:rPr>
                <w:sz w:val="20"/>
              </w:rPr>
              <w:t>15.2%</w:t>
            </w:r>
          </w:p>
        </w:tc>
      </w:tr>
      <w:tr w:rsidR="006D3AD5" w:rsidRPr="00874BFF" w14:paraId="71628A05"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64772FD9" w14:textId="77777777" w:rsidR="006D3AD5" w:rsidRPr="00874BFF" w:rsidRDefault="006D3AD5" w:rsidP="00443B8F">
            <w:pPr>
              <w:overflowPunct/>
              <w:autoSpaceDE/>
              <w:autoSpaceDN/>
              <w:adjustRightInd/>
              <w:jc w:val="left"/>
              <w:textAlignment w:val="auto"/>
              <w:rPr>
                <w:rFonts w:cs="Arial"/>
                <w:sz w:val="20"/>
              </w:rPr>
            </w:pPr>
            <w:r w:rsidRPr="00874BFF">
              <w:rPr>
                <w:sz w:val="20"/>
              </w:rPr>
              <w:t>Renewal of activities (redeployment)</w:t>
            </w:r>
          </w:p>
        </w:tc>
        <w:tc>
          <w:tcPr>
            <w:tcW w:w="963" w:type="dxa"/>
            <w:tcBorders>
              <w:top w:val="nil"/>
              <w:left w:val="nil"/>
              <w:bottom w:val="single" w:sz="4" w:space="0" w:color="auto"/>
              <w:right w:val="single" w:sz="4" w:space="0" w:color="auto"/>
            </w:tcBorders>
            <w:noWrap/>
            <w:vAlign w:val="bottom"/>
          </w:tcPr>
          <w:p w14:paraId="4B73841A" w14:textId="77777777" w:rsidR="006D3AD5" w:rsidRPr="00874BFF" w:rsidRDefault="006D3AD5" w:rsidP="00443B8F">
            <w:pPr>
              <w:overflowPunct/>
              <w:autoSpaceDE/>
              <w:autoSpaceDN/>
              <w:adjustRightInd/>
              <w:jc w:val="right"/>
              <w:textAlignment w:val="auto"/>
              <w:rPr>
                <w:rFonts w:cs="Arial"/>
                <w:sz w:val="20"/>
              </w:rPr>
            </w:pPr>
            <w:r w:rsidRPr="00874BFF">
              <w:rPr>
                <w:sz w:val="20"/>
              </w:rPr>
              <w:t>49</w:t>
            </w:r>
          </w:p>
        </w:tc>
        <w:tc>
          <w:tcPr>
            <w:tcW w:w="960" w:type="dxa"/>
            <w:tcBorders>
              <w:top w:val="nil"/>
              <w:left w:val="nil"/>
              <w:bottom w:val="single" w:sz="4" w:space="0" w:color="auto"/>
              <w:right w:val="single" w:sz="4" w:space="0" w:color="auto"/>
            </w:tcBorders>
            <w:noWrap/>
            <w:vAlign w:val="bottom"/>
          </w:tcPr>
          <w:p w14:paraId="299FC558" w14:textId="77777777" w:rsidR="006D3AD5" w:rsidRPr="00874BFF" w:rsidRDefault="006D3AD5" w:rsidP="00443B8F">
            <w:pPr>
              <w:overflowPunct/>
              <w:autoSpaceDE/>
              <w:autoSpaceDN/>
              <w:adjustRightInd/>
              <w:jc w:val="right"/>
              <w:textAlignment w:val="auto"/>
              <w:rPr>
                <w:rFonts w:cs="Arial"/>
                <w:sz w:val="20"/>
              </w:rPr>
            </w:pPr>
            <w:r w:rsidRPr="00874BFF">
              <w:rPr>
                <w:sz w:val="20"/>
              </w:rPr>
              <w:t>8.2%</w:t>
            </w:r>
          </w:p>
        </w:tc>
      </w:tr>
      <w:tr w:rsidR="006D3AD5" w:rsidRPr="00874BFF" w14:paraId="17513BB2" w14:textId="77777777" w:rsidTr="00443B8F">
        <w:trPr>
          <w:trHeight w:val="255"/>
        </w:trPr>
        <w:tc>
          <w:tcPr>
            <w:tcW w:w="3822" w:type="dxa"/>
            <w:tcBorders>
              <w:top w:val="nil"/>
              <w:left w:val="nil"/>
              <w:bottom w:val="nil"/>
              <w:right w:val="nil"/>
            </w:tcBorders>
            <w:noWrap/>
            <w:vAlign w:val="bottom"/>
          </w:tcPr>
          <w:p w14:paraId="6C55E5D6"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365F450B" w14:textId="77777777" w:rsidR="006D3AD5" w:rsidRPr="00874BFF" w:rsidRDefault="006D3AD5" w:rsidP="00443B8F">
            <w:pPr>
              <w:overflowPunct/>
              <w:autoSpaceDE/>
              <w:autoSpaceDN/>
              <w:adjustRightInd/>
              <w:jc w:val="left"/>
              <w:textAlignment w:val="auto"/>
              <w:rPr>
                <w:rFonts w:cs="Arial"/>
                <w:sz w:val="20"/>
              </w:rPr>
            </w:pPr>
            <w:r w:rsidRPr="00874BFF">
              <w:rPr>
                <w:sz w:val="20"/>
              </w:rPr>
              <w:t>598</w:t>
            </w:r>
          </w:p>
        </w:tc>
        <w:tc>
          <w:tcPr>
            <w:tcW w:w="960" w:type="dxa"/>
            <w:tcBorders>
              <w:top w:val="nil"/>
              <w:left w:val="nil"/>
              <w:bottom w:val="nil"/>
              <w:right w:val="nil"/>
            </w:tcBorders>
            <w:noWrap/>
            <w:vAlign w:val="bottom"/>
          </w:tcPr>
          <w:p w14:paraId="7FE88C09" w14:textId="77777777" w:rsidR="006D3AD5" w:rsidRPr="00874BFF" w:rsidRDefault="006D3AD5" w:rsidP="00443B8F">
            <w:pPr>
              <w:overflowPunct/>
              <w:autoSpaceDE/>
              <w:autoSpaceDN/>
              <w:adjustRightInd/>
              <w:jc w:val="left"/>
              <w:textAlignment w:val="auto"/>
              <w:rPr>
                <w:rFonts w:cs="Arial"/>
                <w:sz w:val="20"/>
              </w:rPr>
            </w:pPr>
          </w:p>
        </w:tc>
      </w:tr>
    </w:tbl>
    <w:p w14:paraId="226BCA0C" w14:textId="77777777" w:rsidR="006D3AD5" w:rsidRPr="00874BFF" w:rsidRDefault="006D3AD5" w:rsidP="006D3AD5">
      <w:r w:rsidRPr="00874BFF">
        <w:t>The companies were mainly those established, with the median of 19 years of existence, most frequently at the growth stage, namely in 73.6 %. On the contrary, the share of companies at initial stages was very low, nevertheless, a special questionnaire survey was conducted for this group of entrepreneurs.</w:t>
      </w:r>
    </w:p>
    <w:p w14:paraId="1C32F28C" w14:textId="7277B616" w:rsidR="006D3AD5" w:rsidRPr="00874BFF" w:rsidRDefault="006D3AD5" w:rsidP="006D3AD5">
      <w:pPr>
        <w:pStyle w:val="Titulek"/>
      </w:pPr>
      <w:r w:rsidRPr="00874BFF">
        <w:t xml:space="preserve">Table </w:t>
      </w:r>
      <w:r w:rsidR="007C6DD6">
        <w:t>20</w:t>
      </w:r>
      <w:r w:rsidRPr="00874BFF">
        <w:t>: SMEs' investments</w:t>
      </w:r>
    </w:p>
    <w:tbl>
      <w:tblPr>
        <w:tblW w:w="7473" w:type="dxa"/>
        <w:tblInd w:w="55" w:type="dxa"/>
        <w:tblCellMar>
          <w:left w:w="70" w:type="dxa"/>
          <w:right w:w="70" w:type="dxa"/>
        </w:tblCellMar>
        <w:tblLook w:val="00A0" w:firstRow="1" w:lastRow="0" w:firstColumn="1" w:lastColumn="0" w:noHBand="0" w:noVBand="0"/>
      </w:tblPr>
      <w:tblGrid>
        <w:gridCol w:w="4255"/>
        <w:gridCol w:w="1298"/>
        <w:gridCol w:w="960"/>
        <w:gridCol w:w="960"/>
      </w:tblGrid>
      <w:tr w:rsidR="006D3AD5" w:rsidRPr="00874BFF" w14:paraId="3CD87842" w14:textId="77777777" w:rsidTr="00443B8F">
        <w:trPr>
          <w:trHeight w:val="255"/>
        </w:trPr>
        <w:tc>
          <w:tcPr>
            <w:tcW w:w="4255" w:type="dxa"/>
            <w:tcBorders>
              <w:top w:val="single" w:sz="4" w:space="0" w:color="auto"/>
              <w:left w:val="single" w:sz="4" w:space="0" w:color="auto"/>
              <w:bottom w:val="single" w:sz="4" w:space="0" w:color="auto"/>
              <w:right w:val="single" w:sz="4" w:space="0" w:color="auto"/>
            </w:tcBorders>
            <w:noWrap/>
            <w:vAlign w:val="bottom"/>
          </w:tcPr>
          <w:p w14:paraId="698FA392"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SMEs' investments</w:t>
            </w:r>
          </w:p>
        </w:tc>
        <w:tc>
          <w:tcPr>
            <w:tcW w:w="1298" w:type="dxa"/>
            <w:tcBorders>
              <w:top w:val="single" w:sz="4" w:space="0" w:color="auto"/>
              <w:left w:val="nil"/>
              <w:bottom w:val="single" w:sz="4" w:space="0" w:color="auto"/>
              <w:right w:val="single" w:sz="4" w:space="0" w:color="auto"/>
            </w:tcBorders>
            <w:noWrap/>
            <w:vAlign w:val="bottom"/>
          </w:tcPr>
          <w:p w14:paraId="46831984"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60" w:type="dxa"/>
            <w:tcBorders>
              <w:top w:val="single" w:sz="4" w:space="0" w:color="auto"/>
              <w:left w:val="nil"/>
              <w:bottom w:val="single" w:sz="4" w:space="0" w:color="auto"/>
              <w:right w:val="single" w:sz="4" w:space="0" w:color="auto"/>
            </w:tcBorders>
            <w:noWrap/>
            <w:vAlign w:val="bottom"/>
          </w:tcPr>
          <w:p w14:paraId="2E76B200"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1A9763B3"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70B055B8" w14:textId="77777777" w:rsidTr="00443B8F">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14:paraId="578A5896" w14:textId="77777777" w:rsidR="006D3AD5" w:rsidRPr="00874BFF" w:rsidRDefault="006D3AD5" w:rsidP="00443B8F">
            <w:pPr>
              <w:overflowPunct/>
              <w:autoSpaceDE/>
              <w:autoSpaceDN/>
              <w:adjustRightInd/>
              <w:jc w:val="left"/>
              <w:textAlignment w:val="auto"/>
              <w:rPr>
                <w:rFonts w:cs="Arial"/>
                <w:sz w:val="20"/>
              </w:rPr>
            </w:pPr>
            <w:r w:rsidRPr="00874BFF">
              <w:rPr>
                <w:sz w:val="20"/>
              </w:rPr>
              <w:t>Investments in the last three years</w:t>
            </w:r>
          </w:p>
        </w:tc>
        <w:tc>
          <w:tcPr>
            <w:tcW w:w="1298" w:type="dxa"/>
            <w:tcBorders>
              <w:top w:val="nil"/>
              <w:left w:val="nil"/>
              <w:bottom w:val="single" w:sz="4" w:space="0" w:color="auto"/>
              <w:right w:val="single" w:sz="4" w:space="0" w:color="auto"/>
            </w:tcBorders>
            <w:noWrap/>
            <w:vAlign w:val="bottom"/>
          </w:tcPr>
          <w:p w14:paraId="71755FCF" w14:textId="77777777" w:rsidR="006D3AD5" w:rsidRPr="00874BFF" w:rsidRDefault="006D3AD5" w:rsidP="00443B8F">
            <w:pPr>
              <w:overflowPunct/>
              <w:autoSpaceDE/>
              <w:autoSpaceDN/>
              <w:adjustRightInd/>
              <w:jc w:val="left"/>
              <w:textAlignment w:val="auto"/>
              <w:rPr>
                <w:rFonts w:cs="Arial"/>
                <w:sz w:val="20"/>
              </w:rPr>
            </w:pPr>
            <w:r w:rsidRPr="00874BFF">
              <w:rPr>
                <w:sz w:val="20"/>
              </w:rPr>
              <w:t>up to CZK 10 million</w:t>
            </w:r>
          </w:p>
        </w:tc>
        <w:tc>
          <w:tcPr>
            <w:tcW w:w="960" w:type="dxa"/>
            <w:tcBorders>
              <w:top w:val="nil"/>
              <w:left w:val="nil"/>
              <w:bottom w:val="single" w:sz="4" w:space="0" w:color="auto"/>
              <w:right w:val="single" w:sz="4" w:space="0" w:color="auto"/>
            </w:tcBorders>
            <w:noWrap/>
            <w:vAlign w:val="bottom"/>
          </w:tcPr>
          <w:p w14:paraId="3EE988ED" w14:textId="77777777" w:rsidR="006D3AD5" w:rsidRPr="00874BFF" w:rsidRDefault="006D3AD5" w:rsidP="00443B8F">
            <w:pPr>
              <w:overflowPunct/>
              <w:autoSpaceDE/>
              <w:autoSpaceDN/>
              <w:adjustRightInd/>
              <w:jc w:val="right"/>
              <w:textAlignment w:val="auto"/>
              <w:rPr>
                <w:rFonts w:cs="Arial"/>
                <w:sz w:val="20"/>
              </w:rPr>
            </w:pPr>
            <w:r w:rsidRPr="00874BFF">
              <w:rPr>
                <w:sz w:val="20"/>
              </w:rPr>
              <w:t>230</w:t>
            </w:r>
          </w:p>
        </w:tc>
        <w:tc>
          <w:tcPr>
            <w:tcW w:w="960" w:type="dxa"/>
            <w:tcBorders>
              <w:top w:val="nil"/>
              <w:left w:val="nil"/>
              <w:bottom w:val="single" w:sz="4" w:space="0" w:color="auto"/>
              <w:right w:val="single" w:sz="4" w:space="0" w:color="auto"/>
            </w:tcBorders>
            <w:noWrap/>
            <w:vAlign w:val="bottom"/>
          </w:tcPr>
          <w:p w14:paraId="2036C856" w14:textId="77777777" w:rsidR="006D3AD5" w:rsidRPr="00874BFF" w:rsidRDefault="006D3AD5" w:rsidP="00443B8F">
            <w:pPr>
              <w:overflowPunct/>
              <w:autoSpaceDE/>
              <w:autoSpaceDN/>
              <w:adjustRightInd/>
              <w:jc w:val="right"/>
              <w:textAlignment w:val="auto"/>
              <w:rPr>
                <w:rFonts w:cs="Arial"/>
                <w:sz w:val="20"/>
              </w:rPr>
            </w:pPr>
            <w:r w:rsidRPr="00874BFF">
              <w:rPr>
                <w:sz w:val="20"/>
              </w:rPr>
              <w:t>38.5%</w:t>
            </w:r>
          </w:p>
        </w:tc>
      </w:tr>
      <w:tr w:rsidR="006D3AD5" w:rsidRPr="00874BFF" w14:paraId="4D93B1D4" w14:textId="77777777" w:rsidTr="00443B8F">
        <w:trPr>
          <w:trHeight w:val="255"/>
        </w:trPr>
        <w:tc>
          <w:tcPr>
            <w:tcW w:w="4255" w:type="dxa"/>
            <w:vMerge/>
            <w:tcBorders>
              <w:top w:val="nil"/>
              <w:left w:val="single" w:sz="4" w:space="0" w:color="auto"/>
              <w:bottom w:val="single" w:sz="4" w:space="0" w:color="auto"/>
              <w:right w:val="single" w:sz="4" w:space="0" w:color="auto"/>
            </w:tcBorders>
            <w:vAlign w:val="center"/>
          </w:tcPr>
          <w:p w14:paraId="37D562D0"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103C9FDB" w14:textId="77777777" w:rsidR="006D3AD5" w:rsidRPr="00874BFF" w:rsidRDefault="006D3AD5" w:rsidP="00443B8F">
            <w:pPr>
              <w:overflowPunct/>
              <w:autoSpaceDE/>
              <w:autoSpaceDN/>
              <w:adjustRightInd/>
              <w:jc w:val="left"/>
              <w:textAlignment w:val="auto"/>
              <w:rPr>
                <w:rFonts w:cs="Arial"/>
                <w:sz w:val="20"/>
              </w:rPr>
            </w:pPr>
            <w:r w:rsidRPr="00874BFF">
              <w:rPr>
                <w:sz w:val="20"/>
              </w:rPr>
              <w:t>CZK 10-30 million</w:t>
            </w:r>
          </w:p>
        </w:tc>
        <w:tc>
          <w:tcPr>
            <w:tcW w:w="960" w:type="dxa"/>
            <w:tcBorders>
              <w:top w:val="nil"/>
              <w:left w:val="nil"/>
              <w:bottom w:val="single" w:sz="4" w:space="0" w:color="auto"/>
              <w:right w:val="single" w:sz="4" w:space="0" w:color="auto"/>
            </w:tcBorders>
            <w:noWrap/>
            <w:vAlign w:val="bottom"/>
          </w:tcPr>
          <w:p w14:paraId="00CD4351" w14:textId="77777777" w:rsidR="006D3AD5" w:rsidRPr="00874BFF" w:rsidRDefault="006D3AD5" w:rsidP="00443B8F">
            <w:pPr>
              <w:overflowPunct/>
              <w:autoSpaceDE/>
              <w:autoSpaceDN/>
              <w:adjustRightInd/>
              <w:jc w:val="right"/>
              <w:textAlignment w:val="auto"/>
              <w:rPr>
                <w:rFonts w:cs="Arial"/>
                <w:sz w:val="20"/>
              </w:rPr>
            </w:pPr>
            <w:r w:rsidRPr="00874BFF">
              <w:rPr>
                <w:sz w:val="20"/>
              </w:rPr>
              <w:t>209</w:t>
            </w:r>
          </w:p>
        </w:tc>
        <w:tc>
          <w:tcPr>
            <w:tcW w:w="960" w:type="dxa"/>
            <w:tcBorders>
              <w:top w:val="nil"/>
              <w:left w:val="nil"/>
              <w:bottom w:val="single" w:sz="4" w:space="0" w:color="auto"/>
              <w:right w:val="single" w:sz="4" w:space="0" w:color="auto"/>
            </w:tcBorders>
            <w:noWrap/>
            <w:vAlign w:val="bottom"/>
          </w:tcPr>
          <w:p w14:paraId="5D9C3B16" w14:textId="77777777" w:rsidR="006D3AD5" w:rsidRPr="00874BFF" w:rsidRDefault="006D3AD5" w:rsidP="00443B8F">
            <w:pPr>
              <w:overflowPunct/>
              <w:autoSpaceDE/>
              <w:autoSpaceDN/>
              <w:adjustRightInd/>
              <w:jc w:val="right"/>
              <w:textAlignment w:val="auto"/>
              <w:rPr>
                <w:rFonts w:cs="Arial"/>
                <w:sz w:val="20"/>
              </w:rPr>
            </w:pPr>
            <w:r w:rsidRPr="00874BFF">
              <w:rPr>
                <w:sz w:val="20"/>
              </w:rPr>
              <w:t>35.0%</w:t>
            </w:r>
          </w:p>
        </w:tc>
      </w:tr>
      <w:tr w:rsidR="006D3AD5" w:rsidRPr="00874BFF" w14:paraId="36C70672" w14:textId="77777777" w:rsidTr="00443B8F">
        <w:trPr>
          <w:trHeight w:val="255"/>
        </w:trPr>
        <w:tc>
          <w:tcPr>
            <w:tcW w:w="4255" w:type="dxa"/>
            <w:vMerge/>
            <w:tcBorders>
              <w:top w:val="nil"/>
              <w:left w:val="single" w:sz="4" w:space="0" w:color="auto"/>
              <w:bottom w:val="single" w:sz="4" w:space="0" w:color="auto"/>
              <w:right w:val="single" w:sz="4" w:space="0" w:color="auto"/>
            </w:tcBorders>
            <w:vAlign w:val="center"/>
          </w:tcPr>
          <w:p w14:paraId="3619FA77"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1DAA8904" w14:textId="77777777" w:rsidR="006D3AD5" w:rsidRPr="00874BFF" w:rsidRDefault="006D3AD5" w:rsidP="00443B8F">
            <w:pPr>
              <w:overflowPunct/>
              <w:autoSpaceDE/>
              <w:autoSpaceDN/>
              <w:adjustRightInd/>
              <w:jc w:val="left"/>
              <w:textAlignment w:val="auto"/>
              <w:rPr>
                <w:rFonts w:cs="Arial"/>
                <w:sz w:val="20"/>
              </w:rPr>
            </w:pPr>
            <w:r w:rsidRPr="00874BFF">
              <w:rPr>
                <w:sz w:val="20"/>
              </w:rPr>
              <w:t>more than CZK 30 million</w:t>
            </w:r>
          </w:p>
        </w:tc>
        <w:tc>
          <w:tcPr>
            <w:tcW w:w="960" w:type="dxa"/>
            <w:tcBorders>
              <w:top w:val="nil"/>
              <w:left w:val="nil"/>
              <w:bottom w:val="single" w:sz="4" w:space="0" w:color="auto"/>
              <w:right w:val="single" w:sz="4" w:space="0" w:color="auto"/>
            </w:tcBorders>
            <w:noWrap/>
            <w:vAlign w:val="bottom"/>
          </w:tcPr>
          <w:p w14:paraId="32571381" w14:textId="77777777" w:rsidR="006D3AD5" w:rsidRPr="00874BFF" w:rsidRDefault="006D3AD5" w:rsidP="00443B8F">
            <w:pPr>
              <w:overflowPunct/>
              <w:autoSpaceDE/>
              <w:autoSpaceDN/>
              <w:adjustRightInd/>
              <w:jc w:val="right"/>
              <w:textAlignment w:val="auto"/>
              <w:rPr>
                <w:rFonts w:cs="Arial"/>
                <w:sz w:val="20"/>
              </w:rPr>
            </w:pPr>
            <w:r w:rsidRPr="00874BFF">
              <w:rPr>
                <w:sz w:val="20"/>
              </w:rPr>
              <w:t>158</w:t>
            </w:r>
          </w:p>
        </w:tc>
        <w:tc>
          <w:tcPr>
            <w:tcW w:w="960" w:type="dxa"/>
            <w:tcBorders>
              <w:top w:val="nil"/>
              <w:left w:val="nil"/>
              <w:bottom w:val="single" w:sz="4" w:space="0" w:color="auto"/>
              <w:right w:val="single" w:sz="4" w:space="0" w:color="auto"/>
            </w:tcBorders>
            <w:noWrap/>
            <w:vAlign w:val="bottom"/>
          </w:tcPr>
          <w:p w14:paraId="5194066B" w14:textId="77777777" w:rsidR="006D3AD5" w:rsidRPr="00874BFF" w:rsidRDefault="006D3AD5" w:rsidP="00443B8F">
            <w:pPr>
              <w:overflowPunct/>
              <w:autoSpaceDE/>
              <w:autoSpaceDN/>
              <w:adjustRightInd/>
              <w:jc w:val="right"/>
              <w:textAlignment w:val="auto"/>
              <w:rPr>
                <w:rFonts w:cs="Arial"/>
                <w:sz w:val="20"/>
              </w:rPr>
            </w:pPr>
            <w:r w:rsidRPr="00874BFF">
              <w:rPr>
                <w:sz w:val="20"/>
              </w:rPr>
              <w:t>26.5%</w:t>
            </w:r>
          </w:p>
        </w:tc>
      </w:tr>
      <w:tr w:rsidR="006D3AD5" w:rsidRPr="00874BFF" w14:paraId="16E64778" w14:textId="77777777" w:rsidTr="00443B8F">
        <w:trPr>
          <w:trHeight w:val="255"/>
        </w:trPr>
        <w:tc>
          <w:tcPr>
            <w:tcW w:w="4255" w:type="dxa"/>
            <w:tcBorders>
              <w:top w:val="nil"/>
              <w:left w:val="nil"/>
              <w:bottom w:val="single" w:sz="4" w:space="0" w:color="auto"/>
              <w:right w:val="nil"/>
            </w:tcBorders>
            <w:noWrap/>
            <w:vAlign w:val="bottom"/>
          </w:tcPr>
          <w:p w14:paraId="0C4F1983"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298" w:type="dxa"/>
            <w:tcBorders>
              <w:top w:val="nil"/>
              <w:left w:val="nil"/>
              <w:bottom w:val="single" w:sz="4" w:space="0" w:color="auto"/>
              <w:right w:val="nil"/>
            </w:tcBorders>
            <w:noWrap/>
            <w:vAlign w:val="bottom"/>
          </w:tcPr>
          <w:p w14:paraId="51925EC0" w14:textId="77777777" w:rsidR="006D3AD5" w:rsidRPr="00874BFF" w:rsidRDefault="006D3AD5" w:rsidP="00443B8F">
            <w:pPr>
              <w:overflowPunct/>
              <w:autoSpaceDE/>
              <w:autoSpaceDN/>
              <w:adjustRightInd/>
              <w:jc w:val="left"/>
              <w:textAlignment w:val="auto"/>
              <w:rPr>
                <w:rFonts w:cs="Arial"/>
                <w:sz w:val="20"/>
              </w:rPr>
            </w:pPr>
            <w:r w:rsidRPr="00874BFF">
              <w:rPr>
                <w:sz w:val="20"/>
              </w:rPr>
              <w:t>597</w:t>
            </w:r>
          </w:p>
        </w:tc>
        <w:tc>
          <w:tcPr>
            <w:tcW w:w="960" w:type="dxa"/>
            <w:tcBorders>
              <w:top w:val="nil"/>
              <w:left w:val="nil"/>
              <w:bottom w:val="single" w:sz="4" w:space="0" w:color="auto"/>
              <w:right w:val="nil"/>
            </w:tcBorders>
            <w:noWrap/>
            <w:vAlign w:val="bottom"/>
          </w:tcPr>
          <w:p w14:paraId="7749D35F"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60" w:type="dxa"/>
            <w:tcBorders>
              <w:top w:val="nil"/>
              <w:left w:val="nil"/>
              <w:bottom w:val="single" w:sz="4" w:space="0" w:color="auto"/>
              <w:right w:val="nil"/>
            </w:tcBorders>
            <w:noWrap/>
            <w:vAlign w:val="bottom"/>
          </w:tcPr>
          <w:p w14:paraId="663EEBBB"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r>
      <w:tr w:rsidR="006D3AD5" w:rsidRPr="00874BFF" w14:paraId="6587CB74" w14:textId="77777777" w:rsidTr="00443B8F">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14:paraId="1B50749A" w14:textId="77777777" w:rsidR="006D3AD5" w:rsidRPr="00874BFF" w:rsidRDefault="006D3AD5" w:rsidP="00443B8F">
            <w:pPr>
              <w:overflowPunct/>
              <w:autoSpaceDE/>
              <w:autoSpaceDN/>
              <w:adjustRightInd/>
              <w:jc w:val="left"/>
              <w:textAlignment w:val="auto"/>
              <w:rPr>
                <w:rFonts w:cs="Arial"/>
                <w:sz w:val="20"/>
              </w:rPr>
            </w:pPr>
            <w:r w:rsidRPr="00874BFF">
              <w:rPr>
                <w:sz w:val="20"/>
              </w:rPr>
              <w:t xml:space="preserve">SMEs' planned investments in the next three years </w:t>
            </w:r>
          </w:p>
        </w:tc>
        <w:tc>
          <w:tcPr>
            <w:tcW w:w="1298" w:type="dxa"/>
            <w:tcBorders>
              <w:top w:val="nil"/>
              <w:left w:val="nil"/>
              <w:bottom w:val="single" w:sz="4" w:space="0" w:color="auto"/>
              <w:right w:val="single" w:sz="4" w:space="0" w:color="auto"/>
            </w:tcBorders>
            <w:noWrap/>
            <w:vAlign w:val="bottom"/>
          </w:tcPr>
          <w:p w14:paraId="7895FFA6" w14:textId="77777777" w:rsidR="006D3AD5" w:rsidRPr="00874BFF" w:rsidRDefault="006D3AD5" w:rsidP="00443B8F">
            <w:pPr>
              <w:overflowPunct/>
              <w:autoSpaceDE/>
              <w:autoSpaceDN/>
              <w:adjustRightInd/>
              <w:jc w:val="left"/>
              <w:textAlignment w:val="auto"/>
              <w:rPr>
                <w:rFonts w:cs="Arial"/>
                <w:sz w:val="20"/>
              </w:rPr>
            </w:pPr>
            <w:r w:rsidRPr="00874BFF">
              <w:rPr>
                <w:sz w:val="20"/>
              </w:rPr>
              <w:t>up to CZK 10 million</w:t>
            </w:r>
          </w:p>
        </w:tc>
        <w:tc>
          <w:tcPr>
            <w:tcW w:w="960" w:type="dxa"/>
            <w:tcBorders>
              <w:top w:val="nil"/>
              <w:left w:val="nil"/>
              <w:bottom w:val="single" w:sz="4" w:space="0" w:color="auto"/>
              <w:right w:val="single" w:sz="4" w:space="0" w:color="auto"/>
            </w:tcBorders>
            <w:noWrap/>
            <w:vAlign w:val="bottom"/>
          </w:tcPr>
          <w:p w14:paraId="2D7D7CFD" w14:textId="77777777" w:rsidR="006D3AD5" w:rsidRPr="00874BFF" w:rsidRDefault="006D3AD5" w:rsidP="00443B8F">
            <w:pPr>
              <w:overflowPunct/>
              <w:autoSpaceDE/>
              <w:autoSpaceDN/>
              <w:adjustRightInd/>
              <w:jc w:val="right"/>
              <w:textAlignment w:val="auto"/>
              <w:rPr>
                <w:rFonts w:cs="Arial"/>
                <w:sz w:val="20"/>
              </w:rPr>
            </w:pPr>
            <w:r w:rsidRPr="00874BFF">
              <w:rPr>
                <w:sz w:val="20"/>
              </w:rPr>
              <w:t>386</w:t>
            </w:r>
          </w:p>
        </w:tc>
        <w:tc>
          <w:tcPr>
            <w:tcW w:w="960" w:type="dxa"/>
            <w:tcBorders>
              <w:top w:val="nil"/>
              <w:left w:val="nil"/>
              <w:bottom w:val="single" w:sz="4" w:space="0" w:color="auto"/>
              <w:right w:val="single" w:sz="4" w:space="0" w:color="auto"/>
            </w:tcBorders>
            <w:noWrap/>
            <w:vAlign w:val="bottom"/>
          </w:tcPr>
          <w:p w14:paraId="4230CF26" w14:textId="77777777" w:rsidR="006D3AD5" w:rsidRPr="00874BFF" w:rsidRDefault="006D3AD5" w:rsidP="00443B8F">
            <w:pPr>
              <w:overflowPunct/>
              <w:autoSpaceDE/>
              <w:autoSpaceDN/>
              <w:adjustRightInd/>
              <w:jc w:val="right"/>
              <w:textAlignment w:val="auto"/>
              <w:rPr>
                <w:rFonts w:cs="Arial"/>
                <w:sz w:val="20"/>
              </w:rPr>
            </w:pPr>
            <w:r w:rsidRPr="00874BFF">
              <w:rPr>
                <w:sz w:val="20"/>
              </w:rPr>
              <w:t>64.0%</w:t>
            </w:r>
          </w:p>
        </w:tc>
      </w:tr>
      <w:tr w:rsidR="006D3AD5" w:rsidRPr="00874BFF" w14:paraId="617D50E8" w14:textId="77777777" w:rsidTr="00443B8F">
        <w:trPr>
          <w:trHeight w:val="255"/>
        </w:trPr>
        <w:tc>
          <w:tcPr>
            <w:tcW w:w="4255" w:type="dxa"/>
            <w:vMerge/>
            <w:tcBorders>
              <w:top w:val="nil"/>
              <w:left w:val="single" w:sz="4" w:space="0" w:color="auto"/>
              <w:bottom w:val="single" w:sz="4" w:space="0" w:color="auto"/>
              <w:right w:val="single" w:sz="4" w:space="0" w:color="auto"/>
            </w:tcBorders>
            <w:vAlign w:val="center"/>
          </w:tcPr>
          <w:p w14:paraId="25951B80"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644CC8BA" w14:textId="77777777" w:rsidR="006D3AD5" w:rsidRPr="00874BFF" w:rsidRDefault="006D3AD5" w:rsidP="00443B8F">
            <w:pPr>
              <w:overflowPunct/>
              <w:autoSpaceDE/>
              <w:autoSpaceDN/>
              <w:adjustRightInd/>
              <w:jc w:val="left"/>
              <w:textAlignment w:val="auto"/>
              <w:rPr>
                <w:rFonts w:cs="Arial"/>
                <w:sz w:val="20"/>
              </w:rPr>
            </w:pPr>
            <w:r w:rsidRPr="00874BFF">
              <w:rPr>
                <w:sz w:val="20"/>
              </w:rPr>
              <w:t>CZK 10-30 million</w:t>
            </w:r>
          </w:p>
        </w:tc>
        <w:tc>
          <w:tcPr>
            <w:tcW w:w="960" w:type="dxa"/>
            <w:tcBorders>
              <w:top w:val="nil"/>
              <w:left w:val="nil"/>
              <w:bottom w:val="single" w:sz="4" w:space="0" w:color="auto"/>
              <w:right w:val="single" w:sz="4" w:space="0" w:color="auto"/>
            </w:tcBorders>
            <w:noWrap/>
            <w:vAlign w:val="bottom"/>
          </w:tcPr>
          <w:p w14:paraId="70BD6F7E" w14:textId="77777777" w:rsidR="006D3AD5" w:rsidRPr="00874BFF" w:rsidRDefault="006D3AD5" w:rsidP="00443B8F">
            <w:pPr>
              <w:overflowPunct/>
              <w:autoSpaceDE/>
              <w:autoSpaceDN/>
              <w:adjustRightInd/>
              <w:jc w:val="right"/>
              <w:textAlignment w:val="auto"/>
              <w:rPr>
                <w:rFonts w:cs="Arial"/>
                <w:sz w:val="20"/>
              </w:rPr>
            </w:pPr>
            <w:r w:rsidRPr="00874BFF">
              <w:rPr>
                <w:sz w:val="20"/>
              </w:rPr>
              <w:t>159</w:t>
            </w:r>
          </w:p>
        </w:tc>
        <w:tc>
          <w:tcPr>
            <w:tcW w:w="960" w:type="dxa"/>
            <w:tcBorders>
              <w:top w:val="nil"/>
              <w:left w:val="nil"/>
              <w:bottom w:val="single" w:sz="4" w:space="0" w:color="auto"/>
              <w:right w:val="single" w:sz="4" w:space="0" w:color="auto"/>
            </w:tcBorders>
            <w:noWrap/>
            <w:vAlign w:val="bottom"/>
          </w:tcPr>
          <w:p w14:paraId="2E6B3281" w14:textId="77777777" w:rsidR="006D3AD5" w:rsidRPr="00874BFF" w:rsidRDefault="006D3AD5" w:rsidP="00443B8F">
            <w:pPr>
              <w:overflowPunct/>
              <w:autoSpaceDE/>
              <w:autoSpaceDN/>
              <w:adjustRightInd/>
              <w:jc w:val="right"/>
              <w:textAlignment w:val="auto"/>
              <w:rPr>
                <w:rFonts w:cs="Arial"/>
                <w:sz w:val="20"/>
              </w:rPr>
            </w:pPr>
            <w:r w:rsidRPr="00874BFF">
              <w:rPr>
                <w:sz w:val="20"/>
              </w:rPr>
              <w:t>26.4%</w:t>
            </w:r>
          </w:p>
        </w:tc>
      </w:tr>
      <w:tr w:rsidR="006D3AD5" w:rsidRPr="00874BFF" w14:paraId="40581560" w14:textId="77777777" w:rsidTr="00443B8F">
        <w:trPr>
          <w:trHeight w:val="255"/>
        </w:trPr>
        <w:tc>
          <w:tcPr>
            <w:tcW w:w="4255" w:type="dxa"/>
            <w:vMerge/>
            <w:tcBorders>
              <w:top w:val="nil"/>
              <w:left w:val="single" w:sz="4" w:space="0" w:color="auto"/>
              <w:bottom w:val="single" w:sz="4" w:space="0" w:color="auto"/>
              <w:right w:val="single" w:sz="4" w:space="0" w:color="auto"/>
            </w:tcBorders>
            <w:vAlign w:val="center"/>
          </w:tcPr>
          <w:p w14:paraId="1F95D084"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516D1192" w14:textId="77777777" w:rsidR="006D3AD5" w:rsidRPr="00874BFF" w:rsidRDefault="006D3AD5" w:rsidP="00443B8F">
            <w:pPr>
              <w:overflowPunct/>
              <w:autoSpaceDE/>
              <w:autoSpaceDN/>
              <w:adjustRightInd/>
              <w:jc w:val="left"/>
              <w:textAlignment w:val="auto"/>
              <w:rPr>
                <w:rFonts w:cs="Arial"/>
                <w:sz w:val="20"/>
              </w:rPr>
            </w:pPr>
            <w:r w:rsidRPr="00874BFF">
              <w:rPr>
                <w:sz w:val="20"/>
              </w:rPr>
              <w:t>more than CZK 30 million</w:t>
            </w:r>
          </w:p>
        </w:tc>
        <w:tc>
          <w:tcPr>
            <w:tcW w:w="960" w:type="dxa"/>
            <w:tcBorders>
              <w:top w:val="nil"/>
              <w:left w:val="nil"/>
              <w:bottom w:val="single" w:sz="4" w:space="0" w:color="auto"/>
              <w:right w:val="single" w:sz="4" w:space="0" w:color="auto"/>
            </w:tcBorders>
            <w:noWrap/>
            <w:vAlign w:val="bottom"/>
          </w:tcPr>
          <w:p w14:paraId="60480207" w14:textId="77777777" w:rsidR="006D3AD5" w:rsidRPr="00874BFF" w:rsidRDefault="006D3AD5" w:rsidP="00443B8F">
            <w:pPr>
              <w:overflowPunct/>
              <w:autoSpaceDE/>
              <w:autoSpaceDN/>
              <w:adjustRightInd/>
              <w:jc w:val="right"/>
              <w:textAlignment w:val="auto"/>
              <w:rPr>
                <w:rFonts w:cs="Arial"/>
                <w:sz w:val="20"/>
              </w:rPr>
            </w:pPr>
            <w:r w:rsidRPr="00874BFF">
              <w:rPr>
                <w:sz w:val="20"/>
              </w:rPr>
              <w:t>58</w:t>
            </w:r>
          </w:p>
        </w:tc>
        <w:tc>
          <w:tcPr>
            <w:tcW w:w="960" w:type="dxa"/>
            <w:tcBorders>
              <w:top w:val="nil"/>
              <w:left w:val="nil"/>
              <w:bottom w:val="single" w:sz="4" w:space="0" w:color="auto"/>
              <w:right w:val="single" w:sz="4" w:space="0" w:color="auto"/>
            </w:tcBorders>
            <w:noWrap/>
            <w:vAlign w:val="bottom"/>
          </w:tcPr>
          <w:p w14:paraId="4582A746" w14:textId="77777777" w:rsidR="006D3AD5" w:rsidRPr="00874BFF" w:rsidRDefault="006D3AD5" w:rsidP="00443B8F">
            <w:pPr>
              <w:overflowPunct/>
              <w:autoSpaceDE/>
              <w:autoSpaceDN/>
              <w:adjustRightInd/>
              <w:jc w:val="right"/>
              <w:textAlignment w:val="auto"/>
              <w:rPr>
                <w:rFonts w:cs="Arial"/>
                <w:sz w:val="20"/>
              </w:rPr>
            </w:pPr>
            <w:r w:rsidRPr="00874BFF">
              <w:rPr>
                <w:sz w:val="20"/>
              </w:rPr>
              <w:t>9.6%</w:t>
            </w:r>
          </w:p>
        </w:tc>
      </w:tr>
      <w:tr w:rsidR="006D3AD5" w:rsidRPr="00874BFF" w14:paraId="3E436007" w14:textId="77777777" w:rsidTr="00443B8F">
        <w:trPr>
          <w:trHeight w:val="255"/>
        </w:trPr>
        <w:tc>
          <w:tcPr>
            <w:tcW w:w="4255" w:type="dxa"/>
            <w:tcBorders>
              <w:top w:val="nil"/>
              <w:left w:val="nil"/>
              <w:bottom w:val="nil"/>
              <w:right w:val="nil"/>
            </w:tcBorders>
            <w:noWrap/>
            <w:vAlign w:val="bottom"/>
          </w:tcPr>
          <w:p w14:paraId="0E38E1C3"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298" w:type="dxa"/>
            <w:tcBorders>
              <w:top w:val="nil"/>
              <w:left w:val="nil"/>
              <w:bottom w:val="nil"/>
              <w:right w:val="nil"/>
            </w:tcBorders>
            <w:noWrap/>
            <w:vAlign w:val="bottom"/>
          </w:tcPr>
          <w:p w14:paraId="3739C02B" w14:textId="77777777" w:rsidR="006D3AD5" w:rsidRPr="00874BFF" w:rsidRDefault="006D3AD5" w:rsidP="00443B8F">
            <w:pPr>
              <w:overflowPunct/>
              <w:autoSpaceDE/>
              <w:autoSpaceDN/>
              <w:adjustRightInd/>
              <w:jc w:val="left"/>
              <w:textAlignment w:val="auto"/>
              <w:rPr>
                <w:rFonts w:cs="Arial"/>
                <w:sz w:val="20"/>
              </w:rPr>
            </w:pPr>
            <w:r w:rsidRPr="00874BFF">
              <w:rPr>
                <w:sz w:val="20"/>
              </w:rPr>
              <w:t>603</w:t>
            </w:r>
          </w:p>
        </w:tc>
        <w:tc>
          <w:tcPr>
            <w:tcW w:w="960" w:type="dxa"/>
            <w:tcBorders>
              <w:top w:val="nil"/>
              <w:left w:val="nil"/>
              <w:bottom w:val="nil"/>
              <w:right w:val="nil"/>
            </w:tcBorders>
            <w:noWrap/>
            <w:vAlign w:val="bottom"/>
          </w:tcPr>
          <w:p w14:paraId="3D8E12A7" w14:textId="77777777" w:rsidR="006D3AD5" w:rsidRPr="00874BFF" w:rsidRDefault="006D3AD5" w:rsidP="00443B8F">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14:paraId="0E6E7321" w14:textId="77777777" w:rsidR="006D3AD5" w:rsidRPr="00874BFF" w:rsidRDefault="006D3AD5" w:rsidP="00443B8F">
            <w:pPr>
              <w:overflowPunct/>
              <w:autoSpaceDE/>
              <w:autoSpaceDN/>
              <w:adjustRightInd/>
              <w:jc w:val="left"/>
              <w:textAlignment w:val="auto"/>
              <w:rPr>
                <w:rFonts w:cs="Arial"/>
                <w:sz w:val="20"/>
              </w:rPr>
            </w:pPr>
          </w:p>
        </w:tc>
      </w:tr>
    </w:tbl>
    <w:p w14:paraId="39C7B85F" w14:textId="77777777" w:rsidR="006D3AD5" w:rsidRPr="00874BFF" w:rsidRDefault="006D3AD5" w:rsidP="006D3AD5"/>
    <w:p w14:paraId="3DF8E775" w14:textId="77777777" w:rsidR="006D3AD5" w:rsidRPr="00874BFF" w:rsidRDefault="006D3AD5" w:rsidP="006D3AD5">
      <w:r w:rsidRPr="00874BFF">
        <w:t>The corporate respondents take a rather sceptical view of the future with regard to the volume of their planned investments – whereas investments in the last three years were spread almost evenly in the defined intervals of CZK 0–10/10–30/30+ million, in case of planned investments in the next three years the plan is to invest 64 % of them under CZK 10 million.</w:t>
      </w:r>
    </w:p>
    <w:p w14:paraId="10D45045" w14:textId="77777777" w:rsidR="006D3AD5" w:rsidRPr="00874BFF" w:rsidRDefault="006D3AD5" w:rsidP="006D3AD5"/>
    <w:p w14:paraId="3C181599" w14:textId="75915FA0" w:rsidR="006D3AD5" w:rsidRPr="00874BFF" w:rsidRDefault="006D3AD5" w:rsidP="006D3AD5">
      <w:pPr>
        <w:pStyle w:val="Titulek"/>
      </w:pPr>
      <w:r w:rsidRPr="00874BFF">
        <w:t xml:space="preserve">Table </w:t>
      </w:r>
      <w:r w:rsidR="007C6DD6">
        <w:t>21</w:t>
      </w:r>
      <w:r w:rsidRPr="00874BFF">
        <w:t>: Estimated payback period of planned investments</w:t>
      </w:r>
    </w:p>
    <w:tbl>
      <w:tblPr>
        <w:tblW w:w="5085" w:type="dxa"/>
        <w:tblInd w:w="55" w:type="dxa"/>
        <w:tblCellMar>
          <w:left w:w="70" w:type="dxa"/>
          <w:right w:w="70" w:type="dxa"/>
        </w:tblCellMar>
        <w:tblLook w:val="00A0" w:firstRow="1" w:lastRow="0" w:firstColumn="1" w:lastColumn="0" w:noHBand="0" w:noVBand="0"/>
      </w:tblPr>
      <w:tblGrid>
        <w:gridCol w:w="3165"/>
        <w:gridCol w:w="960"/>
        <w:gridCol w:w="960"/>
      </w:tblGrid>
      <w:tr w:rsidR="006D3AD5" w:rsidRPr="00874BFF" w14:paraId="4C1877D4" w14:textId="77777777" w:rsidTr="00443B8F">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14:paraId="030160B5"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Expected payback period of planned investments</w:t>
            </w:r>
          </w:p>
        </w:tc>
        <w:tc>
          <w:tcPr>
            <w:tcW w:w="960" w:type="dxa"/>
            <w:tcBorders>
              <w:top w:val="single" w:sz="4" w:space="0" w:color="auto"/>
              <w:left w:val="nil"/>
              <w:bottom w:val="single" w:sz="4" w:space="0" w:color="auto"/>
              <w:right w:val="single" w:sz="4" w:space="0" w:color="auto"/>
            </w:tcBorders>
            <w:noWrap/>
            <w:vAlign w:val="bottom"/>
          </w:tcPr>
          <w:p w14:paraId="66E7B63A"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6246AAEF"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49DAC578"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61B9D429"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1–3 years</w:t>
            </w:r>
          </w:p>
        </w:tc>
        <w:tc>
          <w:tcPr>
            <w:tcW w:w="960" w:type="dxa"/>
            <w:tcBorders>
              <w:top w:val="nil"/>
              <w:left w:val="nil"/>
              <w:bottom w:val="single" w:sz="4" w:space="0" w:color="auto"/>
              <w:right w:val="single" w:sz="4" w:space="0" w:color="auto"/>
            </w:tcBorders>
            <w:noWrap/>
            <w:vAlign w:val="bottom"/>
          </w:tcPr>
          <w:p w14:paraId="310D020F" w14:textId="77777777" w:rsidR="006D3AD5" w:rsidRPr="00874BFF" w:rsidRDefault="006D3AD5" w:rsidP="00443B8F">
            <w:pPr>
              <w:overflowPunct/>
              <w:autoSpaceDE/>
              <w:autoSpaceDN/>
              <w:adjustRightInd/>
              <w:jc w:val="right"/>
              <w:textAlignment w:val="auto"/>
              <w:rPr>
                <w:rFonts w:cs="Arial"/>
                <w:sz w:val="20"/>
              </w:rPr>
            </w:pPr>
            <w:r w:rsidRPr="00874BFF">
              <w:rPr>
                <w:sz w:val="20"/>
              </w:rPr>
              <w:t>91</w:t>
            </w:r>
          </w:p>
        </w:tc>
        <w:tc>
          <w:tcPr>
            <w:tcW w:w="960" w:type="dxa"/>
            <w:tcBorders>
              <w:top w:val="nil"/>
              <w:left w:val="nil"/>
              <w:bottom w:val="single" w:sz="4" w:space="0" w:color="auto"/>
              <w:right w:val="single" w:sz="4" w:space="0" w:color="auto"/>
            </w:tcBorders>
            <w:noWrap/>
            <w:vAlign w:val="bottom"/>
          </w:tcPr>
          <w:p w14:paraId="5B14D922" w14:textId="77777777" w:rsidR="006D3AD5" w:rsidRPr="00874BFF" w:rsidRDefault="006D3AD5" w:rsidP="00443B8F">
            <w:pPr>
              <w:overflowPunct/>
              <w:autoSpaceDE/>
              <w:autoSpaceDN/>
              <w:adjustRightInd/>
              <w:jc w:val="right"/>
              <w:textAlignment w:val="auto"/>
              <w:rPr>
                <w:rFonts w:cs="Arial"/>
                <w:sz w:val="20"/>
              </w:rPr>
            </w:pPr>
            <w:r w:rsidRPr="00874BFF">
              <w:rPr>
                <w:sz w:val="20"/>
              </w:rPr>
              <w:t>15.6%</w:t>
            </w:r>
          </w:p>
        </w:tc>
      </w:tr>
      <w:tr w:rsidR="006D3AD5" w:rsidRPr="00874BFF" w14:paraId="70424B37"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68D65772"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3-5 years</w:t>
            </w:r>
          </w:p>
        </w:tc>
        <w:tc>
          <w:tcPr>
            <w:tcW w:w="960" w:type="dxa"/>
            <w:tcBorders>
              <w:top w:val="nil"/>
              <w:left w:val="nil"/>
              <w:bottom w:val="single" w:sz="4" w:space="0" w:color="auto"/>
              <w:right w:val="single" w:sz="4" w:space="0" w:color="auto"/>
            </w:tcBorders>
            <w:noWrap/>
            <w:vAlign w:val="bottom"/>
          </w:tcPr>
          <w:p w14:paraId="01E59BDE" w14:textId="77777777" w:rsidR="006D3AD5" w:rsidRPr="00874BFF" w:rsidRDefault="006D3AD5" w:rsidP="00443B8F">
            <w:pPr>
              <w:overflowPunct/>
              <w:autoSpaceDE/>
              <w:autoSpaceDN/>
              <w:adjustRightInd/>
              <w:jc w:val="right"/>
              <w:textAlignment w:val="auto"/>
              <w:rPr>
                <w:rFonts w:cs="Arial"/>
                <w:sz w:val="20"/>
              </w:rPr>
            </w:pPr>
            <w:r w:rsidRPr="00874BFF">
              <w:rPr>
                <w:sz w:val="20"/>
              </w:rPr>
              <w:t>333</w:t>
            </w:r>
          </w:p>
        </w:tc>
        <w:tc>
          <w:tcPr>
            <w:tcW w:w="960" w:type="dxa"/>
            <w:tcBorders>
              <w:top w:val="nil"/>
              <w:left w:val="nil"/>
              <w:bottom w:val="single" w:sz="4" w:space="0" w:color="auto"/>
              <w:right w:val="single" w:sz="4" w:space="0" w:color="auto"/>
            </w:tcBorders>
            <w:noWrap/>
            <w:vAlign w:val="bottom"/>
          </w:tcPr>
          <w:p w14:paraId="609932E4" w14:textId="77777777" w:rsidR="006D3AD5" w:rsidRPr="00874BFF" w:rsidRDefault="006D3AD5" w:rsidP="00443B8F">
            <w:pPr>
              <w:overflowPunct/>
              <w:autoSpaceDE/>
              <w:autoSpaceDN/>
              <w:adjustRightInd/>
              <w:jc w:val="right"/>
              <w:textAlignment w:val="auto"/>
              <w:rPr>
                <w:rFonts w:cs="Arial"/>
                <w:sz w:val="20"/>
              </w:rPr>
            </w:pPr>
            <w:r w:rsidRPr="00874BFF">
              <w:rPr>
                <w:sz w:val="20"/>
              </w:rPr>
              <w:t>57.0%</w:t>
            </w:r>
          </w:p>
        </w:tc>
      </w:tr>
      <w:tr w:rsidR="006D3AD5" w:rsidRPr="00874BFF" w14:paraId="4874BEEC"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3A4C6D86"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5-10 years</w:t>
            </w:r>
          </w:p>
        </w:tc>
        <w:tc>
          <w:tcPr>
            <w:tcW w:w="960" w:type="dxa"/>
            <w:tcBorders>
              <w:top w:val="nil"/>
              <w:left w:val="nil"/>
              <w:bottom w:val="single" w:sz="4" w:space="0" w:color="auto"/>
              <w:right w:val="single" w:sz="4" w:space="0" w:color="auto"/>
            </w:tcBorders>
            <w:noWrap/>
            <w:vAlign w:val="bottom"/>
          </w:tcPr>
          <w:p w14:paraId="211280ED" w14:textId="77777777" w:rsidR="006D3AD5" w:rsidRPr="00874BFF" w:rsidRDefault="006D3AD5" w:rsidP="00443B8F">
            <w:pPr>
              <w:overflowPunct/>
              <w:autoSpaceDE/>
              <w:autoSpaceDN/>
              <w:adjustRightInd/>
              <w:jc w:val="right"/>
              <w:textAlignment w:val="auto"/>
              <w:rPr>
                <w:rFonts w:cs="Arial"/>
                <w:sz w:val="20"/>
              </w:rPr>
            </w:pPr>
            <w:r w:rsidRPr="00874BFF">
              <w:rPr>
                <w:sz w:val="20"/>
              </w:rPr>
              <w:t>152</w:t>
            </w:r>
          </w:p>
        </w:tc>
        <w:tc>
          <w:tcPr>
            <w:tcW w:w="960" w:type="dxa"/>
            <w:tcBorders>
              <w:top w:val="nil"/>
              <w:left w:val="nil"/>
              <w:bottom w:val="single" w:sz="4" w:space="0" w:color="auto"/>
              <w:right w:val="single" w:sz="4" w:space="0" w:color="auto"/>
            </w:tcBorders>
            <w:noWrap/>
            <w:vAlign w:val="bottom"/>
          </w:tcPr>
          <w:p w14:paraId="5DE8D65E" w14:textId="77777777" w:rsidR="006D3AD5" w:rsidRPr="00874BFF" w:rsidRDefault="006D3AD5" w:rsidP="00443B8F">
            <w:pPr>
              <w:overflowPunct/>
              <w:autoSpaceDE/>
              <w:autoSpaceDN/>
              <w:adjustRightInd/>
              <w:jc w:val="right"/>
              <w:textAlignment w:val="auto"/>
              <w:rPr>
                <w:rFonts w:cs="Arial"/>
                <w:sz w:val="20"/>
              </w:rPr>
            </w:pPr>
            <w:r w:rsidRPr="00874BFF">
              <w:rPr>
                <w:sz w:val="20"/>
              </w:rPr>
              <w:t>26.0%</w:t>
            </w:r>
          </w:p>
        </w:tc>
      </w:tr>
      <w:tr w:rsidR="006D3AD5" w:rsidRPr="00874BFF" w14:paraId="09B546CC"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41CD375B"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in 10 or more years</w:t>
            </w:r>
          </w:p>
        </w:tc>
        <w:tc>
          <w:tcPr>
            <w:tcW w:w="960" w:type="dxa"/>
            <w:tcBorders>
              <w:top w:val="nil"/>
              <w:left w:val="nil"/>
              <w:bottom w:val="single" w:sz="4" w:space="0" w:color="auto"/>
              <w:right w:val="single" w:sz="4" w:space="0" w:color="auto"/>
            </w:tcBorders>
            <w:noWrap/>
            <w:vAlign w:val="bottom"/>
          </w:tcPr>
          <w:p w14:paraId="78D16CCE"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c>
          <w:tcPr>
            <w:tcW w:w="960" w:type="dxa"/>
            <w:tcBorders>
              <w:top w:val="nil"/>
              <w:left w:val="nil"/>
              <w:bottom w:val="single" w:sz="4" w:space="0" w:color="auto"/>
              <w:right w:val="single" w:sz="4" w:space="0" w:color="auto"/>
            </w:tcBorders>
            <w:noWrap/>
            <w:vAlign w:val="bottom"/>
          </w:tcPr>
          <w:p w14:paraId="1548175F"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r>
      <w:tr w:rsidR="006D3AD5" w:rsidRPr="00874BFF" w14:paraId="21733596" w14:textId="77777777" w:rsidTr="00443B8F">
        <w:trPr>
          <w:trHeight w:val="255"/>
        </w:trPr>
        <w:tc>
          <w:tcPr>
            <w:tcW w:w="3165" w:type="dxa"/>
            <w:tcBorders>
              <w:top w:val="nil"/>
              <w:left w:val="nil"/>
              <w:bottom w:val="nil"/>
              <w:right w:val="nil"/>
            </w:tcBorders>
            <w:noWrap/>
            <w:vAlign w:val="bottom"/>
          </w:tcPr>
          <w:p w14:paraId="0A69A4D4"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0" w:type="dxa"/>
            <w:tcBorders>
              <w:top w:val="nil"/>
              <w:left w:val="nil"/>
              <w:bottom w:val="nil"/>
              <w:right w:val="nil"/>
            </w:tcBorders>
            <w:noWrap/>
            <w:vAlign w:val="bottom"/>
          </w:tcPr>
          <w:p w14:paraId="11E50CA5" w14:textId="77777777" w:rsidR="006D3AD5" w:rsidRPr="00874BFF" w:rsidRDefault="006D3AD5" w:rsidP="00443B8F">
            <w:pPr>
              <w:overflowPunct/>
              <w:autoSpaceDE/>
              <w:autoSpaceDN/>
              <w:adjustRightInd/>
              <w:jc w:val="left"/>
              <w:textAlignment w:val="auto"/>
              <w:rPr>
                <w:rFonts w:cs="Arial"/>
                <w:sz w:val="20"/>
              </w:rPr>
            </w:pPr>
            <w:r w:rsidRPr="00874BFF">
              <w:rPr>
                <w:sz w:val="20"/>
              </w:rPr>
              <w:t>584</w:t>
            </w:r>
          </w:p>
        </w:tc>
        <w:tc>
          <w:tcPr>
            <w:tcW w:w="960" w:type="dxa"/>
            <w:tcBorders>
              <w:top w:val="nil"/>
              <w:left w:val="nil"/>
              <w:bottom w:val="nil"/>
              <w:right w:val="nil"/>
            </w:tcBorders>
            <w:noWrap/>
            <w:vAlign w:val="bottom"/>
          </w:tcPr>
          <w:p w14:paraId="1B22CF30" w14:textId="77777777" w:rsidR="006D3AD5" w:rsidRPr="00874BFF" w:rsidRDefault="006D3AD5" w:rsidP="00443B8F">
            <w:pPr>
              <w:overflowPunct/>
              <w:autoSpaceDE/>
              <w:autoSpaceDN/>
              <w:adjustRightInd/>
              <w:jc w:val="left"/>
              <w:textAlignment w:val="auto"/>
              <w:rPr>
                <w:rFonts w:cs="Arial"/>
                <w:sz w:val="20"/>
              </w:rPr>
            </w:pPr>
          </w:p>
        </w:tc>
      </w:tr>
    </w:tbl>
    <w:p w14:paraId="5BDB8A77" w14:textId="77777777" w:rsidR="006D3AD5" w:rsidRPr="00874BFF" w:rsidRDefault="006D3AD5" w:rsidP="006D3AD5"/>
    <w:p w14:paraId="105BE24E" w14:textId="77777777" w:rsidR="006D3AD5" w:rsidRPr="00874BFF" w:rsidRDefault="006D3AD5" w:rsidP="006D3AD5">
      <w:r w:rsidRPr="00874BFF">
        <w:t>It can be partly related to the payback period, when 27.4 % of small and medium sized enterprises mentioned their expectation of payback period of the planned investments to be longer than 5 years.</w:t>
      </w:r>
    </w:p>
    <w:p w14:paraId="30059378" w14:textId="77777777" w:rsidR="006D3AD5" w:rsidRPr="00874BFF" w:rsidRDefault="006D3AD5" w:rsidP="006D3AD5"/>
    <w:p w14:paraId="60F720DC" w14:textId="650E8438" w:rsidR="006D3AD5" w:rsidRPr="00874BFF" w:rsidRDefault="006D3AD5" w:rsidP="006D3AD5">
      <w:pPr>
        <w:pStyle w:val="Titulek"/>
        <w:keepNext/>
      </w:pPr>
      <w:r w:rsidRPr="00874BFF">
        <w:t xml:space="preserve">Figure </w:t>
      </w:r>
      <w:r w:rsidR="00AE6275">
        <w:t>15</w:t>
      </w:r>
      <w:r w:rsidRPr="00874BFF">
        <w:t xml:space="preserve">: Expected payback period of SMEs' planned investments </w:t>
      </w:r>
    </w:p>
    <w:p w14:paraId="03B46F98" w14:textId="77777777" w:rsidR="006D3AD5" w:rsidRPr="00874BFF" w:rsidRDefault="006D3AD5" w:rsidP="006D3AD5">
      <w:r w:rsidRPr="00874BFF">
        <w:rPr>
          <w:noProof/>
        </w:rPr>
        <w:drawing>
          <wp:inline distT="0" distB="0" distL="0" distR="0" wp14:anchorId="6217E0C6" wp14:editId="2628DD30">
            <wp:extent cx="5191125" cy="2657475"/>
            <wp:effectExtent l="0" t="0" r="9525" b="9525"/>
            <wp:docPr id="15" name="obráze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29BB43" w14:textId="77777777" w:rsidR="006D3AD5" w:rsidRPr="00874BFF" w:rsidRDefault="006D3AD5" w:rsidP="006D3AD5"/>
    <w:p w14:paraId="2801D727" w14:textId="77777777" w:rsidR="006D3AD5" w:rsidRPr="00874BFF" w:rsidRDefault="006D3AD5" w:rsidP="006D3AD5">
      <w:r w:rsidRPr="00874BFF">
        <w:t>The following table provides details about available financing for these companies in the last three years.</w:t>
      </w:r>
    </w:p>
    <w:p w14:paraId="69A7B687" w14:textId="77777777" w:rsidR="006D3AD5" w:rsidRPr="00874BFF" w:rsidRDefault="006D3AD5" w:rsidP="006D3AD5"/>
    <w:p w14:paraId="62123E32" w14:textId="78F3455C" w:rsidR="006D3AD5" w:rsidRPr="00874BFF" w:rsidRDefault="006D3AD5" w:rsidP="006D3AD5">
      <w:pPr>
        <w:pStyle w:val="Titulek"/>
      </w:pPr>
      <w:r w:rsidRPr="00874BFF">
        <w:t>Table 2</w:t>
      </w:r>
      <w:r w:rsidR="007C6DD6">
        <w:t>2</w:t>
      </w:r>
      <w:r w:rsidRPr="00874BFF">
        <w:t xml:space="preserve">: Availability of investment financing </w:t>
      </w:r>
    </w:p>
    <w:tbl>
      <w:tblPr>
        <w:tblW w:w="8662" w:type="dxa"/>
        <w:tblInd w:w="55" w:type="dxa"/>
        <w:tblCellMar>
          <w:left w:w="70" w:type="dxa"/>
          <w:right w:w="70" w:type="dxa"/>
        </w:tblCellMar>
        <w:tblLook w:val="00A0" w:firstRow="1" w:lastRow="0" w:firstColumn="1" w:lastColumn="0" w:noHBand="0" w:noVBand="0"/>
      </w:tblPr>
      <w:tblGrid>
        <w:gridCol w:w="3543"/>
        <w:gridCol w:w="975"/>
        <w:gridCol w:w="1649"/>
        <w:gridCol w:w="1134"/>
        <w:gridCol w:w="1417"/>
      </w:tblGrid>
      <w:tr w:rsidR="006D3AD5" w:rsidRPr="00874BFF" w14:paraId="31D5CFCF" w14:textId="77777777" w:rsidTr="00443B8F">
        <w:trPr>
          <w:trHeight w:val="255"/>
        </w:trPr>
        <w:tc>
          <w:tcPr>
            <w:tcW w:w="8662" w:type="dxa"/>
            <w:gridSpan w:val="5"/>
            <w:tcBorders>
              <w:top w:val="single" w:sz="4" w:space="0" w:color="auto"/>
              <w:left w:val="single" w:sz="4" w:space="0" w:color="auto"/>
              <w:bottom w:val="single" w:sz="4" w:space="0" w:color="auto"/>
              <w:right w:val="single" w:sz="4" w:space="0" w:color="auto"/>
            </w:tcBorders>
            <w:noWrap/>
            <w:vAlign w:val="bottom"/>
          </w:tcPr>
          <w:p w14:paraId="70E8E63E"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lastRenderedPageBreak/>
              <w:t>Availability of investment financing in the last three years</w:t>
            </w:r>
          </w:p>
        </w:tc>
      </w:tr>
      <w:tr w:rsidR="006D3AD5" w:rsidRPr="00874BFF" w14:paraId="6A61A06F"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729218A1"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19" w:type="dxa"/>
            <w:tcBorders>
              <w:top w:val="nil"/>
              <w:left w:val="nil"/>
              <w:bottom w:val="single" w:sz="4" w:space="0" w:color="auto"/>
              <w:right w:val="single" w:sz="4" w:space="0" w:color="auto"/>
            </w:tcBorders>
            <w:noWrap/>
            <w:vAlign w:val="bottom"/>
          </w:tcPr>
          <w:p w14:paraId="69C7CFEC" w14:textId="77777777" w:rsidR="006D3AD5" w:rsidRPr="00874BFF" w:rsidRDefault="006D3AD5" w:rsidP="00443B8F">
            <w:pPr>
              <w:overflowPunct/>
              <w:autoSpaceDE/>
              <w:autoSpaceDN/>
              <w:adjustRightInd/>
              <w:jc w:val="left"/>
              <w:textAlignment w:val="auto"/>
              <w:rPr>
                <w:rFonts w:cs="Arial"/>
                <w:sz w:val="20"/>
              </w:rPr>
            </w:pPr>
            <w:r w:rsidRPr="00874BFF">
              <w:rPr>
                <w:sz w:val="20"/>
              </w:rPr>
              <w:t>Successful</w:t>
            </w:r>
          </w:p>
        </w:tc>
        <w:tc>
          <w:tcPr>
            <w:tcW w:w="1649" w:type="dxa"/>
            <w:tcBorders>
              <w:top w:val="nil"/>
              <w:left w:val="nil"/>
              <w:bottom w:val="single" w:sz="4" w:space="0" w:color="auto"/>
              <w:right w:val="single" w:sz="4" w:space="0" w:color="auto"/>
            </w:tcBorders>
            <w:noWrap/>
            <w:vAlign w:val="bottom"/>
          </w:tcPr>
          <w:p w14:paraId="31807F41" w14:textId="77777777" w:rsidR="006D3AD5" w:rsidRPr="00874BFF" w:rsidRDefault="006D3AD5" w:rsidP="00443B8F">
            <w:pPr>
              <w:overflowPunct/>
              <w:autoSpaceDE/>
              <w:autoSpaceDN/>
              <w:adjustRightInd/>
              <w:jc w:val="left"/>
              <w:textAlignment w:val="auto"/>
              <w:rPr>
                <w:rFonts w:cs="Arial"/>
                <w:sz w:val="20"/>
              </w:rPr>
            </w:pPr>
            <w:r w:rsidRPr="00874BFF">
              <w:rPr>
                <w:sz w:val="20"/>
              </w:rPr>
              <w:t>Unsuccessful or partially successful</w:t>
            </w:r>
          </w:p>
        </w:tc>
        <w:tc>
          <w:tcPr>
            <w:tcW w:w="1134" w:type="dxa"/>
            <w:tcBorders>
              <w:top w:val="nil"/>
              <w:left w:val="nil"/>
              <w:bottom w:val="single" w:sz="4" w:space="0" w:color="auto"/>
              <w:right w:val="single" w:sz="4" w:space="0" w:color="auto"/>
            </w:tcBorders>
            <w:noWrap/>
            <w:vAlign w:val="bottom"/>
          </w:tcPr>
          <w:p w14:paraId="299EB762" w14:textId="77777777" w:rsidR="006D3AD5" w:rsidRPr="00874BFF" w:rsidRDefault="006D3AD5" w:rsidP="00443B8F">
            <w:pPr>
              <w:overflowPunct/>
              <w:autoSpaceDE/>
              <w:autoSpaceDN/>
              <w:adjustRightInd/>
              <w:jc w:val="left"/>
              <w:textAlignment w:val="auto"/>
              <w:rPr>
                <w:rFonts w:cs="Arial"/>
                <w:sz w:val="20"/>
              </w:rPr>
            </w:pPr>
            <w:r w:rsidRPr="00874BFF">
              <w:rPr>
                <w:sz w:val="20"/>
              </w:rPr>
              <w:t>Total</w:t>
            </w:r>
          </w:p>
        </w:tc>
        <w:tc>
          <w:tcPr>
            <w:tcW w:w="1417" w:type="dxa"/>
            <w:tcBorders>
              <w:top w:val="nil"/>
              <w:left w:val="nil"/>
              <w:bottom w:val="single" w:sz="4" w:space="0" w:color="auto"/>
              <w:right w:val="single" w:sz="4" w:space="0" w:color="auto"/>
            </w:tcBorders>
            <w:noWrap/>
            <w:vAlign w:val="bottom"/>
          </w:tcPr>
          <w:p w14:paraId="48EDEB1D" w14:textId="77777777" w:rsidR="006D3AD5" w:rsidRPr="00874BFF" w:rsidRDefault="006D3AD5" w:rsidP="00443B8F">
            <w:pPr>
              <w:overflowPunct/>
              <w:autoSpaceDE/>
              <w:autoSpaceDN/>
              <w:adjustRightInd/>
              <w:jc w:val="left"/>
              <w:textAlignment w:val="auto"/>
              <w:rPr>
                <w:rFonts w:cs="Arial"/>
                <w:sz w:val="20"/>
              </w:rPr>
            </w:pPr>
            <w:r w:rsidRPr="00874BFF">
              <w:rPr>
                <w:sz w:val="20"/>
              </w:rPr>
              <w:t>Percentage of the unsuccessful ones</w:t>
            </w:r>
          </w:p>
        </w:tc>
      </w:tr>
      <w:tr w:rsidR="006D3AD5" w:rsidRPr="00874BFF" w14:paraId="7FA319AA"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3E54A78E" w14:textId="77777777" w:rsidR="006D3AD5" w:rsidRPr="00874BFF" w:rsidRDefault="006D3AD5" w:rsidP="00443B8F">
            <w:pPr>
              <w:overflowPunct/>
              <w:autoSpaceDE/>
              <w:autoSpaceDN/>
              <w:adjustRightInd/>
              <w:jc w:val="left"/>
              <w:textAlignment w:val="auto"/>
              <w:rPr>
                <w:rFonts w:cs="Arial"/>
                <w:sz w:val="20"/>
              </w:rPr>
            </w:pPr>
            <w:r w:rsidRPr="00874BFF">
              <w:rPr>
                <w:sz w:val="20"/>
              </w:rPr>
              <w:t>Short-term loans</w:t>
            </w:r>
          </w:p>
        </w:tc>
        <w:tc>
          <w:tcPr>
            <w:tcW w:w="919" w:type="dxa"/>
            <w:tcBorders>
              <w:top w:val="nil"/>
              <w:left w:val="nil"/>
              <w:bottom w:val="single" w:sz="4" w:space="0" w:color="auto"/>
              <w:right w:val="single" w:sz="4" w:space="0" w:color="auto"/>
            </w:tcBorders>
            <w:noWrap/>
            <w:vAlign w:val="bottom"/>
          </w:tcPr>
          <w:p w14:paraId="50ACB545" w14:textId="77777777" w:rsidR="006D3AD5" w:rsidRPr="00874BFF" w:rsidRDefault="006D3AD5" w:rsidP="00443B8F">
            <w:pPr>
              <w:overflowPunct/>
              <w:autoSpaceDE/>
              <w:autoSpaceDN/>
              <w:adjustRightInd/>
              <w:jc w:val="right"/>
              <w:textAlignment w:val="auto"/>
              <w:rPr>
                <w:rFonts w:cs="Arial"/>
                <w:sz w:val="20"/>
              </w:rPr>
            </w:pPr>
            <w:r w:rsidRPr="00874BFF">
              <w:rPr>
                <w:sz w:val="20"/>
              </w:rPr>
              <w:t>350</w:t>
            </w:r>
          </w:p>
        </w:tc>
        <w:tc>
          <w:tcPr>
            <w:tcW w:w="1649" w:type="dxa"/>
            <w:tcBorders>
              <w:top w:val="nil"/>
              <w:left w:val="nil"/>
              <w:bottom w:val="single" w:sz="4" w:space="0" w:color="auto"/>
              <w:right w:val="single" w:sz="4" w:space="0" w:color="auto"/>
            </w:tcBorders>
            <w:noWrap/>
            <w:vAlign w:val="bottom"/>
          </w:tcPr>
          <w:p w14:paraId="0CB30B3C" w14:textId="77777777" w:rsidR="006D3AD5" w:rsidRPr="00874BFF" w:rsidRDefault="006D3AD5" w:rsidP="00443B8F">
            <w:pPr>
              <w:overflowPunct/>
              <w:autoSpaceDE/>
              <w:autoSpaceDN/>
              <w:adjustRightInd/>
              <w:jc w:val="right"/>
              <w:textAlignment w:val="auto"/>
              <w:rPr>
                <w:rFonts w:cs="Arial"/>
                <w:sz w:val="20"/>
              </w:rPr>
            </w:pPr>
            <w:r w:rsidRPr="00874BFF">
              <w:rPr>
                <w:sz w:val="20"/>
              </w:rPr>
              <w:t>11</w:t>
            </w:r>
          </w:p>
        </w:tc>
        <w:tc>
          <w:tcPr>
            <w:tcW w:w="1134" w:type="dxa"/>
            <w:tcBorders>
              <w:top w:val="nil"/>
              <w:left w:val="nil"/>
              <w:bottom w:val="single" w:sz="4" w:space="0" w:color="auto"/>
              <w:right w:val="single" w:sz="4" w:space="0" w:color="auto"/>
            </w:tcBorders>
            <w:noWrap/>
            <w:vAlign w:val="bottom"/>
          </w:tcPr>
          <w:p w14:paraId="4BC2B73E" w14:textId="77777777" w:rsidR="006D3AD5" w:rsidRPr="00874BFF" w:rsidRDefault="006D3AD5" w:rsidP="00443B8F">
            <w:pPr>
              <w:overflowPunct/>
              <w:autoSpaceDE/>
              <w:autoSpaceDN/>
              <w:adjustRightInd/>
              <w:jc w:val="right"/>
              <w:textAlignment w:val="auto"/>
              <w:rPr>
                <w:rFonts w:cs="Arial"/>
                <w:sz w:val="20"/>
              </w:rPr>
            </w:pPr>
            <w:r w:rsidRPr="00874BFF">
              <w:rPr>
                <w:sz w:val="20"/>
              </w:rPr>
              <w:t>361</w:t>
            </w:r>
          </w:p>
        </w:tc>
        <w:tc>
          <w:tcPr>
            <w:tcW w:w="1417" w:type="dxa"/>
            <w:tcBorders>
              <w:top w:val="nil"/>
              <w:left w:val="nil"/>
              <w:bottom w:val="single" w:sz="4" w:space="0" w:color="auto"/>
              <w:right w:val="single" w:sz="4" w:space="0" w:color="auto"/>
            </w:tcBorders>
            <w:noWrap/>
            <w:vAlign w:val="bottom"/>
          </w:tcPr>
          <w:p w14:paraId="07FC9314" w14:textId="77777777" w:rsidR="006D3AD5" w:rsidRPr="00874BFF" w:rsidRDefault="006D3AD5" w:rsidP="00443B8F">
            <w:pPr>
              <w:overflowPunct/>
              <w:autoSpaceDE/>
              <w:autoSpaceDN/>
              <w:adjustRightInd/>
              <w:jc w:val="right"/>
              <w:textAlignment w:val="auto"/>
              <w:rPr>
                <w:rFonts w:cs="Arial"/>
                <w:sz w:val="20"/>
              </w:rPr>
            </w:pPr>
            <w:r w:rsidRPr="00874BFF">
              <w:rPr>
                <w:sz w:val="20"/>
              </w:rPr>
              <w:t>3.0%</w:t>
            </w:r>
          </w:p>
        </w:tc>
      </w:tr>
      <w:tr w:rsidR="006D3AD5" w:rsidRPr="00874BFF" w14:paraId="7AED0303"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2F1C7FD3" w14:textId="77777777" w:rsidR="006D3AD5" w:rsidRPr="00874BFF" w:rsidRDefault="006D3AD5" w:rsidP="00443B8F">
            <w:pPr>
              <w:overflowPunct/>
              <w:autoSpaceDE/>
              <w:autoSpaceDN/>
              <w:adjustRightInd/>
              <w:jc w:val="left"/>
              <w:textAlignment w:val="auto"/>
              <w:rPr>
                <w:rFonts w:cs="Arial"/>
                <w:sz w:val="20"/>
              </w:rPr>
            </w:pPr>
            <w:r w:rsidRPr="00874BFF">
              <w:rPr>
                <w:sz w:val="20"/>
              </w:rPr>
              <w:t>Long-term and medium-term loans</w:t>
            </w:r>
          </w:p>
        </w:tc>
        <w:tc>
          <w:tcPr>
            <w:tcW w:w="919" w:type="dxa"/>
            <w:tcBorders>
              <w:top w:val="nil"/>
              <w:left w:val="nil"/>
              <w:bottom w:val="single" w:sz="4" w:space="0" w:color="auto"/>
              <w:right w:val="single" w:sz="4" w:space="0" w:color="auto"/>
            </w:tcBorders>
            <w:noWrap/>
            <w:vAlign w:val="bottom"/>
          </w:tcPr>
          <w:p w14:paraId="73609F3C" w14:textId="77777777" w:rsidR="006D3AD5" w:rsidRPr="00874BFF" w:rsidRDefault="006D3AD5" w:rsidP="00443B8F">
            <w:pPr>
              <w:overflowPunct/>
              <w:autoSpaceDE/>
              <w:autoSpaceDN/>
              <w:adjustRightInd/>
              <w:jc w:val="right"/>
              <w:textAlignment w:val="auto"/>
              <w:rPr>
                <w:rFonts w:cs="Arial"/>
                <w:sz w:val="20"/>
              </w:rPr>
            </w:pPr>
            <w:r w:rsidRPr="00874BFF">
              <w:rPr>
                <w:sz w:val="20"/>
              </w:rPr>
              <w:t>343</w:t>
            </w:r>
          </w:p>
        </w:tc>
        <w:tc>
          <w:tcPr>
            <w:tcW w:w="1649" w:type="dxa"/>
            <w:tcBorders>
              <w:top w:val="nil"/>
              <w:left w:val="nil"/>
              <w:bottom w:val="single" w:sz="4" w:space="0" w:color="auto"/>
              <w:right w:val="single" w:sz="4" w:space="0" w:color="auto"/>
            </w:tcBorders>
            <w:noWrap/>
            <w:vAlign w:val="bottom"/>
          </w:tcPr>
          <w:p w14:paraId="5CC9BBFA" w14:textId="77777777" w:rsidR="006D3AD5" w:rsidRPr="00874BFF" w:rsidRDefault="006D3AD5" w:rsidP="00443B8F">
            <w:pPr>
              <w:overflowPunct/>
              <w:autoSpaceDE/>
              <w:autoSpaceDN/>
              <w:adjustRightInd/>
              <w:jc w:val="right"/>
              <w:textAlignment w:val="auto"/>
              <w:rPr>
                <w:rFonts w:cs="Arial"/>
                <w:sz w:val="20"/>
              </w:rPr>
            </w:pPr>
            <w:r w:rsidRPr="00874BFF">
              <w:rPr>
                <w:sz w:val="20"/>
              </w:rPr>
              <w:t>24</w:t>
            </w:r>
          </w:p>
        </w:tc>
        <w:tc>
          <w:tcPr>
            <w:tcW w:w="1134" w:type="dxa"/>
            <w:tcBorders>
              <w:top w:val="nil"/>
              <w:left w:val="nil"/>
              <w:bottom w:val="single" w:sz="4" w:space="0" w:color="auto"/>
              <w:right w:val="single" w:sz="4" w:space="0" w:color="auto"/>
            </w:tcBorders>
            <w:noWrap/>
            <w:vAlign w:val="bottom"/>
          </w:tcPr>
          <w:p w14:paraId="423D5756" w14:textId="77777777" w:rsidR="006D3AD5" w:rsidRPr="00874BFF" w:rsidRDefault="006D3AD5" w:rsidP="00443B8F">
            <w:pPr>
              <w:overflowPunct/>
              <w:autoSpaceDE/>
              <w:autoSpaceDN/>
              <w:adjustRightInd/>
              <w:jc w:val="right"/>
              <w:textAlignment w:val="auto"/>
              <w:rPr>
                <w:rFonts w:cs="Arial"/>
                <w:sz w:val="20"/>
              </w:rPr>
            </w:pPr>
            <w:r w:rsidRPr="00874BFF">
              <w:rPr>
                <w:sz w:val="20"/>
              </w:rPr>
              <w:t>367</w:t>
            </w:r>
          </w:p>
        </w:tc>
        <w:tc>
          <w:tcPr>
            <w:tcW w:w="1417" w:type="dxa"/>
            <w:tcBorders>
              <w:top w:val="nil"/>
              <w:left w:val="nil"/>
              <w:bottom w:val="single" w:sz="4" w:space="0" w:color="auto"/>
              <w:right w:val="single" w:sz="4" w:space="0" w:color="auto"/>
            </w:tcBorders>
            <w:noWrap/>
            <w:vAlign w:val="bottom"/>
          </w:tcPr>
          <w:p w14:paraId="464C5F33" w14:textId="77777777" w:rsidR="006D3AD5" w:rsidRPr="00874BFF" w:rsidRDefault="006D3AD5" w:rsidP="00443B8F">
            <w:pPr>
              <w:overflowPunct/>
              <w:autoSpaceDE/>
              <w:autoSpaceDN/>
              <w:adjustRightInd/>
              <w:jc w:val="right"/>
              <w:textAlignment w:val="auto"/>
              <w:rPr>
                <w:rFonts w:cs="Arial"/>
                <w:sz w:val="20"/>
              </w:rPr>
            </w:pPr>
            <w:r w:rsidRPr="00874BFF">
              <w:rPr>
                <w:sz w:val="20"/>
              </w:rPr>
              <w:t>6.5%</w:t>
            </w:r>
          </w:p>
        </w:tc>
      </w:tr>
      <w:tr w:rsidR="006D3AD5" w:rsidRPr="00874BFF" w14:paraId="72FF5E06"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719981F9" w14:textId="77777777" w:rsidR="006D3AD5" w:rsidRPr="00874BFF" w:rsidRDefault="006D3AD5" w:rsidP="00443B8F">
            <w:pPr>
              <w:overflowPunct/>
              <w:autoSpaceDE/>
              <w:autoSpaceDN/>
              <w:adjustRightInd/>
              <w:jc w:val="left"/>
              <w:textAlignment w:val="auto"/>
              <w:rPr>
                <w:rFonts w:cs="Arial"/>
                <w:sz w:val="20"/>
              </w:rPr>
            </w:pPr>
            <w:r w:rsidRPr="00874BFF">
              <w:rPr>
                <w:sz w:val="20"/>
              </w:rPr>
              <w:t>Guarantees</w:t>
            </w:r>
          </w:p>
        </w:tc>
        <w:tc>
          <w:tcPr>
            <w:tcW w:w="919" w:type="dxa"/>
            <w:tcBorders>
              <w:top w:val="nil"/>
              <w:left w:val="nil"/>
              <w:bottom w:val="single" w:sz="4" w:space="0" w:color="auto"/>
              <w:right w:val="single" w:sz="4" w:space="0" w:color="auto"/>
            </w:tcBorders>
            <w:noWrap/>
            <w:vAlign w:val="bottom"/>
          </w:tcPr>
          <w:p w14:paraId="291C1F46" w14:textId="77777777" w:rsidR="006D3AD5" w:rsidRPr="00874BFF" w:rsidRDefault="006D3AD5" w:rsidP="00443B8F">
            <w:pPr>
              <w:overflowPunct/>
              <w:autoSpaceDE/>
              <w:autoSpaceDN/>
              <w:adjustRightInd/>
              <w:jc w:val="right"/>
              <w:textAlignment w:val="auto"/>
              <w:rPr>
                <w:rFonts w:cs="Arial"/>
                <w:sz w:val="20"/>
              </w:rPr>
            </w:pPr>
            <w:r w:rsidRPr="00874BFF">
              <w:rPr>
                <w:sz w:val="20"/>
              </w:rPr>
              <w:t>98</w:t>
            </w:r>
          </w:p>
        </w:tc>
        <w:tc>
          <w:tcPr>
            <w:tcW w:w="1649" w:type="dxa"/>
            <w:tcBorders>
              <w:top w:val="nil"/>
              <w:left w:val="nil"/>
              <w:bottom w:val="single" w:sz="4" w:space="0" w:color="auto"/>
              <w:right w:val="single" w:sz="4" w:space="0" w:color="auto"/>
            </w:tcBorders>
            <w:noWrap/>
            <w:vAlign w:val="bottom"/>
          </w:tcPr>
          <w:p w14:paraId="36E896F9" w14:textId="77777777" w:rsidR="006D3AD5" w:rsidRPr="00874BFF" w:rsidRDefault="006D3AD5" w:rsidP="00443B8F">
            <w:pPr>
              <w:overflowPunct/>
              <w:autoSpaceDE/>
              <w:autoSpaceDN/>
              <w:adjustRightInd/>
              <w:jc w:val="right"/>
              <w:textAlignment w:val="auto"/>
              <w:rPr>
                <w:rFonts w:cs="Arial"/>
                <w:sz w:val="20"/>
              </w:rPr>
            </w:pPr>
            <w:r w:rsidRPr="00874BFF">
              <w:rPr>
                <w:sz w:val="20"/>
              </w:rPr>
              <w:t>9</w:t>
            </w:r>
          </w:p>
        </w:tc>
        <w:tc>
          <w:tcPr>
            <w:tcW w:w="1134" w:type="dxa"/>
            <w:tcBorders>
              <w:top w:val="nil"/>
              <w:left w:val="nil"/>
              <w:bottom w:val="single" w:sz="4" w:space="0" w:color="auto"/>
              <w:right w:val="single" w:sz="4" w:space="0" w:color="auto"/>
            </w:tcBorders>
            <w:noWrap/>
            <w:vAlign w:val="bottom"/>
          </w:tcPr>
          <w:p w14:paraId="13F4A06E" w14:textId="77777777" w:rsidR="006D3AD5" w:rsidRPr="00874BFF" w:rsidRDefault="006D3AD5" w:rsidP="00443B8F">
            <w:pPr>
              <w:overflowPunct/>
              <w:autoSpaceDE/>
              <w:autoSpaceDN/>
              <w:adjustRightInd/>
              <w:jc w:val="right"/>
              <w:textAlignment w:val="auto"/>
              <w:rPr>
                <w:rFonts w:cs="Arial"/>
                <w:sz w:val="20"/>
              </w:rPr>
            </w:pPr>
            <w:r w:rsidRPr="00874BFF">
              <w:rPr>
                <w:sz w:val="20"/>
              </w:rPr>
              <w:t>107</w:t>
            </w:r>
          </w:p>
        </w:tc>
        <w:tc>
          <w:tcPr>
            <w:tcW w:w="1417" w:type="dxa"/>
            <w:tcBorders>
              <w:top w:val="nil"/>
              <w:left w:val="nil"/>
              <w:bottom w:val="single" w:sz="4" w:space="0" w:color="auto"/>
              <w:right w:val="single" w:sz="4" w:space="0" w:color="auto"/>
            </w:tcBorders>
            <w:noWrap/>
            <w:vAlign w:val="bottom"/>
          </w:tcPr>
          <w:p w14:paraId="2ABB6ADD" w14:textId="77777777" w:rsidR="006D3AD5" w:rsidRPr="00874BFF" w:rsidRDefault="006D3AD5" w:rsidP="00443B8F">
            <w:pPr>
              <w:overflowPunct/>
              <w:autoSpaceDE/>
              <w:autoSpaceDN/>
              <w:adjustRightInd/>
              <w:jc w:val="right"/>
              <w:textAlignment w:val="auto"/>
              <w:rPr>
                <w:rFonts w:cs="Arial"/>
                <w:sz w:val="20"/>
              </w:rPr>
            </w:pPr>
            <w:r w:rsidRPr="00874BFF">
              <w:rPr>
                <w:sz w:val="20"/>
              </w:rPr>
              <w:t>8.4%</w:t>
            </w:r>
          </w:p>
        </w:tc>
      </w:tr>
      <w:tr w:rsidR="006D3AD5" w:rsidRPr="00874BFF" w14:paraId="046834FD"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9C6FFCB" w14:textId="77777777" w:rsidR="006D3AD5" w:rsidRPr="00874BFF" w:rsidRDefault="006D3AD5" w:rsidP="00443B8F">
            <w:pPr>
              <w:overflowPunct/>
              <w:autoSpaceDE/>
              <w:autoSpaceDN/>
              <w:adjustRightInd/>
              <w:jc w:val="left"/>
              <w:textAlignment w:val="auto"/>
              <w:rPr>
                <w:rFonts w:cs="Arial"/>
                <w:sz w:val="20"/>
              </w:rPr>
            </w:pPr>
            <w:r w:rsidRPr="00874BFF">
              <w:rPr>
                <w:sz w:val="20"/>
              </w:rPr>
              <w:t>Subsidies or another public support</w:t>
            </w:r>
          </w:p>
        </w:tc>
        <w:tc>
          <w:tcPr>
            <w:tcW w:w="919" w:type="dxa"/>
            <w:tcBorders>
              <w:top w:val="nil"/>
              <w:left w:val="nil"/>
              <w:bottom w:val="single" w:sz="4" w:space="0" w:color="auto"/>
              <w:right w:val="single" w:sz="4" w:space="0" w:color="auto"/>
            </w:tcBorders>
            <w:noWrap/>
            <w:vAlign w:val="bottom"/>
          </w:tcPr>
          <w:p w14:paraId="724FF313" w14:textId="77777777" w:rsidR="006D3AD5" w:rsidRPr="00874BFF" w:rsidRDefault="006D3AD5" w:rsidP="00443B8F">
            <w:pPr>
              <w:overflowPunct/>
              <w:autoSpaceDE/>
              <w:autoSpaceDN/>
              <w:adjustRightInd/>
              <w:jc w:val="right"/>
              <w:textAlignment w:val="auto"/>
              <w:rPr>
                <w:rFonts w:cs="Arial"/>
                <w:sz w:val="20"/>
              </w:rPr>
            </w:pPr>
            <w:r w:rsidRPr="00874BFF">
              <w:rPr>
                <w:sz w:val="20"/>
              </w:rPr>
              <w:t>375</w:t>
            </w:r>
          </w:p>
        </w:tc>
        <w:tc>
          <w:tcPr>
            <w:tcW w:w="1649" w:type="dxa"/>
            <w:tcBorders>
              <w:top w:val="nil"/>
              <w:left w:val="nil"/>
              <w:bottom w:val="single" w:sz="4" w:space="0" w:color="auto"/>
              <w:right w:val="single" w:sz="4" w:space="0" w:color="auto"/>
            </w:tcBorders>
            <w:noWrap/>
            <w:vAlign w:val="bottom"/>
          </w:tcPr>
          <w:p w14:paraId="002D0210" w14:textId="77777777" w:rsidR="006D3AD5" w:rsidRPr="00874BFF" w:rsidRDefault="006D3AD5" w:rsidP="00443B8F">
            <w:pPr>
              <w:overflowPunct/>
              <w:autoSpaceDE/>
              <w:autoSpaceDN/>
              <w:adjustRightInd/>
              <w:jc w:val="right"/>
              <w:textAlignment w:val="auto"/>
              <w:rPr>
                <w:rFonts w:cs="Arial"/>
                <w:sz w:val="20"/>
              </w:rPr>
            </w:pPr>
            <w:r w:rsidRPr="00874BFF">
              <w:rPr>
                <w:sz w:val="20"/>
              </w:rPr>
              <w:t>30</w:t>
            </w:r>
          </w:p>
        </w:tc>
        <w:tc>
          <w:tcPr>
            <w:tcW w:w="1134" w:type="dxa"/>
            <w:tcBorders>
              <w:top w:val="nil"/>
              <w:left w:val="nil"/>
              <w:bottom w:val="single" w:sz="4" w:space="0" w:color="auto"/>
              <w:right w:val="single" w:sz="4" w:space="0" w:color="auto"/>
            </w:tcBorders>
            <w:noWrap/>
            <w:vAlign w:val="bottom"/>
          </w:tcPr>
          <w:p w14:paraId="59B4D17D" w14:textId="77777777" w:rsidR="006D3AD5" w:rsidRPr="00874BFF" w:rsidRDefault="006D3AD5" w:rsidP="00443B8F">
            <w:pPr>
              <w:overflowPunct/>
              <w:autoSpaceDE/>
              <w:autoSpaceDN/>
              <w:adjustRightInd/>
              <w:jc w:val="right"/>
              <w:textAlignment w:val="auto"/>
              <w:rPr>
                <w:rFonts w:cs="Arial"/>
                <w:sz w:val="20"/>
              </w:rPr>
            </w:pPr>
            <w:r w:rsidRPr="00874BFF">
              <w:rPr>
                <w:sz w:val="20"/>
              </w:rPr>
              <w:t>405</w:t>
            </w:r>
          </w:p>
        </w:tc>
        <w:tc>
          <w:tcPr>
            <w:tcW w:w="1417" w:type="dxa"/>
            <w:tcBorders>
              <w:top w:val="nil"/>
              <w:left w:val="nil"/>
              <w:bottom w:val="single" w:sz="4" w:space="0" w:color="auto"/>
              <w:right w:val="single" w:sz="4" w:space="0" w:color="auto"/>
            </w:tcBorders>
            <w:noWrap/>
            <w:vAlign w:val="bottom"/>
          </w:tcPr>
          <w:p w14:paraId="08D592AA" w14:textId="77777777" w:rsidR="006D3AD5" w:rsidRPr="00874BFF" w:rsidRDefault="006D3AD5" w:rsidP="00443B8F">
            <w:pPr>
              <w:overflowPunct/>
              <w:autoSpaceDE/>
              <w:autoSpaceDN/>
              <w:adjustRightInd/>
              <w:jc w:val="right"/>
              <w:textAlignment w:val="auto"/>
              <w:rPr>
                <w:rFonts w:cs="Arial"/>
                <w:sz w:val="20"/>
              </w:rPr>
            </w:pPr>
            <w:r w:rsidRPr="00874BFF">
              <w:rPr>
                <w:sz w:val="20"/>
              </w:rPr>
              <w:t>7.4%</w:t>
            </w:r>
          </w:p>
        </w:tc>
      </w:tr>
      <w:tr w:rsidR="006D3AD5" w:rsidRPr="00874BFF" w14:paraId="5C9EA878"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2CC58E5A" w14:textId="77777777" w:rsidR="006D3AD5" w:rsidRPr="00874BFF" w:rsidRDefault="006D3AD5" w:rsidP="00443B8F">
            <w:pPr>
              <w:overflowPunct/>
              <w:autoSpaceDE/>
              <w:autoSpaceDN/>
              <w:adjustRightInd/>
              <w:jc w:val="left"/>
              <w:textAlignment w:val="auto"/>
              <w:rPr>
                <w:rFonts w:cs="Arial"/>
                <w:sz w:val="20"/>
              </w:rPr>
            </w:pPr>
            <w:r w:rsidRPr="00874BFF">
              <w:rPr>
                <w:sz w:val="20"/>
              </w:rPr>
              <w:t>Venture capital</w:t>
            </w:r>
          </w:p>
        </w:tc>
        <w:tc>
          <w:tcPr>
            <w:tcW w:w="919" w:type="dxa"/>
            <w:tcBorders>
              <w:top w:val="nil"/>
              <w:left w:val="nil"/>
              <w:bottom w:val="single" w:sz="4" w:space="0" w:color="auto"/>
              <w:right w:val="single" w:sz="4" w:space="0" w:color="auto"/>
            </w:tcBorders>
            <w:noWrap/>
            <w:vAlign w:val="bottom"/>
          </w:tcPr>
          <w:p w14:paraId="31F2CE44"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649" w:type="dxa"/>
            <w:tcBorders>
              <w:top w:val="nil"/>
              <w:left w:val="nil"/>
              <w:bottom w:val="single" w:sz="4" w:space="0" w:color="auto"/>
              <w:right w:val="single" w:sz="4" w:space="0" w:color="auto"/>
            </w:tcBorders>
            <w:noWrap/>
            <w:vAlign w:val="bottom"/>
          </w:tcPr>
          <w:p w14:paraId="4ADFC9B0"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06494D9E"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417" w:type="dxa"/>
            <w:tcBorders>
              <w:top w:val="nil"/>
              <w:left w:val="nil"/>
              <w:bottom w:val="single" w:sz="4" w:space="0" w:color="auto"/>
              <w:right w:val="single" w:sz="4" w:space="0" w:color="auto"/>
            </w:tcBorders>
            <w:noWrap/>
            <w:vAlign w:val="bottom"/>
          </w:tcPr>
          <w:p w14:paraId="4533505C" w14:textId="77777777" w:rsidR="006D3AD5" w:rsidRPr="00874BFF" w:rsidRDefault="006D3AD5" w:rsidP="00443B8F">
            <w:pPr>
              <w:overflowPunct/>
              <w:autoSpaceDE/>
              <w:autoSpaceDN/>
              <w:adjustRightInd/>
              <w:jc w:val="right"/>
              <w:textAlignment w:val="auto"/>
              <w:rPr>
                <w:rFonts w:cs="Arial"/>
                <w:sz w:val="20"/>
              </w:rPr>
            </w:pPr>
            <w:r w:rsidRPr="00874BFF">
              <w:rPr>
                <w:sz w:val="20"/>
              </w:rPr>
              <w:t>33.3%</w:t>
            </w:r>
          </w:p>
        </w:tc>
      </w:tr>
      <w:tr w:rsidR="006D3AD5" w:rsidRPr="00874BFF" w14:paraId="731BE38B"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DB1F5A2" w14:textId="77777777" w:rsidR="006D3AD5" w:rsidRPr="00874BFF" w:rsidRDefault="006D3AD5" w:rsidP="00443B8F">
            <w:pPr>
              <w:overflowPunct/>
              <w:autoSpaceDE/>
              <w:autoSpaceDN/>
              <w:adjustRightInd/>
              <w:jc w:val="left"/>
              <w:textAlignment w:val="auto"/>
              <w:rPr>
                <w:rFonts w:cs="Arial"/>
                <w:sz w:val="20"/>
              </w:rPr>
            </w:pPr>
            <w:r w:rsidRPr="00874BFF">
              <w:rPr>
                <w:sz w:val="20"/>
              </w:rPr>
              <w:t>Private equity</w:t>
            </w:r>
          </w:p>
        </w:tc>
        <w:tc>
          <w:tcPr>
            <w:tcW w:w="919" w:type="dxa"/>
            <w:tcBorders>
              <w:top w:val="nil"/>
              <w:left w:val="nil"/>
              <w:bottom w:val="single" w:sz="4" w:space="0" w:color="auto"/>
              <w:right w:val="single" w:sz="4" w:space="0" w:color="auto"/>
            </w:tcBorders>
            <w:noWrap/>
            <w:vAlign w:val="bottom"/>
          </w:tcPr>
          <w:p w14:paraId="3F293339" w14:textId="77777777" w:rsidR="006D3AD5" w:rsidRPr="00874BFF" w:rsidRDefault="006D3AD5" w:rsidP="00443B8F">
            <w:pPr>
              <w:overflowPunct/>
              <w:autoSpaceDE/>
              <w:autoSpaceDN/>
              <w:adjustRightInd/>
              <w:jc w:val="right"/>
              <w:textAlignment w:val="auto"/>
              <w:rPr>
                <w:rFonts w:cs="Arial"/>
                <w:sz w:val="20"/>
              </w:rPr>
            </w:pPr>
            <w:r w:rsidRPr="00874BFF">
              <w:rPr>
                <w:sz w:val="20"/>
              </w:rPr>
              <w:t>7</w:t>
            </w:r>
          </w:p>
        </w:tc>
        <w:tc>
          <w:tcPr>
            <w:tcW w:w="1649" w:type="dxa"/>
            <w:tcBorders>
              <w:top w:val="nil"/>
              <w:left w:val="nil"/>
              <w:bottom w:val="single" w:sz="4" w:space="0" w:color="auto"/>
              <w:right w:val="single" w:sz="4" w:space="0" w:color="auto"/>
            </w:tcBorders>
            <w:noWrap/>
            <w:vAlign w:val="bottom"/>
          </w:tcPr>
          <w:p w14:paraId="2A9EF6B6"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2F6B7843"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c>
          <w:tcPr>
            <w:tcW w:w="1417" w:type="dxa"/>
            <w:tcBorders>
              <w:top w:val="nil"/>
              <w:left w:val="nil"/>
              <w:bottom w:val="single" w:sz="4" w:space="0" w:color="auto"/>
              <w:right w:val="single" w:sz="4" w:space="0" w:color="auto"/>
            </w:tcBorders>
            <w:noWrap/>
            <w:vAlign w:val="bottom"/>
          </w:tcPr>
          <w:p w14:paraId="48F17B81" w14:textId="77777777" w:rsidR="006D3AD5" w:rsidRPr="00874BFF" w:rsidRDefault="006D3AD5" w:rsidP="00443B8F">
            <w:pPr>
              <w:overflowPunct/>
              <w:autoSpaceDE/>
              <w:autoSpaceDN/>
              <w:adjustRightInd/>
              <w:jc w:val="right"/>
              <w:textAlignment w:val="auto"/>
              <w:rPr>
                <w:rFonts w:cs="Arial"/>
                <w:sz w:val="20"/>
              </w:rPr>
            </w:pPr>
            <w:r w:rsidRPr="00874BFF">
              <w:rPr>
                <w:sz w:val="20"/>
              </w:rPr>
              <w:t>12.5%</w:t>
            </w:r>
          </w:p>
        </w:tc>
      </w:tr>
      <w:tr w:rsidR="006D3AD5" w:rsidRPr="00874BFF" w14:paraId="2C847ADF"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0FF549FA" w14:textId="77777777" w:rsidR="006D3AD5" w:rsidRPr="00874BFF" w:rsidRDefault="006D3AD5" w:rsidP="00443B8F">
            <w:pPr>
              <w:overflowPunct/>
              <w:autoSpaceDE/>
              <w:autoSpaceDN/>
              <w:adjustRightInd/>
              <w:jc w:val="left"/>
              <w:textAlignment w:val="auto"/>
              <w:rPr>
                <w:rFonts w:cs="Arial"/>
                <w:sz w:val="20"/>
              </w:rPr>
            </w:pPr>
            <w:r w:rsidRPr="00874BFF">
              <w:rPr>
                <w:sz w:val="20"/>
              </w:rPr>
              <w:t>Mezzanine financing</w:t>
            </w:r>
          </w:p>
        </w:tc>
        <w:tc>
          <w:tcPr>
            <w:tcW w:w="919" w:type="dxa"/>
            <w:tcBorders>
              <w:top w:val="nil"/>
              <w:left w:val="nil"/>
              <w:bottom w:val="single" w:sz="4" w:space="0" w:color="auto"/>
              <w:right w:val="single" w:sz="4" w:space="0" w:color="auto"/>
            </w:tcBorders>
            <w:noWrap/>
            <w:vAlign w:val="bottom"/>
          </w:tcPr>
          <w:p w14:paraId="5023C6AC" w14:textId="77777777" w:rsidR="006D3AD5" w:rsidRPr="00874BFF" w:rsidRDefault="006D3AD5" w:rsidP="00443B8F">
            <w:pPr>
              <w:overflowPunct/>
              <w:autoSpaceDE/>
              <w:autoSpaceDN/>
              <w:adjustRightInd/>
              <w:jc w:val="right"/>
              <w:textAlignment w:val="auto"/>
              <w:rPr>
                <w:rFonts w:cs="Arial"/>
                <w:sz w:val="20"/>
              </w:rPr>
            </w:pPr>
            <w:r w:rsidRPr="00874BFF">
              <w:rPr>
                <w:sz w:val="20"/>
              </w:rPr>
              <w:t>3</w:t>
            </w:r>
          </w:p>
        </w:tc>
        <w:tc>
          <w:tcPr>
            <w:tcW w:w="1649" w:type="dxa"/>
            <w:tcBorders>
              <w:top w:val="nil"/>
              <w:left w:val="nil"/>
              <w:bottom w:val="single" w:sz="4" w:space="0" w:color="auto"/>
              <w:right w:val="single" w:sz="4" w:space="0" w:color="auto"/>
            </w:tcBorders>
            <w:noWrap/>
            <w:vAlign w:val="bottom"/>
          </w:tcPr>
          <w:p w14:paraId="07899FEF"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45C9596F"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417" w:type="dxa"/>
            <w:tcBorders>
              <w:top w:val="nil"/>
              <w:left w:val="nil"/>
              <w:bottom w:val="single" w:sz="4" w:space="0" w:color="auto"/>
              <w:right w:val="single" w:sz="4" w:space="0" w:color="auto"/>
            </w:tcBorders>
            <w:noWrap/>
            <w:vAlign w:val="bottom"/>
          </w:tcPr>
          <w:p w14:paraId="5878C759" w14:textId="77777777" w:rsidR="006D3AD5" w:rsidRPr="00874BFF" w:rsidRDefault="006D3AD5" w:rsidP="00443B8F">
            <w:pPr>
              <w:overflowPunct/>
              <w:autoSpaceDE/>
              <w:autoSpaceDN/>
              <w:adjustRightInd/>
              <w:jc w:val="right"/>
              <w:textAlignment w:val="auto"/>
              <w:rPr>
                <w:rFonts w:cs="Arial"/>
                <w:sz w:val="20"/>
              </w:rPr>
            </w:pPr>
            <w:r w:rsidRPr="00874BFF">
              <w:rPr>
                <w:sz w:val="20"/>
              </w:rPr>
              <w:t>25.0%</w:t>
            </w:r>
          </w:p>
        </w:tc>
      </w:tr>
      <w:tr w:rsidR="006D3AD5" w:rsidRPr="00874BFF" w14:paraId="4DAC1F20"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716A992C" w14:textId="77777777" w:rsidR="006D3AD5" w:rsidRPr="00874BFF" w:rsidRDefault="006D3AD5" w:rsidP="00443B8F">
            <w:pPr>
              <w:overflowPunct/>
              <w:autoSpaceDE/>
              <w:autoSpaceDN/>
              <w:adjustRightInd/>
              <w:jc w:val="left"/>
              <w:textAlignment w:val="auto"/>
              <w:rPr>
                <w:rFonts w:cs="Arial"/>
                <w:sz w:val="20"/>
              </w:rPr>
            </w:pPr>
            <w:r w:rsidRPr="00874BFF">
              <w:rPr>
                <w:sz w:val="20"/>
              </w:rPr>
              <w:t>Corporate bonds</w:t>
            </w:r>
          </w:p>
        </w:tc>
        <w:tc>
          <w:tcPr>
            <w:tcW w:w="919" w:type="dxa"/>
            <w:tcBorders>
              <w:top w:val="nil"/>
              <w:left w:val="nil"/>
              <w:bottom w:val="single" w:sz="4" w:space="0" w:color="auto"/>
              <w:right w:val="single" w:sz="4" w:space="0" w:color="auto"/>
            </w:tcBorders>
            <w:noWrap/>
            <w:vAlign w:val="bottom"/>
          </w:tcPr>
          <w:p w14:paraId="218316DC"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649" w:type="dxa"/>
            <w:tcBorders>
              <w:top w:val="nil"/>
              <w:left w:val="nil"/>
              <w:bottom w:val="single" w:sz="4" w:space="0" w:color="auto"/>
              <w:right w:val="single" w:sz="4" w:space="0" w:color="auto"/>
            </w:tcBorders>
            <w:noWrap/>
            <w:vAlign w:val="bottom"/>
          </w:tcPr>
          <w:p w14:paraId="3D10C2B9"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470B1404"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417" w:type="dxa"/>
            <w:tcBorders>
              <w:top w:val="nil"/>
              <w:left w:val="nil"/>
              <w:bottom w:val="single" w:sz="4" w:space="0" w:color="auto"/>
              <w:right w:val="single" w:sz="4" w:space="0" w:color="auto"/>
            </w:tcBorders>
            <w:noWrap/>
            <w:vAlign w:val="bottom"/>
          </w:tcPr>
          <w:p w14:paraId="0F0BAB02"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r w:rsidR="006D3AD5" w:rsidRPr="00874BFF" w14:paraId="45F153E9"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5F32FFB1" w14:textId="77777777" w:rsidR="006D3AD5" w:rsidRPr="00874BFF" w:rsidRDefault="006D3AD5" w:rsidP="00443B8F">
            <w:pPr>
              <w:overflowPunct/>
              <w:autoSpaceDE/>
              <w:autoSpaceDN/>
              <w:adjustRightInd/>
              <w:jc w:val="left"/>
              <w:textAlignment w:val="auto"/>
              <w:rPr>
                <w:rFonts w:cs="Arial"/>
                <w:sz w:val="20"/>
              </w:rPr>
            </w:pPr>
            <w:r w:rsidRPr="00874BFF">
              <w:rPr>
                <w:sz w:val="20"/>
              </w:rPr>
              <w:t>Micro-loans</w:t>
            </w:r>
          </w:p>
        </w:tc>
        <w:tc>
          <w:tcPr>
            <w:tcW w:w="919" w:type="dxa"/>
            <w:tcBorders>
              <w:top w:val="nil"/>
              <w:left w:val="nil"/>
              <w:bottom w:val="single" w:sz="4" w:space="0" w:color="auto"/>
              <w:right w:val="single" w:sz="4" w:space="0" w:color="auto"/>
            </w:tcBorders>
            <w:noWrap/>
            <w:vAlign w:val="bottom"/>
          </w:tcPr>
          <w:p w14:paraId="428806D0"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649" w:type="dxa"/>
            <w:tcBorders>
              <w:top w:val="nil"/>
              <w:left w:val="nil"/>
              <w:bottom w:val="single" w:sz="4" w:space="0" w:color="auto"/>
              <w:right w:val="single" w:sz="4" w:space="0" w:color="auto"/>
            </w:tcBorders>
            <w:noWrap/>
            <w:vAlign w:val="bottom"/>
          </w:tcPr>
          <w:p w14:paraId="777A2769"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2446DCC9"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417" w:type="dxa"/>
            <w:tcBorders>
              <w:top w:val="nil"/>
              <w:left w:val="nil"/>
              <w:bottom w:val="single" w:sz="4" w:space="0" w:color="auto"/>
              <w:right w:val="single" w:sz="4" w:space="0" w:color="auto"/>
            </w:tcBorders>
            <w:noWrap/>
            <w:vAlign w:val="bottom"/>
          </w:tcPr>
          <w:p w14:paraId="4D90C563" w14:textId="77777777" w:rsidR="006D3AD5" w:rsidRPr="00874BFF" w:rsidRDefault="006D3AD5" w:rsidP="00443B8F">
            <w:pPr>
              <w:overflowPunct/>
              <w:autoSpaceDE/>
              <w:autoSpaceDN/>
              <w:adjustRightInd/>
              <w:jc w:val="right"/>
              <w:textAlignment w:val="auto"/>
              <w:rPr>
                <w:rFonts w:cs="Arial"/>
                <w:sz w:val="20"/>
              </w:rPr>
            </w:pPr>
            <w:r w:rsidRPr="00874BFF">
              <w:rPr>
                <w:sz w:val="20"/>
              </w:rPr>
              <w:t>100.0%</w:t>
            </w:r>
          </w:p>
        </w:tc>
      </w:tr>
      <w:tr w:rsidR="006D3AD5" w:rsidRPr="00874BFF" w14:paraId="71BB23BF"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562CEF87" w14:textId="77777777" w:rsidR="006D3AD5" w:rsidRPr="00874BFF" w:rsidRDefault="006D3AD5" w:rsidP="00443B8F">
            <w:pPr>
              <w:overflowPunct/>
              <w:autoSpaceDE/>
              <w:autoSpaceDN/>
              <w:adjustRightInd/>
              <w:jc w:val="left"/>
              <w:textAlignment w:val="auto"/>
              <w:rPr>
                <w:rFonts w:cs="Arial"/>
                <w:sz w:val="20"/>
              </w:rPr>
            </w:pPr>
            <w:r w:rsidRPr="00874BFF">
              <w:rPr>
                <w:sz w:val="20"/>
              </w:rPr>
              <w:t>Leasing</w:t>
            </w:r>
          </w:p>
        </w:tc>
        <w:tc>
          <w:tcPr>
            <w:tcW w:w="919" w:type="dxa"/>
            <w:tcBorders>
              <w:top w:val="nil"/>
              <w:left w:val="nil"/>
              <w:bottom w:val="single" w:sz="4" w:space="0" w:color="auto"/>
              <w:right w:val="single" w:sz="4" w:space="0" w:color="auto"/>
            </w:tcBorders>
            <w:noWrap/>
            <w:vAlign w:val="bottom"/>
          </w:tcPr>
          <w:p w14:paraId="14EDFEBD" w14:textId="77777777" w:rsidR="006D3AD5" w:rsidRPr="00874BFF" w:rsidRDefault="006D3AD5" w:rsidP="00443B8F">
            <w:pPr>
              <w:overflowPunct/>
              <w:autoSpaceDE/>
              <w:autoSpaceDN/>
              <w:adjustRightInd/>
              <w:jc w:val="right"/>
              <w:textAlignment w:val="auto"/>
              <w:rPr>
                <w:rFonts w:cs="Arial"/>
                <w:sz w:val="20"/>
              </w:rPr>
            </w:pPr>
            <w:r w:rsidRPr="00874BFF">
              <w:rPr>
                <w:sz w:val="20"/>
              </w:rPr>
              <w:t>255</w:t>
            </w:r>
          </w:p>
        </w:tc>
        <w:tc>
          <w:tcPr>
            <w:tcW w:w="1649" w:type="dxa"/>
            <w:tcBorders>
              <w:top w:val="nil"/>
              <w:left w:val="nil"/>
              <w:bottom w:val="single" w:sz="4" w:space="0" w:color="auto"/>
              <w:right w:val="single" w:sz="4" w:space="0" w:color="auto"/>
            </w:tcBorders>
            <w:noWrap/>
            <w:vAlign w:val="bottom"/>
          </w:tcPr>
          <w:p w14:paraId="09525355"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36539FF9" w14:textId="77777777" w:rsidR="006D3AD5" w:rsidRPr="00874BFF" w:rsidRDefault="006D3AD5" w:rsidP="00443B8F">
            <w:pPr>
              <w:overflowPunct/>
              <w:autoSpaceDE/>
              <w:autoSpaceDN/>
              <w:adjustRightInd/>
              <w:jc w:val="right"/>
              <w:textAlignment w:val="auto"/>
              <w:rPr>
                <w:rFonts w:cs="Arial"/>
                <w:sz w:val="20"/>
              </w:rPr>
            </w:pPr>
            <w:r w:rsidRPr="00874BFF">
              <w:rPr>
                <w:sz w:val="20"/>
              </w:rPr>
              <w:t>257</w:t>
            </w:r>
          </w:p>
        </w:tc>
        <w:tc>
          <w:tcPr>
            <w:tcW w:w="1417" w:type="dxa"/>
            <w:tcBorders>
              <w:top w:val="nil"/>
              <w:left w:val="nil"/>
              <w:bottom w:val="single" w:sz="4" w:space="0" w:color="auto"/>
              <w:right w:val="single" w:sz="4" w:space="0" w:color="auto"/>
            </w:tcBorders>
            <w:noWrap/>
            <w:vAlign w:val="bottom"/>
          </w:tcPr>
          <w:p w14:paraId="412CE0DC" w14:textId="77777777" w:rsidR="006D3AD5" w:rsidRPr="00874BFF" w:rsidRDefault="006D3AD5" w:rsidP="00443B8F">
            <w:pPr>
              <w:overflowPunct/>
              <w:autoSpaceDE/>
              <w:autoSpaceDN/>
              <w:adjustRightInd/>
              <w:jc w:val="right"/>
              <w:textAlignment w:val="auto"/>
              <w:rPr>
                <w:rFonts w:cs="Arial"/>
                <w:sz w:val="20"/>
              </w:rPr>
            </w:pPr>
            <w:r w:rsidRPr="00874BFF">
              <w:rPr>
                <w:sz w:val="20"/>
              </w:rPr>
              <w:t>0.8%</w:t>
            </w:r>
          </w:p>
        </w:tc>
      </w:tr>
      <w:tr w:rsidR="006D3AD5" w:rsidRPr="00874BFF" w14:paraId="3C50CEC6"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33574FB2" w14:textId="77777777" w:rsidR="006D3AD5" w:rsidRPr="00874BFF" w:rsidRDefault="006D3AD5" w:rsidP="00443B8F">
            <w:pPr>
              <w:overflowPunct/>
              <w:autoSpaceDE/>
              <w:autoSpaceDN/>
              <w:adjustRightInd/>
              <w:jc w:val="left"/>
              <w:textAlignment w:val="auto"/>
              <w:rPr>
                <w:rFonts w:cs="Arial"/>
                <w:sz w:val="20"/>
              </w:rPr>
            </w:pPr>
            <w:r w:rsidRPr="00874BFF">
              <w:rPr>
                <w:sz w:val="20"/>
              </w:rPr>
              <w:t>Factoring</w:t>
            </w:r>
          </w:p>
        </w:tc>
        <w:tc>
          <w:tcPr>
            <w:tcW w:w="919" w:type="dxa"/>
            <w:tcBorders>
              <w:top w:val="nil"/>
              <w:left w:val="nil"/>
              <w:bottom w:val="single" w:sz="4" w:space="0" w:color="auto"/>
              <w:right w:val="single" w:sz="4" w:space="0" w:color="auto"/>
            </w:tcBorders>
            <w:noWrap/>
            <w:vAlign w:val="bottom"/>
          </w:tcPr>
          <w:p w14:paraId="37993C80" w14:textId="77777777" w:rsidR="006D3AD5" w:rsidRPr="00874BFF" w:rsidRDefault="006D3AD5" w:rsidP="00443B8F">
            <w:pPr>
              <w:overflowPunct/>
              <w:autoSpaceDE/>
              <w:autoSpaceDN/>
              <w:adjustRightInd/>
              <w:jc w:val="right"/>
              <w:textAlignment w:val="auto"/>
              <w:rPr>
                <w:rFonts w:cs="Arial"/>
                <w:sz w:val="20"/>
              </w:rPr>
            </w:pPr>
            <w:r w:rsidRPr="00874BFF">
              <w:rPr>
                <w:sz w:val="20"/>
              </w:rPr>
              <w:t>49</w:t>
            </w:r>
          </w:p>
        </w:tc>
        <w:tc>
          <w:tcPr>
            <w:tcW w:w="1649" w:type="dxa"/>
            <w:tcBorders>
              <w:top w:val="nil"/>
              <w:left w:val="nil"/>
              <w:bottom w:val="single" w:sz="4" w:space="0" w:color="auto"/>
              <w:right w:val="single" w:sz="4" w:space="0" w:color="auto"/>
            </w:tcBorders>
            <w:noWrap/>
            <w:vAlign w:val="bottom"/>
          </w:tcPr>
          <w:p w14:paraId="0CB2D65E"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134" w:type="dxa"/>
            <w:tcBorders>
              <w:top w:val="nil"/>
              <w:left w:val="nil"/>
              <w:bottom w:val="single" w:sz="4" w:space="0" w:color="auto"/>
              <w:right w:val="single" w:sz="4" w:space="0" w:color="auto"/>
            </w:tcBorders>
            <w:noWrap/>
            <w:vAlign w:val="bottom"/>
          </w:tcPr>
          <w:p w14:paraId="43D67BC9" w14:textId="77777777" w:rsidR="006D3AD5" w:rsidRPr="00874BFF" w:rsidRDefault="006D3AD5" w:rsidP="00443B8F">
            <w:pPr>
              <w:overflowPunct/>
              <w:autoSpaceDE/>
              <w:autoSpaceDN/>
              <w:adjustRightInd/>
              <w:jc w:val="right"/>
              <w:textAlignment w:val="auto"/>
              <w:rPr>
                <w:rFonts w:cs="Arial"/>
                <w:sz w:val="20"/>
              </w:rPr>
            </w:pPr>
            <w:r w:rsidRPr="00874BFF">
              <w:rPr>
                <w:sz w:val="20"/>
              </w:rPr>
              <w:t>55</w:t>
            </w:r>
          </w:p>
        </w:tc>
        <w:tc>
          <w:tcPr>
            <w:tcW w:w="1417" w:type="dxa"/>
            <w:tcBorders>
              <w:top w:val="nil"/>
              <w:left w:val="nil"/>
              <w:bottom w:val="single" w:sz="4" w:space="0" w:color="auto"/>
              <w:right w:val="single" w:sz="4" w:space="0" w:color="auto"/>
            </w:tcBorders>
            <w:noWrap/>
            <w:vAlign w:val="bottom"/>
          </w:tcPr>
          <w:p w14:paraId="1657AB3C" w14:textId="77777777" w:rsidR="006D3AD5" w:rsidRPr="00874BFF" w:rsidRDefault="006D3AD5" w:rsidP="00443B8F">
            <w:pPr>
              <w:overflowPunct/>
              <w:autoSpaceDE/>
              <w:autoSpaceDN/>
              <w:adjustRightInd/>
              <w:jc w:val="right"/>
              <w:textAlignment w:val="auto"/>
              <w:rPr>
                <w:rFonts w:cs="Arial"/>
                <w:sz w:val="20"/>
              </w:rPr>
            </w:pPr>
            <w:r w:rsidRPr="00874BFF">
              <w:rPr>
                <w:sz w:val="20"/>
              </w:rPr>
              <w:t>10.9%</w:t>
            </w:r>
          </w:p>
        </w:tc>
      </w:tr>
      <w:tr w:rsidR="006D3AD5" w:rsidRPr="00874BFF" w14:paraId="4466A251"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031961B1" w14:textId="77777777" w:rsidR="006D3AD5" w:rsidRPr="00874BFF" w:rsidRDefault="006D3AD5" w:rsidP="00443B8F">
            <w:pPr>
              <w:overflowPunct/>
              <w:autoSpaceDE/>
              <w:autoSpaceDN/>
              <w:adjustRightInd/>
              <w:jc w:val="left"/>
              <w:textAlignment w:val="auto"/>
              <w:rPr>
                <w:rFonts w:cs="Arial"/>
                <w:sz w:val="20"/>
              </w:rPr>
            </w:pPr>
            <w:r w:rsidRPr="00874BFF">
              <w:rPr>
                <w:sz w:val="20"/>
              </w:rPr>
              <w:t>Issues of shares in the public-trading market</w:t>
            </w:r>
          </w:p>
        </w:tc>
        <w:tc>
          <w:tcPr>
            <w:tcW w:w="919" w:type="dxa"/>
            <w:tcBorders>
              <w:top w:val="nil"/>
              <w:left w:val="nil"/>
              <w:bottom w:val="single" w:sz="4" w:space="0" w:color="auto"/>
              <w:right w:val="single" w:sz="4" w:space="0" w:color="auto"/>
            </w:tcBorders>
            <w:noWrap/>
            <w:vAlign w:val="bottom"/>
          </w:tcPr>
          <w:p w14:paraId="7FC57C05"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649" w:type="dxa"/>
            <w:tcBorders>
              <w:top w:val="nil"/>
              <w:left w:val="nil"/>
              <w:bottom w:val="single" w:sz="4" w:space="0" w:color="auto"/>
              <w:right w:val="single" w:sz="4" w:space="0" w:color="auto"/>
            </w:tcBorders>
            <w:noWrap/>
            <w:vAlign w:val="bottom"/>
          </w:tcPr>
          <w:p w14:paraId="5633B8EA"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1949C58C"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417" w:type="dxa"/>
            <w:tcBorders>
              <w:top w:val="nil"/>
              <w:left w:val="nil"/>
              <w:bottom w:val="single" w:sz="4" w:space="0" w:color="auto"/>
              <w:right w:val="single" w:sz="4" w:space="0" w:color="auto"/>
            </w:tcBorders>
            <w:noWrap/>
            <w:vAlign w:val="bottom"/>
          </w:tcPr>
          <w:p w14:paraId="3E2C4BD9" w14:textId="77777777" w:rsidR="006D3AD5" w:rsidRPr="00874BFF" w:rsidRDefault="006D3AD5" w:rsidP="00443B8F">
            <w:pPr>
              <w:overflowPunct/>
              <w:autoSpaceDE/>
              <w:autoSpaceDN/>
              <w:adjustRightInd/>
              <w:jc w:val="left"/>
              <w:textAlignment w:val="auto"/>
              <w:rPr>
                <w:rFonts w:cs="Arial"/>
                <w:sz w:val="20"/>
              </w:rPr>
            </w:pPr>
            <w:r w:rsidRPr="00874BFF">
              <w:rPr>
                <w:sz w:val="20"/>
              </w:rPr>
              <w:t>N/A</w:t>
            </w:r>
          </w:p>
        </w:tc>
      </w:tr>
      <w:tr w:rsidR="006D3AD5" w:rsidRPr="00874BFF" w14:paraId="050FF3C5"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306DD924" w14:textId="77777777" w:rsidR="006D3AD5" w:rsidRPr="00874BFF" w:rsidRDefault="006D3AD5" w:rsidP="00443B8F">
            <w:pPr>
              <w:overflowPunct/>
              <w:autoSpaceDE/>
              <w:autoSpaceDN/>
              <w:adjustRightInd/>
              <w:jc w:val="left"/>
              <w:textAlignment w:val="auto"/>
              <w:rPr>
                <w:rFonts w:cs="Arial"/>
                <w:sz w:val="20"/>
              </w:rPr>
            </w:pPr>
            <w:r w:rsidRPr="00874BFF">
              <w:rPr>
                <w:sz w:val="20"/>
              </w:rPr>
              <w:t>Family, friends and acquaintances</w:t>
            </w:r>
          </w:p>
        </w:tc>
        <w:tc>
          <w:tcPr>
            <w:tcW w:w="919" w:type="dxa"/>
            <w:tcBorders>
              <w:top w:val="nil"/>
              <w:left w:val="nil"/>
              <w:bottom w:val="single" w:sz="4" w:space="0" w:color="auto"/>
              <w:right w:val="single" w:sz="4" w:space="0" w:color="auto"/>
            </w:tcBorders>
            <w:noWrap/>
            <w:vAlign w:val="bottom"/>
          </w:tcPr>
          <w:p w14:paraId="012FFA25" w14:textId="77777777" w:rsidR="006D3AD5" w:rsidRPr="00874BFF" w:rsidRDefault="006D3AD5" w:rsidP="00443B8F">
            <w:pPr>
              <w:overflowPunct/>
              <w:autoSpaceDE/>
              <w:autoSpaceDN/>
              <w:adjustRightInd/>
              <w:jc w:val="right"/>
              <w:textAlignment w:val="auto"/>
              <w:rPr>
                <w:rFonts w:cs="Arial"/>
                <w:sz w:val="20"/>
              </w:rPr>
            </w:pPr>
            <w:r w:rsidRPr="00874BFF">
              <w:rPr>
                <w:sz w:val="20"/>
              </w:rPr>
              <w:t>65</w:t>
            </w:r>
          </w:p>
        </w:tc>
        <w:tc>
          <w:tcPr>
            <w:tcW w:w="1649" w:type="dxa"/>
            <w:tcBorders>
              <w:top w:val="nil"/>
              <w:left w:val="nil"/>
              <w:bottom w:val="single" w:sz="4" w:space="0" w:color="auto"/>
              <w:right w:val="single" w:sz="4" w:space="0" w:color="auto"/>
            </w:tcBorders>
            <w:noWrap/>
            <w:vAlign w:val="bottom"/>
          </w:tcPr>
          <w:p w14:paraId="289C1C88"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07FF6501" w14:textId="77777777" w:rsidR="006D3AD5" w:rsidRPr="00874BFF" w:rsidRDefault="006D3AD5" w:rsidP="00443B8F">
            <w:pPr>
              <w:overflowPunct/>
              <w:autoSpaceDE/>
              <w:autoSpaceDN/>
              <w:adjustRightInd/>
              <w:jc w:val="right"/>
              <w:textAlignment w:val="auto"/>
              <w:rPr>
                <w:rFonts w:cs="Arial"/>
                <w:sz w:val="20"/>
              </w:rPr>
            </w:pPr>
            <w:r w:rsidRPr="00874BFF">
              <w:rPr>
                <w:sz w:val="20"/>
              </w:rPr>
              <w:t>67</w:t>
            </w:r>
          </w:p>
        </w:tc>
        <w:tc>
          <w:tcPr>
            <w:tcW w:w="1417" w:type="dxa"/>
            <w:tcBorders>
              <w:top w:val="nil"/>
              <w:left w:val="nil"/>
              <w:bottom w:val="single" w:sz="4" w:space="0" w:color="auto"/>
              <w:right w:val="single" w:sz="4" w:space="0" w:color="auto"/>
            </w:tcBorders>
            <w:noWrap/>
            <w:vAlign w:val="bottom"/>
          </w:tcPr>
          <w:p w14:paraId="6BD27CF0" w14:textId="77777777" w:rsidR="006D3AD5" w:rsidRPr="00874BFF" w:rsidRDefault="006D3AD5" w:rsidP="00443B8F">
            <w:pPr>
              <w:overflowPunct/>
              <w:autoSpaceDE/>
              <w:autoSpaceDN/>
              <w:adjustRightInd/>
              <w:jc w:val="right"/>
              <w:textAlignment w:val="auto"/>
              <w:rPr>
                <w:rFonts w:cs="Arial"/>
                <w:sz w:val="20"/>
              </w:rPr>
            </w:pPr>
            <w:r w:rsidRPr="00874BFF">
              <w:rPr>
                <w:sz w:val="20"/>
              </w:rPr>
              <w:t>3.0%</w:t>
            </w:r>
          </w:p>
        </w:tc>
      </w:tr>
      <w:tr w:rsidR="006D3AD5" w:rsidRPr="00874BFF" w14:paraId="4E4B812A"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50079013" w14:textId="77777777" w:rsidR="006D3AD5" w:rsidRPr="00874BFF" w:rsidRDefault="006D3AD5" w:rsidP="00443B8F">
            <w:pPr>
              <w:overflowPunct/>
              <w:autoSpaceDE/>
              <w:autoSpaceDN/>
              <w:adjustRightInd/>
              <w:jc w:val="left"/>
              <w:textAlignment w:val="auto"/>
              <w:rPr>
                <w:rFonts w:cs="Arial"/>
                <w:sz w:val="20"/>
              </w:rPr>
            </w:pPr>
            <w:r w:rsidRPr="00874BFF">
              <w:rPr>
                <w:sz w:val="20"/>
              </w:rPr>
              <w:t>Own sources of financing</w:t>
            </w:r>
          </w:p>
        </w:tc>
        <w:tc>
          <w:tcPr>
            <w:tcW w:w="919" w:type="dxa"/>
            <w:tcBorders>
              <w:top w:val="nil"/>
              <w:left w:val="nil"/>
              <w:bottom w:val="single" w:sz="4" w:space="0" w:color="auto"/>
              <w:right w:val="single" w:sz="4" w:space="0" w:color="auto"/>
            </w:tcBorders>
            <w:noWrap/>
            <w:vAlign w:val="bottom"/>
          </w:tcPr>
          <w:p w14:paraId="4D2F1BFE" w14:textId="77777777" w:rsidR="006D3AD5" w:rsidRPr="00874BFF" w:rsidRDefault="006D3AD5" w:rsidP="00443B8F">
            <w:pPr>
              <w:overflowPunct/>
              <w:autoSpaceDE/>
              <w:autoSpaceDN/>
              <w:adjustRightInd/>
              <w:jc w:val="right"/>
              <w:textAlignment w:val="auto"/>
              <w:rPr>
                <w:rFonts w:cs="Arial"/>
                <w:sz w:val="20"/>
              </w:rPr>
            </w:pPr>
            <w:r w:rsidRPr="00874BFF">
              <w:rPr>
                <w:sz w:val="20"/>
              </w:rPr>
              <w:t>336</w:t>
            </w:r>
          </w:p>
        </w:tc>
        <w:tc>
          <w:tcPr>
            <w:tcW w:w="1649" w:type="dxa"/>
            <w:tcBorders>
              <w:top w:val="nil"/>
              <w:left w:val="nil"/>
              <w:bottom w:val="single" w:sz="4" w:space="0" w:color="auto"/>
              <w:right w:val="single" w:sz="4" w:space="0" w:color="auto"/>
            </w:tcBorders>
            <w:noWrap/>
            <w:vAlign w:val="bottom"/>
          </w:tcPr>
          <w:p w14:paraId="2351B91D"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11375F36" w14:textId="77777777" w:rsidR="006D3AD5" w:rsidRPr="00874BFF" w:rsidRDefault="006D3AD5" w:rsidP="00443B8F">
            <w:pPr>
              <w:overflowPunct/>
              <w:autoSpaceDE/>
              <w:autoSpaceDN/>
              <w:adjustRightInd/>
              <w:jc w:val="right"/>
              <w:textAlignment w:val="auto"/>
              <w:rPr>
                <w:rFonts w:cs="Arial"/>
                <w:sz w:val="20"/>
              </w:rPr>
            </w:pPr>
            <w:r w:rsidRPr="00874BFF">
              <w:rPr>
                <w:sz w:val="20"/>
              </w:rPr>
              <w:t>337</w:t>
            </w:r>
          </w:p>
        </w:tc>
        <w:tc>
          <w:tcPr>
            <w:tcW w:w="1417" w:type="dxa"/>
            <w:tcBorders>
              <w:top w:val="nil"/>
              <w:left w:val="nil"/>
              <w:bottom w:val="single" w:sz="4" w:space="0" w:color="auto"/>
              <w:right w:val="single" w:sz="4" w:space="0" w:color="auto"/>
            </w:tcBorders>
            <w:noWrap/>
            <w:vAlign w:val="bottom"/>
          </w:tcPr>
          <w:p w14:paraId="144C4DA5" w14:textId="77777777" w:rsidR="006D3AD5" w:rsidRPr="00874BFF" w:rsidRDefault="006D3AD5" w:rsidP="00443B8F">
            <w:pPr>
              <w:overflowPunct/>
              <w:autoSpaceDE/>
              <w:autoSpaceDN/>
              <w:adjustRightInd/>
              <w:jc w:val="right"/>
              <w:textAlignment w:val="auto"/>
              <w:rPr>
                <w:rFonts w:cs="Arial"/>
                <w:sz w:val="20"/>
              </w:rPr>
            </w:pPr>
            <w:r w:rsidRPr="00874BFF">
              <w:rPr>
                <w:sz w:val="20"/>
              </w:rPr>
              <w:t>0.3%</w:t>
            </w:r>
          </w:p>
        </w:tc>
      </w:tr>
    </w:tbl>
    <w:p w14:paraId="41A71A60" w14:textId="77777777" w:rsidR="006D3AD5" w:rsidRPr="00874BFF" w:rsidRDefault="006D3AD5" w:rsidP="006D3AD5"/>
    <w:p w14:paraId="42ABA0DA" w14:textId="27B8E5A4" w:rsidR="006D3AD5" w:rsidRPr="00874BFF" w:rsidRDefault="006D3AD5" w:rsidP="006D3AD5">
      <w:r w:rsidRPr="00874BFF">
        <w:t>The small and medium sized enterprises that plan to invest in the next three years have been striving particularly for financing by loans, so far, where their success rate reached 93.5 % in the medium-term and long-term loans, which is a surprisingly good result with regard to the predominance of small enterprises among the respondents. The most available, common source of funding was leasing with a percentage of unsuccessful applicants for financing  of under one per cent. On the contrary, the most difficult access was experienced by small and medium sized enterprises  both to venture capital and other alternative forms of financing (private equity, public issue of shares, corporate bonds, micro-loans, including crowdfunding and P2P lending). At the same time, they showed interest very rarely. With regard to the higher number of respondents, they responded to these forms of financing even less frequently than companies that are planning to invest in RDI in the next three years – again with regard to the prevailing character of SMEs with business history that do not usually use alternative sources of funding.</w:t>
      </w:r>
    </w:p>
    <w:p w14:paraId="4D46AC14" w14:textId="77777777" w:rsidR="006D3AD5" w:rsidRPr="00874BFF" w:rsidRDefault="006D3AD5" w:rsidP="006D3AD5"/>
    <w:p w14:paraId="2B444FC9" w14:textId="7B4E8AEF" w:rsidR="006D3AD5" w:rsidRPr="00874BFF" w:rsidRDefault="006D3AD5" w:rsidP="006D3AD5">
      <w:pPr>
        <w:pStyle w:val="Titulek"/>
      </w:pPr>
      <w:r w:rsidRPr="00874BFF">
        <w:t>Table 2</w:t>
      </w:r>
      <w:r w:rsidR="007C6DD6">
        <w:t>3</w:t>
      </w:r>
      <w:r w:rsidRPr="00874BFF">
        <w:t>: Availability of investment financing</w:t>
      </w:r>
    </w:p>
    <w:tbl>
      <w:tblPr>
        <w:tblW w:w="9436" w:type="dxa"/>
        <w:tblInd w:w="55" w:type="dxa"/>
        <w:tblCellMar>
          <w:left w:w="70" w:type="dxa"/>
          <w:right w:w="70" w:type="dxa"/>
        </w:tblCellMar>
        <w:tblLook w:val="00A0" w:firstRow="1" w:lastRow="0" w:firstColumn="1" w:lastColumn="0" w:noHBand="0" w:noVBand="0"/>
      </w:tblPr>
      <w:tblGrid>
        <w:gridCol w:w="7840"/>
        <w:gridCol w:w="960"/>
        <w:gridCol w:w="798"/>
      </w:tblGrid>
      <w:tr w:rsidR="006D3AD5" w:rsidRPr="00874BFF" w14:paraId="53A5AB48" w14:textId="77777777" w:rsidTr="00443B8F">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14:paraId="76B5A7A9"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Availability of investment financing in the last three years</w:t>
            </w:r>
          </w:p>
        </w:tc>
        <w:tc>
          <w:tcPr>
            <w:tcW w:w="798" w:type="dxa"/>
            <w:tcBorders>
              <w:top w:val="single" w:sz="4" w:space="0" w:color="auto"/>
              <w:left w:val="nil"/>
              <w:bottom w:val="single" w:sz="4" w:space="0" w:color="auto"/>
              <w:right w:val="single" w:sz="4" w:space="0" w:color="auto"/>
            </w:tcBorders>
            <w:noWrap/>
            <w:vAlign w:val="bottom"/>
          </w:tcPr>
          <w:p w14:paraId="31EDEFD6"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798" w:type="dxa"/>
            <w:tcBorders>
              <w:top w:val="single" w:sz="4" w:space="0" w:color="auto"/>
              <w:left w:val="nil"/>
              <w:bottom w:val="single" w:sz="4" w:space="0" w:color="auto"/>
              <w:right w:val="single" w:sz="4" w:space="0" w:color="auto"/>
            </w:tcBorders>
            <w:noWrap/>
            <w:vAlign w:val="bottom"/>
          </w:tcPr>
          <w:p w14:paraId="1016BEE2"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763EDC92"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15A8D86D" w14:textId="77777777" w:rsidR="006D3AD5" w:rsidRPr="00874BFF" w:rsidRDefault="006D3AD5" w:rsidP="00443B8F">
            <w:pPr>
              <w:overflowPunct/>
              <w:autoSpaceDE/>
              <w:autoSpaceDN/>
              <w:adjustRightInd/>
              <w:jc w:val="left"/>
              <w:textAlignment w:val="auto"/>
              <w:rPr>
                <w:rFonts w:cs="Arial"/>
                <w:sz w:val="20"/>
              </w:rPr>
            </w:pPr>
            <w:r w:rsidRPr="00874BFF">
              <w:rPr>
                <w:sz w:val="20"/>
              </w:rPr>
              <w:t>Problem-free – We receive funds relatively quickly and easily; the negotiations are usually efficient and successful.</w:t>
            </w:r>
          </w:p>
        </w:tc>
        <w:tc>
          <w:tcPr>
            <w:tcW w:w="798" w:type="dxa"/>
            <w:tcBorders>
              <w:top w:val="nil"/>
              <w:left w:val="nil"/>
              <w:bottom w:val="single" w:sz="4" w:space="0" w:color="auto"/>
              <w:right w:val="single" w:sz="4" w:space="0" w:color="auto"/>
            </w:tcBorders>
            <w:noWrap/>
            <w:vAlign w:val="bottom"/>
          </w:tcPr>
          <w:p w14:paraId="09839D53" w14:textId="77777777" w:rsidR="006D3AD5" w:rsidRPr="00874BFF" w:rsidRDefault="006D3AD5" w:rsidP="00443B8F">
            <w:pPr>
              <w:overflowPunct/>
              <w:autoSpaceDE/>
              <w:autoSpaceDN/>
              <w:adjustRightInd/>
              <w:jc w:val="right"/>
              <w:textAlignment w:val="auto"/>
              <w:rPr>
                <w:rFonts w:cs="Arial"/>
                <w:sz w:val="20"/>
              </w:rPr>
            </w:pPr>
            <w:r w:rsidRPr="00874BFF">
              <w:rPr>
                <w:sz w:val="20"/>
              </w:rPr>
              <w:t>254</w:t>
            </w:r>
          </w:p>
        </w:tc>
        <w:tc>
          <w:tcPr>
            <w:tcW w:w="798" w:type="dxa"/>
            <w:tcBorders>
              <w:top w:val="nil"/>
              <w:left w:val="nil"/>
              <w:bottom w:val="single" w:sz="4" w:space="0" w:color="auto"/>
              <w:right w:val="single" w:sz="4" w:space="0" w:color="auto"/>
            </w:tcBorders>
            <w:noWrap/>
            <w:vAlign w:val="bottom"/>
          </w:tcPr>
          <w:p w14:paraId="193736D2" w14:textId="77777777" w:rsidR="006D3AD5" w:rsidRPr="00874BFF" w:rsidRDefault="006D3AD5" w:rsidP="00443B8F">
            <w:pPr>
              <w:overflowPunct/>
              <w:autoSpaceDE/>
              <w:autoSpaceDN/>
              <w:adjustRightInd/>
              <w:jc w:val="right"/>
              <w:textAlignment w:val="auto"/>
              <w:rPr>
                <w:rFonts w:cs="Arial"/>
                <w:sz w:val="20"/>
              </w:rPr>
            </w:pPr>
            <w:r w:rsidRPr="00874BFF">
              <w:rPr>
                <w:sz w:val="20"/>
              </w:rPr>
              <w:t>45.6%</w:t>
            </w:r>
          </w:p>
        </w:tc>
      </w:tr>
      <w:tr w:rsidR="006D3AD5" w:rsidRPr="00874BFF" w14:paraId="553E7739"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64A0B56A" w14:textId="77777777" w:rsidR="006D3AD5" w:rsidRPr="00874BFF" w:rsidRDefault="006D3AD5" w:rsidP="00443B8F">
            <w:pPr>
              <w:overflowPunct/>
              <w:autoSpaceDE/>
              <w:autoSpaceDN/>
              <w:adjustRightInd/>
              <w:jc w:val="left"/>
              <w:textAlignment w:val="auto"/>
              <w:rPr>
                <w:rFonts w:cs="Arial"/>
                <w:sz w:val="20"/>
              </w:rPr>
            </w:pPr>
            <w:r w:rsidRPr="00874BFF">
              <w:rPr>
                <w:sz w:val="20"/>
              </w:rPr>
              <w:t>With minor problems – The information is sufficient and the funding provider can be found after several rounds of talks.</w:t>
            </w:r>
          </w:p>
        </w:tc>
        <w:tc>
          <w:tcPr>
            <w:tcW w:w="798" w:type="dxa"/>
            <w:tcBorders>
              <w:top w:val="nil"/>
              <w:left w:val="nil"/>
              <w:bottom w:val="single" w:sz="4" w:space="0" w:color="auto"/>
              <w:right w:val="single" w:sz="4" w:space="0" w:color="auto"/>
            </w:tcBorders>
            <w:noWrap/>
            <w:vAlign w:val="bottom"/>
          </w:tcPr>
          <w:p w14:paraId="045C7E66" w14:textId="77777777" w:rsidR="006D3AD5" w:rsidRPr="00874BFF" w:rsidRDefault="006D3AD5" w:rsidP="00443B8F">
            <w:pPr>
              <w:overflowPunct/>
              <w:autoSpaceDE/>
              <w:autoSpaceDN/>
              <w:adjustRightInd/>
              <w:jc w:val="right"/>
              <w:textAlignment w:val="auto"/>
              <w:rPr>
                <w:rFonts w:cs="Arial"/>
                <w:sz w:val="20"/>
              </w:rPr>
            </w:pPr>
            <w:r w:rsidRPr="00874BFF">
              <w:rPr>
                <w:sz w:val="20"/>
              </w:rPr>
              <w:t>133</w:t>
            </w:r>
          </w:p>
        </w:tc>
        <w:tc>
          <w:tcPr>
            <w:tcW w:w="798" w:type="dxa"/>
            <w:tcBorders>
              <w:top w:val="nil"/>
              <w:left w:val="nil"/>
              <w:bottom w:val="single" w:sz="4" w:space="0" w:color="auto"/>
              <w:right w:val="single" w:sz="4" w:space="0" w:color="auto"/>
            </w:tcBorders>
            <w:noWrap/>
            <w:vAlign w:val="bottom"/>
          </w:tcPr>
          <w:p w14:paraId="6B69CF31" w14:textId="77777777" w:rsidR="006D3AD5" w:rsidRPr="00874BFF" w:rsidRDefault="006D3AD5" w:rsidP="00443B8F">
            <w:pPr>
              <w:overflowPunct/>
              <w:autoSpaceDE/>
              <w:autoSpaceDN/>
              <w:adjustRightInd/>
              <w:jc w:val="right"/>
              <w:textAlignment w:val="auto"/>
              <w:rPr>
                <w:rFonts w:cs="Arial"/>
                <w:sz w:val="20"/>
              </w:rPr>
            </w:pPr>
            <w:r w:rsidRPr="00874BFF">
              <w:rPr>
                <w:sz w:val="20"/>
              </w:rPr>
              <w:t>23.9%</w:t>
            </w:r>
          </w:p>
        </w:tc>
      </w:tr>
      <w:tr w:rsidR="006D3AD5" w:rsidRPr="00874BFF" w14:paraId="085F6861"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58709940"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merely good –  financial resources exist here, but they are difficult to raise.</w:t>
            </w:r>
          </w:p>
        </w:tc>
        <w:tc>
          <w:tcPr>
            <w:tcW w:w="798" w:type="dxa"/>
            <w:tcBorders>
              <w:top w:val="nil"/>
              <w:left w:val="nil"/>
              <w:bottom w:val="single" w:sz="4" w:space="0" w:color="auto"/>
              <w:right w:val="single" w:sz="4" w:space="0" w:color="auto"/>
            </w:tcBorders>
            <w:noWrap/>
            <w:vAlign w:val="bottom"/>
          </w:tcPr>
          <w:p w14:paraId="72B41A64" w14:textId="77777777" w:rsidR="006D3AD5" w:rsidRPr="00874BFF" w:rsidRDefault="006D3AD5" w:rsidP="00443B8F">
            <w:pPr>
              <w:overflowPunct/>
              <w:autoSpaceDE/>
              <w:autoSpaceDN/>
              <w:adjustRightInd/>
              <w:jc w:val="right"/>
              <w:textAlignment w:val="auto"/>
              <w:rPr>
                <w:rFonts w:cs="Arial"/>
                <w:sz w:val="20"/>
              </w:rPr>
            </w:pPr>
            <w:r w:rsidRPr="00874BFF">
              <w:rPr>
                <w:sz w:val="20"/>
              </w:rPr>
              <w:t>92</w:t>
            </w:r>
          </w:p>
        </w:tc>
        <w:tc>
          <w:tcPr>
            <w:tcW w:w="798" w:type="dxa"/>
            <w:tcBorders>
              <w:top w:val="nil"/>
              <w:left w:val="nil"/>
              <w:bottom w:val="single" w:sz="4" w:space="0" w:color="auto"/>
              <w:right w:val="single" w:sz="4" w:space="0" w:color="auto"/>
            </w:tcBorders>
            <w:noWrap/>
            <w:vAlign w:val="bottom"/>
          </w:tcPr>
          <w:p w14:paraId="02656EFC" w14:textId="77777777" w:rsidR="006D3AD5" w:rsidRPr="00874BFF" w:rsidRDefault="006D3AD5" w:rsidP="00443B8F">
            <w:pPr>
              <w:overflowPunct/>
              <w:autoSpaceDE/>
              <w:autoSpaceDN/>
              <w:adjustRightInd/>
              <w:jc w:val="right"/>
              <w:textAlignment w:val="auto"/>
              <w:rPr>
                <w:rFonts w:cs="Arial"/>
                <w:sz w:val="20"/>
              </w:rPr>
            </w:pPr>
            <w:r w:rsidRPr="00874BFF">
              <w:rPr>
                <w:sz w:val="20"/>
              </w:rPr>
              <w:t>16.5%</w:t>
            </w:r>
          </w:p>
        </w:tc>
      </w:tr>
      <w:tr w:rsidR="006D3AD5" w:rsidRPr="00874BFF" w14:paraId="248CACF7"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4F3418DF"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poor – there is an information barrier; the banks have high requirements for the collateral value, etc.</w:t>
            </w:r>
          </w:p>
        </w:tc>
        <w:tc>
          <w:tcPr>
            <w:tcW w:w="798" w:type="dxa"/>
            <w:tcBorders>
              <w:top w:val="nil"/>
              <w:left w:val="nil"/>
              <w:bottom w:val="single" w:sz="4" w:space="0" w:color="auto"/>
              <w:right w:val="single" w:sz="4" w:space="0" w:color="auto"/>
            </w:tcBorders>
            <w:noWrap/>
            <w:vAlign w:val="bottom"/>
          </w:tcPr>
          <w:p w14:paraId="1CAB065C" w14:textId="77777777" w:rsidR="006D3AD5" w:rsidRPr="00874BFF" w:rsidRDefault="006D3AD5" w:rsidP="00443B8F">
            <w:pPr>
              <w:overflowPunct/>
              <w:autoSpaceDE/>
              <w:autoSpaceDN/>
              <w:adjustRightInd/>
              <w:jc w:val="right"/>
              <w:textAlignment w:val="auto"/>
              <w:rPr>
                <w:rFonts w:cs="Arial"/>
                <w:sz w:val="20"/>
              </w:rPr>
            </w:pPr>
            <w:r w:rsidRPr="00874BFF">
              <w:rPr>
                <w:sz w:val="20"/>
              </w:rPr>
              <w:t>78</w:t>
            </w:r>
          </w:p>
        </w:tc>
        <w:tc>
          <w:tcPr>
            <w:tcW w:w="798" w:type="dxa"/>
            <w:tcBorders>
              <w:top w:val="nil"/>
              <w:left w:val="nil"/>
              <w:bottom w:val="single" w:sz="4" w:space="0" w:color="auto"/>
              <w:right w:val="single" w:sz="4" w:space="0" w:color="auto"/>
            </w:tcBorders>
            <w:noWrap/>
            <w:vAlign w:val="bottom"/>
          </w:tcPr>
          <w:p w14:paraId="681FBC6E" w14:textId="77777777" w:rsidR="006D3AD5" w:rsidRPr="00874BFF" w:rsidRDefault="006D3AD5" w:rsidP="00443B8F">
            <w:pPr>
              <w:overflowPunct/>
              <w:autoSpaceDE/>
              <w:autoSpaceDN/>
              <w:adjustRightInd/>
              <w:jc w:val="right"/>
              <w:textAlignment w:val="auto"/>
              <w:rPr>
                <w:rFonts w:cs="Arial"/>
                <w:sz w:val="20"/>
              </w:rPr>
            </w:pPr>
            <w:r w:rsidRPr="00874BFF">
              <w:rPr>
                <w:sz w:val="20"/>
              </w:rPr>
              <w:t>14.0%</w:t>
            </w:r>
          </w:p>
        </w:tc>
      </w:tr>
      <w:tr w:rsidR="006D3AD5" w:rsidRPr="00874BFF" w14:paraId="3FFB3C0B" w14:textId="77777777" w:rsidTr="00443B8F">
        <w:trPr>
          <w:trHeight w:val="255"/>
        </w:trPr>
        <w:tc>
          <w:tcPr>
            <w:tcW w:w="7840" w:type="dxa"/>
            <w:tcBorders>
              <w:top w:val="nil"/>
              <w:left w:val="nil"/>
              <w:bottom w:val="nil"/>
              <w:right w:val="nil"/>
            </w:tcBorders>
            <w:noWrap/>
            <w:vAlign w:val="bottom"/>
          </w:tcPr>
          <w:p w14:paraId="43D453E0"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798" w:type="dxa"/>
            <w:tcBorders>
              <w:top w:val="nil"/>
              <w:left w:val="nil"/>
              <w:bottom w:val="nil"/>
              <w:right w:val="nil"/>
            </w:tcBorders>
            <w:noWrap/>
            <w:vAlign w:val="bottom"/>
          </w:tcPr>
          <w:p w14:paraId="43A2918A" w14:textId="77777777" w:rsidR="006D3AD5" w:rsidRPr="00874BFF" w:rsidRDefault="006D3AD5" w:rsidP="00443B8F">
            <w:pPr>
              <w:overflowPunct/>
              <w:autoSpaceDE/>
              <w:autoSpaceDN/>
              <w:adjustRightInd/>
              <w:jc w:val="right"/>
              <w:textAlignment w:val="auto"/>
              <w:rPr>
                <w:rFonts w:cs="Arial"/>
                <w:sz w:val="20"/>
              </w:rPr>
            </w:pPr>
            <w:r w:rsidRPr="00874BFF">
              <w:rPr>
                <w:sz w:val="20"/>
              </w:rPr>
              <w:t>557</w:t>
            </w:r>
          </w:p>
        </w:tc>
        <w:tc>
          <w:tcPr>
            <w:tcW w:w="798" w:type="dxa"/>
            <w:tcBorders>
              <w:top w:val="nil"/>
              <w:left w:val="nil"/>
              <w:bottom w:val="nil"/>
              <w:right w:val="nil"/>
            </w:tcBorders>
            <w:noWrap/>
            <w:vAlign w:val="bottom"/>
          </w:tcPr>
          <w:p w14:paraId="4EB63AD1" w14:textId="77777777" w:rsidR="006D3AD5" w:rsidRPr="00874BFF" w:rsidRDefault="006D3AD5" w:rsidP="00443B8F">
            <w:pPr>
              <w:overflowPunct/>
              <w:autoSpaceDE/>
              <w:autoSpaceDN/>
              <w:adjustRightInd/>
              <w:jc w:val="left"/>
              <w:textAlignment w:val="auto"/>
              <w:rPr>
                <w:rFonts w:cs="Arial"/>
                <w:sz w:val="20"/>
              </w:rPr>
            </w:pPr>
          </w:p>
        </w:tc>
      </w:tr>
    </w:tbl>
    <w:p w14:paraId="243B3CDA" w14:textId="77777777" w:rsidR="006D3AD5" w:rsidRPr="00874BFF" w:rsidRDefault="006D3AD5" w:rsidP="006D3AD5">
      <w:r w:rsidRPr="00874BFF">
        <w:t>All in all, the respondents therefore evaluated their access to financing as difficult in 30.5 % of the cases. In general, small and medium size enterprises have thus a very good access to bank loans which, however, are not e.g. provided in full  or conditioned with hardly fulfillable criteria.</w:t>
      </w:r>
    </w:p>
    <w:p w14:paraId="0F9A3C48" w14:textId="77777777" w:rsidR="006D3AD5" w:rsidRPr="00874BFF" w:rsidRDefault="006D3AD5" w:rsidP="006D3AD5"/>
    <w:p w14:paraId="2B075BC4" w14:textId="0F34E22C" w:rsidR="006D3AD5" w:rsidRPr="00874BFF" w:rsidRDefault="006D3AD5" w:rsidP="006D3AD5">
      <w:pPr>
        <w:pStyle w:val="Titulek"/>
        <w:keepNext/>
      </w:pPr>
      <w:r w:rsidRPr="00874BFF">
        <w:lastRenderedPageBreak/>
        <w:t xml:space="preserve">Figure </w:t>
      </w:r>
      <w:r w:rsidR="00AE6275">
        <w:t>16</w:t>
      </w:r>
      <w:r w:rsidRPr="00874BFF">
        <w:t>: Availability of financing for SMEs' investments in the last three years</w:t>
      </w:r>
    </w:p>
    <w:p w14:paraId="54583E3A" w14:textId="77777777" w:rsidR="006D3AD5" w:rsidRPr="00874BFF" w:rsidRDefault="006D3AD5" w:rsidP="006D3AD5">
      <w:r w:rsidRPr="00874BFF">
        <w:rPr>
          <w:noProof/>
        </w:rPr>
        <w:drawing>
          <wp:inline distT="0" distB="0" distL="0" distR="0" wp14:anchorId="0EC444E1" wp14:editId="1AC69C20">
            <wp:extent cx="4914900" cy="2386965"/>
            <wp:effectExtent l="0" t="0" r="0" b="13335"/>
            <wp:docPr id="16" name="obráze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58109C" w14:textId="77777777" w:rsidR="006D3AD5" w:rsidRPr="00874BFF" w:rsidRDefault="006D3AD5" w:rsidP="006D3AD5"/>
    <w:p w14:paraId="45820CD5" w14:textId="77777777" w:rsidR="006D3AD5" w:rsidRPr="00874BFF" w:rsidRDefault="006D3AD5" w:rsidP="006D3AD5">
      <w:r w:rsidRPr="00874BFF">
        <w:t xml:space="preserve">Further data relate only to the SMEs  that evaluated their access to financing as difficult. </w:t>
      </w:r>
    </w:p>
    <w:p w14:paraId="29333141" w14:textId="77777777" w:rsidR="006D3AD5" w:rsidRPr="00874BFF" w:rsidRDefault="006D3AD5" w:rsidP="006D3AD5"/>
    <w:p w14:paraId="2BF55757" w14:textId="7AD56276" w:rsidR="006D3AD5" w:rsidRPr="00874BFF" w:rsidRDefault="006D3AD5" w:rsidP="006D3AD5">
      <w:pPr>
        <w:pStyle w:val="Titulek"/>
      </w:pPr>
      <w:r w:rsidRPr="00874BFF">
        <w:t>Table 2</w:t>
      </w:r>
      <w:r w:rsidR="007C6DD6">
        <w:t>4</w:t>
      </w:r>
      <w:r w:rsidRPr="00874BFF">
        <w:t>:  Reasons for difficult access to financing</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3AD5" w:rsidRPr="00874BFF" w14:paraId="5FA88391" w14:textId="77777777" w:rsidTr="00443B8F">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14:paraId="7E247E71"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Major reasons for difficult access to financing</w:t>
            </w:r>
          </w:p>
        </w:tc>
        <w:tc>
          <w:tcPr>
            <w:tcW w:w="960" w:type="dxa"/>
            <w:tcBorders>
              <w:top w:val="single" w:sz="4" w:space="0" w:color="auto"/>
              <w:left w:val="nil"/>
              <w:bottom w:val="single" w:sz="4" w:space="0" w:color="auto"/>
              <w:right w:val="single" w:sz="4" w:space="0" w:color="auto"/>
            </w:tcBorders>
            <w:noWrap/>
            <w:vAlign w:val="bottom"/>
          </w:tcPr>
          <w:p w14:paraId="5913AD16"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62E3FE88"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01C04093"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5ECC3B8C" w14:textId="77777777" w:rsidR="006D3AD5" w:rsidRPr="00874BFF" w:rsidRDefault="006D3AD5" w:rsidP="00443B8F">
            <w:pPr>
              <w:overflowPunct/>
              <w:autoSpaceDE/>
              <w:autoSpaceDN/>
              <w:adjustRightInd/>
              <w:jc w:val="left"/>
              <w:textAlignment w:val="auto"/>
              <w:rPr>
                <w:rFonts w:cs="Arial"/>
                <w:sz w:val="20"/>
              </w:rPr>
            </w:pPr>
            <w:r w:rsidRPr="00874BFF">
              <w:rPr>
                <w:sz w:val="20"/>
              </w:rPr>
              <w:t>Long payback period of the project</w:t>
            </w:r>
          </w:p>
        </w:tc>
        <w:tc>
          <w:tcPr>
            <w:tcW w:w="960" w:type="dxa"/>
            <w:tcBorders>
              <w:top w:val="nil"/>
              <w:left w:val="nil"/>
              <w:bottom w:val="single" w:sz="4" w:space="0" w:color="auto"/>
              <w:right w:val="single" w:sz="4" w:space="0" w:color="auto"/>
            </w:tcBorders>
            <w:noWrap/>
            <w:vAlign w:val="bottom"/>
          </w:tcPr>
          <w:p w14:paraId="5C155CF3" w14:textId="77777777" w:rsidR="006D3AD5" w:rsidRPr="00874BFF" w:rsidRDefault="006D3AD5" w:rsidP="00443B8F">
            <w:pPr>
              <w:overflowPunct/>
              <w:autoSpaceDE/>
              <w:autoSpaceDN/>
              <w:adjustRightInd/>
              <w:jc w:val="right"/>
              <w:textAlignment w:val="auto"/>
              <w:rPr>
                <w:rFonts w:cs="Arial"/>
                <w:sz w:val="20"/>
              </w:rPr>
            </w:pPr>
            <w:r w:rsidRPr="00874BFF">
              <w:rPr>
                <w:sz w:val="20"/>
              </w:rPr>
              <w:t>50</w:t>
            </w:r>
          </w:p>
        </w:tc>
        <w:tc>
          <w:tcPr>
            <w:tcW w:w="960" w:type="dxa"/>
            <w:tcBorders>
              <w:top w:val="nil"/>
              <w:left w:val="nil"/>
              <w:bottom w:val="single" w:sz="4" w:space="0" w:color="auto"/>
              <w:right w:val="single" w:sz="4" w:space="0" w:color="auto"/>
            </w:tcBorders>
            <w:noWrap/>
            <w:vAlign w:val="bottom"/>
          </w:tcPr>
          <w:p w14:paraId="3A9BB01E" w14:textId="77777777" w:rsidR="006D3AD5" w:rsidRPr="00874BFF" w:rsidRDefault="006D3AD5" w:rsidP="00443B8F">
            <w:pPr>
              <w:overflowPunct/>
              <w:autoSpaceDE/>
              <w:autoSpaceDN/>
              <w:adjustRightInd/>
              <w:jc w:val="right"/>
              <w:textAlignment w:val="auto"/>
              <w:rPr>
                <w:rFonts w:cs="Arial"/>
                <w:sz w:val="20"/>
              </w:rPr>
            </w:pPr>
            <w:r w:rsidRPr="00874BFF">
              <w:rPr>
                <w:sz w:val="20"/>
              </w:rPr>
              <w:t>29.4%</w:t>
            </w:r>
          </w:p>
        </w:tc>
      </w:tr>
      <w:tr w:rsidR="006D3AD5" w:rsidRPr="00874BFF" w14:paraId="4AAA8113"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4779FA6E" w14:textId="77777777" w:rsidR="006D3AD5" w:rsidRPr="00874BFF" w:rsidRDefault="006D3AD5" w:rsidP="00443B8F">
            <w:pPr>
              <w:overflowPunct/>
              <w:autoSpaceDE/>
              <w:autoSpaceDN/>
              <w:adjustRightInd/>
              <w:jc w:val="left"/>
              <w:textAlignment w:val="auto"/>
              <w:rPr>
                <w:rFonts w:cs="Arial"/>
                <w:sz w:val="20"/>
              </w:rPr>
            </w:pPr>
            <w:r w:rsidRPr="00874BFF">
              <w:rPr>
                <w:sz w:val="20"/>
              </w:rPr>
              <w:t>Short business history</w:t>
            </w:r>
          </w:p>
        </w:tc>
        <w:tc>
          <w:tcPr>
            <w:tcW w:w="960" w:type="dxa"/>
            <w:tcBorders>
              <w:top w:val="nil"/>
              <w:left w:val="nil"/>
              <w:bottom w:val="single" w:sz="4" w:space="0" w:color="auto"/>
              <w:right w:val="single" w:sz="4" w:space="0" w:color="auto"/>
            </w:tcBorders>
            <w:noWrap/>
            <w:vAlign w:val="bottom"/>
          </w:tcPr>
          <w:p w14:paraId="2D891C31" w14:textId="77777777" w:rsidR="006D3AD5" w:rsidRPr="00874BFF" w:rsidRDefault="006D3AD5" w:rsidP="00443B8F">
            <w:pPr>
              <w:overflowPunct/>
              <w:autoSpaceDE/>
              <w:autoSpaceDN/>
              <w:adjustRightInd/>
              <w:jc w:val="right"/>
              <w:textAlignment w:val="auto"/>
              <w:rPr>
                <w:rFonts w:cs="Arial"/>
                <w:sz w:val="20"/>
              </w:rPr>
            </w:pPr>
            <w:r w:rsidRPr="00874BFF">
              <w:rPr>
                <w:sz w:val="20"/>
              </w:rPr>
              <w:t>50</w:t>
            </w:r>
          </w:p>
        </w:tc>
        <w:tc>
          <w:tcPr>
            <w:tcW w:w="960" w:type="dxa"/>
            <w:tcBorders>
              <w:top w:val="nil"/>
              <w:left w:val="nil"/>
              <w:bottom w:val="single" w:sz="4" w:space="0" w:color="auto"/>
              <w:right w:val="single" w:sz="4" w:space="0" w:color="auto"/>
            </w:tcBorders>
            <w:noWrap/>
            <w:vAlign w:val="bottom"/>
          </w:tcPr>
          <w:p w14:paraId="000B4032" w14:textId="77777777" w:rsidR="006D3AD5" w:rsidRPr="00874BFF" w:rsidRDefault="006D3AD5" w:rsidP="00443B8F">
            <w:pPr>
              <w:overflowPunct/>
              <w:autoSpaceDE/>
              <w:autoSpaceDN/>
              <w:adjustRightInd/>
              <w:jc w:val="right"/>
              <w:textAlignment w:val="auto"/>
              <w:rPr>
                <w:rFonts w:cs="Arial"/>
                <w:sz w:val="20"/>
              </w:rPr>
            </w:pPr>
            <w:r w:rsidRPr="00874BFF">
              <w:rPr>
                <w:sz w:val="20"/>
              </w:rPr>
              <w:t>29.4%</w:t>
            </w:r>
          </w:p>
        </w:tc>
      </w:tr>
      <w:tr w:rsidR="006D3AD5" w:rsidRPr="00874BFF" w14:paraId="4B30A7B4"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0A26979D" w14:textId="77777777" w:rsidR="006D3AD5" w:rsidRPr="00874BFF" w:rsidRDefault="006D3AD5" w:rsidP="00443B8F">
            <w:pPr>
              <w:overflowPunct/>
              <w:autoSpaceDE/>
              <w:autoSpaceDN/>
              <w:adjustRightInd/>
              <w:jc w:val="left"/>
              <w:textAlignment w:val="auto"/>
              <w:rPr>
                <w:rFonts w:cs="Arial"/>
                <w:sz w:val="20"/>
              </w:rPr>
            </w:pPr>
            <w:r w:rsidRPr="00874BFF">
              <w:rPr>
                <w:sz w:val="20"/>
              </w:rPr>
              <w:t>Securitisation possibilities</w:t>
            </w:r>
          </w:p>
        </w:tc>
        <w:tc>
          <w:tcPr>
            <w:tcW w:w="960" w:type="dxa"/>
            <w:tcBorders>
              <w:top w:val="nil"/>
              <w:left w:val="nil"/>
              <w:bottom w:val="single" w:sz="4" w:space="0" w:color="auto"/>
              <w:right w:val="single" w:sz="4" w:space="0" w:color="auto"/>
            </w:tcBorders>
            <w:noWrap/>
            <w:vAlign w:val="bottom"/>
          </w:tcPr>
          <w:p w14:paraId="05931DC2" w14:textId="77777777" w:rsidR="006D3AD5" w:rsidRPr="00874BFF" w:rsidRDefault="006D3AD5" w:rsidP="00443B8F">
            <w:pPr>
              <w:overflowPunct/>
              <w:autoSpaceDE/>
              <w:autoSpaceDN/>
              <w:adjustRightInd/>
              <w:jc w:val="right"/>
              <w:textAlignment w:val="auto"/>
              <w:rPr>
                <w:rFonts w:cs="Arial"/>
                <w:sz w:val="20"/>
              </w:rPr>
            </w:pPr>
            <w:r w:rsidRPr="00874BFF">
              <w:rPr>
                <w:sz w:val="20"/>
              </w:rPr>
              <w:t>87</w:t>
            </w:r>
          </w:p>
        </w:tc>
        <w:tc>
          <w:tcPr>
            <w:tcW w:w="960" w:type="dxa"/>
            <w:tcBorders>
              <w:top w:val="nil"/>
              <w:left w:val="nil"/>
              <w:bottom w:val="single" w:sz="4" w:space="0" w:color="auto"/>
              <w:right w:val="single" w:sz="4" w:space="0" w:color="auto"/>
            </w:tcBorders>
            <w:noWrap/>
            <w:vAlign w:val="bottom"/>
          </w:tcPr>
          <w:p w14:paraId="77E94608" w14:textId="77777777" w:rsidR="006D3AD5" w:rsidRPr="00874BFF" w:rsidRDefault="006D3AD5" w:rsidP="00443B8F">
            <w:pPr>
              <w:overflowPunct/>
              <w:autoSpaceDE/>
              <w:autoSpaceDN/>
              <w:adjustRightInd/>
              <w:jc w:val="right"/>
              <w:textAlignment w:val="auto"/>
              <w:rPr>
                <w:rFonts w:cs="Arial"/>
                <w:sz w:val="20"/>
              </w:rPr>
            </w:pPr>
            <w:r w:rsidRPr="00874BFF">
              <w:rPr>
                <w:sz w:val="20"/>
              </w:rPr>
              <w:t>51.2%</w:t>
            </w:r>
          </w:p>
        </w:tc>
      </w:tr>
      <w:tr w:rsidR="006D3AD5" w:rsidRPr="00874BFF" w14:paraId="2FF0734F"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249E758A" w14:textId="77777777" w:rsidR="006D3AD5" w:rsidRPr="00874BFF" w:rsidRDefault="006D3AD5" w:rsidP="00443B8F">
            <w:pPr>
              <w:overflowPunct/>
              <w:autoSpaceDE/>
              <w:autoSpaceDN/>
              <w:adjustRightInd/>
              <w:jc w:val="left"/>
              <w:textAlignment w:val="auto"/>
              <w:rPr>
                <w:rFonts w:cs="Arial"/>
                <w:sz w:val="20"/>
              </w:rPr>
            </w:pPr>
            <w:r w:rsidRPr="00874BFF">
              <w:rPr>
                <w:sz w:val="20"/>
              </w:rPr>
              <w:t>Financial costs</w:t>
            </w:r>
          </w:p>
        </w:tc>
        <w:tc>
          <w:tcPr>
            <w:tcW w:w="960" w:type="dxa"/>
            <w:tcBorders>
              <w:top w:val="nil"/>
              <w:left w:val="nil"/>
              <w:bottom w:val="single" w:sz="4" w:space="0" w:color="auto"/>
              <w:right w:val="single" w:sz="4" w:space="0" w:color="auto"/>
            </w:tcBorders>
            <w:noWrap/>
            <w:vAlign w:val="bottom"/>
          </w:tcPr>
          <w:p w14:paraId="6E0FFE1B" w14:textId="77777777" w:rsidR="006D3AD5" w:rsidRPr="00874BFF" w:rsidRDefault="006D3AD5" w:rsidP="00443B8F">
            <w:pPr>
              <w:overflowPunct/>
              <w:autoSpaceDE/>
              <w:autoSpaceDN/>
              <w:adjustRightInd/>
              <w:jc w:val="right"/>
              <w:textAlignment w:val="auto"/>
              <w:rPr>
                <w:rFonts w:cs="Arial"/>
                <w:sz w:val="20"/>
              </w:rPr>
            </w:pPr>
            <w:r w:rsidRPr="00874BFF">
              <w:rPr>
                <w:sz w:val="20"/>
              </w:rPr>
              <w:t>59</w:t>
            </w:r>
          </w:p>
        </w:tc>
        <w:tc>
          <w:tcPr>
            <w:tcW w:w="960" w:type="dxa"/>
            <w:tcBorders>
              <w:top w:val="nil"/>
              <w:left w:val="nil"/>
              <w:bottom w:val="single" w:sz="4" w:space="0" w:color="auto"/>
              <w:right w:val="single" w:sz="4" w:space="0" w:color="auto"/>
            </w:tcBorders>
            <w:noWrap/>
            <w:vAlign w:val="bottom"/>
          </w:tcPr>
          <w:p w14:paraId="76943CE1" w14:textId="77777777" w:rsidR="006D3AD5" w:rsidRPr="00874BFF" w:rsidRDefault="006D3AD5" w:rsidP="00443B8F">
            <w:pPr>
              <w:overflowPunct/>
              <w:autoSpaceDE/>
              <w:autoSpaceDN/>
              <w:adjustRightInd/>
              <w:jc w:val="right"/>
              <w:textAlignment w:val="auto"/>
              <w:rPr>
                <w:rFonts w:cs="Arial"/>
                <w:sz w:val="20"/>
              </w:rPr>
            </w:pPr>
            <w:r w:rsidRPr="00874BFF">
              <w:rPr>
                <w:sz w:val="20"/>
              </w:rPr>
              <w:t>34.7%</w:t>
            </w:r>
          </w:p>
        </w:tc>
      </w:tr>
      <w:tr w:rsidR="006D3AD5" w:rsidRPr="00874BFF" w14:paraId="5B3789BC"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36846302" w14:textId="77777777" w:rsidR="006D3AD5" w:rsidRPr="00874BFF" w:rsidRDefault="006D3AD5" w:rsidP="00443B8F">
            <w:pPr>
              <w:overflowPunct/>
              <w:autoSpaceDE/>
              <w:autoSpaceDN/>
              <w:adjustRightInd/>
              <w:jc w:val="left"/>
              <w:textAlignment w:val="auto"/>
              <w:rPr>
                <w:rFonts w:cs="Arial"/>
                <w:sz w:val="20"/>
              </w:rPr>
            </w:pPr>
            <w:r w:rsidRPr="00874BFF">
              <w:rPr>
                <w:sz w:val="20"/>
              </w:rPr>
              <w:t>Economic potential of the project</w:t>
            </w:r>
          </w:p>
        </w:tc>
        <w:tc>
          <w:tcPr>
            <w:tcW w:w="960" w:type="dxa"/>
            <w:tcBorders>
              <w:top w:val="nil"/>
              <w:left w:val="nil"/>
              <w:bottom w:val="single" w:sz="4" w:space="0" w:color="auto"/>
              <w:right w:val="single" w:sz="4" w:space="0" w:color="auto"/>
            </w:tcBorders>
            <w:noWrap/>
            <w:vAlign w:val="bottom"/>
          </w:tcPr>
          <w:p w14:paraId="0FD71E3E" w14:textId="77777777" w:rsidR="006D3AD5" w:rsidRPr="00874BFF" w:rsidRDefault="006D3AD5" w:rsidP="00443B8F">
            <w:pPr>
              <w:overflowPunct/>
              <w:autoSpaceDE/>
              <w:autoSpaceDN/>
              <w:adjustRightInd/>
              <w:jc w:val="right"/>
              <w:textAlignment w:val="auto"/>
              <w:rPr>
                <w:rFonts w:cs="Arial"/>
                <w:sz w:val="20"/>
              </w:rPr>
            </w:pPr>
            <w:r w:rsidRPr="00874BFF">
              <w:rPr>
                <w:sz w:val="20"/>
              </w:rPr>
              <w:t>32</w:t>
            </w:r>
          </w:p>
        </w:tc>
        <w:tc>
          <w:tcPr>
            <w:tcW w:w="960" w:type="dxa"/>
            <w:tcBorders>
              <w:top w:val="nil"/>
              <w:left w:val="nil"/>
              <w:bottom w:val="single" w:sz="4" w:space="0" w:color="auto"/>
              <w:right w:val="single" w:sz="4" w:space="0" w:color="auto"/>
            </w:tcBorders>
            <w:noWrap/>
            <w:vAlign w:val="bottom"/>
          </w:tcPr>
          <w:p w14:paraId="4AAFF42F" w14:textId="77777777" w:rsidR="006D3AD5" w:rsidRPr="00874BFF" w:rsidRDefault="006D3AD5" w:rsidP="00443B8F">
            <w:pPr>
              <w:overflowPunct/>
              <w:autoSpaceDE/>
              <w:autoSpaceDN/>
              <w:adjustRightInd/>
              <w:jc w:val="right"/>
              <w:textAlignment w:val="auto"/>
              <w:rPr>
                <w:rFonts w:cs="Arial"/>
                <w:sz w:val="20"/>
              </w:rPr>
            </w:pPr>
            <w:r w:rsidRPr="00874BFF">
              <w:rPr>
                <w:sz w:val="20"/>
              </w:rPr>
              <w:t>18.8%</w:t>
            </w:r>
          </w:p>
        </w:tc>
      </w:tr>
      <w:tr w:rsidR="006D3AD5" w:rsidRPr="00874BFF" w14:paraId="3BEA7CCC"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7CABE941" w14:textId="77777777" w:rsidR="006D3AD5" w:rsidRPr="00874BFF" w:rsidRDefault="006D3AD5" w:rsidP="00443B8F">
            <w:pPr>
              <w:overflowPunct/>
              <w:autoSpaceDE/>
              <w:autoSpaceDN/>
              <w:adjustRightInd/>
              <w:jc w:val="left"/>
              <w:textAlignment w:val="auto"/>
              <w:rPr>
                <w:rFonts w:cs="Arial"/>
                <w:sz w:val="20"/>
              </w:rPr>
            </w:pPr>
            <w:r w:rsidRPr="00874BFF">
              <w:rPr>
                <w:sz w:val="20"/>
              </w:rPr>
              <w:t>High current debt</w:t>
            </w:r>
          </w:p>
        </w:tc>
        <w:tc>
          <w:tcPr>
            <w:tcW w:w="960" w:type="dxa"/>
            <w:tcBorders>
              <w:top w:val="nil"/>
              <w:left w:val="nil"/>
              <w:bottom w:val="single" w:sz="4" w:space="0" w:color="auto"/>
              <w:right w:val="single" w:sz="4" w:space="0" w:color="auto"/>
            </w:tcBorders>
            <w:noWrap/>
            <w:vAlign w:val="bottom"/>
          </w:tcPr>
          <w:p w14:paraId="6A205B65" w14:textId="77777777" w:rsidR="006D3AD5" w:rsidRPr="00874BFF" w:rsidRDefault="006D3AD5" w:rsidP="00443B8F">
            <w:pPr>
              <w:overflowPunct/>
              <w:autoSpaceDE/>
              <w:autoSpaceDN/>
              <w:adjustRightInd/>
              <w:jc w:val="right"/>
              <w:textAlignment w:val="auto"/>
              <w:rPr>
                <w:rFonts w:cs="Arial"/>
                <w:sz w:val="20"/>
              </w:rPr>
            </w:pPr>
            <w:r w:rsidRPr="00874BFF">
              <w:rPr>
                <w:sz w:val="20"/>
              </w:rPr>
              <w:t>23</w:t>
            </w:r>
          </w:p>
        </w:tc>
        <w:tc>
          <w:tcPr>
            <w:tcW w:w="960" w:type="dxa"/>
            <w:tcBorders>
              <w:top w:val="nil"/>
              <w:left w:val="nil"/>
              <w:bottom w:val="single" w:sz="4" w:space="0" w:color="auto"/>
              <w:right w:val="single" w:sz="4" w:space="0" w:color="auto"/>
            </w:tcBorders>
            <w:noWrap/>
            <w:vAlign w:val="bottom"/>
          </w:tcPr>
          <w:p w14:paraId="765F2A66" w14:textId="77777777" w:rsidR="006D3AD5" w:rsidRPr="00874BFF" w:rsidRDefault="006D3AD5" w:rsidP="00443B8F">
            <w:pPr>
              <w:overflowPunct/>
              <w:autoSpaceDE/>
              <w:autoSpaceDN/>
              <w:adjustRightInd/>
              <w:jc w:val="right"/>
              <w:textAlignment w:val="auto"/>
              <w:rPr>
                <w:rFonts w:cs="Arial"/>
                <w:sz w:val="20"/>
              </w:rPr>
            </w:pPr>
            <w:r w:rsidRPr="00874BFF">
              <w:rPr>
                <w:sz w:val="20"/>
              </w:rPr>
              <w:t>13.5%</w:t>
            </w:r>
          </w:p>
        </w:tc>
      </w:tr>
      <w:tr w:rsidR="006D3AD5" w:rsidRPr="00874BFF" w14:paraId="296DCFC6" w14:textId="77777777" w:rsidTr="00443B8F">
        <w:trPr>
          <w:trHeight w:val="255"/>
        </w:trPr>
        <w:tc>
          <w:tcPr>
            <w:tcW w:w="2966" w:type="dxa"/>
            <w:tcBorders>
              <w:top w:val="nil"/>
              <w:left w:val="nil"/>
              <w:bottom w:val="nil"/>
              <w:right w:val="nil"/>
            </w:tcBorders>
            <w:noWrap/>
            <w:vAlign w:val="bottom"/>
          </w:tcPr>
          <w:p w14:paraId="2DC26DC2"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0" w:type="dxa"/>
            <w:tcBorders>
              <w:top w:val="nil"/>
              <w:left w:val="nil"/>
              <w:bottom w:val="nil"/>
              <w:right w:val="nil"/>
            </w:tcBorders>
            <w:noWrap/>
            <w:vAlign w:val="bottom"/>
          </w:tcPr>
          <w:p w14:paraId="16F9888A" w14:textId="77777777" w:rsidR="006D3AD5" w:rsidRPr="00874BFF" w:rsidRDefault="006D3AD5" w:rsidP="00443B8F">
            <w:pPr>
              <w:overflowPunct/>
              <w:autoSpaceDE/>
              <w:autoSpaceDN/>
              <w:adjustRightInd/>
              <w:jc w:val="left"/>
              <w:textAlignment w:val="auto"/>
              <w:rPr>
                <w:rFonts w:cs="Arial"/>
                <w:sz w:val="20"/>
              </w:rPr>
            </w:pPr>
            <w:r w:rsidRPr="00874BFF">
              <w:rPr>
                <w:sz w:val="20"/>
              </w:rPr>
              <w:t>170</w:t>
            </w:r>
          </w:p>
        </w:tc>
        <w:tc>
          <w:tcPr>
            <w:tcW w:w="960" w:type="dxa"/>
            <w:tcBorders>
              <w:top w:val="nil"/>
              <w:left w:val="nil"/>
              <w:bottom w:val="nil"/>
              <w:right w:val="nil"/>
            </w:tcBorders>
            <w:noWrap/>
            <w:vAlign w:val="bottom"/>
          </w:tcPr>
          <w:p w14:paraId="7DF7E088" w14:textId="77777777" w:rsidR="006D3AD5" w:rsidRPr="00874BFF" w:rsidRDefault="006D3AD5" w:rsidP="00443B8F">
            <w:pPr>
              <w:overflowPunct/>
              <w:autoSpaceDE/>
              <w:autoSpaceDN/>
              <w:adjustRightInd/>
              <w:jc w:val="left"/>
              <w:textAlignment w:val="auto"/>
              <w:rPr>
                <w:rFonts w:cs="Arial"/>
                <w:sz w:val="20"/>
              </w:rPr>
            </w:pPr>
          </w:p>
        </w:tc>
      </w:tr>
    </w:tbl>
    <w:p w14:paraId="74C896E6" w14:textId="77777777" w:rsidR="006D3AD5" w:rsidRPr="00874BFF" w:rsidRDefault="006D3AD5" w:rsidP="006D3AD5"/>
    <w:p w14:paraId="4E51E9B1" w14:textId="77777777" w:rsidR="006D3AD5" w:rsidRPr="00874BFF" w:rsidRDefault="006D3AD5" w:rsidP="006D3AD5">
      <w:r w:rsidRPr="00874BFF">
        <w:t>Major reasons  for difficult access to financing mentioned by the respondents included particularly business history and securing possibilities. At raising funds for SMEs, these reasons are usually closely connected. Mostly, start-up companies have a much lower  value of financial assets than they need for investments in further development,  this particularly applies to companies investing in innovations and R&amp;D.</w:t>
      </w:r>
    </w:p>
    <w:p w14:paraId="377F1A1F" w14:textId="77777777" w:rsidR="006D3AD5" w:rsidRPr="00874BFF" w:rsidRDefault="006D3AD5" w:rsidP="006D3AD5">
      <w:r w:rsidRPr="00874BFF">
        <w:t xml:space="preserve"> </w:t>
      </w:r>
    </w:p>
    <w:p w14:paraId="2219E38A" w14:textId="77777777" w:rsidR="006D3AD5" w:rsidRPr="00874BFF" w:rsidRDefault="006D3AD5" w:rsidP="006D3AD5">
      <w:r w:rsidRPr="00874BFF">
        <w:t>For companies with difficult access to financing to be identified  for the potential absorption capacity of a financial instrument, they should be  simultaneously viable according to the EU methodology. For the purpose of this ex ante evaluation, we regard such companies not viable that mentioned a high debt or low economic potential of the project as the reason for difficult access to financing.</w:t>
      </w:r>
    </w:p>
    <w:p w14:paraId="563AFB86" w14:textId="77777777" w:rsidR="006D3AD5" w:rsidRPr="00874BFF" w:rsidRDefault="006D3AD5" w:rsidP="006D3AD5"/>
    <w:p w14:paraId="2FD02E14" w14:textId="672F36B6" w:rsidR="006D3AD5" w:rsidRPr="00874BFF" w:rsidRDefault="006D3AD5" w:rsidP="006D3AD5">
      <w:pPr>
        <w:pStyle w:val="Titulek"/>
      </w:pPr>
      <w:r w:rsidRPr="00874BFF">
        <w:t>Table 2</w:t>
      </w:r>
      <w:r w:rsidR="007C6DD6">
        <w:t>5</w:t>
      </w:r>
      <w:r w:rsidRPr="00874BFF">
        <w:t>: Economically viable projects with difficult access to financing</w:t>
      </w:r>
    </w:p>
    <w:tbl>
      <w:tblPr>
        <w:tblW w:w="8520" w:type="dxa"/>
        <w:tblInd w:w="55" w:type="dxa"/>
        <w:tblCellMar>
          <w:left w:w="70" w:type="dxa"/>
          <w:right w:w="70" w:type="dxa"/>
        </w:tblCellMar>
        <w:tblLook w:val="00A0" w:firstRow="1" w:lastRow="0" w:firstColumn="1" w:lastColumn="0" w:noHBand="0" w:noVBand="0"/>
      </w:tblPr>
      <w:tblGrid>
        <w:gridCol w:w="4268"/>
        <w:gridCol w:w="2835"/>
        <w:gridCol w:w="1417"/>
      </w:tblGrid>
      <w:tr w:rsidR="006D3AD5" w:rsidRPr="00874BFF" w14:paraId="45CDF402" w14:textId="77777777" w:rsidTr="00443B8F">
        <w:trPr>
          <w:trHeight w:val="255"/>
        </w:trPr>
        <w:tc>
          <w:tcPr>
            <w:tcW w:w="7103" w:type="dxa"/>
            <w:gridSpan w:val="2"/>
            <w:tcBorders>
              <w:top w:val="single" w:sz="4" w:space="0" w:color="auto"/>
              <w:left w:val="single" w:sz="4" w:space="0" w:color="auto"/>
              <w:bottom w:val="single" w:sz="4" w:space="0" w:color="auto"/>
              <w:right w:val="single" w:sz="4" w:space="0" w:color="auto"/>
            </w:tcBorders>
            <w:noWrap/>
            <w:vAlign w:val="bottom"/>
          </w:tcPr>
          <w:p w14:paraId="60848C68" w14:textId="77777777" w:rsidR="006D3AD5" w:rsidRPr="00874BFF" w:rsidRDefault="006D3AD5" w:rsidP="00443B8F">
            <w:pPr>
              <w:rPr>
                <w:rFonts w:cs="Arial"/>
                <w:b/>
                <w:bCs/>
                <w:sz w:val="20"/>
              </w:rPr>
            </w:pPr>
            <w:r w:rsidRPr="00874BFF">
              <w:rPr>
                <w:b/>
                <w:sz w:val="20"/>
              </w:rPr>
              <w:t>Potentially economically viable projects with difficult access to financing</w:t>
            </w:r>
          </w:p>
        </w:tc>
        <w:tc>
          <w:tcPr>
            <w:tcW w:w="1417" w:type="dxa"/>
            <w:tcBorders>
              <w:top w:val="single" w:sz="4" w:space="0" w:color="auto"/>
              <w:left w:val="nil"/>
              <w:bottom w:val="single" w:sz="4" w:space="0" w:color="auto"/>
              <w:right w:val="single" w:sz="4" w:space="0" w:color="auto"/>
            </w:tcBorders>
            <w:noWrap/>
            <w:vAlign w:val="bottom"/>
          </w:tcPr>
          <w:p w14:paraId="580B5523" w14:textId="77777777" w:rsidR="006D3AD5" w:rsidRPr="00874BFF" w:rsidRDefault="006D3AD5" w:rsidP="00443B8F">
            <w:pPr>
              <w:rPr>
                <w:rFonts w:cs="Arial"/>
                <w:sz w:val="20"/>
              </w:rPr>
            </w:pPr>
            <w:r w:rsidRPr="00874BFF">
              <w:rPr>
                <w:sz w:val="20"/>
              </w:rPr>
              <w:t>Share</w:t>
            </w:r>
          </w:p>
        </w:tc>
      </w:tr>
      <w:tr w:rsidR="006D3AD5" w:rsidRPr="00874BFF" w14:paraId="0224DC5F" w14:textId="77777777" w:rsidTr="00443B8F">
        <w:trPr>
          <w:trHeight w:val="255"/>
        </w:trPr>
        <w:tc>
          <w:tcPr>
            <w:tcW w:w="7103" w:type="dxa"/>
            <w:gridSpan w:val="2"/>
            <w:tcBorders>
              <w:top w:val="nil"/>
              <w:left w:val="single" w:sz="4" w:space="0" w:color="auto"/>
              <w:bottom w:val="single" w:sz="4" w:space="0" w:color="auto"/>
              <w:right w:val="single" w:sz="4" w:space="0" w:color="auto"/>
            </w:tcBorders>
            <w:noWrap/>
            <w:vAlign w:val="bottom"/>
          </w:tcPr>
          <w:p w14:paraId="0916D7D5" w14:textId="77777777" w:rsidR="006D3AD5" w:rsidRPr="00874BFF" w:rsidRDefault="006D3AD5" w:rsidP="00443B8F">
            <w:pPr>
              <w:rPr>
                <w:rFonts w:cs="Arial"/>
                <w:sz w:val="20"/>
              </w:rPr>
            </w:pPr>
            <w:r w:rsidRPr="00874BFF">
              <w:rPr>
                <w:sz w:val="20"/>
              </w:rPr>
              <w:t>Share in the companies planning to invest in development in the next three years</w:t>
            </w:r>
          </w:p>
        </w:tc>
        <w:tc>
          <w:tcPr>
            <w:tcW w:w="1417" w:type="dxa"/>
            <w:tcBorders>
              <w:top w:val="nil"/>
              <w:left w:val="nil"/>
              <w:bottom w:val="single" w:sz="4" w:space="0" w:color="auto"/>
              <w:right w:val="single" w:sz="4" w:space="0" w:color="auto"/>
            </w:tcBorders>
            <w:noWrap/>
            <w:vAlign w:val="bottom"/>
          </w:tcPr>
          <w:p w14:paraId="4C62B775" w14:textId="77777777" w:rsidR="006D3AD5" w:rsidRPr="00874BFF" w:rsidRDefault="006D3AD5" w:rsidP="00443B8F">
            <w:pPr>
              <w:jc w:val="right"/>
              <w:rPr>
                <w:rFonts w:cs="Arial"/>
                <w:sz w:val="20"/>
              </w:rPr>
            </w:pPr>
            <w:r w:rsidRPr="00874BFF">
              <w:rPr>
                <w:sz w:val="20"/>
              </w:rPr>
              <w:t>21.2%</w:t>
            </w:r>
          </w:p>
        </w:tc>
      </w:tr>
      <w:tr w:rsidR="006D3AD5" w:rsidRPr="00874BFF" w14:paraId="127A52B0" w14:textId="77777777" w:rsidTr="00443B8F">
        <w:trPr>
          <w:trHeight w:val="255"/>
        </w:trPr>
        <w:tc>
          <w:tcPr>
            <w:tcW w:w="7103" w:type="dxa"/>
            <w:gridSpan w:val="2"/>
            <w:tcBorders>
              <w:top w:val="nil"/>
              <w:left w:val="single" w:sz="4" w:space="0" w:color="auto"/>
              <w:bottom w:val="single" w:sz="4" w:space="0" w:color="auto"/>
              <w:right w:val="single" w:sz="4" w:space="0" w:color="auto"/>
            </w:tcBorders>
            <w:noWrap/>
            <w:vAlign w:val="bottom"/>
          </w:tcPr>
          <w:p w14:paraId="5B26EC52" w14:textId="77777777" w:rsidR="006D3AD5" w:rsidRPr="00874BFF" w:rsidRDefault="006D3AD5" w:rsidP="00443B8F">
            <w:pPr>
              <w:rPr>
                <w:rFonts w:cs="Arial"/>
                <w:sz w:val="20"/>
              </w:rPr>
            </w:pPr>
            <w:r w:rsidRPr="00874BFF">
              <w:rPr>
                <w:sz w:val="20"/>
              </w:rPr>
              <w:t>Share in the projects with difficult access to financing</w:t>
            </w:r>
          </w:p>
        </w:tc>
        <w:tc>
          <w:tcPr>
            <w:tcW w:w="1417" w:type="dxa"/>
            <w:tcBorders>
              <w:top w:val="nil"/>
              <w:left w:val="nil"/>
              <w:bottom w:val="single" w:sz="4" w:space="0" w:color="auto"/>
              <w:right w:val="single" w:sz="4" w:space="0" w:color="auto"/>
            </w:tcBorders>
            <w:noWrap/>
            <w:vAlign w:val="bottom"/>
          </w:tcPr>
          <w:p w14:paraId="7F44EE63" w14:textId="77777777" w:rsidR="006D3AD5" w:rsidRPr="00874BFF" w:rsidRDefault="006D3AD5" w:rsidP="00443B8F">
            <w:pPr>
              <w:jc w:val="right"/>
              <w:rPr>
                <w:rFonts w:cs="Arial"/>
                <w:sz w:val="20"/>
              </w:rPr>
            </w:pPr>
            <w:r w:rsidRPr="00874BFF">
              <w:rPr>
                <w:sz w:val="20"/>
              </w:rPr>
              <w:t>75.3%</w:t>
            </w:r>
          </w:p>
        </w:tc>
      </w:tr>
      <w:tr w:rsidR="006D3AD5" w:rsidRPr="00874BFF" w14:paraId="54F95C0D" w14:textId="77777777" w:rsidTr="00443B8F">
        <w:trPr>
          <w:trHeight w:val="255"/>
        </w:trPr>
        <w:tc>
          <w:tcPr>
            <w:tcW w:w="4268" w:type="dxa"/>
            <w:vMerge w:val="restart"/>
            <w:tcBorders>
              <w:top w:val="nil"/>
              <w:left w:val="single" w:sz="4" w:space="0" w:color="auto"/>
              <w:bottom w:val="single" w:sz="4" w:space="0" w:color="auto"/>
              <w:right w:val="single" w:sz="4" w:space="0" w:color="auto"/>
            </w:tcBorders>
            <w:noWrap/>
            <w:vAlign w:val="center"/>
          </w:tcPr>
          <w:p w14:paraId="79C2F430" w14:textId="77777777" w:rsidR="006D3AD5" w:rsidRPr="00874BFF" w:rsidRDefault="006D3AD5" w:rsidP="00443B8F">
            <w:pPr>
              <w:jc w:val="left"/>
              <w:rPr>
                <w:rFonts w:cs="Arial"/>
                <w:sz w:val="20"/>
              </w:rPr>
            </w:pPr>
            <w:r w:rsidRPr="00874BFF">
              <w:rPr>
                <w:sz w:val="20"/>
              </w:rPr>
              <w:t>Major barriers identified</w:t>
            </w:r>
          </w:p>
        </w:tc>
        <w:tc>
          <w:tcPr>
            <w:tcW w:w="2835" w:type="dxa"/>
            <w:tcBorders>
              <w:top w:val="nil"/>
              <w:left w:val="nil"/>
              <w:bottom w:val="single" w:sz="4" w:space="0" w:color="auto"/>
              <w:right w:val="single" w:sz="4" w:space="0" w:color="auto"/>
            </w:tcBorders>
            <w:noWrap/>
            <w:vAlign w:val="bottom"/>
          </w:tcPr>
          <w:p w14:paraId="471ED5DD" w14:textId="77777777" w:rsidR="006D3AD5" w:rsidRPr="00874BFF" w:rsidRDefault="006D3AD5" w:rsidP="00443B8F">
            <w:pPr>
              <w:rPr>
                <w:rFonts w:cs="Arial"/>
                <w:sz w:val="20"/>
              </w:rPr>
            </w:pPr>
            <w:r w:rsidRPr="00874BFF">
              <w:rPr>
                <w:sz w:val="20"/>
              </w:rPr>
              <w:t>Long payback period of the project</w:t>
            </w:r>
          </w:p>
        </w:tc>
        <w:tc>
          <w:tcPr>
            <w:tcW w:w="1417" w:type="dxa"/>
            <w:tcBorders>
              <w:top w:val="nil"/>
              <w:left w:val="nil"/>
              <w:bottom w:val="single" w:sz="4" w:space="0" w:color="auto"/>
              <w:right w:val="single" w:sz="4" w:space="0" w:color="auto"/>
            </w:tcBorders>
            <w:noWrap/>
            <w:vAlign w:val="bottom"/>
          </w:tcPr>
          <w:p w14:paraId="04FF6604" w14:textId="77777777" w:rsidR="006D3AD5" w:rsidRPr="00874BFF" w:rsidRDefault="006D3AD5" w:rsidP="00443B8F">
            <w:pPr>
              <w:jc w:val="right"/>
              <w:rPr>
                <w:rFonts w:cs="Arial"/>
                <w:sz w:val="20"/>
              </w:rPr>
            </w:pPr>
            <w:r w:rsidRPr="00874BFF">
              <w:rPr>
                <w:sz w:val="20"/>
              </w:rPr>
              <w:t>39.1%</w:t>
            </w:r>
          </w:p>
        </w:tc>
      </w:tr>
      <w:tr w:rsidR="006D3AD5" w:rsidRPr="00874BFF" w14:paraId="5BA9EB89" w14:textId="77777777" w:rsidTr="00443B8F">
        <w:trPr>
          <w:trHeight w:val="255"/>
        </w:trPr>
        <w:tc>
          <w:tcPr>
            <w:tcW w:w="4268" w:type="dxa"/>
            <w:vMerge/>
            <w:tcBorders>
              <w:top w:val="nil"/>
              <w:left w:val="single" w:sz="4" w:space="0" w:color="auto"/>
              <w:bottom w:val="single" w:sz="4" w:space="0" w:color="auto"/>
              <w:right w:val="single" w:sz="4" w:space="0" w:color="auto"/>
            </w:tcBorders>
            <w:vAlign w:val="center"/>
          </w:tcPr>
          <w:p w14:paraId="7D4D4C31" w14:textId="77777777" w:rsidR="006D3AD5" w:rsidRPr="00874BFF" w:rsidRDefault="006D3AD5" w:rsidP="00443B8F">
            <w:pPr>
              <w:rPr>
                <w:rFonts w:cs="Arial"/>
                <w:sz w:val="20"/>
              </w:rPr>
            </w:pPr>
          </w:p>
        </w:tc>
        <w:tc>
          <w:tcPr>
            <w:tcW w:w="2835" w:type="dxa"/>
            <w:tcBorders>
              <w:top w:val="nil"/>
              <w:left w:val="nil"/>
              <w:bottom w:val="single" w:sz="4" w:space="0" w:color="auto"/>
              <w:right w:val="single" w:sz="4" w:space="0" w:color="auto"/>
            </w:tcBorders>
            <w:noWrap/>
            <w:vAlign w:val="bottom"/>
          </w:tcPr>
          <w:p w14:paraId="1970DC1B" w14:textId="77777777" w:rsidR="006D3AD5" w:rsidRPr="00874BFF" w:rsidRDefault="006D3AD5" w:rsidP="00443B8F">
            <w:pPr>
              <w:rPr>
                <w:rFonts w:cs="Arial"/>
                <w:sz w:val="20"/>
              </w:rPr>
            </w:pPr>
            <w:r w:rsidRPr="00874BFF">
              <w:rPr>
                <w:sz w:val="20"/>
              </w:rPr>
              <w:t>Short business history</w:t>
            </w:r>
          </w:p>
        </w:tc>
        <w:tc>
          <w:tcPr>
            <w:tcW w:w="1417" w:type="dxa"/>
            <w:tcBorders>
              <w:top w:val="nil"/>
              <w:left w:val="nil"/>
              <w:bottom w:val="single" w:sz="4" w:space="0" w:color="auto"/>
              <w:right w:val="single" w:sz="4" w:space="0" w:color="auto"/>
            </w:tcBorders>
            <w:noWrap/>
            <w:vAlign w:val="bottom"/>
          </w:tcPr>
          <w:p w14:paraId="19B8A54B" w14:textId="77777777" w:rsidR="006D3AD5" w:rsidRPr="00874BFF" w:rsidRDefault="006D3AD5" w:rsidP="00443B8F">
            <w:pPr>
              <w:jc w:val="right"/>
              <w:rPr>
                <w:rFonts w:cs="Arial"/>
                <w:sz w:val="20"/>
              </w:rPr>
            </w:pPr>
            <w:r w:rsidRPr="00874BFF">
              <w:rPr>
                <w:sz w:val="20"/>
              </w:rPr>
              <w:t>39.1%</w:t>
            </w:r>
          </w:p>
        </w:tc>
      </w:tr>
      <w:tr w:rsidR="006D3AD5" w:rsidRPr="00874BFF" w14:paraId="1FC53B13" w14:textId="77777777" w:rsidTr="00443B8F">
        <w:trPr>
          <w:trHeight w:val="255"/>
        </w:trPr>
        <w:tc>
          <w:tcPr>
            <w:tcW w:w="4268" w:type="dxa"/>
            <w:vMerge/>
            <w:tcBorders>
              <w:top w:val="nil"/>
              <w:left w:val="single" w:sz="4" w:space="0" w:color="auto"/>
              <w:bottom w:val="single" w:sz="4" w:space="0" w:color="auto"/>
              <w:right w:val="single" w:sz="4" w:space="0" w:color="auto"/>
            </w:tcBorders>
            <w:vAlign w:val="center"/>
          </w:tcPr>
          <w:p w14:paraId="20BDD6F0" w14:textId="77777777" w:rsidR="006D3AD5" w:rsidRPr="00874BFF" w:rsidRDefault="006D3AD5" w:rsidP="00443B8F">
            <w:pPr>
              <w:rPr>
                <w:rFonts w:cs="Arial"/>
                <w:sz w:val="20"/>
              </w:rPr>
            </w:pPr>
          </w:p>
        </w:tc>
        <w:tc>
          <w:tcPr>
            <w:tcW w:w="2835" w:type="dxa"/>
            <w:tcBorders>
              <w:top w:val="nil"/>
              <w:left w:val="nil"/>
              <w:bottom w:val="single" w:sz="4" w:space="0" w:color="auto"/>
              <w:right w:val="single" w:sz="4" w:space="0" w:color="auto"/>
            </w:tcBorders>
            <w:noWrap/>
            <w:vAlign w:val="bottom"/>
          </w:tcPr>
          <w:p w14:paraId="2DEB8BCE" w14:textId="77777777" w:rsidR="006D3AD5" w:rsidRPr="00874BFF" w:rsidRDefault="006D3AD5" w:rsidP="00443B8F">
            <w:pPr>
              <w:rPr>
                <w:rFonts w:cs="Arial"/>
                <w:sz w:val="20"/>
              </w:rPr>
            </w:pPr>
            <w:r w:rsidRPr="00874BFF">
              <w:rPr>
                <w:sz w:val="20"/>
              </w:rPr>
              <w:t>Securitisation possibilities</w:t>
            </w:r>
          </w:p>
        </w:tc>
        <w:tc>
          <w:tcPr>
            <w:tcW w:w="1417" w:type="dxa"/>
            <w:tcBorders>
              <w:top w:val="nil"/>
              <w:left w:val="nil"/>
              <w:bottom w:val="single" w:sz="4" w:space="0" w:color="auto"/>
              <w:right w:val="single" w:sz="4" w:space="0" w:color="auto"/>
            </w:tcBorders>
            <w:noWrap/>
            <w:vAlign w:val="bottom"/>
          </w:tcPr>
          <w:p w14:paraId="405F36C7" w14:textId="77777777" w:rsidR="006D3AD5" w:rsidRPr="00874BFF" w:rsidRDefault="006D3AD5" w:rsidP="00443B8F">
            <w:pPr>
              <w:jc w:val="right"/>
              <w:rPr>
                <w:rFonts w:cs="Arial"/>
                <w:sz w:val="20"/>
              </w:rPr>
            </w:pPr>
            <w:r w:rsidRPr="00874BFF">
              <w:rPr>
                <w:sz w:val="20"/>
              </w:rPr>
              <w:t>68.0%</w:t>
            </w:r>
          </w:p>
        </w:tc>
      </w:tr>
      <w:tr w:rsidR="006D3AD5" w:rsidRPr="00874BFF" w14:paraId="4230694A" w14:textId="77777777" w:rsidTr="00443B8F">
        <w:trPr>
          <w:trHeight w:val="255"/>
        </w:trPr>
        <w:tc>
          <w:tcPr>
            <w:tcW w:w="4268" w:type="dxa"/>
            <w:vMerge/>
            <w:tcBorders>
              <w:top w:val="nil"/>
              <w:left w:val="single" w:sz="4" w:space="0" w:color="auto"/>
              <w:bottom w:val="single" w:sz="4" w:space="0" w:color="auto"/>
              <w:right w:val="single" w:sz="4" w:space="0" w:color="auto"/>
            </w:tcBorders>
            <w:vAlign w:val="center"/>
          </w:tcPr>
          <w:p w14:paraId="6C780604" w14:textId="77777777" w:rsidR="006D3AD5" w:rsidRPr="00874BFF" w:rsidRDefault="006D3AD5" w:rsidP="00443B8F">
            <w:pPr>
              <w:rPr>
                <w:rFonts w:cs="Arial"/>
                <w:sz w:val="20"/>
              </w:rPr>
            </w:pPr>
          </w:p>
        </w:tc>
        <w:tc>
          <w:tcPr>
            <w:tcW w:w="2835" w:type="dxa"/>
            <w:tcBorders>
              <w:top w:val="nil"/>
              <w:left w:val="nil"/>
              <w:bottom w:val="single" w:sz="4" w:space="0" w:color="auto"/>
              <w:right w:val="single" w:sz="4" w:space="0" w:color="auto"/>
            </w:tcBorders>
            <w:noWrap/>
            <w:vAlign w:val="bottom"/>
          </w:tcPr>
          <w:p w14:paraId="538BB78C" w14:textId="77777777" w:rsidR="006D3AD5" w:rsidRPr="00874BFF" w:rsidRDefault="006D3AD5" w:rsidP="00443B8F">
            <w:pPr>
              <w:rPr>
                <w:rFonts w:cs="Arial"/>
                <w:sz w:val="20"/>
              </w:rPr>
            </w:pPr>
            <w:r w:rsidRPr="00874BFF">
              <w:rPr>
                <w:sz w:val="20"/>
              </w:rPr>
              <w:t>Financial costs</w:t>
            </w:r>
          </w:p>
        </w:tc>
        <w:tc>
          <w:tcPr>
            <w:tcW w:w="1417" w:type="dxa"/>
            <w:tcBorders>
              <w:top w:val="nil"/>
              <w:left w:val="nil"/>
              <w:bottom w:val="single" w:sz="4" w:space="0" w:color="auto"/>
              <w:right w:val="single" w:sz="4" w:space="0" w:color="auto"/>
            </w:tcBorders>
            <w:noWrap/>
            <w:vAlign w:val="bottom"/>
          </w:tcPr>
          <w:p w14:paraId="320D4582" w14:textId="77777777" w:rsidR="006D3AD5" w:rsidRPr="00874BFF" w:rsidRDefault="006D3AD5" w:rsidP="00443B8F">
            <w:pPr>
              <w:jc w:val="right"/>
              <w:rPr>
                <w:rFonts w:cs="Arial"/>
                <w:sz w:val="20"/>
              </w:rPr>
            </w:pPr>
            <w:r w:rsidRPr="00874BFF">
              <w:rPr>
                <w:sz w:val="20"/>
              </w:rPr>
              <w:t>46.1%</w:t>
            </w:r>
          </w:p>
        </w:tc>
      </w:tr>
      <w:tr w:rsidR="006D3AD5" w:rsidRPr="00874BFF" w14:paraId="228CA672" w14:textId="77777777" w:rsidTr="00443B8F">
        <w:trPr>
          <w:trHeight w:val="255"/>
        </w:trPr>
        <w:tc>
          <w:tcPr>
            <w:tcW w:w="4268" w:type="dxa"/>
            <w:tcBorders>
              <w:top w:val="nil"/>
              <w:left w:val="nil"/>
              <w:bottom w:val="nil"/>
              <w:right w:val="nil"/>
            </w:tcBorders>
            <w:noWrap/>
            <w:vAlign w:val="bottom"/>
          </w:tcPr>
          <w:p w14:paraId="56440649" w14:textId="77777777" w:rsidR="006D3AD5" w:rsidRPr="00874BFF" w:rsidRDefault="006D3AD5" w:rsidP="00443B8F">
            <w:pPr>
              <w:jc w:val="right"/>
              <w:rPr>
                <w:rFonts w:cs="Arial"/>
                <w:sz w:val="20"/>
              </w:rPr>
            </w:pPr>
            <w:r w:rsidRPr="00874BFF">
              <w:rPr>
                <w:sz w:val="20"/>
              </w:rPr>
              <w:t>n=</w:t>
            </w:r>
          </w:p>
        </w:tc>
        <w:tc>
          <w:tcPr>
            <w:tcW w:w="2835" w:type="dxa"/>
            <w:tcBorders>
              <w:top w:val="nil"/>
              <w:left w:val="nil"/>
              <w:bottom w:val="nil"/>
              <w:right w:val="nil"/>
            </w:tcBorders>
            <w:noWrap/>
            <w:vAlign w:val="bottom"/>
          </w:tcPr>
          <w:p w14:paraId="0AB20686" w14:textId="77777777" w:rsidR="006D3AD5" w:rsidRPr="00874BFF" w:rsidRDefault="006D3AD5" w:rsidP="00443B8F">
            <w:pPr>
              <w:rPr>
                <w:rFonts w:cs="Arial"/>
                <w:sz w:val="20"/>
              </w:rPr>
            </w:pPr>
            <w:r w:rsidRPr="00874BFF">
              <w:rPr>
                <w:sz w:val="20"/>
              </w:rPr>
              <w:t>128</w:t>
            </w:r>
          </w:p>
        </w:tc>
        <w:tc>
          <w:tcPr>
            <w:tcW w:w="1417" w:type="dxa"/>
            <w:tcBorders>
              <w:top w:val="nil"/>
              <w:left w:val="nil"/>
              <w:bottom w:val="nil"/>
              <w:right w:val="nil"/>
            </w:tcBorders>
            <w:noWrap/>
            <w:vAlign w:val="bottom"/>
          </w:tcPr>
          <w:p w14:paraId="6AB0FAA6" w14:textId="77777777" w:rsidR="006D3AD5" w:rsidRPr="00874BFF" w:rsidRDefault="006D3AD5" w:rsidP="00443B8F">
            <w:pPr>
              <w:rPr>
                <w:rFonts w:cs="Arial"/>
                <w:sz w:val="20"/>
              </w:rPr>
            </w:pPr>
          </w:p>
        </w:tc>
      </w:tr>
    </w:tbl>
    <w:p w14:paraId="08DA2BB9" w14:textId="77777777" w:rsidR="006D3AD5" w:rsidRPr="00874BFF" w:rsidRDefault="006D3AD5" w:rsidP="006D3AD5">
      <w:pPr>
        <w:rPr>
          <w:b/>
        </w:rPr>
      </w:pPr>
    </w:p>
    <w:p w14:paraId="34CC168C" w14:textId="77777777" w:rsidR="006D3AD5" w:rsidRPr="00874BFF" w:rsidRDefault="006D3AD5" w:rsidP="006D3AD5">
      <w:r w:rsidRPr="00874BFF">
        <w:rPr>
          <w:b/>
        </w:rPr>
        <w:lastRenderedPageBreak/>
        <w:t>The total share of potentially viable companies with difficult access to financing in the number of respondents was 21.2 %.</w:t>
      </w:r>
      <w:r w:rsidRPr="00874BFF">
        <w:t xml:space="preserve"> More than 68 % of them state that their major problem consists in limited securitisation possibilities. With regard to the high representation, this sub-optimal investment situation can be therefore resolved primarily by a guarantee financial instrument. About  40 % of companies also mentioned difficulties with a long payback period of the project, which can be resolved e.g. by a soft loan with extended maturity and a deferral of repayment of the principal. More than 46 % of respondents also regards financial costs as a barrier to financing, which can be resolved by combining financial instruments with a subsidy of the interest rate. Improvement in access to financing of companies with a short business history can be primarily resolved by means of guarantees, or in technological companies also by means of venture capital.</w:t>
      </w:r>
    </w:p>
    <w:p w14:paraId="1489D77F" w14:textId="77777777" w:rsidR="006D3AD5" w:rsidRPr="00874BFF" w:rsidRDefault="006D3AD5" w:rsidP="006D3AD5"/>
    <w:p w14:paraId="071CE66D" w14:textId="1952C90C" w:rsidR="006D3AD5" w:rsidRPr="00874BFF" w:rsidRDefault="006D3AD5" w:rsidP="006D3AD5">
      <w:pPr>
        <w:pStyle w:val="Titulek"/>
        <w:keepNext/>
      </w:pPr>
      <w:r w:rsidRPr="00874BFF">
        <w:t xml:space="preserve">Figure </w:t>
      </w:r>
      <w:r w:rsidR="00AE6275">
        <w:t>17</w:t>
      </w:r>
      <w:r w:rsidRPr="00874BFF">
        <w:t>: Economically viable companies with difficult access to financing and specification of major reasons for their difficult access (multiple answers could be given).</w:t>
      </w:r>
    </w:p>
    <w:p w14:paraId="7AC09B6A" w14:textId="77777777" w:rsidR="006D3AD5" w:rsidRPr="00874BFF" w:rsidRDefault="006D3AD5" w:rsidP="006D3AD5">
      <w:pPr>
        <w:rPr>
          <w:sz w:val="24"/>
        </w:rPr>
      </w:pPr>
      <w:r w:rsidRPr="00874BFF">
        <w:rPr>
          <w:noProof/>
        </w:rPr>
        <w:drawing>
          <wp:inline distT="0" distB="0" distL="0" distR="0" wp14:anchorId="1A40C5B9" wp14:editId="6CA40ABB">
            <wp:extent cx="5438775" cy="2809875"/>
            <wp:effectExtent l="0" t="0" r="9525" b="9525"/>
            <wp:docPr id="17" name="obráze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173E13" w14:textId="77777777" w:rsidR="006D3AD5" w:rsidRPr="00874BFF" w:rsidRDefault="006D3AD5" w:rsidP="006D3AD5">
      <w:pPr>
        <w:rPr>
          <w:sz w:val="24"/>
        </w:rPr>
      </w:pPr>
    </w:p>
    <w:p w14:paraId="78B52F72" w14:textId="77777777" w:rsidR="006D3AD5" w:rsidRPr="00874BFF" w:rsidRDefault="006D3AD5" w:rsidP="006D3AD5">
      <w:r w:rsidRPr="00874BFF">
        <w:t>These conclusions also correlate with respondents' answers regarding a preferred forms of support – most frequently, small and medium sized enterprises mentioned preferential interest rates, payment of interest on a commercial loan, providing guarantee for a loan and increased loan financing. Companies, in more than 45 %, would also welcome a decrease in administrative barriers at raising funds.</w:t>
      </w:r>
    </w:p>
    <w:p w14:paraId="59EA32BB" w14:textId="77777777" w:rsidR="006D3AD5" w:rsidRPr="00874BFF" w:rsidRDefault="006D3AD5" w:rsidP="006D3AD5"/>
    <w:p w14:paraId="08A915C4" w14:textId="17F79E8A" w:rsidR="006D3AD5" w:rsidRPr="00874BFF" w:rsidRDefault="006D3AD5" w:rsidP="006D3AD5">
      <w:pPr>
        <w:pStyle w:val="Titulek"/>
      </w:pPr>
      <w:r w:rsidRPr="00874BFF">
        <w:t>Table 2</w:t>
      </w:r>
      <w:r w:rsidR="00C13AEE">
        <w:t>6</w:t>
      </w:r>
      <w:r w:rsidRPr="00874BFF">
        <w:t>: Proffered forms of support</w:t>
      </w:r>
    </w:p>
    <w:tbl>
      <w:tblPr>
        <w:tblW w:w="7528" w:type="dxa"/>
        <w:tblInd w:w="55" w:type="dxa"/>
        <w:tblCellMar>
          <w:left w:w="70" w:type="dxa"/>
          <w:right w:w="70" w:type="dxa"/>
        </w:tblCellMar>
        <w:tblLook w:val="00A0" w:firstRow="1" w:lastRow="0" w:firstColumn="1" w:lastColumn="0" w:noHBand="0" w:noVBand="0"/>
      </w:tblPr>
      <w:tblGrid>
        <w:gridCol w:w="5402"/>
        <w:gridCol w:w="992"/>
        <w:gridCol w:w="1134"/>
      </w:tblGrid>
      <w:tr w:rsidR="006D3AD5" w:rsidRPr="00874BFF" w14:paraId="058A8E64" w14:textId="77777777" w:rsidTr="00443B8F">
        <w:trPr>
          <w:trHeight w:val="255"/>
        </w:trPr>
        <w:tc>
          <w:tcPr>
            <w:tcW w:w="5402" w:type="dxa"/>
            <w:tcBorders>
              <w:top w:val="single" w:sz="4" w:space="0" w:color="auto"/>
              <w:left w:val="single" w:sz="4" w:space="0" w:color="auto"/>
              <w:bottom w:val="single" w:sz="4" w:space="0" w:color="auto"/>
              <w:right w:val="single" w:sz="4" w:space="0" w:color="auto"/>
            </w:tcBorders>
            <w:noWrap/>
            <w:vAlign w:val="bottom"/>
          </w:tcPr>
          <w:p w14:paraId="59B4ADE8"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Preferred forms of support</w:t>
            </w:r>
          </w:p>
        </w:tc>
        <w:tc>
          <w:tcPr>
            <w:tcW w:w="992" w:type="dxa"/>
            <w:tcBorders>
              <w:top w:val="single" w:sz="4" w:space="0" w:color="auto"/>
              <w:left w:val="nil"/>
              <w:bottom w:val="single" w:sz="4" w:space="0" w:color="auto"/>
              <w:right w:val="single" w:sz="4" w:space="0" w:color="auto"/>
            </w:tcBorders>
            <w:noWrap/>
            <w:vAlign w:val="bottom"/>
          </w:tcPr>
          <w:p w14:paraId="038095D8"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1134" w:type="dxa"/>
            <w:tcBorders>
              <w:top w:val="single" w:sz="4" w:space="0" w:color="auto"/>
              <w:left w:val="nil"/>
              <w:bottom w:val="single" w:sz="4" w:space="0" w:color="auto"/>
              <w:right w:val="single" w:sz="4" w:space="0" w:color="auto"/>
            </w:tcBorders>
            <w:noWrap/>
            <w:vAlign w:val="bottom"/>
          </w:tcPr>
          <w:p w14:paraId="77013CE8"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1DCAE9CE"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2F853A6B" w14:textId="77777777" w:rsidR="006D3AD5" w:rsidRPr="00874BFF" w:rsidRDefault="006D3AD5" w:rsidP="00443B8F">
            <w:pPr>
              <w:overflowPunct/>
              <w:autoSpaceDE/>
              <w:autoSpaceDN/>
              <w:adjustRightInd/>
              <w:jc w:val="left"/>
              <w:textAlignment w:val="auto"/>
              <w:rPr>
                <w:rFonts w:cs="Arial"/>
                <w:sz w:val="20"/>
              </w:rPr>
            </w:pPr>
            <w:r w:rsidRPr="00874BFF">
              <w:rPr>
                <w:sz w:val="20"/>
              </w:rPr>
              <w:t>Securing a guarantee for the loan</w:t>
            </w:r>
          </w:p>
        </w:tc>
        <w:tc>
          <w:tcPr>
            <w:tcW w:w="992" w:type="dxa"/>
            <w:tcBorders>
              <w:top w:val="nil"/>
              <w:left w:val="nil"/>
              <w:bottom w:val="single" w:sz="4" w:space="0" w:color="auto"/>
              <w:right w:val="single" w:sz="4" w:space="0" w:color="auto"/>
            </w:tcBorders>
            <w:noWrap/>
            <w:vAlign w:val="bottom"/>
          </w:tcPr>
          <w:p w14:paraId="251ED52B" w14:textId="77777777" w:rsidR="006D3AD5" w:rsidRPr="00874BFF" w:rsidRDefault="006D3AD5" w:rsidP="00443B8F">
            <w:pPr>
              <w:overflowPunct/>
              <w:autoSpaceDE/>
              <w:autoSpaceDN/>
              <w:adjustRightInd/>
              <w:jc w:val="right"/>
              <w:textAlignment w:val="auto"/>
              <w:rPr>
                <w:rFonts w:cs="Arial"/>
                <w:sz w:val="20"/>
              </w:rPr>
            </w:pPr>
            <w:r w:rsidRPr="00874BFF">
              <w:rPr>
                <w:sz w:val="20"/>
              </w:rPr>
              <w:t>60</w:t>
            </w:r>
          </w:p>
        </w:tc>
        <w:tc>
          <w:tcPr>
            <w:tcW w:w="1134" w:type="dxa"/>
            <w:tcBorders>
              <w:top w:val="nil"/>
              <w:left w:val="nil"/>
              <w:bottom w:val="single" w:sz="4" w:space="0" w:color="auto"/>
              <w:right w:val="single" w:sz="4" w:space="0" w:color="auto"/>
            </w:tcBorders>
            <w:noWrap/>
            <w:vAlign w:val="bottom"/>
          </w:tcPr>
          <w:p w14:paraId="2AE4923D" w14:textId="77777777" w:rsidR="006D3AD5" w:rsidRPr="00874BFF" w:rsidRDefault="006D3AD5" w:rsidP="00443B8F">
            <w:pPr>
              <w:overflowPunct/>
              <w:autoSpaceDE/>
              <w:autoSpaceDN/>
              <w:adjustRightInd/>
              <w:jc w:val="right"/>
              <w:textAlignment w:val="auto"/>
              <w:rPr>
                <w:rFonts w:cs="Arial"/>
                <w:sz w:val="20"/>
              </w:rPr>
            </w:pPr>
            <w:r w:rsidRPr="00874BFF">
              <w:rPr>
                <w:sz w:val="20"/>
              </w:rPr>
              <w:t>46.9%</w:t>
            </w:r>
          </w:p>
        </w:tc>
      </w:tr>
      <w:tr w:rsidR="006D3AD5" w:rsidRPr="00874BFF" w14:paraId="341ACD12"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0C784DCB" w14:textId="77777777" w:rsidR="006D3AD5" w:rsidRPr="00874BFF" w:rsidRDefault="006D3AD5" w:rsidP="00443B8F">
            <w:pPr>
              <w:overflowPunct/>
              <w:autoSpaceDE/>
              <w:autoSpaceDN/>
              <w:adjustRightInd/>
              <w:jc w:val="left"/>
              <w:textAlignment w:val="auto"/>
              <w:rPr>
                <w:rFonts w:cs="Arial"/>
                <w:sz w:val="20"/>
              </w:rPr>
            </w:pPr>
            <w:r w:rsidRPr="00874BFF">
              <w:rPr>
                <w:sz w:val="20"/>
              </w:rPr>
              <w:t>Increasing the loan financing for the project</w:t>
            </w:r>
          </w:p>
        </w:tc>
        <w:tc>
          <w:tcPr>
            <w:tcW w:w="992" w:type="dxa"/>
            <w:tcBorders>
              <w:top w:val="nil"/>
              <w:left w:val="nil"/>
              <w:bottom w:val="single" w:sz="4" w:space="0" w:color="auto"/>
              <w:right w:val="single" w:sz="4" w:space="0" w:color="auto"/>
            </w:tcBorders>
            <w:noWrap/>
            <w:vAlign w:val="bottom"/>
          </w:tcPr>
          <w:p w14:paraId="7E4D22EF" w14:textId="77777777" w:rsidR="006D3AD5" w:rsidRPr="00874BFF" w:rsidRDefault="006D3AD5" w:rsidP="00443B8F">
            <w:pPr>
              <w:overflowPunct/>
              <w:autoSpaceDE/>
              <w:autoSpaceDN/>
              <w:adjustRightInd/>
              <w:jc w:val="right"/>
              <w:textAlignment w:val="auto"/>
              <w:rPr>
                <w:rFonts w:cs="Arial"/>
                <w:sz w:val="20"/>
              </w:rPr>
            </w:pPr>
            <w:r w:rsidRPr="00874BFF">
              <w:rPr>
                <w:sz w:val="20"/>
              </w:rPr>
              <w:t>41</w:t>
            </w:r>
          </w:p>
        </w:tc>
        <w:tc>
          <w:tcPr>
            <w:tcW w:w="1134" w:type="dxa"/>
            <w:tcBorders>
              <w:top w:val="nil"/>
              <w:left w:val="nil"/>
              <w:bottom w:val="single" w:sz="4" w:space="0" w:color="auto"/>
              <w:right w:val="single" w:sz="4" w:space="0" w:color="auto"/>
            </w:tcBorders>
            <w:noWrap/>
            <w:vAlign w:val="bottom"/>
          </w:tcPr>
          <w:p w14:paraId="704221E2" w14:textId="77777777" w:rsidR="006D3AD5" w:rsidRPr="00874BFF" w:rsidRDefault="006D3AD5" w:rsidP="00443B8F">
            <w:pPr>
              <w:overflowPunct/>
              <w:autoSpaceDE/>
              <w:autoSpaceDN/>
              <w:adjustRightInd/>
              <w:jc w:val="right"/>
              <w:textAlignment w:val="auto"/>
              <w:rPr>
                <w:rFonts w:cs="Arial"/>
                <w:sz w:val="20"/>
              </w:rPr>
            </w:pPr>
            <w:r w:rsidRPr="00874BFF">
              <w:rPr>
                <w:sz w:val="20"/>
              </w:rPr>
              <w:t>32.0%</w:t>
            </w:r>
          </w:p>
        </w:tc>
      </w:tr>
      <w:tr w:rsidR="006D3AD5" w:rsidRPr="00874BFF" w14:paraId="712A4A79"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0339E9A9" w14:textId="77777777" w:rsidR="006D3AD5" w:rsidRPr="00874BFF" w:rsidRDefault="006D3AD5" w:rsidP="00443B8F">
            <w:pPr>
              <w:overflowPunct/>
              <w:autoSpaceDE/>
              <w:autoSpaceDN/>
              <w:adjustRightInd/>
              <w:jc w:val="left"/>
              <w:textAlignment w:val="auto"/>
              <w:rPr>
                <w:rFonts w:cs="Arial"/>
                <w:sz w:val="20"/>
              </w:rPr>
            </w:pPr>
            <w:r w:rsidRPr="00874BFF">
              <w:rPr>
                <w:sz w:val="20"/>
              </w:rPr>
              <w:t>Payment of interest paid for a commercial loan</w:t>
            </w:r>
          </w:p>
        </w:tc>
        <w:tc>
          <w:tcPr>
            <w:tcW w:w="992" w:type="dxa"/>
            <w:tcBorders>
              <w:top w:val="nil"/>
              <w:left w:val="nil"/>
              <w:bottom w:val="single" w:sz="4" w:space="0" w:color="auto"/>
              <w:right w:val="single" w:sz="4" w:space="0" w:color="auto"/>
            </w:tcBorders>
            <w:noWrap/>
            <w:vAlign w:val="bottom"/>
          </w:tcPr>
          <w:p w14:paraId="5FC59BC2" w14:textId="77777777" w:rsidR="006D3AD5" w:rsidRPr="00874BFF" w:rsidRDefault="006D3AD5" w:rsidP="00443B8F">
            <w:pPr>
              <w:overflowPunct/>
              <w:autoSpaceDE/>
              <w:autoSpaceDN/>
              <w:adjustRightInd/>
              <w:jc w:val="right"/>
              <w:textAlignment w:val="auto"/>
              <w:rPr>
                <w:rFonts w:cs="Arial"/>
                <w:sz w:val="20"/>
              </w:rPr>
            </w:pPr>
            <w:r w:rsidRPr="00874BFF">
              <w:rPr>
                <w:sz w:val="20"/>
              </w:rPr>
              <w:t>60</w:t>
            </w:r>
          </w:p>
        </w:tc>
        <w:tc>
          <w:tcPr>
            <w:tcW w:w="1134" w:type="dxa"/>
            <w:tcBorders>
              <w:top w:val="nil"/>
              <w:left w:val="nil"/>
              <w:bottom w:val="single" w:sz="4" w:space="0" w:color="auto"/>
              <w:right w:val="single" w:sz="4" w:space="0" w:color="auto"/>
            </w:tcBorders>
            <w:noWrap/>
            <w:vAlign w:val="bottom"/>
          </w:tcPr>
          <w:p w14:paraId="3AF5577E" w14:textId="77777777" w:rsidR="006D3AD5" w:rsidRPr="00874BFF" w:rsidRDefault="006D3AD5" w:rsidP="00443B8F">
            <w:pPr>
              <w:overflowPunct/>
              <w:autoSpaceDE/>
              <w:autoSpaceDN/>
              <w:adjustRightInd/>
              <w:jc w:val="right"/>
              <w:textAlignment w:val="auto"/>
              <w:rPr>
                <w:rFonts w:cs="Arial"/>
                <w:sz w:val="20"/>
              </w:rPr>
            </w:pPr>
            <w:r w:rsidRPr="00874BFF">
              <w:rPr>
                <w:sz w:val="20"/>
              </w:rPr>
              <w:t>46.9%</w:t>
            </w:r>
          </w:p>
        </w:tc>
      </w:tr>
      <w:tr w:rsidR="006D3AD5" w:rsidRPr="00874BFF" w14:paraId="3518C5F8"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7E77EBA8" w14:textId="77777777" w:rsidR="006D3AD5" w:rsidRPr="00874BFF" w:rsidRDefault="006D3AD5" w:rsidP="00443B8F">
            <w:pPr>
              <w:overflowPunct/>
              <w:autoSpaceDE/>
              <w:autoSpaceDN/>
              <w:adjustRightInd/>
              <w:jc w:val="left"/>
              <w:textAlignment w:val="auto"/>
              <w:rPr>
                <w:rFonts w:cs="Arial"/>
                <w:sz w:val="20"/>
              </w:rPr>
            </w:pPr>
            <w:r w:rsidRPr="00874BFF">
              <w:rPr>
                <w:sz w:val="20"/>
              </w:rPr>
              <w:t>Obtaining a preferential interest rate</w:t>
            </w:r>
          </w:p>
        </w:tc>
        <w:tc>
          <w:tcPr>
            <w:tcW w:w="992" w:type="dxa"/>
            <w:tcBorders>
              <w:top w:val="nil"/>
              <w:left w:val="nil"/>
              <w:bottom w:val="single" w:sz="4" w:space="0" w:color="auto"/>
              <w:right w:val="single" w:sz="4" w:space="0" w:color="auto"/>
            </w:tcBorders>
            <w:noWrap/>
            <w:vAlign w:val="bottom"/>
          </w:tcPr>
          <w:p w14:paraId="599874DB" w14:textId="77777777" w:rsidR="006D3AD5" w:rsidRPr="00874BFF" w:rsidRDefault="006D3AD5" w:rsidP="00443B8F">
            <w:pPr>
              <w:overflowPunct/>
              <w:autoSpaceDE/>
              <w:autoSpaceDN/>
              <w:adjustRightInd/>
              <w:jc w:val="right"/>
              <w:textAlignment w:val="auto"/>
              <w:rPr>
                <w:rFonts w:cs="Arial"/>
                <w:sz w:val="20"/>
              </w:rPr>
            </w:pPr>
            <w:r w:rsidRPr="00874BFF">
              <w:rPr>
                <w:sz w:val="20"/>
              </w:rPr>
              <w:t>68</w:t>
            </w:r>
          </w:p>
        </w:tc>
        <w:tc>
          <w:tcPr>
            <w:tcW w:w="1134" w:type="dxa"/>
            <w:tcBorders>
              <w:top w:val="nil"/>
              <w:left w:val="nil"/>
              <w:bottom w:val="single" w:sz="4" w:space="0" w:color="auto"/>
              <w:right w:val="single" w:sz="4" w:space="0" w:color="auto"/>
            </w:tcBorders>
            <w:noWrap/>
            <w:vAlign w:val="bottom"/>
          </w:tcPr>
          <w:p w14:paraId="48C7D3E5" w14:textId="77777777" w:rsidR="006D3AD5" w:rsidRPr="00874BFF" w:rsidRDefault="006D3AD5" w:rsidP="00443B8F">
            <w:pPr>
              <w:overflowPunct/>
              <w:autoSpaceDE/>
              <w:autoSpaceDN/>
              <w:adjustRightInd/>
              <w:jc w:val="right"/>
              <w:textAlignment w:val="auto"/>
              <w:rPr>
                <w:rFonts w:cs="Arial"/>
                <w:sz w:val="20"/>
              </w:rPr>
            </w:pPr>
            <w:r w:rsidRPr="00874BFF">
              <w:rPr>
                <w:sz w:val="20"/>
              </w:rPr>
              <w:t>53.1%</w:t>
            </w:r>
          </w:p>
        </w:tc>
      </w:tr>
      <w:tr w:rsidR="006D3AD5" w:rsidRPr="00874BFF" w14:paraId="4FF18CD2"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126F8367" w14:textId="77777777" w:rsidR="006D3AD5" w:rsidRPr="00874BFF" w:rsidRDefault="006D3AD5" w:rsidP="00443B8F">
            <w:pPr>
              <w:overflowPunct/>
              <w:autoSpaceDE/>
              <w:autoSpaceDN/>
              <w:adjustRightInd/>
              <w:jc w:val="left"/>
              <w:textAlignment w:val="auto"/>
              <w:rPr>
                <w:rFonts w:cs="Arial"/>
                <w:sz w:val="20"/>
              </w:rPr>
            </w:pPr>
            <w:r w:rsidRPr="00874BFF">
              <w:rPr>
                <w:sz w:val="20"/>
              </w:rPr>
              <w:t>Prolongation of loan maturity</w:t>
            </w:r>
          </w:p>
        </w:tc>
        <w:tc>
          <w:tcPr>
            <w:tcW w:w="992" w:type="dxa"/>
            <w:tcBorders>
              <w:top w:val="nil"/>
              <w:left w:val="nil"/>
              <w:bottom w:val="single" w:sz="4" w:space="0" w:color="auto"/>
              <w:right w:val="single" w:sz="4" w:space="0" w:color="auto"/>
            </w:tcBorders>
            <w:noWrap/>
            <w:vAlign w:val="bottom"/>
          </w:tcPr>
          <w:p w14:paraId="5B10C4C2" w14:textId="77777777" w:rsidR="006D3AD5" w:rsidRPr="00874BFF" w:rsidRDefault="006D3AD5" w:rsidP="00443B8F">
            <w:pPr>
              <w:overflowPunct/>
              <w:autoSpaceDE/>
              <w:autoSpaceDN/>
              <w:adjustRightInd/>
              <w:jc w:val="right"/>
              <w:textAlignment w:val="auto"/>
              <w:rPr>
                <w:rFonts w:cs="Arial"/>
                <w:sz w:val="20"/>
              </w:rPr>
            </w:pPr>
            <w:r w:rsidRPr="00874BFF">
              <w:rPr>
                <w:sz w:val="20"/>
              </w:rPr>
              <w:t>28</w:t>
            </w:r>
          </w:p>
        </w:tc>
        <w:tc>
          <w:tcPr>
            <w:tcW w:w="1134" w:type="dxa"/>
            <w:tcBorders>
              <w:top w:val="nil"/>
              <w:left w:val="nil"/>
              <w:bottom w:val="single" w:sz="4" w:space="0" w:color="auto"/>
              <w:right w:val="single" w:sz="4" w:space="0" w:color="auto"/>
            </w:tcBorders>
            <w:noWrap/>
            <w:vAlign w:val="bottom"/>
          </w:tcPr>
          <w:p w14:paraId="2D59251D" w14:textId="77777777" w:rsidR="006D3AD5" w:rsidRPr="00874BFF" w:rsidRDefault="006D3AD5" w:rsidP="00443B8F">
            <w:pPr>
              <w:overflowPunct/>
              <w:autoSpaceDE/>
              <w:autoSpaceDN/>
              <w:adjustRightInd/>
              <w:jc w:val="right"/>
              <w:textAlignment w:val="auto"/>
              <w:rPr>
                <w:rFonts w:cs="Arial"/>
                <w:sz w:val="20"/>
              </w:rPr>
            </w:pPr>
            <w:r w:rsidRPr="00874BFF">
              <w:rPr>
                <w:sz w:val="20"/>
              </w:rPr>
              <w:t>21.9%</w:t>
            </w:r>
          </w:p>
        </w:tc>
      </w:tr>
      <w:tr w:rsidR="006D3AD5" w:rsidRPr="00874BFF" w14:paraId="6E392181"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00B4327A" w14:textId="77777777" w:rsidR="006D3AD5" w:rsidRPr="00874BFF" w:rsidRDefault="006D3AD5" w:rsidP="00443B8F">
            <w:pPr>
              <w:overflowPunct/>
              <w:autoSpaceDE/>
              <w:autoSpaceDN/>
              <w:adjustRightInd/>
              <w:jc w:val="left"/>
              <w:textAlignment w:val="auto"/>
              <w:rPr>
                <w:rFonts w:cs="Arial"/>
                <w:sz w:val="20"/>
              </w:rPr>
            </w:pPr>
            <w:r w:rsidRPr="00874BFF">
              <w:rPr>
                <w:sz w:val="20"/>
              </w:rPr>
              <w:t>Deferral of loan instalments</w:t>
            </w:r>
          </w:p>
        </w:tc>
        <w:tc>
          <w:tcPr>
            <w:tcW w:w="992" w:type="dxa"/>
            <w:tcBorders>
              <w:top w:val="nil"/>
              <w:left w:val="nil"/>
              <w:bottom w:val="single" w:sz="4" w:space="0" w:color="auto"/>
              <w:right w:val="single" w:sz="4" w:space="0" w:color="auto"/>
            </w:tcBorders>
            <w:noWrap/>
            <w:vAlign w:val="bottom"/>
          </w:tcPr>
          <w:p w14:paraId="1C013229" w14:textId="77777777" w:rsidR="006D3AD5" w:rsidRPr="00874BFF" w:rsidRDefault="006D3AD5" w:rsidP="00443B8F">
            <w:pPr>
              <w:overflowPunct/>
              <w:autoSpaceDE/>
              <w:autoSpaceDN/>
              <w:adjustRightInd/>
              <w:jc w:val="right"/>
              <w:textAlignment w:val="auto"/>
              <w:rPr>
                <w:rFonts w:cs="Arial"/>
                <w:sz w:val="20"/>
              </w:rPr>
            </w:pPr>
            <w:r w:rsidRPr="00874BFF">
              <w:rPr>
                <w:sz w:val="20"/>
              </w:rPr>
              <w:t>28</w:t>
            </w:r>
          </w:p>
        </w:tc>
        <w:tc>
          <w:tcPr>
            <w:tcW w:w="1134" w:type="dxa"/>
            <w:tcBorders>
              <w:top w:val="nil"/>
              <w:left w:val="nil"/>
              <w:bottom w:val="single" w:sz="4" w:space="0" w:color="auto"/>
              <w:right w:val="single" w:sz="4" w:space="0" w:color="auto"/>
            </w:tcBorders>
            <w:noWrap/>
            <w:vAlign w:val="bottom"/>
          </w:tcPr>
          <w:p w14:paraId="74EE1F71" w14:textId="77777777" w:rsidR="006D3AD5" w:rsidRPr="00874BFF" w:rsidRDefault="006D3AD5" w:rsidP="00443B8F">
            <w:pPr>
              <w:overflowPunct/>
              <w:autoSpaceDE/>
              <w:autoSpaceDN/>
              <w:adjustRightInd/>
              <w:jc w:val="right"/>
              <w:textAlignment w:val="auto"/>
              <w:rPr>
                <w:rFonts w:cs="Arial"/>
                <w:sz w:val="20"/>
              </w:rPr>
            </w:pPr>
            <w:r w:rsidRPr="00874BFF">
              <w:rPr>
                <w:sz w:val="20"/>
              </w:rPr>
              <w:t>21.9%</w:t>
            </w:r>
          </w:p>
        </w:tc>
      </w:tr>
      <w:tr w:rsidR="006D3AD5" w:rsidRPr="00874BFF" w14:paraId="075F07CA"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20C7463B" w14:textId="77777777" w:rsidR="006D3AD5" w:rsidRPr="00874BFF" w:rsidRDefault="006D3AD5" w:rsidP="00443B8F">
            <w:pPr>
              <w:overflowPunct/>
              <w:autoSpaceDE/>
              <w:autoSpaceDN/>
              <w:adjustRightInd/>
              <w:jc w:val="left"/>
              <w:textAlignment w:val="auto"/>
              <w:rPr>
                <w:rFonts w:cs="Arial"/>
                <w:sz w:val="20"/>
              </w:rPr>
            </w:pPr>
            <w:r w:rsidRPr="00874BFF">
              <w:rPr>
                <w:sz w:val="20"/>
              </w:rPr>
              <w:t>Relief of several remaining instalments of the loan</w:t>
            </w:r>
          </w:p>
        </w:tc>
        <w:tc>
          <w:tcPr>
            <w:tcW w:w="992" w:type="dxa"/>
            <w:tcBorders>
              <w:top w:val="nil"/>
              <w:left w:val="nil"/>
              <w:bottom w:val="single" w:sz="4" w:space="0" w:color="auto"/>
              <w:right w:val="single" w:sz="4" w:space="0" w:color="auto"/>
            </w:tcBorders>
            <w:noWrap/>
            <w:vAlign w:val="bottom"/>
          </w:tcPr>
          <w:p w14:paraId="17DDFC5C" w14:textId="77777777" w:rsidR="006D3AD5" w:rsidRPr="00874BFF" w:rsidRDefault="006D3AD5" w:rsidP="00443B8F">
            <w:pPr>
              <w:overflowPunct/>
              <w:autoSpaceDE/>
              <w:autoSpaceDN/>
              <w:adjustRightInd/>
              <w:jc w:val="right"/>
              <w:textAlignment w:val="auto"/>
              <w:rPr>
                <w:rFonts w:cs="Arial"/>
                <w:sz w:val="20"/>
              </w:rPr>
            </w:pPr>
            <w:r w:rsidRPr="00874BFF">
              <w:rPr>
                <w:sz w:val="20"/>
              </w:rPr>
              <w:t>37</w:t>
            </w:r>
          </w:p>
        </w:tc>
        <w:tc>
          <w:tcPr>
            <w:tcW w:w="1134" w:type="dxa"/>
            <w:tcBorders>
              <w:top w:val="nil"/>
              <w:left w:val="nil"/>
              <w:bottom w:val="single" w:sz="4" w:space="0" w:color="auto"/>
              <w:right w:val="single" w:sz="4" w:space="0" w:color="auto"/>
            </w:tcBorders>
            <w:noWrap/>
            <w:vAlign w:val="bottom"/>
          </w:tcPr>
          <w:p w14:paraId="3A270E5E" w14:textId="77777777" w:rsidR="006D3AD5" w:rsidRPr="00874BFF" w:rsidRDefault="006D3AD5" w:rsidP="00443B8F">
            <w:pPr>
              <w:overflowPunct/>
              <w:autoSpaceDE/>
              <w:autoSpaceDN/>
              <w:adjustRightInd/>
              <w:jc w:val="right"/>
              <w:textAlignment w:val="auto"/>
              <w:rPr>
                <w:rFonts w:cs="Arial"/>
                <w:sz w:val="20"/>
              </w:rPr>
            </w:pPr>
            <w:r w:rsidRPr="00874BFF">
              <w:rPr>
                <w:sz w:val="20"/>
              </w:rPr>
              <w:t>28.9%</w:t>
            </w:r>
          </w:p>
        </w:tc>
      </w:tr>
      <w:tr w:rsidR="006D3AD5" w:rsidRPr="00874BFF" w14:paraId="75852E1A"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63BA897A" w14:textId="77777777" w:rsidR="006D3AD5" w:rsidRPr="00874BFF" w:rsidRDefault="006D3AD5" w:rsidP="00443B8F">
            <w:pPr>
              <w:overflowPunct/>
              <w:autoSpaceDE/>
              <w:autoSpaceDN/>
              <w:adjustRightInd/>
              <w:jc w:val="left"/>
              <w:textAlignment w:val="auto"/>
              <w:rPr>
                <w:rFonts w:cs="Arial"/>
                <w:sz w:val="20"/>
              </w:rPr>
            </w:pPr>
            <w:r w:rsidRPr="00874BFF">
              <w:rPr>
                <w:sz w:val="20"/>
              </w:rPr>
              <w:t>Obtaining funds from an investor</w:t>
            </w:r>
          </w:p>
        </w:tc>
        <w:tc>
          <w:tcPr>
            <w:tcW w:w="992" w:type="dxa"/>
            <w:tcBorders>
              <w:top w:val="nil"/>
              <w:left w:val="nil"/>
              <w:bottom w:val="single" w:sz="4" w:space="0" w:color="auto"/>
              <w:right w:val="single" w:sz="4" w:space="0" w:color="auto"/>
            </w:tcBorders>
            <w:noWrap/>
            <w:vAlign w:val="bottom"/>
          </w:tcPr>
          <w:p w14:paraId="0638F6E6" w14:textId="77777777" w:rsidR="006D3AD5" w:rsidRPr="00874BFF" w:rsidRDefault="006D3AD5" w:rsidP="00443B8F">
            <w:pPr>
              <w:overflowPunct/>
              <w:autoSpaceDE/>
              <w:autoSpaceDN/>
              <w:adjustRightInd/>
              <w:jc w:val="right"/>
              <w:textAlignment w:val="auto"/>
              <w:rPr>
                <w:rFonts w:cs="Arial"/>
                <w:sz w:val="20"/>
              </w:rPr>
            </w:pPr>
            <w:r w:rsidRPr="00874BFF">
              <w:rPr>
                <w:sz w:val="20"/>
              </w:rPr>
              <w:t>21</w:t>
            </w:r>
          </w:p>
        </w:tc>
        <w:tc>
          <w:tcPr>
            <w:tcW w:w="1134" w:type="dxa"/>
            <w:tcBorders>
              <w:top w:val="nil"/>
              <w:left w:val="nil"/>
              <w:bottom w:val="single" w:sz="4" w:space="0" w:color="auto"/>
              <w:right w:val="single" w:sz="4" w:space="0" w:color="auto"/>
            </w:tcBorders>
            <w:noWrap/>
            <w:vAlign w:val="bottom"/>
          </w:tcPr>
          <w:p w14:paraId="52648668" w14:textId="77777777" w:rsidR="006D3AD5" w:rsidRPr="00874BFF" w:rsidRDefault="006D3AD5" w:rsidP="00443B8F">
            <w:pPr>
              <w:overflowPunct/>
              <w:autoSpaceDE/>
              <w:autoSpaceDN/>
              <w:adjustRightInd/>
              <w:jc w:val="right"/>
              <w:textAlignment w:val="auto"/>
              <w:rPr>
                <w:rFonts w:cs="Arial"/>
                <w:sz w:val="20"/>
              </w:rPr>
            </w:pPr>
            <w:r w:rsidRPr="00874BFF">
              <w:rPr>
                <w:sz w:val="20"/>
              </w:rPr>
              <w:t>16.4%</w:t>
            </w:r>
          </w:p>
        </w:tc>
      </w:tr>
      <w:tr w:rsidR="006D3AD5" w:rsidRPr="00874BFF" w14:paraId="1B125F78"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114691FC" w14:textId="77777777" w:rsidR="006D3AD5" w:rsidRPr="00874BFF" w:rsidRDefault="006D3AD5" w:rsidP="00443B8F">
            <w:pPr>
              <w:overflowPunct/>
              <w:autoSpaceDE/>
              <w:autoSpaceDN/>
              <w:adjustRightInd/>
              <w:jc w:val="left"/>
              <w:textAlignment w:val="auto"/>
              <w:rPr>
                <w:rFonts w:cs="Arial"/>
                <w:sz w:val="20"/>
              </w:rPr>
            </w:pPr>
            <w:r w:rsidRPr="00874BFF">
              <w:rPr>
                <w:sz w:val="20"/>
              </w:rPr>
              <w:t>Raising awareness of available sources of financing</w:t>
            </w:r>
          </w:p>
        </w:tc>
        <w:tc>
          <w:tcPr>
            <w:tcW w:w="992" w:type="dxa"/>
            <w:tcBorders>
              <w:top w:val="nil"/>
              <w:left w:val="nil"/>
              <w:bottom w:val="single" w:sz="4" w:space="0" w:color="auto"/>
              <w:right w:val="single" w:sz="4" w:space="0" w:color="auto"/>
            </w:tcBorders>
            <w:noWrap/>
            <w:vAlign w:val="bottom"/>
          </w:tcPr>
          <w:p w14:paraId="5B5B31CF" w14:textId="77777777" w:rsidR="006D3AD5" w:rsidRPr="00874BFF" w:rsidRDefault="006D3AD5" w:rsidP="00443B8F">
            <w:pPr>
              <w:overflowPunct/>
              <w:autoSpaceDE/>
              <w:autoSpaceDN/>
              <w:adjustRightInd/>
              <w:jc w:val="right"/>
              <w:textAlignment w:val="auto"/>
              <w:rPr>
                <w:rFonts w:cs="Arial"/>
                <w:sz w:val="20"/>
              </w:rPr>
            </w:pPr>
            <w:r w:rsidRPr="00874BFF">
              <w:rPr>
                <w:sz w:val="20"/>
              </w:rPr>
              <w:t>21</w:t>
            </w:r>
          </w:p>
        </w:tc>
        <w:tc>
          <w:tcPr>
            <w:tcW w:w="1134" w:type="dxa"/>
            <w:tcBorders>
              <w:top w:val="nil"/>
              <w:left w:val="nil"/>
              <w:bottom w:val="single" w:sz="4" w:space="0" w:color="auto"/>
              <w:right w:val="single" w:sz="4" w:space="0" w:color="auto"/>
            </w:tcBorders>
            <w:noWrap/>
            <w:vAlign w:val="bottom"/>
          </w:tcPr>
          <w:p w14:paraId="5492B40E" w14:textId="77777777" w:rsidR="006D3AD5" w:rsidRPr="00874BFF" w:rsidRDefault="006D3AD5" w:rsidP="00443B8F">
            <w:pPr>
              <w:overflowPunct/>
              <w:autoSpaceDE/>
              <w:autoSpaceDN/>
              <w:adjustRightInd/>
              <w:jc w:val="right"/>
              <w:textAlignment w:val="auto"/>
              <w:rPr>
                <w:rFonts w:cs="Arial"/>
                <w:sz w:val="20"/>
              </w:rPr>
            </w:pPr>
            <w:r w:rsidRPr="00874BFF">
              <w:rPr>
                <w:sz w:val="20"/>
              </w:rPr>
              <w:t>16.4%</w:t>
            </w:r>
          </w:p>
        </w:tc>
      </w:tr>
      <w:tr w:rsidR="006D3AD5" w:rsidRPr="00874BFF" w14:paraId="1B068941"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2AE54507" w14:textId="77777777" w:rsidR="006D3AD5" w:rsidRPr="00874BFF" w:rsidRDefault="006D3AD5" w:rsidP="00443B8F">
            <w:pPr>
              <w:overflowPunct/>
              <w:autoSpaceDE/>
              <w:autoSpaceDN/>
              <w:adjustRightInd/>
              <w:jc w:val="left"/>
              <w:textAlignment w:val="auto"/>
              <w:rPr>
                <w:rFonts w:cs="Arial"/>
                <w:sz w:val="20"/>
              </w:rPr>
            </w:pPr>
            <w:r w:rsidRPr="00874BFF">
              <w:rPr>
                <w:sz w:val="20"/>
              </w:rPr>
              <w:t>Reduction of the administrative barrier at fund raising</w:t>
            </w:r>
          </w:p>
        </w:tc>
        <w:tc>
          <w:tcPr>
            <w:tcW w:w="992" w:type="dxa"/>
            <w:tcBorders>
              <w:top w:val="nil"/>
              <w:left w:val="nil"/>
              <w:bottom w:val="single" w:sz="4" w:space="0" w:color="auto"/>
              <w:right w:val="single" w:sz="4" w:space="0" w:color="auto"/>
            </w:tcBorders>
            <w:noWrap/>
            <w:vAlign w:val="bottom"/>
          </w:tcPr>
          <w:p w14:paraId="3895ED7E" w14:textId="77777777" w:rsidR="006D3AD5" w:rsidRPr="00874BFF" w:rsidRDefault="006D3AD5" w:rsidP="00443B8F">
            <w:pPr>
              <w:overflowPunct/>
              <w:autoSpaceDE/>
              <w:autoSpaceDN/>
              <w:adjustRightInd/>
              <w:jc w:val="right"/>
              <w:textAlignment w:val="auto"/>
              <w:rPr>
                <w:rFonts w:cs="Arial"/>
                <w:sz w:val="20"/>
              </w:rPr>
            </w:pPr>
            <w:r w:rsidRPr="00874BFF">
              <w:rPr>
                <w:sz w:val="20"/>
              </w:rPr>
              <w:t>58</w:t>
            </w:r>
          </w:p>
        </w:tc>
        <w:tc>
          <w:tcPr>
            <w:tcW w:w="1134" w:type="dxa"/>
            <w:tcBorders>
              <w:top w:val="nil"/>
              <w:left w:val="nil"/>
              <w:bottom w:val="single" w:sz="4" w:space="0" w:color="auto"/>
              <w:right w:val="single" w:sz="4" w:space="0" w:color="auto"/>
            </w:tcBorders>
            <w:noWrap/>
            <w:vAlign w:val="bottom"/>
          </w:tcPr>
          <w:p w14:paraId="6AC4CD58" w14:textId="77777777" w:rsidR="006D3AD5" w:rsidRPr="00874BFF" w:rsidRDefault="006D3AD5" w:rsidP="00443B8F">
            <w:pPr>
              <w:overflowPunct/>
              <w:autoSpaceDE/>
              <w:autoSpaceDN/>
              <w:adjustRightInd/>
              <w:jc w:val="right"/>
              <w:textAlignment w:val="auto"/>
              <w:rPr>
                <w:rFonts w:cs="Arial"/>
                <w:sz w:val="20"/>
              </w:rPr>
            </w:pPr>
            <w:r w:rsidRPr="00874BFF">
              <w:rPr>
                <w:sz w:val="20"/>
              </w:rPr>
              <w:t>45.3%</w:t>
            </w:r>
          </w:p>
        </w:tc>
      </w:tr>
      <w:tr w:rsidR="006D3AD5" w:rsidRPr="00874BFF" w14:paraId="35FB0CA2" w14:textId="77777777" w:rsidTr="00443B8F">
        <w:trPr>
          <w:trHeight w:val="255"/>
        </w:trPr>
        <w:tc>
          <w:tcPr>
            <w:tcW w:w="5402" w:type="dxa"/>
            <w:tcBorders>
              <w:top w:val="nil"/>
              <w:left w:val="single" w:sz="4" w:space="0" w:color="auto"/>
              <w:bottom w:val="single" w:sz="4" w:space="0" w:color="auto"/>
              <w:right w:val="single" w:sz="4" w:space="0" w:color="auto"/>
            </w:tcBorders>
            <w:noWrap/>
            <w:vAlign w:val="bottom"/>
          </w:tcPr>
          <w:p w14:paraId="64CC45D2" w14:textId="77777777" w:rsidR="006D3AD5" w:rsidRPr="00874BFF" w:rsidRDefault="006D3AD5" w:rsidP="00443B8F">
            <w:pPr>
              <w:overflowPunct/>
              <w:autoSpaceDE/>
              <w:autoSpaceDN/>
              <w:adjustRightInd/>
              <w:jc w:val="left"/>
              <w:textAlignment w:val="auto"/>
              <w:rPr>
                <w:rFonts w:cs="Arial"/>
                <w:sz w:val="20"/>
              </w:rPr>
            </w:pPr>
            <w:r w:rsidRPr="00874BFF">
              <w:rPr>
                <w:sz w:val="20"/>
              </w:rPr>
              <w:lastRenderedPageBreak/>
              <w:t>Assistance at preparation of the project (e.g. business plan or specialised consulting: financing, preparation of project documentation, energy audit, etc.).</w:t>
            </w:r>
          </w:p>
        </w:tc>
        <w:tc>
          <w:tcPr>
            <w:tcW w:w="992" w:type="dxa"/>
            <w:tcBorders>
              <w:top w:val="nil"/>
              <w:left w:val="nil"/>
              <w:bottom w:val="single" w:sz="4" w:space="0" w:color="auto"/>
              <w:right w:val="single" w:sz="4" w:space="0" w:color="auto"/>
            </w:tcBorders>
            <w:noWrap/>
            <w:vAlign w:val="bottom"/>
          </w:tcPr>
          <w:p w14:paraId="0B9F86DF" w14:textId="77777777" w:rsidR="006D3AD5" w:rsidRPr="00874BFF" w:rsidRDefault="006D3AD5" w:rsidP="00443B8F">
            <w:pPr>
              <w:overflowPunct/>
              <w:autoSpaceDE/>
              <w:autoSpaceDN/>
              <w:adjustRightInd/>
              <w:jc w:val="right"/>
              <w:textAlignment w:val="auto"/>
              <w:rPr>
                <w:rFonts w:cs="Arial"/>
                <w:sz w:val="20"/>
              </w:rPr>
            </w:pPr>
            <w:r w:rsidRPr="00874BFF">
              <w:rPr>
                <w:sz w:val="20"/>
              </w:rPr>
              <w:t>37</w:t>
            </w:r>
          </w:p>
        </w:tc>
        <w:tc>
          <w:tcPr>
            <w:tcW w:w="1134" w:type="dxa"/>
            <w:tcBorders>
              <w:top w:val="nil"/>
              <w:left w:val="nil"/>
              <w:bottom w:val="single" w:sz="4" w:space="0" w:color="auto"/>
              <w:right w:val="single" w:sz="4" w:space="0" w:color="auto"/>
            </w:tcBorders>
            <w:noWrap/>
            <w:vAlign w:val="bottom"/>
          </w:tcPr>
          <w:p w14:paraId="0205DCFA" w14:textId="77777777" w:rsidR="006D3AD5" w:rsidRPr="00874BFF" w:rsidRDefault="006D3AD5" w:rsidP="00443B8F">
            <w:pPr>
              <w:overflowPunct/>
              <w:autoSpaceDE/>
              <w:autoSpaceDN/>
              <w:adjustRightInd/>
              <w:jc w:val="right"/>
              <w:textAlignment w:val="auto"/>
              <w:rPr>
                <w:rFonts w:cs="Arial"/>
                <w:sz w:val="20"/>
              </w:rPr>
            </w:pPr>
            <w:r w:rsidRPr="00874BFF">
              <w:rPr>
                <w:sz w:val="20"/>
              </w:rPr>
              <w:t>28.9%</w:t>
            </w:r>
          </w:p>
        </w:tc>
      </w:tr>
      <w:tr w:rsidR="006D3AD5" w:rsidRPr="00874BFF" w14:paraId="2F316C73" w14:textId="77777777" w:rsidTr="00443B8F">
        <w:trPr>
          <w:trHeight w:val="255"/>
        </w:trPr>
        <w:tc>
          <w:tcPr>
            <w:tcW w:w="5402" w:type="dxa"/>
            <w:tcBorders>
              <w:top w:val="nil"/>
              <w:left w:val="nil"/>
              <w:bottom w:val="nil"/>
              <w:right w:val="nil"/>
            </w:tcBorders>
            <w:noWrap/>
            <w:vAlign w:val="bottom"/>
          </w:tcPr>
          <w:p w14:paraId="7B2063F7"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92" w:type="dxa"/>
            <w:tcBorders>
              <w:top w:val="nil"/>
              <w:left w:val="nil"/>
              <w:bottom w:val="nil"/>
              <w:right w:val="nil"/>
            </w:tcBorders>
            <w:noWrap/>
            <w:vAlign w:val="bottom"/>
          </w:tcPr>
          <w:p w14:paraId="24A7E5A8" w14:textId="77777777" w:rsidR="006D3AD5" w:rsidRPr="00874BFF" w:rsidRDefault="006D3AD5" w:rsidP="00443B8F">
            <w:pPr>
              <w:overflowPunct/>
              <w:autoSpaceDE/>
              <w:autoSpaceDN/>
              <w:adjustRightInd/>
              <w:jc w:val="left"/>
              <w:textAlignment w:val="auto"/>
              <w:rPr>
                <w:rFonts w:cs="Arial"/>
                <w:sz w:val="20"/>
              </w:rPr>
            </w:pPr>
            <w:r w:rsidRPr="00874BFF">
              <w:rPr>
                <w:sz w:val="20"/>
              </w:rPr>
              <w:t>128</w:t>
            </w:r>
          </w:p>
        </w:tc>
        <w:tc>
          <w:tcPr>
            <w:tcW w:w="1134" w:type="dxa"/>
            <w:tcBorders>
              <w:top w:val="nil"/>
              <w:left w:val="nil"/>
              <w:bottom w:val="nil"/>
              <w:right w:val="nil"/>
            </w:tcBorders>
            <w:noWrap/>
            <w:vAlign w:val="bottom"/>
          </w:tcPr>
          <w:p w14:paraId="5822194C" w14:textId="77777777" w:rsidR="006D3AD5" w:rsidRPr="00874BFF" w:rsidRDefault="006D3AD5" w:rsidP="00443B8F">
            <w:pPr>
              <w:overflowPunct/>
              <w:autoSpaceDE/>
              <w:autoSpaceDN/>
              <w:adjustRightInd/>
              <w:jc w:val="left"/>
              <w:textAlignment w:val="auto"/>
              <w:rPr>
                <w:rFonts w:cs="Arial"/>
                <w:sz w:val="20"/>
              </w:rPr>
            </w:pPr>
          </w:p>
        </w:tc>
      </w:tr>
    </w:tbl>
    <w:p w14:paraId="161A4A93" w14:textId="77777777" w:rsidR="006D3AD5" w:rsidRPr="00874BFF" w:rsidRDefault="006D3AD5" w:rsidP="006D3AD5">
      <w:pPr>
        <w:rPr>
          <w:sz w:val="24"/>
        </w:rPr>
      </w:pPr>
    </w:p>
    <w:p w14:paraId="09ABB83B" w14:textId="77777777" w:rsidR="006D3AD5" w:rsidRPr="00874BFF" w:rsidRDefault="006D3AD5" w:rsidP="006D3AD5">
      <w:pPr>
        <w:rPr>
          <w:szCs w:val="22"/>
        </w:rPr>
      </w:pPr>
      <w:r w:rsidRPr="00874BFF">
        <w:t>A question at the end of the questionnaire concerned perceived obstacles and risks related to small and medium sized entrepreneurship. The responses clearly indicate that above all there are problems related to the demand for their products (general economic situation, stronger competition, etc.); nevertheless, the companies believe the economic situation will improve in the next three years. Limited availability of suitable human resources is regarded by them as the second largest problem , however, they expect improvement in  this area in the future.  Within 3–5 years, they also expect  a growing labour cost to remain a significant risk. Additionally, they are afraid of e.g. worsening of their relative technological position.</w:t>
      </w:r>
    </w:p>
    <w:p w14:paraId="1BC76635" w14:textId="77777777" w:rsidR="006D3AD5" w:rsidRPr="00874BFF" w:rsidRDefault="006D3AD5" w:rsidP="006D3AD5">
      <w:pPr>
        <w:rPr>
          <w:szCs w:val="22"/>
        </w:rPr>
      </w:pPr>
    </w:p>
    <w:p w14:paraId="4BA8D0A0" w14:textId="77777777" w:rsidR="006D3AD5" w:rsidRPr="00874BFF" w:rsidRDefault="006D3AD5" w:rsidP="006D3AD5">
      <w:pPr>
        <w:rPr>
          <w:szCs w:val="22"/>
        </w:rPr>
      </w:pPr>
    </w:p>
    <w:p w14:paraId="26586E02" w14:textId="77777777" w:rsidR="006D3AD5" w:rsidRPr="00874BFF" w:rsidRDefault="006D3AD5" w:rsidP="006D3AD5">
      <w:pPr>
        <w:rPr>
          <w:szCs w:val="22"/>
        </w:rPr>
      </w:pPr>
    </w:p>
    <w:p w14:paraId="2980FB13" w14:textId="77777777" w:rsidR="006D3AD5" w:rsidRPr="00874BFF" w:rsidRDefault="006D3AD5" w:rsidP="006D3AD5">
      <w:pPr>
        <w:rPr>
          <w:szCs w:val="22"/>
        </w:rPr>
      </w:pPr>
    </w:p>
    <w:p w14:paraId="542CD228" w14:textId="1189CB0F" w:rsidR="006D3AD5" w:rsidRPr="00874BFF" w:rsidRDefault="006D3AD5" w:rsidP="006D3AD5">
      <w:pPr>
        <w:pStyle w:val="Titulek"/>
      </w:pPr>
      <w:r w:rsidRPr="00874BFF">
        <w:t>Table 2</w:t>
      </w:r>
      <w:r w:rsidR="00C13AEE">
        <w:t>7</w:t>
      </w:r>
      <w:r w:rsidRPr="00874BFF">
        <w:t>: Obstacles for business activities perceived by small and medium sized enterprises</w:t>
      </w:r>
    </w:p>
    <w:tbl>
      <w:tblPr>
        <w:tblW w:w="9436" w:type="dxa"/>
        <w:tblInd w:w="55" w:type="dxa"/>
        <w:tblCellMar>
          <w:left w:w="70" w:type="dxa"/>
          <w:right w:w="70" w:type="dxa"/>
        </w:tblCellMar>
        <w:tblLook w:val="00A0" w:firstRow="1" w:lastRow="0" w:firstColumn="1" w:lastColumn="0" w:noHBand="0" w:noVBand="0"/>
      </w:tblPr>
      <w:tblGrid>
        <w:gridCol w:w="5894"/>
        <w:gridCol w:w="1417"/>
        <w:gridCol w:w="2125"/>
      </w:tblGrid>
      <w:tr w:rsidR="006D3AD5" w:rsidRPr="00874BFF" w14:paraId="6BDD1010" w14:textId="77777777" w:rsidTr="00443B8F">
        <w:trPr>
          <w:trHeight w:val="255"/>
        </w:trPr>
        <w:tc>
          <w:tcPr>
            <w:tcW w:w="5894" w:type="dxa"/>
            <w:tcBorders>
              <w:top w:val="single" w:sz="4" w:space="0" w:color="auto"/>
              <w:left w:val="single" w:sz="4" w:space="0" w:color="auto"/>
              <w:bottom w:val="single" w:sz="4" w:space="0" w:color="auto"/>
              <w:right w:val="single" w:sz="4" w:space="0" w:color="auto"/>
            </w:tcBorders>
            <w:noWrap/>
            <w:vAlign w:val="bottom"/>
          </w:tcPr>
          <w:p w14:paraId="56872298"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Obstacles for business activities perceived by small and medium size enterprises</w:t>
            </w:r>
          </w:p>
        </w:tc>
        <w:tc>
          <w:tcPr>
            <w:tcW w:w="1417" w:type="dxa"/>
            <w:tcBorders>
              <w:top w:val="single" w:sz="4" w:space="0" w:color="auto"/>
              <w:left w:val="nil"/>
              <w:bottom w:val="single" w:sz="4" w:space="0" w:color="auto"/>
              <w:right w:val="single" w:sz="4" w:space="0" w:color="auto"/>
            </w:tcBorders>
            <w:noWrap/>
            <w:vAlign w:val="bottom"/>
          </w:tcPr>
          <w:p w14:paraId="194707CC"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2125" w:type="dxa"/>
            <w:tcBorders>
              <w:top w:val="single" w:sz="4" w:space="0" w:color="auto"/>
              <w:left w:val="nil"/>
              <w:bottom w:val="single" w:sz="4" w:space="0" w:color="auto"/>
              <w:right w:val="single" w:sz="4" w:space="0" w:color="auto"/>
            </w:tcBorders>
            <w:noWrap/>
            <w:vAlign w:val="bottom"/>
          </w:tcPr>
          <w:p w14:paraId="5502EA22"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r>
      <w:tr w:rsidR="006D3AD5" w:rsidRPr="00874BFF" w14:paraId="4ADD2AC0"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1ABE1D5E"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1417" w:type="dxa"/>
            <w:tcBorders>
              <w:top w:val="nil"/>
              <w:left w:val="nil"/>
              <w:bottom w:val="single" w:sz="4" w:space="0" w:color="auto"/>
              <w:right w:val="single" w:sz="4" w:space="0" w:color="auto"/>
            </w:tcBorders>
            <w:noWrap/>
            <w:vAlign w:val="bottom"/>
          </w:tcPr>
          <w:p w14:paraId="0A7953D4" w14:textId="77777777" w:rsidR="006D3AD5" w:rsidRPr="00874BFF" w:rsidRDefault="006D3AD5" w:rsidP="00443B8F">
            <w:pPr>
              <w:overflowPunct/>
              <w:autoSpaceDE/>
              <w:autoSpaceDN/>
              <w:adjustRightInd/>
              <w:jc w:val="left"/>
              <w:textAlignment w:val="auto"/>
              <w:rPr>
                <w:rFonts w:cs="Arial"/>
                <w:sz w:val="20"/>
              </w:rPr>
            </w:pPr>
            <w:r w:rsidRPr="00874BFF">
              <w:rPr>
                <w:sz w:val="20"/>
              </w:rPr>
              <w:t>Short-term (1-3 years)</w:t>
            </w:r>
          </w:p>
        </w:tc>
        <w:tc>
          <w:tcPr>
            <w:tcW w:w="2125" w:type="dxa"/>
            <w:tcBorders>
              <w:top w:val="nil"/>
              <w:left w:val="nil"/>
              <w:bottom w:val="single" w:sz="4" w:space="0" w:color="auto"/>
              <w:right w:val="single" w:sz="4" w:space="0" w:color="auto"/>
            </w:tcBorders>
            <w:noWrap/>
            <w:vAlign w:val="bottom"/>
          </w:tcPr>
          <w:p w14:paraId="6B9193BA" w14:textId="77777777" w:rsidR="006D3AD5" w:rsidRPr="00874BFF" w:rsidRDefault="006D3AD5" w:rsidP="00443B8F">
            <w:pPr>
              <w:overflowPunct/>
              <w:autoSpaceDE/>
              <w:autoSpaceDN/>
              <w:adjustRightInd/>
              <w:jc w:val="left"/>
              <w:textAlignment w:val="auto"/>
              <w:rPr>
                <w:rFonts w:cs="Arial"/>
                <w:sz w:val="20"/>
              </w:rPr>
            </w:pPr>
            <w:r w:rsidRPr="00874BFF">
              <w:rPr>
                <w:sz w:val="20"/>
              </w:rPr>
              <w:t>Medium- to long-term (3-5 years)</w:t>
            </w:r>
          </w:p>
        </w:tc>
      </w:tr>
      <w:tr w:rsidR="006D3AD5" w:rsidRPr="00874BFF" w14:paraId="66866C8B"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21BDDC0C" w14:textId="77777777" w:rsidR="006D3AD5" w:rsidRPr="00874BFF" w:rsidRDefault="006D3AD5" w:rsidP="00443B8F">
            <w:pPr>
              <w:overflowPunct/>
              <w:autoSpaceDE/>
              <w:autoSpaceDN/>
              <w:adjustRightInd/>
              <w:jc w:val="left"/>
              <w:textAlignment w:val="auto"/>
              <w:rPr>
                <w:rFonts w:cs="Arial"/>
                <w:sz w:val="20"/>
              </w:rPr>
            </w:pPr>
            <w:r w:rsidRPr="00874BFF">
              <w:rPr>
                <w:sz w:val="20"/>
              </w:rPr>
              <w:t>General economic situation</w:t>
            </w:r>
          </w:p>
        </w:tc>
        <w:tc>
          <w:tcPr>
            <w:tcW w:w="1417" w:type="dxa"/>
            <w:tcBorders>
              <w:top w:val="nil"/>
              <w:left w:val="nil"/>
              <w:bottom w:val="single" w:sz="4" w:space="0" w:color="auto"/>
              <w:right w:val="single" w:sz="4" w:space="0" w:color="auto"/>
            </w:tcBorders>
            <w:noWrap/>
            <w:vAlign w:val="bottom"/>
          </w:tcPr>
          <w:p w14:paraId="0BAF791A" w14:textId="77777777" w:rsidR="006D3AD5" w:rsidRPr="00874BFF" w:rsidRDefault="006D3AD5" w:rsidP="00443B8F">
            <w:pPr>
              <w:overflowPunct/>
              <w:autoSpaceDE/>
              <w:autoSpaceDN/>
              <w:adjustRightInd/>
              <w:jc w:val="right"/>
              <w:textAlignment w:val="auto"/>
              <w:rPr>
                <w:rFonts w:cs="Arial"/>
                <w:sz w:val="20"/>
              </w:rPr>
            </w:pPr>
            <w:r w:rsidRPr="00874BFF">
              <w:rPr>
                <w:sz w:val="20"/>
              </w:rPr>
              <w:t>47.0%</w:t>
            </w:r>
          </w:p>
        </w:tc>
        <w:tc>
          <w:tcPr>
            <w:tcW w:w="2125" w:type="dxa"/>
            <w:tcBorders>
              <w:top w:val="nil"/>
              <w:left w:val="nil"/>
              <w:bottom w:val="single" w:sz="4" w:space="0" w:color="auto"/>
              <w:right w:val="single" w:sz="4" w:space="0" w:color="auto"/>
            </w:tcBorders>
            <w:noWrap/>
            <w:vAlign w:val="bottom"/>
          </w:tcPr>
          <w:p w14:paraId="65C58B85" w14:textId="77777777" w:rsidR="006D3AD5" w:rsidRPr="00874BFF" w:rsidRDefault="006D3AD5" w:rsidP="00443B8F">
            <w:pPr>
              <w:overflowPunct/>
              <w:autoSpaceDE/>
              <w:autoSpaceDN/>
              <w:adjustRightInd/>
              <w:jc w:val="right"/>
              <w:textAlignment w:val="auto"/>
              <w:rPr>
                <w:rFonts w:cs="Arial"/>
                <w:sz w:val="20"/>
              </w:rPr>
            </w:pPr>
            <w:r w:rsidRPr="00874BFF">
              <w:rPr>
                <w:sz w:val="20"/>
              </w:rPr>
              <w:t>30.8%</w:t>
            </w:r>
          </w:p>
        </w:tc>
      </w:tr>
      <w:tr w:rsidR="006D3AD5" w:rsidRPr="00874BFF" w14:paraId="7F194B7B"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4DFEFAAB" w14:textId="77777777" w:rsidR="006D3AD5" w:rsidRPr="00874BFF" w:rsidRDefault="006D3AD5" w:rsidP="00443B8F">
            <w:pPr>
              <w:overflowPunct/>
              <w:autoSpaceDE/>
              <w:autoSpaceDN/>
              <w:adjustRightInd/>
              <w:jc w:val="left"/>
              <w:textAlignment w:val="auto"/>
              <w:rPr>
                <w:rFonts w:cs="Arial"/>
                <w:sz w:val="20"/>
              </w:rPr>
            </w:pPr>
            <w:r w:rsidRPr="00874BFF">
              <w:rPr>
                <w:sz w:val="20"/>
              </w:rPr>
              <w:t>Political situation</w:t>
            </w:r>
          </w:p>
        </w:tc>
        <w:tc>
          <w:tcPr>
            <w:tcW w:w="1417" w:type="dxa"/>
            <w:tcBorders>
              <w:top w:val="nil"/>
              <w:left w:val="nil"/>
              <w:bottom w:val="single" w:sz="4" w:space="0" w:color="auto"/>
              <w:right w:val="single" w:sz="4" w:space="0" w:color="auto"/>
            </w:tcBorders>
            <w:noWrap/>
            <w:vAlign w:val="bottom"/>
          </w:tcPr>
          <w:p w14:paraId="49E35AB9" w14:textId="77777777" w:rsidR="006D3AD5" w:rsidRPr="00874BFF" w:rsidRDefault="006D3AD5" w:rsidP="00443B8F">
            <w:pPr>
              <w:overflowPunct/>
              <w:autoSpaceDE/>
              <w:autoSpaceDN/>
              <w:adjustRightInd/>
              <w:jc w:val="right"/>
              <w:textAlignment w:val="auto"/>
              <w:rPr>
                <w:rFonts w:cs="Arial"/>
                <w:sz w:val="20"/>
              </w:rPr>
            </w:pPr>
            <w:r w:rsidRPr="00874BFF">
              <w:rPr>
                <w:sz w:val="20"/>
              </w:rPr>
              <w:t>19.1%</w:t>
            </w:r>
          </w:p>
        </w:tc>
        <w:tc>
          <w:tcPr>
            <w:tcW w:w="2125" w:type="dxa"/>
            <w:tcBorders>
              <w:top w:val="nil"/>
              <w:left w:val="nil"/>
              <w:bottom w:val="single" w:sz="4" w:space="0" w:color="auto"/>
              <w:right w:val="single" w:sz="4" w:space="0" w:color="auto"/>
            </w:tcBorders>
            <w:noWrap/>
            <w:vAlign w:val="bottom"/>
          </w:tcPr>
          <w:p w14:paraId="321C3490" w14:textId="77777777" w:rsidR="006D3AD5" w:rsidRPr="00874BFF" w:rsidRDefault="006D3AD5" w:rsidP="00443B8F">
            <w:pPr>
              <w:overflowPunct/>
              <w:autoSpaceDE/>
              <w:autoSpaceDN/>
              <w:adjustRightInd/>
              <w:jc w:val="right"/>
              <w:textAlignment w:val="auto"/>
              <w:rPr>
                <w:rFonts w:cs="Arial"/>
                <w:sz w:val="20"/>
              </w:rPr>
            </w:pPr>
            <w:r w:rsidRPr="00874BFF">
              <w:rPr>
                <w:sz w:val="20"/>
              </w:rPr>
              <w:t>22.1%</w:t>
            </w:r>
          </w:p>
        </w:tc>
      </w:tr>
      <w:tr w:rsidR="006D3AD5" w:rsidRPr="00874BFF" w14:paraId="34C99B97"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08719F5B" w14:textId="77777777" w:rsidR="006D3AD5" w:rsidRPr="00874BFF" w:rsidRDefault="006D3AD5" w:rsidP="00443B8F">
            <w:pPr>
              <w:overflowPunct/>
              <w:autoSpaceDE/>
              <w:autoSpaceDN/>
              <w:adjustRightInd/>
              <w:jc w:val="left"/>
              <w:textAlignment w:val="auto"/>
              <w:rPr>
                <w:rFonts w:cs="Arial"/>
                <w:sz w:val="20"/>
              </w:rPr>
            </w:pPr>
            <w:r w:rsidRPr="00874BFF">
              <w:rPr>
                <w:sz w:val="20"/>
              </w:rPr>
              <w:t>Limited demand on the local/national market</w:t>
            </w:r>
          </w:p>
        </w:tc>
        <w:tc>
          <w:tcPr>
            <w:tcW w:w="1417" w:type="dxa"/>
            <w:tcBorders>
              <w:top w:val="nil"/>
              <w:left w:val="nil"/>
              <w:bottom w:val="single" w:sz="4" w:space="0" w:color="auto"/>
              <w:right w:val="single" w:sz="4" w:space="0" w:color="auto"/>
            </w:tcBorders>
            <w:noWrap/>
            <w:vAlign w:val="bottom"/>
          </w:tcPr>
          <w:p w14:paraId="09FB084E" w14:textId="77777777" w:rsidR="006D3AD5" w:rsidRPr="00874BFF" w:rsidRDefault="006D3AD5" w:rsidP="00443B8F">
            <w:pPr>
              <w:overflowPunct/>
              <w:autoSpaceDE/>
              <w:autoSpaceDN/>
              <w:adjustRightInd/>
              <w:jc w:val="right"/>
              <w:textAlignment w:val="auto"/>
              <w:rPr>
                <w:rFonts w:cs="Arial"/>
                <w:sz w:val="20"/>
              </w:rPr>
            </w:pPr>
            <w:r w:rsidRPr="00874BFF">
              <w:rPr>
                <w:sz w:val="20"/>
              </w:rPr>
              <w:t>34.7%</w:t>
            </w:r>
          </w:p>
        </w:tc>
        <w:tc>
          <w:tcPr>
            <w:tcW w:w="2125" w:type="dxa"/>
            <w:tcBorders>
              <w:top w:val="nil"/>
              <w:left w:val="nil"/>
              <w:bottom w:val="single" w:sz="4" w:space="0" w:color="auto"/>
              <w:right w:val="single" w:sz="4" w:space="0" w:color="auto"/>
            </w:tcBorders>
            <w:noWrap/>
            <w:vAlign w:val="bottom"/>
          </w:tcPr>
          <w:p w14:paraId="7E7A4C2F" w14:textId="77777777" w:rsidR="006D3AD5" w:rsidRPr="00874BFF" w:rsidRDefault="006D3AD5" w:rsidP="00443B8F">
            <w:pPr>
              <w:overflowPunct/>
              <w:autoSpaceDE/>
              <w:autoSpaceDN/>
              <w:adjustRightInd/>
              <w:jc w:val="right"/>
              <w:textAlignment w:val="auto"/>
              <w:rPr>
                <w:rFonts w:cs="Arial"/>
                <w:sz w:val="20"/>
              </w:rPr>
            </w:pPr>
            <w:r w:rsidRPr="00874BFF">
              <w:rPr>
                <w:sz w:val="20"/>
              </w:rPr>
              <w:t>19.5%</w:t>
            </w:r>
          </w:p>
        </w:tc>
      </w:tr>
      <w:tr w:rsidR="006D3AD5" w:rsidRPr="00874BFF" w14:paraId="08EC834E"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3562B4B7" w14:textId="77777777" w:rsidR="006D3AD5" w:rsidRPr="00874BFF" w:rsidRDefault="006D3AD5" w:rsidP="00443B8F">
            <w:pPr>
              <w:overflowPunct/>
              <w:autoSpaceDE/>
              <w:autoSpaceDN/>
              <w:adjustRightInd/>
              <w:jc w:val="left"/>
              <w:textAlignment w:val="auto"/>
              <w:rPr>
                <w:rFonts w:cs="Arial"/>
                <w:sz w:val="20"/>
              </w:rPr>
            </w:pPr>
            <w:r w:rsidRPr="00874BFF">
              <w:rPr>
                <w:sz w:val="20"/>
              </w:rPr>
              <w:t>Limited demand on foreign markets</w:t>
            </w:r>
          </w:p>
        </w:tc>
        <w:tc>
          <w:tcPr>
            <w:tcW w:w="1417" w:type="dxa"/>
            <w:tcBorders>
              <w:top w:val="nil"/>
              <w:left w:val="nil"/>
              <w:bottom w:val="single" w:sz="4" w:space="0" w:color="auto"/>
              <w:right w:val="single" w:sz="4" w:space="0" w:color="auto"/>
            </w:tcBorders>
            <w:noWrap/>
            <w:vAlign w:val="bottom"/>
          </w:tcPr>
          <w:p w14:paraId="26BBA78D" w14:textId="77777777" w:rsidR="006D3AD5" w:rsidRPr="00874BFF" w:rsidRDefault="006D3AD5" w:rsidP="00443B8F">
            <w:pPr>
              <w:overflowPunct/>
              <w:autoSpaceDE/>
              <w:autoSpaceDN/>
              <w:adjustRightInd/>
              <w:jc w:val="right"/>
              <w:textAlignment w:val="auto"/>
              <w:rPr>
                <w:rFonts w:cs="Arial"/>
                <w:sz w:val="20"/>
              </w:rPr>
            </w:pPr>
            <w:r w:rsidRPr="00874BFF">
              <w:rPr>
                <w:sz w:val="20"/>
              </w:rPr>
              <w:t>19.3%</w:t>
            </w:r>
          </w:p>
        </w:tc>
        <w:tc>
          <w:tcPr>
            <w:tcW w:w="2125" w:type="dxa"/>
            <w:tcBorders>
              <w:top w:val="nil"/>
              <w:left w:val="nil"/>
              <w:bottom w:val="single" w:sz="4" w:space="0" w:color="auto"/>
              <w:right w:val="single" w:sz="4" w:space="0" w:color="auto"/>
            </w:tcBorders>
            <w:noWrap/>
            <w:vAlign w:val="bottom"/>
          </w:tcPr>
          <w:p w14:paraId="08178240" w14:textId="77777777" w:rsidR="006D3AD5" w:rsidRPr="00874BFF" w:rsidRDefault="006D3AD5" w:rsidP="00443B8F">
            <w:pPr>
              <w:overflowPunct/>
              <w:autoSpaceDE/>
              <w:autoSpaceDN/>
              <w:adjustRightInd/>
              <w:jc w:val="right"/>
              <w:textAlignment w:val="auto"/>
              <w:rPr>
                <w:rFonts w:cs="Arial"/>
                <w:sz w:val="20"/>
              </w:rPr>
            </w:pPr>
            <w:r w:rsidRPr="00874BFF">
              <w:rPr>
                <w:sz w:val="20"/>
              </w:rPr>
              <w:t>16.9%</w:t>
            </w:r>
          </w:p>
        </w:tc>
      </w:tr>
      <w:tr w:rsidR="006D3AD5" w:rsidRPr="00874BFF" w14:paraId="7929445A"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747607B2" w14:textId="77777777" w:rsidR="006D3AD5" w:rsidRPr="00874BFF" w:rsidRDefault="006D3AD5" w:rsidP="00443B8F">
            <w:pPr>
              <w:overflowPunct/>
              <w:autoSpaceDE/>
              <w:autoSpaceDN/>
              <w:adjustRightInd/>
              <w:jc w:val="left"/>
              <w:textAlignment w:val="auto"/>
              <w:rPr>
                <w:rFonts w:cs="Arial"/>
                <w:sz w:val="20"/>
              </w:rPr>
            </w:pPr>
            <w:r w:rsidRPr="00874BFF">
              <w:rPr>
                <w:sz w:val="20"/>
              </w:rPr>
              <w:t>Limited availability of suitable human resources</w:t>
            </w:r>
          </w:p>
        </w:tc>
        <w:tc>
          <w:tcPr>
            <w:tcW w:w="1417" w:type="dxa"/>
            <w:tcBorders>
              <w:top w:val="nil"/>
              <w:left w:val="nil"/>
              <w:bottom w:val="single" w:sz="4" w:space="0" w:color="auto"/>
              <w:right w:val="single" w:sz="4" w:space="0" w:color="auto"/>
            </w:tcBorders>
            <w:noWrap/>
            <w:vAlign w:val="bottom"/>
          </w:tcPr>
          <w:p w14:paraId="6F1238FD" w14:textId="77777777" w:rsidR="006D3AD5" w:rsidRPr="00874BFF" w:rsidRDefault="006D3AD5" w:rsidP="00443B8F">
            <w:pPr>
              <w:overflowPunct/>
              <w:autoSpaceDE/>
              <w:autoSpaceDN/>
              <w:adjustRightInd/>
              <w:jc w:val="right"/>
              <w:textAlignment w:val="auto"/>
              <w:rPr>
                <w:rFonts w:cs="Arial"/>
                <w:sz w:val="20"/>
              </w:rPr>
            </w:pPr>
            <w:r w:rsidRPr="00874BFF">
              <w:rPr>
                <w:sz w:val="20"/>
              </w:rPr>
              <w:t>37.3%</w:t>
            </w:r>
          </w:p>
        </w:tc>
        <w:tc>
          <w:tcPr>
            <w:tcW w:w="2125" w:type="dxa"/>
            <w:tcBorders>
              <w:top w:val="nil"/>
              <w:left w:val="nil"/>
              <w:bottom w:val="single" w:sz="4" w:space="0" w:color="auto"/>
              <w:right w:val="single" w:sz="4" w:space="0" w:color="auto"/>
            </w:tcBorders>
            <w:noWrap/>
            <w:vAlign w:val="bottom"/>
          </w:tcPr>
          <w:p w14:paraId="29212F88" w14:textId="77777777" w:rsidR="006D3AD5" w:rsidRPr="00874BFF" w:rsidRDefault="006D3AD5" w:rsidP="00443B8F">
            <w:pPr>
              <w:overflowPunct/>
              <w:autoSpaceDE/>
              <w:autoSpaceDN/>
              <w:adjustRightInd/>
              <w:jc w:val="right"/>
              <w:textAlignment w:val="auto"/>
              <w:rPr>
                <w:rFonts w:cs="Arial"/>
                <w:sz w:val="20"/>
              </w:rPr>
            </w:pPr>
            <w:r w:rsidRPr="00874BFF">
              <w:rPr>
                <w:sz w:val="20"/>
              </w:rPr>
              <w:t>30.4%</w:t>
            </w:r>
          </w:p>
        </w:tc>
      </w:tr>
      <w:tr w:rsidR="006D3AD5" w:rsidRPr="00874BFF" w14:paraId="6A865034"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3F3029A1" w14:textId="77777777" w:rsidR="006D3AD5" w:rsidRPr="00874BFF" w:rsidRDefault="006D3AD5" w:rsidP="00443B8F">
            <w:pPr>
              <w:overflowPunct/>
              <w:autoSpaceDE/>
              <w:autoSpaceDN/>
              <w:adjustRightInd/>
              <w:jc w:val="left"/>
              <w:textAlignment w:val="auto"/>
              <w:rPr>
                <w:rFonts w:cs="Arial"/>
                <w:sz w:val="20"/>
              </w:rPr>
            </w:pPr>
            <w:r w:rsidRPr="00874BFF">
              <w:rPr>
                <w:sz w:val="20"/>
              </w:rPr>
              <w:t>Loss of own high-performing employees</w:t>
            </w:r>
          </w:p>
        </w:tc>
        <w:tc>
          <w:tcPr>
            <w:tcW w:w="1417" w:type="dxa"/>
            <w:tcBorders>
              <w:top w:val="nil"/>
              <w:left w:val="nil"/>
              <w:bottom w:val="single" w:sz="4" w:space="0" w:color="auto"/>
              <w:right w:val="single" w:sz="4" w:space="0" w:color="auto"/>
            </w:tcBorders>
            <w:noWrap/>
            <w:vAlign w:val="bottom"/>
          </w:tcPr>
          <w:p w14:paraId="35B9E5EC" w14:textId="77777777" w:rsidR="006D3AD5" w:rsidRPr="00874BFF" w:rsidRDefault="006D3AD5" w:rsidP="00443B8F">
            <w:pPr>
              <w:overflowPunct/>
              <w:autoSpaceDE/>
              <w:autoSpaceDN/>
              <w:adjustRightInd/>
              <w:jc w:val="right"/>
              <w:textAlignment w:val="auto"/>
              <w:rPr>
                <w:rFonts w:cs="Arial"/>
                <w:sz w:val="20"/>
              </w:rPr>
            </w:pPr>
            <w:r w:rsidRPr="00874BFF">
              <w:rPr>
                <w:sz w:val="20"/>
              </w:rPr>
              <w:t>17.8%</w:t>
            </w:r>
          </w:p>
        </w:tc>
        <w:tc>
          <w:tcPr>
            <w:tcW w:w="2125" w:type="dxa"/>
            <w:tcBorders>
              <w:top w:val="nil"/>
              <w:left w:val="nil"/>
              <w:bottom w:val="single" w:sz="4" w:space="0" w:color="auto"/>
              <w:right w:val="single" w:sz="4" w:space="0" w:color="auto"/>
            </w:tcBorders>
            <w:noWrap/>
            <w:vAlign w:val="bottom"/>
          </w:tcPr>
          <w:p w14:paraId="37B65FCF" w14:textId="77777777" w:rsidR="006D3AD5" w:rsidRPr="00874BFF" w:rsidRDefault="006D3AD5" w:rsidP="00443B8F">
            <w:pPr>
              <w:overflowPunct/>
              <w:autoSpaceDE/>
              <w:autoSpaceDN/>
              <w:adjustRightInd/>
              <w:jc w:val="right"/>
              <w:textAlignment w:val="auto"/>
              <w:rPr>
                <w:rFonts w:cs="Arial"/>
                <w:sz w:val="20"/>
              </w:rPr>
            </w:pPr>
            <w:r w:rsidRPr="00874BFF">
              <w:rPr>
                <w:sz w:val="20"/>
              </w:rPr>
              <w:t>12.8%</w:t>
            </w:r>
          </w:p>
        </w:tc>
      </w:tr>
      <w:tr w:rsidR="006D3AD5" w:rsidRPr="00874BFF" w14:paraId="3634250B"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3DBFCA16" w14:textId="77777777" w:rsidR="006D3AD5" w:rsidRPr="00874BFF" w:rsidRDefault="006D3AD5" w:rsidP="00443B8F">
            <w:pPr>
              <w:overflowPunct/>
              <w:autoSpaceDE/>
              <w:autoSpaceDN/>
              <w:adjustRightInd/>
              <w:jc w:val="left"/>
              <w:textAlignment w:val="auto"/>
              <w:rPr>
                <w:rFonts w:cs="Arial"/>
                <w:sz w:val="20"/>
              </w:rPr>
            </w:pPr>
            <w:r w:rsidRPr="00874BFF">
              <w:rPr>
                <w:sz w:val="20"/>
              </w:rPr>
              <w:t>Problems of transformational nature (e.g. inheritance proceedings)</w:t>
            </w:r>
          </w:p>
        </w:tc>
        <w:tc>
          <w:tcPr>
            <w:tcW w:w="1417" w:type="dxa"/>
            <w:tcBorders>
              <w:top w:val="nil"/>
              <w:left w:val="nil"/>
              <w:bottom w:val="single" w:sz="4" w:space="0" w:color="auto"/>
              <w:right w:val="single" w:sz="4" w:space="0" w:color="auto"/>
            </w:tcBorders>
            <w:noWrap/>
            <w:vAlign w:val="bottom"/>
          </w:tcPr>
          <w:p w14:paraId="01B876C0" w14:textId="77777777" w:rsidR="006D3AD5" w:rsidRPr="00874BFF" w:rsidRDefault="006D3AD5" w:rsidP="00443B8F">
            <w:pPr>
              <w:overflowPunct/>
              <w:autoSpaceDE/>
              <w:autoSpaceDN/>
              <w:adjustRightInd/>
              <w:jc w:val="right"/>
              <w:textAlignment w:val="auto"/>
              <w:rPr>
                <w:rFonts w:cs="Arial"/>
                <w:sz w:val="20"/>
              </w:rPr>
            </w:pPr>
            <w:r w:rsidRPr="00874BFF">
              <w:rPr>
                <w:sz w:val="20"/>
              </w:rPr>
              <w:t>5.1%</w:t>
            </w:r>
          </w:p>
        </w:tc>
        <w:tc>
          <w:tcPr>
            <w:tcW w:w="2125" w:type="dxa"/>
            <w:tcBorders>
              <w:top w:val="nil"/>
              <w:left w:val="nil"/>
              <w:bottom w:val="single" w:sz="4" w:space="0" w:color="auto"/>
              <w:right w:val="single" w:sz="4" w:space="0" w:color="auto"/>
            </w:tcBorders>
            <w:noWrap/>
            <w:vAlign w:val="bottom"/>
          </w:tcPr>
          <w:p w14:paraId="1CB0658A" w14:textId="77777777" w:rsidR="006D3AD5" w:rsidRPr="00874BFF" w:rsidRDefault="006D3AD5" w:rsidP="00443B8F">
            <w:pPr>
              <w:overflowPunct/>
              <w:autoSpaceDE/>
              <w:autoSpaceDN/>
              <w:adjustRightInd/>
              <w:jc w:val="right"/>
              <w:textAlignment w:val="auto"/>
              <w:rPr>
                <w:rFonts w:cs="Arial"/>
                <w:sz w:val="20"/>
              </w:rPr>
            </w:pPr>
            <w:r w:rsidRPr="00874BFF">
              <w:rPr>
                <w:sz w:val="20"/>
              </w:rPr>
              <w:t>2.9%</w:t>
            </w:r>
          </w:p>
        </w:tc>
      </w:tr>
      <w:tr w:rsidR="006D3AD5" w:rsidRPr="00874BFF" w14:paraId="68E76714"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097DF389" w14:textId="77777777" w:rsidR="006D3AD5" w:rsidRPr="00874BFF" w:rsidRDefault="006D3AD5" w:rsidP="00443B8F">
            <w:pPr>
              <w:overflowPunct/>
              <w:autoSpaceDE/>
              <w:autoSpaceDN/>
              <w:adjustRightInd/>
              <w:jc w:val="left"/>
              <w:textAlignment w:val="auto"/>
              <w:rPr>
                <w:rFonts w:cs="Arial"/>
                <w:sz w:val="20"/>
              </w:rPr>
            </w:pPr>
            <w:r w:rsidRPr="00874BFF">
              <w:rPr>
                <w:sz w:val="20"/>
              </w:rPr>
              <w:t>Increasing labour cost</w:t>
            </w:r>
          </w:p>
        </w:tc>
        <w:tc>
          <w:tcPr>
            <w:tcW w:w="1417" w:type="dxa"/>
            <w:tcBorders>
              <w:top w:val="nil"/>
              <w:left w:val="nil"/>
              <w:bottom w:val="single" w:sz="4" w:space="0" w:color="auto"/>
              <w:right w:val="single" w:sz="4" w:space="0" w:color="auto"/>
            </w:tcBorders>
            <w:noWrap/>
            <w:vAlign w:val="bottom"/>
          </w:tcPr>
          <w:p w14:paraId="3FF48EC2" w14:textId="77777777" w:rsidR="006D3AD5" w:rsidRPr="00874BFF" w:rsidRDefault="006D3AD5" w:rsidP="00443B8F">
            <w:pPr>
              <w:overflowPunct/>
              <w:autoSpaceDE/>
              <w:autoSpaceDN/>
              <w:adjustRightInd/>
              <w:jc w:val="right"/>
              <w:textAlignment w:val="auto"/>
              <w:rPr>
                <w:rFonts w:cs="Arial"/>
                <w:sz w:val="20"/>
              </w:rPr>
            </w:pPr>
            <w:r w:rsidRPr="00874BFF">
              <w:rPr>
                <w:sz w:val="20"/>
              </w:rPr>
              <w:t>30.4%</w:t>
            </w:r>
          </w:p>
        </w:tc>
        <w:tc>
          <w:tcPr>
            <w:tcW w:w="2125" w:type="dxa"/>
            <w:tcBorders>
              <w:top w:val="nil"/>
              <w:left w:val="nil"/>
              <w:bottom w:val="single" w:sz="4" w:space="0" w:color="auto"/>
              <w:right w:val="single" w:sz="4" w:space="0" w:color="auto"/>
            </w:tcBorders>
            <w:noWrap/>
            <w:vAlign w:val="bottom"/>
          </w:tcPr>
          <w:p w14:paraId="241586F7" w14:textId="77777777" w:rsidR="006D3AD5" w:rsidRPr="00874BFF" w:rsidRDefault="006D3AD5" w:rsidP="00443B8F">
            <w:pPr>
              <w:overflowPunct/>
              <w:autoSpaceDE/>
              <w:autoSpaceDN/>
              <w:adjustRightInd/>
              <w:jc w:val="right"/>
              <w:textAlignment w:val="auto"/>
              <w:rPr>
                <w:rFonts w:cs="Arial"/>
                <w:sz w:val="20"/>
              </w:rPr>
            </w:pPr>
            <w:r w:rsidRPr="00874BFF">
              <w:rPr>
                <w:sz w:val="20"/>
              </w:rPr>
              <w:t>30.4%</w:t>
            </w:r>
          </w:p>
        </w:tc>
      </w:tr>
      <w:tr w:rsidR="006D3AD5" w:rsidRPr="00874BFF" w14:paraId="3DCB4A31"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106A50B2" w14:textId="77777777" w:rsidR="006D3AD5" w:rsidRPr="00874BFF" w:rsidRDefault="006D3AD5" w:rsidP="00443B8F">
            <w:pPr>
              <w:overflowPunct/>
              <w:autoSpaceDE/>
              <w:autoSpaceDN/>
              <w:adjustRightInd/>
              <w:jc w:val="left"/>
              <w:textAlignment w:val="auto"/>
              <w:rPr>
                <w:rFonts w:cs="Arial"/>
                <w:sz w:val="20"/>
              </w:rPr>
            </w:pPr>
            <w:r w:rsidRPr="00874BFF">
              <w:rPr>
                <w:sz w:val="20"/>
              </w:rPr>
              <w:t>Impossibility to make necessary investments in equipment</w:t>
            </w:r>
          </w:p>
        </w:tc>
        <w:tc>
          <w:tcPr>
            <w:tcW w:w="1417" w:type="dxa"/>
            <w:tcBorders>
              <w:top w:val="nil"/>
              <w:left w:val="nil"/>
              <w:bottom w:val="single" w:sz="4" w:space="0" w:color="auto"/>
              <w:right w:val="single" w:sz="4" w:space="0" w:color="auto"/>
            </w:tcBorders>
            <w:noWrap/>
            <w:vAlign w:val="bottom"/>
          </w:tcPr>
          <w:p w14:paraId="59A67BC1" w14:textId="77777777" w:rsidR="006D3AD5" w:rsidRPr="00874BFF" w:rsidRDefault="006D3AD5" w:rsidP="00443B8F">
            <w:pPr>
              <w:overflowPunct/>
              <w:autoSpaceDE/>
              <w:autoSpaceDN/>
              <w:adjustRightInd/>
              <w:jc w:val="right"/>
              <w:textAlignment w:val="auto"/>
              <w:rPr>
                <w:rFonts w:cs="Arial"/>
                <w:sz w:val="20"/>
              </w:rPr>
            </w:pPr>
            <w:r w:rsidRPr="00874BFF">
              <w:rPr>
                <w:sz w:val="20"/>
              </w:rPr>
              <w:t>20.7%</w:t>
            </w:r>
          </w:p>
        </w:tc>
        <w:tc>
          <w:tcPr>
            <w:tcW w:w="2125" w:type="dxa"/>
            <w:tcBorders>
              <w:top w:val="nil"/>
              <w:left w:val="nil"/>
              <w:bottom w:val="single" w:sz="4" w:space="0" w:color="auto"/>
              <w:right w:val="single" w:sz="4" w:space="0" w:color="auto"/>
            </w:tcBorders>
            <w:noWrap/>
            <w:vAlign w:val="bottom"/>
          </w:tcPr>
          <w:p w14:paraId="62E672B4" w14:textId="77777777" w:rsidR="006D3AD5" w:rsidRPr="00874BFF" w:rsidRDefault="006D3AD5" w:rsidP="00443B8F">
            <w:pPr>
              <w:overflowPunct/>
              <w:autoSpaceDE/>
              <w:autoSpaceDN/>
              <w:adjustRightInd/>
              <w:jc w:val="right"/>
              <w:textAlignment w:val="auto"/>
              <w:rPr>
                <w:rFonts w:cs="Arial"/>
                <w:sz w:val="20"/>
              </w:rPr>
            </w:pPr>
            <w:r w:rsidRPr="00874BFF">
              <w:rPr>
                <w:sz w:val="20"/>
              </w:rPr>
              <w:t>19.1%</w:t>
            </w:r>
          </w:p>
        </w:tc>
      </w:tr>
      <w:tr w:rsidR="006D3AD5" w:rsidRPr="00874BFF" w14:paraId="207593B4"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3AEA1BBC" w14:textId="77777777" w:rsidR="006D3AD5" w:rsidRPr="00874BFF" w:rsidRDefault="006D3AD5" w:rsidP="00443B8F">
            <w:pPr>
              <w:overflowPunct/>
              <w:autoSpaceDE/>
              <w:autoSpaceDN/>
              <w:adjustRightInd/>
              <w:jc w:val="left"/>
              <w:textAlignment w:val="auto"/>
              <w:rPr>
                <w:rFonts w:cs="Arial"/>
                <w:sz w:val="20"/>
              </w:rPr>
            </w:pPr>
            <w:r w:rsidRPr="00874BFF">
              <w:rPr>
                <w:sz w:val="20"/>
              </w:rPr>
              <w:t>Out-dated products or production (a lack of funds for support of their own research and development, innovations)</w:t>
            </w:r>
          </w:p>
        </w:tc>
        <w:tc>
          <w:tcPr>
            <w:tcW w:w="1417" w:type="dxa"/>
            <w:tcBorders>
              <w:top w:val="nil"/>
              <w:left w:val="nil"/>
              <w:bottom w:val="single" w:sz="4" w:space="0" w:color="auto"/>
              <w:right w:val="single" w:sz="4" w:space="0" w:color="auto"/>
            </w:tcBorders>
            <w:noWrap/>
            <w:vAlign w:val="bottom"/>
          </w:tcPr>
          <w:p w14:paraId="4236BE48" w14:textId="77777777" w:rsidR="006D3AD5" w:rsidRPr="00874BFF" w:rsidRDefault="006D3AD5" w:rsidP="00443B8F">
            <w:pPr>
              <w:overflowPunct/>
              <w:autoSpaceDE/>
              <w:autoSpaceDN/>
              <w:adjustRightInd/>
              <w:jc w:val="right"/>
              <w:textAlignment w:val="auto"/>
              <w:rPr>
                <w:rFonts w:cs="Arial"/>
                <w:sz w:val="20"/>
              </w:rPr>
            </w:pPr>
            <w:r w:rsidRPr="00874BFF">
              <w:rPr>
                <w:sz w:val="20"/>
              </w:rPr>
              <w:t>11.6%</w:t>
            </w:r>
          </w:p>
        </w:tc>
        <w:tc>
          <w:tcPr>
            <w:tcW w:w="2125" w:type="dxa"/>
            <w:tcBorders>
              <w:top w:val="nil"/>
              <w:left w:val="nil"/>
              <w:bottom w:val="single" w:sz="4" w:space="0" w:color="auto"/>
              <w:right w:val="single" w:sz="4" w:space="0" w:color="auto"/>
            </w:tcBorders>
            <w:noWrap/>
            <w:vAlign w:val="bottom"/>
          </w:tcPr>
          <w:p w14:paraId="492EB8D5" w14:textId="77777777" w:rsidR="006D3AD5" w:rsidRPr="00874BFF" w:rsidRDefault="006D3AD5" w:rsidP="00443B8F">
            <w:pPr>
              <w:overflowPunct/>
              <w:autoSpaceDE/>
              <w:autoSpaceDN/>
              <w:adjustRightInd/>
              <w:jc w:val="right"/>
              <w:textAlignment w:val="auto"/>
              <w:rPr>
                <w:rFonts w:cs="Arial"/>
                <w:sz w:val="20"/>
              </w:rPr>
            </w:pPr>
            <w:r w:rsidRPr="00874BFF">
              <w:rPr>
                <w:sz w:val="20"/>
              </w:rPr>
              <w:t>11.6%</w:t>
            </w:r>
          </w:p>
        </w:tc>
      </w:tr>
      <w:tr w:rsidR="006D3AD5" w:rsidRPr="00874BFF" w14:paraId="2BD0598E"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59B02F70" w14:textId="77777777" w:rsidR="006D3AD5" w:rsidRPr="00874BFF" w:rsidRDefault="006D3AD5" w:rsidP="00443B8F">
            <w:pPr>
              <w:overflowPunct/>
              <w:autoSpaceDE/>
              <w:autoSpaceDN/>
              <w:adjustRightInd/>
              <w:jc w:val="left"/>
              <w:textAlignment w:val="auto"/>
              <w:rPr>
                <w:rFonts w:cs="Arial"/>
                <w:sz w:val="20"/>
              </w:rPr>
            </w:pPr>
            <w:r w:rsidRPr="00874BFF">
              <w:rPr>
                <w:sz w:val="20"/>
              </w:rPr>
              <w:t>Impossibility to keep up with competitors (e.g. progress in technology or logistics)</w:t>
            </w:r>
          </w:p>
        </w:tc>
        <w:tc>
          <w:tcPr>
            <w:tcW w:w="1417" w:type="dxa"/>
            <w:tcBorders>
              <w:top w:val="nil"/>
              <w:left w:val="nil"/>
              <w:bottom w:val="single" w:sz="4" w:space="0" w:color="auto"/>
              <w:right w:val="single" w:sz="4" w:space="0" w:color="auto"/>
            </w:tcBorders>
            <w:noWrap/>
            <w:vAlign w:val="bottom"/>
          </w:tcPr>
          <w:p w14:paraId="5718CDBA" w14:textId="77777777" w:rsidR="006D3AD5" w:rsidRPr="00874BFF" w:rsidRDefault="006D3AD5" w:rsidP="00443B8F">
            <w:pPr>
              <w:overflowPunct/>
              <w:autoSpaceDE/>
              <w:autoSpaceDN/>
              <w:adjustRightInd/>
              <w:jc w:val="right"/>
              <w:textAlignment w:val="auto"/>
              <w:rPr>
                <w:rFonts w:cs="Arial"/>
                <w:sz w:val="20"/>
              </w:rPr>
            </w:pPr>
            <w:r w:rsidRPr="00874BFF">
              <w:rPr>
                <w:sz w:val="20"/>
              </w:rPr>
              <w:t>9.4%</w:t>
            </w:r>
          </w:p>
        </w:tc>
        <w:tc>
          <w:tcPr>
            <w:tcW w:w="2125" w:type="dxa"/>
            <w:tcBorders>
              <w:top w:val="nil"/>
              <w:left w:val="nil"/>
              <w:bottom w:val="single" w:sz="4" w:space="0" w:color="auto"/>
              <w:right w:val="single" w:sz="4" w:space="0" w:color="auto"/>
            </w:tcBorders>
            <w:noWrap/>
            <w:vAlign w:val="bottom"/>
          </w:tcPr>
          <w:p w14:paraId="6D9943F1" w14:textId="77777777" w:rsidR="006D3AD5" w:rsidRPr="00874BFF" w:rsidRDefault="006D3AD5" w:rsidP="00443B8F">
            <w:pPr>
              <w:overflowPunct/>
              <w:autoSpaceDE/>
              <w:autoSpaceDN/>
              <w:adjustRightInd/>
              <w:jc w:val="right"/>
              <w:textAlignment w:val="auto"/>
              <w:rPr>
                <w:rFonts w:cs="Arial"/>
                <w:sz w:val="20"/>
              </w:rPr>
            </w:pPr>
            <w:r w:rsidRPr="00874BFF">
              <w:rPr>
                <w:sz w:val="20"/>
              </w:rPr>
              <w:t>13.2%</w:t>
            </w:r>
          </w:p>
        </w:tc>
      </w:tr>
      <w:tr w:rsidR="006D3AD5" w:rsidRPr="00874BFF" w14:paraId="6F11A40F"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730870BA" w14:textId="77777777" w:rsidR="006D3AD5" w:rsidRPr="00874BFF" w:rsidRDefault="006D3AD5" w:rsidP="00443B8F">
            <w:pPr>
              <w:overflowPunct/>
              <w:autoSpaceDE/>
              <w:autoSpaceDN/>
              <w:adjustRightInd/>
              <w:jc w:val="left"/>
              <w:textAlignment w:val="auto"/>
              <w:rPr>
                <w:rFonts w:cs="Arial"/>
                <w:sz w:val="20"/>
              </w:rPr>
            </w:pPr>
            <w:r w:rsidRPr="00874BFF">
              <w:rPr>
                <w:sz w:val="20"/>
              </w:rPr>
              <w:t>Changes in competitors (e.g. entry of a new player)</w:t>
            </w:r>
          </w:p>
        </w:tc>
        <w:tc>
          <w:tcPr>
            <w:tcW w:w="1417" w:type="dxa"/>
            <w:tcBorders>
              <w:top w:val="nil"/>
              <w:left w:val="nil"/>
              <w:bottom w:val="single" w:sz="4" w:space="0" w:color="auto"/>
              <w:right w:val="single" w:sz="4" w:space="0" w:color="auto"/>
            </w:tcBorders>
            <w:noWrap/>
            <w:vAlign w:val="bottom"/>
          </w:tcPr>
          <w:p w14:paraId="25D98F1A" w14:textId="77777777" w:rsidR="006D3AD5" w:rsidRPr="00874BFF" w:rsidRDefault="006D3AD5" w:rsidP="00443B8F">
            <w:pPr>
              <w:overflowPunct/>
              <w:autoSpaceDE/>
              <w:autoSpaceDN/>
              <w:adjustRightInd/>
              <w:jc w:val="right"/>
              <w:textAlignment w:val="auto"/>
              <w:rPr>
                <w:rFonts w:cs="Arial"/>
                <w:sz w:val="20"/>
              </w:rPr>
            </w:pPr>
            <w:r w:rsidRPr="00874BFF">
              <w:rPr>
                <w:sz w:val="20"/>
              </w:rPr>
              <w:t>10.9%</w:t>
            </w:r>
          </w:p>
        </w:tc>
        <w:tc>
          <w:tcPr>
            <w:tcW w:w="2125" w:type="dxa"/>
            <w:tcBorders>
              <w:top w:val="nil"/>
              <w:left w:val="nil"/>
              <w:bottom w:val="single" w:sz="4" w:space="0" w:color="auto"/>
              <w:right w:val="single" w:sz="4" w:space="0" w:color="auto"/>
            </w:tcBorders>
            <w:noWrap/>
            <w:vAlign w:val="bottom"/>
          </w:tcPr>
          <w:p w14:paraId="265391EB" w14:textId="77777777" w:rsidR="006D3AD5" w:rsidRPr="00874BFF" w:rsidRDefault="006D3AD5" w:rsidP="00443B8F">
            <w:pPr>
              <w:overflowPunct/>
              <w:autoSpaceDE/>
              <w:autoSpaceDN/>
              <w:adjustRightInd/>
              <w:jc w:val="right"/>
              <w:textAlignment w:val="auto"/>
              <w:rPr>
                <w:rFonts w:cs="Arial"/>
                <w:sz w:val="20"/>
              </w:rPr>
            </w:pPr>
            <w:r w:rsidRPr="00874BFF">
              <w:rPr>
                <w:sz w:val="20"/>
              </w:rPr>
              <w:t>12.1%</w:t>
            </w:r>
          </w:p>
        </w:tc>
      </w:tr>
      <w:tr w:rsidR="006D3AD5" w:rsidRPr="00874BFF" w14:paraId="481920E5"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12CFBC6D" w14:textId="77777777" w:rsidR="006D3AD5" w:rsidRPr="00874BFF" w:rsidRDefault="006D3AD5" w:rsidP="00443B8F">
            <w:pPr>
              <w:overflowPunct/>
              <w:autoSpaceDE/>
              <w:autoSpaceDN/>
              <w:adjustRightInd/>
              <w:jc w:val="left"/>
              <w:textAlignment w:val="auto"/>
              <w:rPr>
                <w:rFonts w:cs="Arial"/>
                <w:sz w:val="20"/>
              </w:rPr>
            </w:pPr>
            <w:r w:rsidRPr="00874BFF">
              <w:rPr>
                <w:sz w:val="20"/>
              </w:rPr>
              <w:t>Increased price competition / low margins</w:t>
            </w:r>
          </w:p>
        </w:tc>
        <w:tc>
          <w:tcPr>
            <w:tcW w:w="1417" w:type="dxa"/>
            <w:tcBorders>
              <w:top w:val="nil"/>
              <w:left w:val="nil"/>
              <w:bottom w:val="single" w:sz="4" w:space="0" w:color="auto"/>
              <w:right w:val="single" w:sz="4" w:space="0" w:color="auto"/>
            </w:tcBorders>
            <w:noWrap/>
            <w:vAlign w:val="bottom"/>
          </w:tcPr>
          <w:p w14:paraId="467C6781" w14:textId="77777777" w:rsidR="006D3AD5" w:rsidRPr="00874BFF" w:rsidRDefault="006D3AD5" w:rsidP="00443B8F">
            <w:pPr>
              <w:overflowPunct/>
              <w:autoSpaceDE/>
              <w:autoSpaceDN/>
              <w:adjustRightInd/>
              <w:jc w:val="right"/>
              <w:textAlignment w:val="auto"/>
              <w:rPr>
                <w:rFonts w:cs="Arial"/>
                <w:sz w:val="20"/>
              </w:rPr>
            </w:pPr>
            <w:r w:rsidRPr="00874BFF">
              <w:rPr>
                <w:sz w:val="20"/>
              </w:rPr>
              <w:t>33.0%</w:t>
            </w:r>
          </w:p>
        </w:tc>
        <w:tc>
          <w:tcPr>
            <w:tcW w:w="2125" w:type="dxa"/>
            <w:tcBorders>
              <w:top w:val="nil"/>
              <w:left w:val="nil"/>
              <w:bottom w:val="single" w:sz="4" w:space="0" w:color="auto"/>
              <w:right w:val="single" w:sz="4" w:space="0" w:color="auto"/>
            </w:tcBorders>
            <w:noWrap/>
            <w:vAlign w:val="bottom"/>
          </w:tcPr>
          <w:p w14:paraId="2D9BABC3" w14:textId="77777777" w:rsidR="006D3AD5" w:rsidRPr="00874BFF" w:rsidRDefault="006D3AD5" w:rsidP="00443B8F">
            <w:pPr>
              <w:overflowPunct/>
              <w:autoSpaceDE/>
              <w:autoSpaceDN/>
              <w:adjustRightInd/>
              <w:jc w:val="right"/>
              <w:textAlignment w:val="auto"/>
              <w:rPr>
                <w:rFonts w:cs="Arial"/>
                <w:sz w:val="20"/>
              </w:rPr>
            </w:pPr>
            <w:r w:rsidRPr="00874BFF">
              <w:rPr>
                <w:sz w:val="20"/>
              </w:rPr>
              <w:t>27.2%</w:t>
            </w:r>
          </w:p>
        </w:tc>
      </w:tr>
      <w:tr w:rsidR="006D3AD5" w:rsidRPr="00874BFF" w14:paraId="2FE66D19"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070FCEDB" w14:textId="77777777" w:rsidR="006D3AD5" w:rsidRPr="00874BFF" w:rsidRDefault="006D3AD5" w:rsidP="00443B8F">
            <w:pPr>
              <w:overflowPunct/>
              <w:autoSpaceDE/>
              <w:autoSpaceDN/>
              <w:adjustRightInd/>
              <w:jc w:val="left"/>
              <w:textAlignment w:val="auto"/>
              <w:rPr>
                <w:rFonts w:cs="Arial"/>
                <w:sz w:val="20"/>
              </w:rPr>
            </w:pPr>
            <w:r w:rsidRPr="00874BFF">
              <w:rPr>
                <w:sz w:val="20"/>
              </w:rPr>
              <w:t>Unfair practices of competitors (e.g. dumping prices)</w:t>
            </w:r>
          </w:p>
        </w:tc>
        <w:tc>
          <w:tcPr>
            <w:tcW w:w="1417" w:type="dxa"/>
            <w:tcBorders>
              <w:top w:val="nil"/>
              <w:left w:val="nil"/>
              <w:bottom w:val="single" w:sz="4" w:space="0" w:color="auto"/>
              <w:right w:val="single" w:sz="4" w:space="0" w:color="auto"/>
            </w:tcBorders>
            <w:noWrap/>
            <w:vAlign w:val="bottom"/>
          </w:tcPr>
          <w:p w14:paraId="047F5CFD" w14:textId="77777777" w:rsidR="006D3AD5" w:rsidRPr="00874BFF" w:rsidRDefault="006D3AD5" w:rsidP="00443B8F">
            <w:pPr>
              <w:overflowPunct/>
              <w:autoSpaceDE/>
              <w:autoSpaceDN/>
              <w:adjustRightInd/>
              <w:jc w:val="right"/>
              <w:textAlignment w:val="auto"/>
              <w:rPr>
                <w:rFonts w:cs="Arial"/>
                <w:sz w:val="20"/>
              </w:rPr>
            </w:pPr>
            <w:r w:rsidRPr="00874BFF">
              <w:rPr>
                <w:sz w:val="20"/>
              </w:rPr>
              <w:t>29.9%</w:t>
            </w:r>
          </w:p>
        </w:tc>
        <w:tc>
          <w:tcPr>
            <w:tcW w:w="2125" w:type="dxa"/>
            <w:tcBorders>
              <w:top w:val="nil"/>
              <w:left w:val="nil"/>
              <w:bottom w:val="single" w:sz="4" w:space="0" w:color="auto"/>
              <w:right w:val="single" w:sz="4" w:space="0" w:color="auto"/>
            </w:tcBorders>
            <w:noWrap/>
            <w:vAlign w:val="bottom"/>
          </w:tcPr>
          <w:p w14:paraId="251EF695" w14:textId="77777777" w:rsidR="006D3AD5" w:rsidRPr="00874BFF" w:rsidRDefault="006D3AD5" w:rsidP="00443B8F">
            <w:pPr>
              <w:overflowPunct/>
              <w:autoSpaceDE/>
              <w:autoSpaceDN/>
              <w:adjustRightInd/>
              <w:jc w:val="right"/>
              <w:textAlignment w:val="auto"/>
              <w:rPr>
                <w:rFonts w:cs="Arial"/>
                <w:sz w:val="20"/>
              </w:rPr>
            </w:pPr>
            <w:r w:rsidRPr="00874BFF">
              <w:rPr>
                <w:sz w:val="20"/>
              </w:rPr>
              <w:t>17.1%</w:t>
            </w:r>
          </w:p>
        </w:tc>
      </w:tr>
      <w:tr w:rsidR="006D3AD5" w:rsidRPr="00874BFF" w14:paraId="0E02C025"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35F4300C" w14:textId="77777777" w:rsidR="006D3AD5" w:rsidRPr="00874BFF" w:rsidRDefault="006D3AD5" w:rsidP="00443B8F">
            <w:pPr>
              <w:overflowPunct/>
              <w:autoSpaceDE/>
              <w:autoSpaceDN/>
              <w:adjustRightInd/>
              <w:jc w:val="left"/>
              <w:textAlignment w:val="auto"/>
              <w:rPr>
                <w:rFonts w:cs="Arial"/>
                <w:sz w:val="20"/>
              </w:rPr>
            </w:pPr>
            <w:r w:rsidRPr="00874BFF">
              <w:rPr>
                <w:sz w:val="20"/>
              </w:rPr>
              <w:t>Regulatory environment</w:t>
            </w:r>
          </w:p>
        </w:tc>
        <w:tc>
          <w:tcPr>
            <w:tcW w:w="1417" w:type="dxa"/>
            <w:tcBorders>
              <w:top w:val="nil"/>
              <w:left w:val="nil"/>
              <w:bottom w:val="single" w:sz="4" w:space="0" w:color="auto"/>
              <w:right w:val="single" w:sz="4" w:space="0" w:color="auto"/>
            </w:tcBorders>
            <w:noWrap/>
            <w:vAlign w:val="bottom"/>
          </w:tcPr>
          <w:p w14:paraId="73E41FA3" w14:textId="77777777" w:rsidR="006D3AD5" w:rsidRPr="00874BFF" w:rsidRDefault="006D3AD5" w:rsidP="00443B8F">
            <w:pPr>
              <w:overflowPunct/>
              <w:autoSpaceDE/>
              <w:autoSpaceDN/>
              <w:adjustRightInd/>
              <w:jc w:val="right"/>
              <w:textAlignment w:val="auto"/>
              <w:rPr>
                <w:rFonts w:cs="Arial"/>
                <w:sz w:val="20"/>
              </w:rPr>
            </w:pPr>
            <w:r w:rsidRPr="00874BFF">
              <w:rPr>
                <w:sz w:val="20"/>
              </w:rPr>
              <w:t>8.7%</w:t>
            </w:r>
          </w:p>
        </w:tc>
        <w:tc>
          <w:tcPr>
            <w:tcW w:w="2125" w:type="dxa"/>
            <w:tcBorders>
              <w:top w:val="nil"/>
              <w:left w:val="nil"/>
              <w:bottom w:val="single" w:sz="4" w:space="0" w:color="auto"/>
              <w:right w:val="single" w:sz="4" w:space="0" w:color="auto"/>
            </w:tcBorders>
            <w:noWrap/>
            <w:vAlign w:val="bottom"/>
          </w:tcPr>
          <w:p w14:paraId="119EA3E8" w14:textId="77777777" w:rsidR="006D3AD5" w:rsidRPr="00874BFF" w:rsidRDefault="006D3AD5" w:rsidP="00443B8F">
            <w:pPr>
              <w:overflowPunct/>
              <w:autoSpaceDE/>
              <w:autoSpaceDN/>
              <w:adjustRightInd/>
              <w:jc w:val="right"/>
              <w:textAlignment w:val="auto"/>
              <w:rPr>
                <w:rFonts w:cs="Arial"/>
                <w:sz w:val="20"/>
              </w:rPr>
            </w:pPr>
            <w:r w:rsidRPr="00874BFF">
              <w:rPr>
                <w:sz w:val="20"/>
              </w:rPr>
              <w:t>10.8%</w:t>
            </w:r>
          </w:p>
        </w:tc>
      </w:tr>
      <w:tr w:rsidR="006D3AD5" w:rsidRPr="00874BFF" w14:paraId="0FD836B1"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1A91FC26" w14:textId="77777777" w:rsidR="006D3AD5" w:rsidRPr="00874BFF" w:rsidRDefault="006D3AD5" w:rsidP="00443B8F">
            <w:pPr>
              <w:overflowPunct/>
              <w:autoSpaceDE/>
              <w:autoSpaceDN/>
              <w:adjustRightInd/>
              <w:jc w:val="left"/>
              <w:textAlignment w:val="auto"/>
              <w:rPr>
                <w:rFonts w:cs="Arial"/>
                <w:sz w:val="20"/>
              </w:rPr>
            </w:pPr>
            <w:r w:rsidRPr="00874BFF">
              <w:rPr>
                <w:sz w:val="20"/>
              </w:rPr>
              <w:t>Insufficiency/absence of fiscal incentives</w:t>
            </w:r>
          </w:p>
        </w:tc>
        <w:tc>
          <w:tcPr>
            <w:tcW w:w="1417" w:type="dxa"/>
            <w:tcBorders>
              <w:top w:val="nil"/>
              <w:left w:val="nil"/>
              <w:bottom w:val="single" w:sz="4" w:space="0" w:color="auto"/>
              <w:right w:val="single" w:sz="4" w:space="0" w:color="auto"/>
            </w:tcBorders>
            <w:noWrap/>
            <w:vAlign w:val="bottom"/>
          </w:tcPr>
          <w:p w14:paraId="6D82F3D3" w14:textId="77777777" w:rsidR="006D3AD5" w:rsidRPr="00874BFF" w:rsidRDefault="006D3AD5" w:rsidP="00443B8F">
            <w:pPr>
              <w:overflowPunct/>
              <w:autoSpaceDE/>
              <w:autoSpaceDN/>
              <w:adjustRightInd/>
              <w:jc w:val="right"/>
              <w:textAlignment w:val="auto"/>
              <w:rPr>
                <w:rFonts w:cs="Arial"/>
                <w:sz w:val="20"/>
              </w:rPr>
            </w:pPr>
            <w:r w:rsidRPr="00874BFF">
              <w:rPr>
                <w:sz w:val="20"/>
              </w:rPr>
              <w:t>5.3%</w:t>
            </w:r>
          </w:p>
        </w:tc>
        <w:tc>
          <w:tcPr>
            <w:tcW w:w="2125" w:type="dxa"/>
            <w:tcBorders>
              <w:top w:val="nil"/>
              <w:left w:val="nil"/>
              <w:bottom w:val="single" w:sz="4" w:space="0" w:color="auto"/>
              <w:right w:val="single" w:sz="4" w:space="0" w:color="auto"/>
            </w:tcBorders>
            <w:noWrap/>
            <w:vAlign w:val="bottom"/>
          </w:tcPr>
          <w:p w14:paraId="53D0E46E" w14:textId="77777777" w:rsidR="006D3AD5" w:rsidRPr="00874BFF" w:rsidRDefault="006D3AD5" w:rsidP="00443B8F">
            <w:pPr>
              <w:overflowPunct/>
              <w:autoSpaceDE/>
              <w:autoSpaceDN/>
              <w:adjustRightInd/>
              <w:jc w:val="right"/>
              <w:textAlignment w:val="auto"/>
              <w:rPr>
                <w:rFonts w:cs="Arial"/>
                <w:sz w:val="20"/>
              </w:rPr>
            </w:pPr>
            <w:r w:rsidRPr="00874BFF">
              <w:rPr>
                <w:sz w:val="20"/>
              </w:rPr>
              <w:t>6.2%</w:t>
            </w:r>
          </w:p>
        </w:tc>
      </w:tr>
      <w:tr w:rsidR="006D3AD5" w:rsidRPr="00874BFF" w14:paraId="54D37D66"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74B6D8E6" w14:textId="77777777" w:rsidR="006D3AD5" w:rsidRPr="00874BFF" w:rsidRDefault="006D3AD5" w:rsidP="00443B8F">
            <w:pPr>
              <w:overflowPunct/>
              <w:autoSpaceDE/>
              <w:autoSpaceDN/>
              <w:adjustRightInd/>
              <w:jc w:val="left"/>
              <w:textAlignment w:val="auto"/>
              <w:rPr>
                <w:rFonts w:cs="Arial"/>
                <w:sz w:val="20"/>
              </w:rPr>
            </w:pPr>
            <w:r w:rsidRPr="00874BFF">
              <w:rPr>
                <w:sz w:val="20"/>
              </w:rPr>
              <w:t>Difficult access to information technologies (e.g. broadband internet)</w:t>
            </w:r>
          </w:p>
        </w:tc>
        <w:tc>
          <w:tcPr>
            <w:tcW w:w="1417" w:type="dxa"/>
            <w:tcBorders>
              <w:top w:val="nil"/>
              <w:left w:val="nil"/>
              <w:bottom w:val="single" w:sz="4" w:space="0" w:color="auto"/>
              <w:right w:val="single" w:sz="4" w:space="0" w:color="auto"/>
            </w:tcBorders>
            <w:noWrap/>
            <w:vAlign w:val="bottom"/>
          </w:tcPr>
          <w:p w14:paraId="25ABDD07" w14:textId="77777777" w:rsidR="006D3AD5" w:rsidRPr="00874BFF" w:rsidRDefault="006D3AD5" w:rsidP="00443B8F">
            <w:pPr>
              <w:overflowPunct/>
              <w:autoSpaceDE/>
              <w:autoSpaceDN/>
              <w:adjustRightInd/>
              <w:jc w:val="right"/>
              <w:textAlignment w:val="auto"/>
              <w:rPr>
                <w:rFonts w:cs="Arial"/>
                <w:sz w:val="20"/>
              </w:rPr>
            </w:pPr>
            <w:r w:rsidRPr="00874BFF">
              <w:rPr>
                <w:sz w:val="20"/>
              </w:rPr>
              <w:t>3.6%</w:t>
            </w:r>
          </w:p>
        </w:tc>
        <w:tc>
          <w:tcPr>
            <w:tcW w:w="2125" w:type="dxa"/>
            <w:tcBorders>
              <w:top w:val="nil"/>
              <w:left w:val="nil"/>
              <w:bottom w:val="single" w:sz="4" w:space="0" w:color="auto"/>
              <w:right w:val="single" w:sz="4" w:space="0" w:color="auto"/>
            </w:tcBorders>
            <w:noWrap/>
            <w:vAlign w:val="bottom"/>
          </w:tcPr>
          <w:p w14:paraId="4D4B178E"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r>
      <w:tr w:rsidR="006D3AD5" w:rsidRPr="00874BFF" w14:paraId="4A57AE7C"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507E9196" w14:textId="77777777" w:rsidR="006D3AD5" w:rsidRPr="00874BFF" w:rsidRDefault="006D3AD5" w:rsidP="00443B8F">
            <w:pPr>
              <w:overflowPunct/>
              <w:autoSpaceDE/>
              <w:autoSpaceDN/>
              <w:adjustRightInd/>
              <w:jc w:val="left"/>
              <w:textAlignment w:val="auto"/>
              <w:rPr>
                <w:rFonts w:cs="Arial"/>
                <w:sz w:val="20"/>
              </w:rPr>
            </w:pPr>
            <w:r w:rsidRPr="00874BFF">
              <w:rPr>
                <w:sz w:val="20"/>
              </w:rPr>
              <w:t>Other weaknesses related to supporting infrastructure</w:t>
            </w:r>
          </w:p>
        </w:tc>
        <w:tc>
          <w:tcPr>
            <w:tcW w:w="1417" w:type="dxa"/>
            <w:tcBorders>
              <w:top w:val="nil"/>
              <w:left w:val="nil"/>
              <w:bottom w:val="single" w:sz="4" w:space="0" w:color="auto"/>
              <w:right w:val="single" w:sz="4" w:space="0" w:color="auto"/>
            </w:tcBorders>
            <w:noWrap/>
            <w:vAlign w:val="bottom"/>
          </w:tcPr>
          <w:p w14:paraId="22A41809" w14:textId="77777777" w:rsidR="006D3AD5" w:rsidRPr="00874BFF" w:rsidRDefault="006D3AD5" w:rsidP="00443B8F">
            <w:pPr>
              <w:overflowPunct/>
              <w:autoSpaceDE/>
              <w:autoSpaceDN/>
              <w:adjustRightInd/>
              <w:jc w:val="right"/>
              <w:textAlignment w:val="auto"/>
              <w:rPr>
                <w:rFonts w:cs="Arial"/>
                <w:sz w:val="20"/>
              </w:rPr>
            </w:pPr>
            <w:r w:rsidRPr="00874BFF">
              <w:rPr>
                <w:sz w:val="20"/>
              </w:rPr>
              <w:t>6.3%</w:t>
            </w:r>
          </w:p>
        </w:tc>
        <w:tc>
          <w:tcPr>
            <w:tcW w:w="2125" w:type="dxa"/>
            <w:tcBorders>
              <w:top w:val="nil"/>
              <w:left w:val="nil"/>
              <w:bottom w:val="single" w:sz="4" w:space="0" w:color="auto"/>
              <w:right w:val="single" w:sz="4" w:space="0" w:color="auto"/>
            </w:tcBorders>
            <w:noWrap/>
            <w:vAlign w:val="bottom"/>
          </w:tcPr>
          <w:p w14:paraId="0C3AE45E" w14:textId="77777777" w:rsidR="006D3AD5" w:rsidRPr="00874BFF" w:rsidRDefault="006D3AD5" w:rsidP="00443B8F">
            <w:pPr>
              <w:overflowPunct/>
              <w:autoSpaceDE/>
              <w:autoSpaceDN/>
              <w:adjustRightInd/>
              <w:jc w:val="right"/>
              <w:textAlignment w:val="auto"/>
              <w:rPr>
                <w:rFonts w:cs="Arial"/>
                <w:sz w:val="20"/>
              </w:rPr>
            </w:pPr>
            <w:r w:rsidRPr="00874BFF">
              <w:rPr>
                <w:sz w:val="20"/>
              </w:rPr>
              <w:t>6.0%</w:t>
            </w:r>
          </w:p>
        </w:tc>
      </w:tr>
      <w:tr w:rsidR="006D3AD5" w:rsidRPr="00874BFF" w14:paraId="69A4A858"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20CD97B3" w14:textId="77777777" w:rsidR="006D3AD5" w:rsidRPr="00874BFF" w:rsidRDefault="006D3AD5" w:rsidP="00443B8F">
            <w:pPr>
              <w:overflowPunct/>
              <w:autoSpaceDE/>
              <w:autoSpaceDN/>
              <w:adjustRightInd/>
              <w:jc w:val="left"/>
              <w:textAlignment w:val="auto"/>
              <w:rPr>
                <w:rFonts w:cs="Arial"/>
                <w:sz w:val="20"/>
              </w:rPr>
            </w:pPr>
            <w:r w:rsidRPr="00874BFF">
              <w:rPr>
                <w:sz w:val="20"/>
              </w:rPr>
              <w:t>Problems with raising investment/operating funds</w:t>
            </w:r>
          </w:p>
        </w:tc>
        <w:tc>
          <w:tcPr>
            <w:tcW w:w="1417" w:type="dxa"/>
            <w:tcBorders>
              <w:top w:val="nil"/>
              <w:left w:val="nil"/>
              <w:bottom w:val="single" w:sz="4" w:space="0" w:color="auto"/>
              <w:right w:val="single" w:sz="4" w:space="0" w:color="auto"/>
            </w:tcBorders>
            <w:noWrap/>
            <w:vAlign w:val="bottom"/>
          </w:tcPr>
          <w:p w14:paraId="0A4180E7" w14:textId="77777777" w:rsidR="006D3AD5" w:rsidRPr="00874BFF" w:rsidRDefault="006D3AD5" w:rsidP="00443B8F">
            <w:pPr>
              <w:overflowPunct/>
              <w:autoSpaceDE/>
              <w:autoSpaceDN/>
              <w:adjustRightInd/>
              <w:jc w:val="right"/>
              <w:textAlignment w:val="auto"/>
              <w:rPr>
                <w:rFonts w:cs="Arial"/>
                <w:sz w:val="20"/>
              </w:rPr>
            </w:pPr>
            <w:r w:rsidRPr="00874BFF">
              <w:rPr>
                <w:sz w:val="20"/>
              </w:rPr>
              <w:t>12.0%</w:t>
            </w:r>
          </w:p>
        </w:tc>
        <w:tc>
          <w:tcPr>
            <w:tcW w:w="2125" w:type="dxa"/>
            <w:tcBorders>
              <w:top w:val="nil"/>
              <w:left w:val="nil"/>
              <w:bottom w:val="single" w:sz="4" w:space="0" w:color="auto"/>
              <w:right w:val="single" w:sz="4" w:space="0" w:color="auto"/>
            </w:tcBorders>
            <w:noWrap/>
            <w:vAlign w:val="bottom"/>
          </w:tcPr>
          <w:p w14:paraId="0DFACD5A" w14:textId="77777777" w:rsidR="006D3AD5" w:rsidRPr="00874BFF" w:rsidRDefault="006D3AD5" w:rsidP="00443B8F">
            <w:pPr>
              <w:overflowPunct/>
              <w:autoSpaceDE/>
              <w:autoSpaceDN/>
              <w:adjustRightInd/>
              <w:jc w:val="right"/>
              <w:textAlignment w:val="auto"/>
              <w:rPr>
                <w:rFonts w:cs="Arial"/>
                <w:sz w:val="20"/>
              </w:rPr>
            </w:pPr>
            <w:r w:rsidRPr="00874BFF">
              <w:rPr>
                <w:sz w:val="20"/>
              </w:rPr>
              <w:t>10.4%</w:t>
            </w:r>
          </w:p>
        </w:tc>
      </w:tr>
      <w:tr w:rsidR="006D3AD5" w:rsidRPr="00874BFF" w14:paraId="326F9E4E"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6CDB3014"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Available external sources of funding do not meet the requirements.</w:t>
            </w:r>
          </w:p>
        </w:tc>
        <w:tc>
          <w:tcPr>
            <w:tcW w:w="1417" w:type="dxa"/>
            <w:tcBorders>
              <w:top w:val="nil"/>
              <w:left w:val="nil"/>
              <w:bottom w:val="single" w:sz="4" w:space="0" w:color="auto"/>
              <w:right w:val="single" w:sz="4" w:space="0" w:color="auto"/>
            </w:tcBorders>
            <w:noWrap/>
            <w:vAlign w:val="bottom"/>
          </w:tcPr>
          <w:p w14:paraId="2FD04FA0" w14:textId="77777777" w:rsidR="006D3AD5" w:rsidRPr="00874BFF" w:rsidRDefault="006D3AD5" w:rsidP="00443B8F">
            <w:pPr>
              <w:overflowPunct/>
              <w:autoSpaceDE/>
              <w:autoSpaceDN/>
              <w:adjustRightInd/>
              <w:jc w:val="right"/>
              <w:textAlignment w:val="auto"/>
              <w:rPr>
                <w:rFonts w:cs="Arial"/>
                <w:sz w:val="20"/>
              </w:rPr>
            </w:pPr>
            <w:r w:rsidRPr="00874BFF">
              <w:rPr>
                <w:sz w:val="20"/>
              </w:rPr>
              <w:t>8.4%</w:t>
            </w:r>
          </w:p>
        </w:tc>
        <w:tc>
          <w:tcPr>
            <w:tcW w:w="2125" w:type="dxa"/>
            <w:tcBorders>
              <w:top w:val="nil"/>
              <w:left w:val="nil"/>
              <w:bottom w:val="single" w:sz="4" w:space="0" w:color="auto"/>
              <w:right w:val="single" w:sz="4" w:space="0" w:color="auto"/>
            </w:tcBorders>
            <w:noWrap/>
            <w:vAlign w:val="bottom"/>
          </w:tcPr>
          <w:p w14:paraId="658B7761" w14:textId="77777777" w:rsidR="006D3AD5" w:rsidRPr="00874BFF" w:rsidRDefault="006D3AD5" w:rsidP="00443B8F">
            <w:pPr>
              <w:overflowPunct/>
              <w:autoSpaceDE/>
              <w:autoSpaceDN/>
              <w:adjustRightInd/>
              <w:jc w:val="right"/>
              <w:textAlignment w:val="auto"/>
              <w:rPr>
                <w:rFonts w:cs="Arial"/>
                <w:sz w:val="20"/>
              </w:rPr>
            </w:pPr>
            <w:r w:rsidRPr="00874BFF">
              <w:rPr>
                <w:sz w:val="20"/>
              </w:rPr>
              <w:t>5.6%</w:t>
            </w:r>
          </w:p>
        </w:tc>
      </w:tr>
      <w:tr w:rsidR="006D3AD5" w:rsidRPr="00874BFF" w14:paraId="7670EF34" w14:textId="77777777" w:rsidTr="00443B8F">
        <w:trPr>
          <w:trHeight w:val="255"/>
        </w:trPr>
        <w:tc>
          <w:tcPr>
            <w:tcW w:w="5894" w:type="dxa"/>
            <w:tcBorders>
              <w:top w:val="nil"/>
              <w:left w:val="single" w:sz="4" w:space="0" w:color="auto"/>
              <w:bottom w:val="single" w:sz="4" w:space="0" w:color="auto"/>
              <w:right w:val="single" w:sz="4" w:space="0" w:color="auto"/>
            </w:tcBorders>
            <w:noWrap/>
            <w:vAlign w:val="bottom"/>
          </w:tcPr>
          <w:p w14:paraId="7F18D68C" w14:textId="77777777" w:rsidR="006D3AD5" w:rsidRPr="00874BFF" w:rsidRDefault="006D3AD5" w:rsidP="00443B8F">
            <w:pPr>
              <w:overflowPunct/>
              <w:autoSpaceDE/>
              <w:autoSpaceDN/>
              <w:adjustRightInd/>
              <w:jc w:val="left"/>
              <w:textAlignment w:val="auto"/>
              <w:rPr>
                <w:rFonts w:cs="Arial"/>
                <w:sz w:val="20"/>
              </w:rPr>
            </w:pPr>
            <w:r w:rsidRPr="00874BFF">
              <w:rPr>
                <w:sz w:val="20"/>
              </w:rPr>
              <w:t>We do not see any serious constraints and limits.</w:t>
            </w:r>
          </w:p>
        </w:tc>
        <w:tc>
          <w:tcPr>
            <w:tcW w:w="1417" w:type="dxa"/>
            <w:tcBorders>
              <w:top w:val="nil"/>
              <w:left w:val="nil"/>
              <w:bottom w:val="single" w:sz="4" w:space="0" w:color="auto"/>
              <w:right w:val="single" w:sz="4" w:space="0" w:color="auto"/>
            </w:tcBorders>
            <w:noWrap/>
            <w:vAlign w:val="bottom"/>
          </w:tcPr>
          <w:p w14:paraId="76EBAC3F" w14:textId="77777777" w:rsidR="006D3AD5" w:rsidRPr="00874BFF" w:rsidRDefault="006D3AD5" w:rsidP="00443B8F">
            <w:pPr>
              <w:overflowPunct/>
              <w:autoSpaceDE/>
              <w:autoSpaceDN/>
              <w:adjustRightInd/>
              <w:jc w:val="right"/>
              <w:textAlignment w:val="auto"/>
              <w:rPr>
                <w:rFonts w:cs="Arial"/>
                <w:sz w:val="20"/>
              </w:rPr>
            </w:pPr>
            <w:r w:rsidRPr="00874BFF">
              <w:rPr>
                <w:sz w:val="20"/>
              </w:rPr>
              <w:t>5.6%</w:t>
            </w:r>
          </w:p>
        </w:tc>
        <w:tc>
          <w:tcPr>
            <w:tcW w:w="2125" w:type="dxa"/>
            <w:tcBorders>
              <w:top w:val="nil"/>
              <w:left w:val="nil"/>
              <w:bottom w:val="single" w:sz="4" w:space="0" w:color="auto"/>
              <w:right w:val="single" w:sz="4" w:space="0" w:color="auto"/>
            </w:tcBorders>
            <w:noWrap/>
            <w:vAlign w:val="bottom"/>
          </w:tcPr>
          <w:p w14:paraId="4A3BE299" w14:textId="77777777" w:rsidR="006D3AD5" w:rsidRPr="00874BFF" w:rsidRDefault="006D3AD5" w:rsidP="00443B8F">
            <w:pPr>
              <w:overflowPunct/>
              <w:autoSpaceDE/>
              <w:autoSpaceDN/>
              <w:adjustRightInd/>
              <w:jc w:val="right"/>
              <w:textAlignment w:val="auto"/>
              <w:rPr>
                <w:rFonts w:cs="Arial"/>
                <w:sz w:val="20"/>
              </w:rPr>
            </w:pPr>
            <w:r w:rsidRPr="00874BFF">
              <w:rPr>
                <w:sz w:val="20"/>
              </w:rPr>
              <w:t>4.3%</w:t>
            </w:r>
          </w:p>
        </w:tc>
      </w:tr>
      <w:tr w:rsidR="006D3AD5" w:rsidRPr="00874BFF" w14:paraId="60D66B8B" w14:textId="77777777" w:rsidTr="00443B8F">
        <w:trPr>
          <w:trHeight w:val="255"/>
        </w:trPr>
        <w:tc>
          <w:tcPr>
            <w:tcW w:w="5894" w:type="dxa"/>
            <w:tcBorders>
              <w:top w:val="nil"/>
              <w:left w:val="nil"/>
              <w:bottom w:val="nil"/>
              <w:right w:val="nil"/>
            </w:tcBorders>
            <w:noWrap/>
            <w:vAlign w:val="bottom"/>
          </w:tcPr>
          <w:p w14:paraId="6595A61C"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417" w:type="dxa"/>
            <w:tcBorders>
              <w:top w:val="nil"/>
              <w:left w:val="nil"/>
              <w:bottom w:val="nil"/>
              <w:right w:val="nil"/>
            </w:tcBorders>
            <w:noWrap/>
            <w:vAlign w:val="bottom"/>
          </w:tcPr>
          <w:p w14:paraId="391262B4" w14:textId="77777777" w:rsidR="006D3AD5" w:rsidRPr="00874BFF" w:rsidRDefault="006D3AD5" w:rsidP="00443B8F">
            <w:pPr>
              <w:overflowPunct/>
              <w:autoSpaceDE/>
              <w:autoSpaceDN/>
              <w:adjustRightInd/>
              <w:jc w:val="left"/>
              <w:textAlignment w:val="auto"/>
              <w:rPr>
                <w:rFonts w:cs="Arial"/>
                <w:sz w:val="20"/>
              </w:rPr>
            </w:pPr>
            <w:r w:rsidRPr="00874BFF">
              <w:rPr>
                <w:sz w:val="20"/>
              </w:rPr>
              <w:t>585</w:t>
            </w:r>
          </w:p>
        </w:tc>
        <w:tc>
          <w:tcPr>
            <w:tcW w:w="2125" w:type="dxa"/>
            <w:tcBorders>
              <w:top w:val="nil"/>
              <w:left w:val="nil"/>
              <w:bottom w:val="nil"/>
              <w:right w:val="nil"/>
            </w:tcBorders>
            <w:noWrap/>
            <w:vAlign w:val="bottom"/>
          </w:tcPr>
          <w:p w14:paraId="116167C3" w14:textId="77777777" w:rsidR="006D3AD5" w:rsidRPr="00874BFF" w:rsidRDefault="006D3AD5" w:rsidP="00443B8F">
            <w:pPr>
              <w:overflowPunct/>
              <w:autoSpaceDE/>
              <w:autoSpaceDN/>
              <w:adjustRightInd/>
              <w:jc w:val="left"/>
              <w:textAlignment w:val="auto"/>
              <w:rPr>
                <w:rFonts w:cs="Arial"/>
                <w:sz w:val="20"/>
              </w:rPr>
            </w:pPr>
          </w:p>
        </w:tc>
      </w:tr>
    </w:tbl>
    <w:p w14:paraId="1CE8AD2F" w14:textId="77777777" w:rsidR="006D3AD5" w:rsidRPr="00874BFF" w:rsidRDefault="006D3AD5" w:rsidP="006D3AD5">
      <w:pPr>
        <w:rPr>
          <w:sz w:val="24"/>
        </w:rPr>
      </w:pPr>
    </w:p>
    <w:p w14:paraId="254896F4" w14:textId="77777777" w:rsidR="006D3AD5" w:rsidRPr="00874BFF" w:rsidRDefault="006D3AD5" w:rsidP="006D3AD5">
      <w:pPr>
        <w:rPr>
          <w:szCs w:val="22"/>
        </w:rPr>
      </w:pPr>
      <w:r w:rsidRPr="00874BFF">
        <w:t xml:space="preserve">Nevertheless, an overwhelming majority of SMEs are planning to remain active in the market in the long run, only with respect to the changing demography of entrepreneurs a share of those who plan to hand over their company in the next five years is increasing. Interest in entry of an investor was shown by almost 7 % of companies. </w:t>
      </w:r>
    </w:p>
    <w:p w14:paraId="6CD3CEED" w14:textId="77777777" w:rsidR="006D3AD5" w:rsidRPr="00874BFF" w:rsidRDefault="006D3AD5" w:rsidP="006D3AD5">
      <w:pPr>
        <w:rPr>
          <w:sz w:val="24"/>
        </w:rPr>
      </w:pPr>
    </w:p>
    <w:p w14:paraId="14B65475" w14:textId="6E3FB764" w:rsidR="006D3AD5" w:rsidRPr="00874BFF" w:rsidRDefault="006D3AD5" w:rsidP="006D3AD5">
      <w:pPr>
        <w:pStyle w:val="Titulek"/>
      </w:pPr>
      <w:r w:rsidRPr="00874BFF">
        <w:t>Table 2</w:t>
      </w:r>
      <w:r w:rsidR="00C13AEE">
        <w:t>8</w:t>
      </w:r>
      <w:r w:rsidRPr="00874BFF">
        <w:t xml:space="preserve">: </w:t>
      </w:r>
      <w:r w:rsidR="00C13AEE">
        <w:t>Plans of the firms</w:t>
      </w:r>
    </w:p>
    <w:tbl>
      <w:tblPr>
        <w:tblW w:w="6011" w:type="dxa"/>
        <w:tblInd w:w="55" w:type="dxa"/>
        <w:tblCellMar>
          <w:left w:w="70" w:type="dxa"/>
          <w:right w:w="70" w:type="dxa"/>
        </w:tblCellMar>
        <w:tblLook w:val="00A0" w:firstRow="1" w:lastRow="0" w:firstColumn="1" w:lastColumn="0" w:noHBand="0" w:noVBand="0"/>
      </w:tblPr>
      <w:tblGrid>
        <w:gridCol w:w="4088"/>
        <w:gridCol w:w="963"/>
        <w:gridCol w:w="960"/>
      </w:tblGrid>
      <w:tr w:rsidR="006D3AD5" w:rsidRPr="00874BFF" w14:paraId="0DF3B3FD" w14:textId="77777777" w:rsidTr="00443B8F">
        <w:trPr>
          <w:trHeight w:val="255"/>
        </w:trPr>
        <w:tc>
          <w:tcPr>
            <w:tcW w:w="4088" w:type="dxa"/>
            <w:tcBorders>
              <w:top w:val="single" w:sz="4" w:space="0" w:color="auto"/>
              <w:left w:val="single" w:sz="4" w:space="0" w:color="auto"/>
              <w:bottom w:val="single" w:sz="4" w:space="0" w:color="auto"/>
              <w:right w:val="single" w:sz="4" w:space="0" w:color="auto"/>
            </w:tcBorders>
            <w:noWrap/>
            <w:vAlign w:val="bottom"/>
          </w:tcPr>
          <w:p w14:paraId="31D2D7CF"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lastRenderedPageBreak/>
              <w:t>In the upcoming five years, you are considering:</w:t>
            </w:r>
          </w:p>
        </w:tc>
        <w:tc>
          <w:tcPr>
            <w:tcW w:w="963" w:type="dxa"/>
            <w:tcBorders>
              <w:top w:val="single" w:sz="4" w:space="0" w:color="auto"/>
              <w:left w:val="nil"/>
              <w:bottom w:val="single" w:sz="4" w:space="0" w:color="auto"/>
              <w:right w:val="single" w:sz="4" w:space="0" w:color="auto"/>
            </w:tcBorders>
            <w:noWrap/>
            <w:vAlign w:val="bottom"/>
          </w:tcPr>
          <w:p w14:paraId="00ADE8BC"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2AC6212E"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21B1D6BC" w14:textId="77777777" w:rsidTr="00443B8F">
        <w:trPr>
          <w:trHeight w:val="255"/>
        </w:trPr>
        <w:tc>
          <w:tcPr>
            <w:tcW w:w="4088" w:type="dxa"/>
            <w:tcBorders>
              <w:top w:val="nil"/>
              <w:left w:val="single" w:sz="4" w:space="0" w:color="auto"/>
              <w:bottom w:val="single" w:sz="4" w:space="0" w:color="auto"/>
              <w:right w:val="single" w:sz="4" w:space="0" w:color="auto"/>
            </w:tcBorders>
            <w:noWrap/>
            <w:vAlign w:val="bottom"/>
          </w:tcPr>
          <w:p w14:paraId="594C9A75" w14:textId="77777777" w:rsidR="006D3AD5" w:rsidRPr="00874BFF" w:rsidRDefault="006D3AD5" w:rsidP="00443B8F">
            <w:pPr>
              <w:overflowPunct/>
              <w:autoSpaceDE/>
              <w:autoSpaceDN/>
              <w:adjustRightInd/>
              <w:jc w:val="left"/>
              <w:textAlignment w:val="auto"/>
              <w:rPr>
                <w:rFonts w:cs="Arial"/>
                <w:sz w:val="20"/>
              </w:rPr>
            </w:pPr>
            <w:r w:rsidRPr="00874BFF">
              <w:rPr>
                <w:sz w:val="20"/>
              </w:rPr>
              <w:t>Retaining your share in the company</w:t>
            </w:r>
          </w:p>
        </w:tc>
        <w:tc>
          <w:tcPr>
            <w:tcW w:w="963" w:type="dxa"/>
            <w:tcBorders>
              <w:top w:val="nil"/>
              <w:left w:val="nil"/>
              <w:bottom w:val="single" w:sz="4" w:space="0" w:color="auto"/>
              <w:right w:val="single" w:sz="4" w:space="0" w:color="auto"/>
            </w:tcBorders>
            <w:noWrap/>
            <w:vAlign w:val="bottom"/>
          </w:tcPr>
          <w:p w14:paraId="6ACE5CC5" w14:textId="77777777" w:rsidR="006D3AD5" w:rsidRPr="00874BFF" w:rsidRDefault="006D3AD5" w:rsidP="00443B8F">
            <w:pPr>
              <w:overflowPunct/>
              <w:autoSpaceDE/>
              <w:autoSpaceDN/>
              <w:adjustRightInd/>
              <w:jc w:val="right"/>
              <w:textAlignment w:val="auto"/>
              <w:rPr>
                <w:rFonts w:cs="Arial"/>
                <w:sz w:val="20"/>
              </w:rPr>
            </w:pPr>
            <w:r w:rsidRPr="00874BFF">
              <w:rPr>
                <w:sz w:val="20"/>
              </w:rPr>
              <w:t>481</w:t>
            </w:r>
          </w:p>
        </w:tc>
        <w:tc>
          <w:tcPr>
            <w:tcW w:w="960" w:type="dxa"/>
            <w:tcBorders>
              <w:top w:val="nil"/>
              <w:left w:val="nil"/>
              <w:bottom w:val="single" w:sz="4" w:space="0" w:color="auto"/>
              <w:right w:val="single" w:sz="4" w:space="0" w:color="auto"/>
            </w:tcBorders>
            <w:noWrap/>
            <w:vAlign w:val="bottom"/>
          </w:tcPr>
          <w:p w14:paraId="09C9E70F" w14:textId="77777777" w:rsidR="006D3AD5" w:rsidRPr="00874BFF" w:rsidRDefault="006D3AD5" w:rsidP="00443B8F">
            <w:pPr>
              <w:overflowPunct/>
              <w:autoSpaceDE/>
              <w:autoSpaceDN/>
              <w:adjustRightInd/>
              <w:jc w:val="right"/>
              <w:textAlignment w:val="auto"/>
              <w:rPr>
                <w:rFonts w:cs="Arial"/>
                <w:sz w:val="20"/>
              </w:rPr>
            </w:pPr>
            <w:r w:rsidRPr="00874BFF">
              <w:rPr>
                <w:sz w:val="20"/>
              </w:rPr>
              <w:t>83.4%</w:t>
            </w:r>
          </w:p>
        </w:tc>
      </w:tr>
      <w:tr w:rsidR="006D3AD5" w:rsidRPr="00874BFF" w14:paraId="22A414C4" w14:textId="77777777" w:rsidTr="00443B8F">
        <w:trPr>
          <w:trHeight w:val="255"/>
        </w:trPr>
        <w:tc>
          <w:tcPr>
            <w:tcW w:w="4088" w:type="dxa"/>
            <w:tcBorders>
              <w:top w:val="nil"/>
              <w:left w:val="single" w:sz="4" w:space="0" w:color="auto"/>
              <w:bottom w:val="single" w:sz="4" w:space="0" w:color="auto"/>
              <w:right w:val="single" w:sz="4" w:space="0" w:color="auto"/>
            </w:tcBorders>
            <w:noWrap/>
            <w:vAlign w:val="bottom"/>
          </w:tcPr>
          <w:p w14:paraId="3E87AB2F" w14:textId="77777777" w:rsidR="006D3AD5" w:rsidRPr="00874BFF" w:rsidRDefault="006D3AD5" w:rsidP="00443B8F">
            <w:pPr>
              <w:overflowPunct/>
              <w:autoSpaceDE/>
              <w:autoSpaceDN/>
              <w:adjustRightInd/>
              <w:jc w:val="left"/>
              <w:textAlignment w:val="auto"/>
              <w:rPr>
                <w:rFonts w:cs="Arial"/>
                <w:sz w:val="20"/>
              </w:rPr>
            </w:pPr>
            <w:r w:rsidRPr="00874BFF">
              <w:rPr>
                <w:sz w:val="20"/>
              </w:rPr>
              <w:t>Selling the company</w:t>
            </w:r>
          </w:p>
        </w:tc>
        <w:tc>
          <w:tcPr>
            <w:tcW w:w="963" w:type="dxa"/>
            <w:tcBorders>
              <w:top w:val="nil"/>
              <w:left w:val="nil"/>
              <w:bottom w:val="single" w:sz="4" w:space="0" w:color="auto"/>
              <w:right w:val="single" w:sz="4" w:space="0" w:color="auto"/>
            </w:tcBorders>
            <w:noWrap/>
            <w:vAlign w:val="bottom"/>
          </w:tcPr>
          <w:p w14:paraId="75BF0F73"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c>
          <w:tcPr>
            <w:tcW w:w="960" w:type="dxa"/>
            <w:tcBorders>
              <w:top w:val="nil"/>
              <w:left w:val="nil"/>
              <w:bottom w:val="single" w:sz="4" w:space="0" w:color="auto"/>
              <w:right w:val="single" w:sz="4" w:space="0" w:color="auto"/>
            </w:tcBorders>
            <w:noWrap/>
            <w:vAlign w:val="bottom"/>
          </w:tcPr>
          <w:p w14:paraId="3DC0A5C4" w14:textId="77777777" w:rsidR="006D3AD5" w:rsidRPr="00874BFF" w:rsidRDefault="006D3AD5" w:rsidP="00443B8F">
            <w:pPr>
              <w:overflowPunct/>
              <w:autoSpaceDE/>
              <w:autoSpaceDN/>
              <w:adjustRightInd/>
              <w:jc w:val="right"/>
              <w:textAlignment w:val="auto"/>
              <w:rPr>
                <w:rFonts w:cs="Arial"/>
                <w:sz w:val="20"/>
              </w:rPr>
            </w:pPr>
            <w:r w:rsidRPr="00874BFF">
              <w:rPr>
                <w:sz w:val="20"/>
              </w:rPr>
              <w:t>2.4%</w:t>
            </w:r>
          </w:p>
        </w:tc>
      </w:tr>
      <w:tr w:rsidR="006D3AD5" w:rsidRPr="00874BFF" w14:paraId="69B621E2" w14:textId="77777777" w:rsidTr="00443B8F">
        <w:trPr>
          <w:trHeight w:val="255"/>
        </w:trPr>
        <w:tc>
          <w:tcPr>
            <w:tcW w:w="4088" w:type="dxa"/>
            <w:tcBorders>
              <w:top w:val="nil"/>
              <w:left w:val="single" w:sz="4" w:space="0" w:color="auto"/>
              <w:bottom w:val="single" w:sz="4" w:space="0" w:color="auto"/>
              <w:right w:val="single" w:sz="4" w:space="0" w:color="auto"/>
            </w:tcBorders>
            <w:noWrap/>
            <w:vAlign w:val="bottom"/>
          </w:tcPr>
          <w:p w14:paraId="0BBD5E66" w14:textId="77777777" w:rsidR="006D3AD5" w:rsidRPr="00874BFF" w:rsidRDefault="006D3AD5" w:rsidP="00443B8F">
            <w:pPr>
              <w:overflowPunct/>
              <w:autoSpaceDE/>
              <w:autoSpaceDN/>
              <w:adjustRightInd/>
              <w:jc w:val="left"/>
              <w:textAlignment w:val="auto"/>
              <w:rPr>
                <w:rFonts w:cs="Arial"/>
                <w:sz w:val="20"/>
              </w:rPr>
            </w:pPr>
            <w:r w:rsidRPr="00874BFF">
              <w:rPr>
                <w:sz w:val="20"/>
              </w:rPr>
              <w:t>Handing the company over  (e.g. within the family)</w:t>
            </w:r>
          </w:p>
        </w:tc>
        <w:tc>
          <w:tcPr>
            <w:tcW w:w="963" w:type="dxa"/>
            <w:tcBorders>
              <w:top w:val="nil"/>
              <w:left w:val="nil"/>
              <w:bottom w:val="single" w:sz="4" w:space="0" w:color="auto"/>
              <w:right w:val="single" w:sz="4" w:space="0" w:color="auto"/>
            </w:tcBorders>
            <w:noWrap/>
            <w:vAlign w:val="bottom"/>
          </w:tcPr>
          <w:p w14:paraId="7ADB358F" w14:textId="77777777" w:rsidR="006D3AD5" w:rsidRPr="00874BFF" w:rsidRDefault="006D3AD5" w:rsidP="00443B8F">
            <w:pPr>
              <w:overflowPunct/>
              <w:autoSpaceDE/>
              <w:autoSpaceDN/>
              <w:adjustRightInd/>
              <w:jc w:val="right"/>
              <w:textAlignment w:val="auto"/>
              <w:rPr>
                <w:rFonts w:cs="Arial"/>
                <w:sz w:val="20"/>
              </w:rPr>
            </w:pPr>
            <w:r w:rsidRPr="00874BFF">
              <w:rPr>
                <w:sz w:val="20"/>
              </w:rPr>
              <w:t>42</w:t>
            </w:r>
          </w:p>
        </w:tc>
        <w:tc>
          <w:tcPr>
            <w:tcW w:w="960" w:type="dxa"/>
            <w:tcBorders>
              <w:top w:val="nil"/>
              <w:left w:val="nil"/>
              <w:bottom w:val="single" w:sz="4" w:space="0" w:color="auto"/>
              <w:right w:val="single" w:sz="4" w:space="0" w:color="auto"/>
            </w:tcBorders>
            <w:noWrap/>
            <w:vAlign w:val="bottom"/>
          </w:tcPr>
          <w:p w14:paraId="46A2AC3B" w14:textId="77777777" w:rsidR="006D3AD5" w:rsidRPr="00874BFF" w:rsidRDefault="006D3AD5" w:rsidP="00443B8F">
            <w:pPr>
              <w:overflowPunct/>
              <w:autoSpaceDE/>
              <w:autoSpaceDN/>
              <w:adjustRightInd/>
              <w:jc w:val="right"/>
              <w:textAlignment w:val="auto"/>
              <w:rPr>
                <w:rFonts w:cs="Arial"/>
                <w:sz w:val="20"/>
              </w:rPr>
            </w:pPr>
            <w:r w:rsidRPr="00874BFF">
              <w:rPr>
                <w:sz w:val="20"/>
              </w:rPr>
              <w:t>7.3%</w:t>
            </w:r>
          </w:p>
        </w:tc>
      </w:tr>
      <w:tr w:rsidR="006D3AD5" w:rsidRPr="00874BFF" w14:paraId="26868EC3" w14:textId="77777777" w:rsidTr="00443B8F">
        <w:trPr>
          <w:trHeight w:val="255"/>
        </w:trPr>
        <w:tc>
          <w:tcPr>
            <w:tcW w:w="4088" w:type="dxa"/>
            <w:tcBorders>
              <w:top w:val="nil"/>
              <w:left w:val="single" w:sz="4" w:space="0" w:color="auto"/>
              <w:bottom w:val="single" w:sz="4" w:space="0" w:color="auto"/>
              <w:right w:val="single" w:sz="4" w:space="0" w:color="auto"/>
            </w:tcBorders>
            <w:noWrap/>
            <w:vAlign w:val="bottom"/>
          </w:tcPr>
          <w:p w14:paraId="0B3EBBC3" w14:textId="77777777" w:rsidR="006D3AD5" w:rsidRPr="00874BFF" w:rsidRDefault="006D3AD5" w:rsidP="00443B8F">
            <w:pPr>
              <w:overflowPunct/>
              <w:autoSpaceDE/>
              <w:autoSpaceDN/>
              <w:adjustRightInd/>
              <w:jc w:val="left"/>
              <w:textAlignment w:val="auto"/>
              <w:rPr>
                <w:rFonts w:cs="Arial"/>
                <w:sz w:val="20"/>
              </w:rPr>
            </w:pPr>
            <w:r w:rsidRPr="00874BFF">
              <w:rPr>
                <w:sz w:val="20"/>
              </w:rPr>
              <w:t>Find a strategic investor for own company</w:t>
            </w:r>
          </w:p>
        </w:tc>
        <w:tc>
          <w:tcPr>
            <w:tcW w:w="963" w:type="dxa"/>
            <w:tcBorders>
              <w:top w:val="nil"/>
              <w:left w:val="nil"/>
              <w:bottom w:val="single" w:sz="4" w:space="0" w:color="auto"/>
              <w:right w:val="single" w:sz="4" w:space="0" w:color="auto"/>
            </w:tcBorders>
            <w:noWrap/>
            <w:vAlign w:val="bottom"/>
          </w:tcPr>
          <w:p w14:paraId="00B5E775" w14:textId="77777777" w:rsidR="006D3AD5" w:rsidRPr="00874BFF" w:rsidRDefault="006D3AD5" w:rsidP="00443B8F">
            <w:pPr>
              <w:overflowPunct/>
              <w:autoSpaceDE/>
              <w:autoSpaceDN/>
              <w:adjustRightInd/>
              <w:jc w:val="right"/>
              <w:textAlignment w:val="auto"/>
              <w:rPr>
                <w:rFonts w:cs="Arial"/>
                <w:sz w:val="20"/>
              </w:rPr>
            </w:pPr>
            <w:r w:rsidRPr="00874BFF">
              <w:rPr>
                <w:sz w:val="20"/>
              </w:rPr>
              <w:t>40</w:t>
            </w:r>
          </w:p>
        </w:tc>
        <w:tc>
          <w:tcPr>
            <w:tcW w:w="960" w:type="dxa"/>
            <w:tcBorders>
              <w:top w:val="nil"/>
              <w:left w:val="nil"/>
              <w:bottom w:val="single" w:sz="4" w:space="0" w:color="auto"/>
              <w:right w:val="single" w:sz="4" w:space="0" w:color="auto"/>
            </w:tcBorders>
            <w:noWrap/>
            <w:vAlign w:val="bottom"/>
          </w:tcPr>
          <w:p w14:paraId="5D7D2F25" w14:textId="77777777" w:rsidR="006D3AD5" w:rsidRPr="00874BFF" w:rsidRDefault="006D3AD5" w:rsidP="00443B8F">
            <w:pPr>
              <w:overflowPunct/>
              <w:autoSpaceDE/>
              <w:autoSpaceDN/>
              <w:adjustRightInd/>
              <w:jc w:val="right"/>
              <w:textAlignment w:val="auto"/>
              <w:rPr>
                <w:rFonts w:cs="Arial"/>
                <w:sz w:val="20"/>
              </w:rPr>
            </w:pPr>
            <w:r w:rsidRPr="00874BFF">
              <w:rPr>
                <w:sz w:val="20"/>
              </w:rPr>
              <w:t>6.9%</w:t>
            </w:r>
          </w:p>
        </w:tc>
      </w:tr>
      <w:tr w:rsidR="006D3AD5" w:rsidRPr="00874BFF" w14:paraId="5899CB33" w14:textId="77777777" w:rsidTr="00443B8F">
        <w:trPr>
          <w:trHeight w:val="255"/>
        </w:trPr>
        <w:tc>
          <w:tcPr>
            <w:tcW w:w="4088" w:type="dxa"/>
            <w:tcBorders>
              <w:top w:val="nil"/>
              <w:left w:val="nil"/>
              <w:bottom w:val="nil"/>
              <w:right w:val="nil"/>
            </w:tcBorders>
            <w:noWrap/>
            <w:vAlign w:val="bottom"/>
          </w:tcPr>
          <w:p w14:paraId="131F987F"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3E2A08D1" w14:textId="77777777" w:rsidR="006D3AD5" w:rsidRPr="00874BFF" w:rsidRDefault="006D3AD5" w:rsidP="00443B8F">
            <w:pPr>
              <w:overflowPunct/>
              <w:autoSpaceDE/>
              <w:autoSpaceDN/>
              <w:adjustRightInd/>
              <w:jc w:val="left"/>
              <w:textAlignment w:val="auto"/>
              <w:rPr>
                <w:rFonts w:cs="Arial"/>
                <w:sz w:val="20"/>
              </w:rPr>
            </w:pPr>
            <w:r w:rsidRPr="00874BFF">
              <w:rPr>
                <w:sz w:val="20"/>
              </w:rPr>
              <w:t>577</w:t>
            </w:r>
          </w:p>
        </w:tc>
        <w:tc>
          <w:tcPr>
            <w:tcW w:w="960" w:type="dxa"/>
            <w:tcBorders>
              <w:top w:val="nil"/>
              <w:left w:val="nil"/>
              <w:bottom w:val="nil"/>
              <w:right w:val="nil"/>
            </w:tcBorders>
            <w:noWrap/>
            <w:vAlign w:val="bottom"/>
          </w:tcPr>
          <w:p w14:paraId="6DA11B1B" w14:textId="77777777" w:rsidR="006D3AD5" w:rsidRPr="00874BFF" w:rsidRDefault="006D3AD5" w:rsidP="00443B8F">
            <w:pPr>
              <w:overflowPunct/>
              <w:autoSpaceDE/>
              <w:autoSpaceDN/>
              <w:adjustRightInd/>
              <w:jc w:val="left"/>
              <w:textAlignment w:val="auto"/>
              <w:rPr>
                <w:rFonts w:cs="Arial"/>
                <w:sz w:val="20"/>
              </w:rPr>
            </w:pPr>
          </w:p>
        </w:tc>
      </w:tr>
    </w:tbl>
    <w:p w14:paraId="1F154F0D" w14:textId="77777777" w:rsidR="006D3AD5" w:rsidRPr="00874BFF" w:rsidRDefault="006D3AD5" w:rsidP="006D3AD5"/>
    <w:p w14:paraId="33DBBFE0" w14:textId="1D6B7955" w:rsidR="006D3AD5" w:rsidRPr="00874BFF" w:rsidRDefault="00A017C8" w:rsidP="00685AEF">
      <w:pPr>
        <w:pStyle w:val="Neslovannadpisy"/>
      </w:pPr>
      <w:r w:rsidRPr="005F3710">
        <w:t>Results of the questionnaire survey</w:t>
      </w:r>
      <w:r>
        <w:t xml:space="preserve"> </w:t>
      </w:r>
      <w:r w:rsidRPr="00685AEF">
        <w:rPr>
          <w:b w:val="0"/>
        </w:rPr>
        <w:t>–</w:t>
      </w:r>
      <w:r w:rsidRPr="00B225B7" w:rsidDel="001A475B">
        <w:t xml:space="preserve"> </w:t>
      </w:r>
      <w:r w:rsidRPr="003D68AA">
        <w:t>Start-ups</w:t>
      </w:r>
    </w:p>
    <w:p w14:paraId="105CCE4B" w14:textId="77777777" w:rsidR="006D3AD5" w:rsidRPr="00874BFF" w:rsidRDefault="006D3AD5" w:rsidP="006D3AD5">
      <w:r w:rsidRPr="00874BFF">
        <w:t>To map access to financing among companies at early stages of development, a special, anonymised questionnaire survey was carried out. A total of 55 stakeholders involved in the eco-system of innovative entrepreneurship  were addressed and asked to distribute the questionnaire among their contacts in companies at early stages of entrepreneurship. To distribute the questionnaire, the MIT engaged business incubators and accelerators, universities, venture capital investors, CzechInvest Agency and other stakeholders. The questionnaire survey was also promoted by an article published in one of the most popular technological websites in the Czech Republic and the link to the questionnaire was also distributed via social networks. With regard to the expectable response rate of up to 10 % (similarly as in the first questionnaire), we consider the number of completed questionnaires received to be highly successful, namely 64 in total.</w:t>
      </w:r>
    </w:p>
    <w:p w14:paraId="5362C586" w14:textId="77777777" w:rsidR="006D3AD5" w:rsidRPr="00874BFF" w:rsidRDefault="006D3AD5" w:rsidP="006D3AD5"/>
    <w:p w14:paraId="0F407AF4" w14:textId="77777777" w:rsidR="006D3AD5" w:rsidRPr="00874BFF" w:rsidRDefault="006D3AD5" w:rsidP="006D3AD5">
      <w:r w:rsidRPr="00874BFF">
        <w:t xml:space="preserve">The properly selected method of questionnaire distribution resulted not only in the significant number, but also in the high validity of responses, which is proven by the fact that </w:t>
      </w:r>
      <w:r w:rsidRPr="00874BFF">
        <w:rPr>
          <w:b/>
        </w:rPr>
        <w:t>the median of the age of companies that took part in the survey was two years. At the same time, 80 % of them were micro-companies with up to 10 employees.</w:t>
      </w:r>
      <w:r w:rsidRPr="00874BFF">
        <w:t xml:space="preserve"> </w:t>
      </w:r>
      <w:r w:rsidRPr="00874BFF">
        <w:rPr>
          <w:b/>
        </w:rPr>
        <w:t>Almost 16 % of respondents were university spin-offs.</w:t>
      </w:r>
    </w:p>
    <w:p w14:paraId="748D249F" w14:textId="77777777" w:rsidR="00C13AEE" w:rsidRDefault="00C13AEE" w:rsidP="00C13AEE">
      <w:pPr>
        <w:pStyle w:val="Titulek"/>
      </w:pPr>
    </w:p>
    <w:p w14:paraId="19BFF7AB" w14:textId="4519C225" w:rsidR="00C13AEE" w:rsidRPr="00874BFF" w:rsidRDefault="00C13AEE" w:rsidP="00C13AEE">
      <w:pPr>
        <w:pStyle w:val="Titulek"/>
      </w:pPr>
      <w:r w:rsidRPr="00874BFF">
        <w:t>Table 2</w:t>
      </w:r>
      <w:r>
        <w:t>9</w:t>
      </w:r>
      <w:r w:rsidRPr="00874BFF">
        <w:t xml:space="preserve">: </w:t>
      </w:r>
      <w:r>
        <w:t>Size of the firms</w:t>
      </w:r>
    </w:p>
    <w:tbl>
      <w:tblPr>
        <w:tblW w:w="656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800"/>
        <w:gridCol w:w="760"/>
      </w:tblGrid>
      <w:tr w:rsidR="006D3AD5" w:rsidRPr="00874BFF" w14:paraId="1E179BC6" w14:textId="77777777" w:rsidTr="00443B8F">
        <w:trPr>
          <w:trHeight w:val="255"/>
        </w:trPr>
        <w:tc>
          <w:tcPr>
            <w:tcW w:w="5800" w:type="dxa"/>
            <w:shd w:val="clear" w:color="auto" w:fill="auto"/>
            <w:noWrap/>
            <w:vAlign w:val="bottom"/>
          </w:tcPr>
          <w:p w14:paraId="6411A1F8" w14:textId="77777777" w:rsidR="006D3AD5" w:rsidRPr="00874BFF" w:rsidRDefault="006D3AD5" w:rsidP="00443B8F">
            <w:pPr>
              <w:rPr>
                <w:rFonts w:cs="Arial"/>
                <w:b/>
                <w:sz w:val="20"/>
              </w:rPr>
            </w:pPr>
            <w:r w:rsidRPr="00874BFF">
              <w:rPr>
                <w:b/>
                <w:sz w:val="20"/>
              </w:rPr>
              <w:t>Under which size category does your company fall?</w:t>
            </w:r>
          </w:p>
        </w:tc>
        <w:tc>
          <w:tcPr>
            <w:tcW w:w="760" w:type="dxa"/>
            <w:shd w:val="clear" w:color="auto" w:fill="auto"/>
            <w:noWrap/>
            <w:vAlign w:val="bottom"/>
          </w:tcPr>
          <w:p w14:paraId="137F84D5" w14:textId="77777777" w:rsidR="006D3AD5" w:rsidRPr="00874BFF" w:rsidRDefault="006D3AD5" w:rsidP="00443B8F">
            <w:pPr>
              <w:rPr>
                <w:rFonts w:cs="Arial"/>
                <w:sz w:val="20"/>
              </w:rPr>
            </w:pPr>
            <w:r w:rsidRPr="00874BFF">
              <w:rPr>
                <w:sz w:val="20"/>
              </w:rPr>
              <w:t>Total</w:t>
            </w:r>
          </w:p>
        </w:tc>
      </w:tr>
      <w:tr w:rsidR="006D3AD5" w:rsidRPr="00874BFF" w14:paraId="2E587A02" w14:textId="77777777" w:rsidTr="00443B8F">
        <w:trPr>
          <w:trHeight w:val="255"/>
        </w:trPr>
        <w:tc>
          <w:tcPr>
            <w:tcW w:w="5800" w:type="dxa"/>
            <w:shd w:val="clear" w:color="auto" w:fill="auto"/>
            <w:noWrap/>
            <w:vAlign w:val="bottom"/>
          </w:tcPr>
          <w:p w14:paraId="0ABFBDD8" w14:textId="77777777" w:rsidR="006D3AD5" w:rsidRPr="00874BFF" w:rsidRDefault="006D3AD5" w:rsidP="00443B8F">
            <w:pPr>
              <w:rPr>
                <w:rFonts w:cs="Arial"/>
                <w:sz w:val="20"/>
              </w:rPr>
            </w:pPr>
            <w:r w:rsidRPr="00874BFF">
              <w:rPr>
                <w:sz w:val="20"/>
              </w:rPr>
              <w:t>Small enterprise (11-50 employees)</w:t>
            </w:r>
          </w:p>
        </w:tc>
        <w:tc>
          <w:tcPr>
            <w:tcW w:w="760" w:type="dxa"/>
            <w:shd w:val="clear" w:color="auto" w:fill="auto"/>
            <w:noWrap/>
            <w:vAlign w:val="bottom"/>
          </w:tcPr>
          <w:p w14:paraId="78E2C2CF" w14:textId="77777777" w:rsidR="006D3AD5" w:rsidRPr="00874BFF" w:rsidRDefault="006D3AD5" w:rsidP="00443B8F">
            <w:pPr>
              <w:rPr>
                <w:rFonts w:cs="Arial"/>
                <w:sz w:val="20"/>
              </w:rPr>
            </w:pPr>
            <w:r w:rsidRPr="00874BFF">
              <w:rPr>
                <w:sz w:val="20"/>
              </w:rPr>
              <w:t>10</w:t>
            </w:r>
          </w:p>
        </w:tc>
      </w:tr>
      <w:tr w:rsidR="006D3AD5" w:rsidRPr="00874BFF" w14:paraId="38250BE7" w14:textId="77777777" w:rsidTr="00443B8F">
        <w:trPr>
          <w:trHeight w:val="255"/>
        </w:trPr>
        <w:tc>
          <w:tcPr>
            <w:tcW w:w="5800" w:type="dxa"/>
            <w:shd w:val="clear" w:color="auto" w:fill="auto"/>
            <w:noWrap/>
            <w:vAlign w:val="bottom"/>
          </w:tcPr>
          <w:p w14:paraId="134D6D7B" w14:textId="77777777" w:rsidR="006D3AD5" w:rsidRPr="00874BFF" w:rsidRDefault="006D3AD5" w:rsidP="00443B8F">
            <w:pPr>
              <w:rPr>
                <w:rFonts w:cs="Arial"/>
                <w:sz w:val="20"/>
              </w:rPr>
            </w:pPr>
            <w:r w:rsidRPr="00874BFF">
              <w:rPr>
                <w:sz w:val="20"/>
              </w:rPr>
              <w:t>Micro-enterprise (up to 10 employees)</w:t>
            </w:r>
          </w:p>
        </w:tc>
        <w:tc>
          <w:tcPr>
            <w:tcW w:w="760" w:type="dxa"/>
            <w:shd w:val="clear" w:color="auto" w:fill="auto"/>
            <w:noWrap/>
            <w:vAlign w:val="bottom"/>
          </w:tcPr>
          <w:p w14:paraId="1C6DB77E" w14:textId="77777777" w:rsidR="006D3AD5" w:rsidRPr="00874BFF" w:rsidRDefault="006D3AD5" w:rsidP="00443B8F">
            <w:pPr>
              <w:rPr>
                <w:rFonts w:cs="Arial"/>
                <w:sz w:val="20"/>
              </w:rPr>
            </w:pPr>
            <w:r w:rsidRPr="00874BFF">
              <w:rPr>
                <w:sz w:val="20"/>
              </w:rPr>
              <w:t>49</w:t>
            </w:r>
          </w:p>
        </w:tc>
      </w:tr>
      <w:tr w:rsidR="006D3AD5" w:rsidRPr="00874BFF" w14:paraId="090E6118" w14:textId="77777777" w:rsidTr="00443B8F">
        <w:trPr>
          <w:trHeight w:val="255"/>
        </w:trPr>
        <w:tc>
          <w:tcPr>
            <w:tcW w:w="5800" w:type="dxa"/>
            <w:shd w:val="clear" w:color="auto" w:fill="auto"/>
            <w:noWrap/>
            <w:vAlign w:val="bottom"/>
          </w:tcPr>
          <w:p w14:paraId="0046806D" w14:textId="77777777" w:rsidR="006D3AD5" w:rsidRPr="00874BFF" w:rsidRDefault="006D3AD5" w:rsidP="00443B8F">
            <w:pPr>
              <w:rPr>
                <w:rFonts w:cs="Arial"/>
                <w:sz w:val="20"/>
              </w:rPr>
            </w:pPr>
            <w:r w:rsidRPr="00874BFF">
              <w:rPr>
                <w:sz w:val="20"/>
              </w:rPr>
              <w:t>Medium sized enterprise (51-250 employees)</w:t>
            </w:r>
          </w:p>
        </w:tc>
        <w:tc>
          <w:tcPr>
            <w:tcW w:w="760" w:type="dxa"/>
            <w:shd w:val="clear" w:color="auto" w:fill="auto"/>
            <w:noWrap/>
            <w:vAlign w:val="bottom"/>
          </w:tcPr>
          <w:p w14:paraId="2BB99178" w14:textId="77777777" w:rsidR="006D3AD5" w:rsidRPr="00874BFF" w:rsidRDefault="006D3AD5" w:rsidP="00443B8F">
            <w:pPr>
              <w:rPr>
                <w:rFonts w:cs="Arial"/>
                <w:sz w:val="20"/>
              </w:rPr>
            </w:pPr>
            <w:r w:rsidRPr="00874BFF">
              <w:rPr>
                <w:sz w:val="20"/>
              </w:rPr>
              <w:t>2</w:t>
            </w:r>
          </w:p>
        </w:tc>
      </w:tr>
    </w:tbl>
    <w:p w14:paraId="07AF95F0" w14:textId="77777777" w:rsidR="006D3AD5" w:rsidRPr="00874BFF" w:rsidRDefault="006D3AD5" w:rsidP="006D3AD5">
      <w:r w:rsidRPr="00874BFF">
        <w:t>n=61</w:t>
      </w:r>
    </w:p>
    <w:p w14:paraId="7617BED9" w14:textId="77777777" w:rsidR="006D3AD5" w:rsidRPr="00874BFF" w:rsidRDefault="006D3AD5" w:rsidP="006D3AD5"/>
    <w:p w14:paraId="0801808C" w14:textId="77777777" w:rsidR="006D3AD5" w:rsidRPr="00874BFF" w:rsidRDefault="006D3AD5" w:rsidP="006D3AD5">
      <w:r w:rsidRPr="00874BFF">
        <w:t>In terms of the stage of entrepreneurship, the survey was participated particularly by companies at the post-creation stage (39 %), then the growth stage (35.6 %, these responses were mainly given by companies older than three years), the start-up stage (11.9 %) and the seed stage (6.8 %).</w:t>
      </w:r>
    </w:p>
    <w:p w14:paraId="3CAD3C1F" w14:textId="77777777" w:rsidR="006D3AD5" w:rsidRPr="00874BFF" w:rsidRDefault="006D3AD5" w:rsidP="006D3AD5"/>
    <w:p w14:paraId="5CE8531E" w14:textId="3F1A6B0D" w:rsidR="006D3AD5" w:rsidRPr="00874BFF" w:rsidRDefault="006D3AD5" w:rsidP="006D3AD5">
      <w:pPr>
        <w:pStyle w:val="Titulek"/>
        <w:keepNext/>
      </w:pPr>
      <w:r w:rsidRPr="00874BFF">
        <w:lastRenderedPageBreak/>
        <w:t xml:space="preserve">Figure </w:t>
      </w:r>
      <w:r w:rsidR="00AE6275">
        <w:t>18</w:t>
      </w:r>
      <w:r w:rsidRPr="00874BFF">
        <w:t>: Results of responses to the question "How would you characterise the state of development of your company?"</w:t>
      </w:r>
    </w:p>
    <w:p w14:paraId="57C98847" w14:textId="77777777" w:rsidR="006D3AD5" w:rsidRPr="00874BFF" w:rsidRDefault="006D3AD5" w:rsidP="006D3AD5">
      <w:r w:rsidRPr="00874BFF">
        <w:rPr>
          <w:noProof/>
        </w:rPr>
        <w:drawing>
          <wp:inline distT="0" distB="0" distL="0" distR="0" wp14:anchorId="639423F3" wp14:editId="3EAC6923">
            <wp:extent cx="4239895" cy="3199130"/>
            <wp:effectExtent l="0" t="0" r="8255" b="1270"/>
            <wp:docPr id="1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7DF896" w14:textId="77777777" w:rsidR="006D3AD5" w:rsidRPr="00874BFF" w:rsidRDefault="006D3AD5" w:rsidP="006D3AD5"/>
    <w:p w14:paraId="20B688CE" w14:textId="77777777" w:rsidR="006D3AD5" w:rsidRPr="00874BFF" w:rsidRDefault="006D3AD5" w:rsidP="006D3AD5">
      <w:r w:rsidRPr="00874BFF">
        <w:rPr>
          <w:b/>
        </w:rPr>
        <w:t>In terms of the sector, companies expectedly carry on business in ICT (almost 51 %), almost 17 % engage in research and development activities,</w:t>
      </w:r>
      <w:r w:rsidRPr="00874BFF">
        <w:t xml:space="preserve"> followed by 5 % in processing industry and trade. </w:t>
      </w:r>
      <w:r w:rsidRPr="00874BFF">
        <w:rPr>
          <w:b/>
        </w:rPr>
        <w:t>The questionnaire survey was also participated by three companies from creative industries</w:t>
      </w:r>
      <w:r w:rsidRPr="00874BFF">
        <w:t xml:space="preserve"> (graphics and design).</w:t>
      </w:r>
    </w:p>
    <w:p w14:paraId="15AB1969" w14:textId="77777777" w:rsidR="006D3AD5" w:rsidRPr="00874BFF" w:rsidRDefault="006D3AD5" w:rsidP="006D3AD5"/>
    <w:p w14:paraId="5FFA8B10" w14:textId="77777777" w:rsidR="006D3AD5" w:rsidRPr="00874BFF" w:rsidRDefault="006D3AD5" w:rsidP="006D3AD5">
      <w:r w:rsidRPr="00874BFF">
        <w:rPr>
          <w:b/>
        </w:rPr>
        <w:t>In terms of region, the respondent start-ups were active particularly in Prague and Central Bohemian region (37 %) and South Moravian region (31.5 %),</w:t>
      </w:r>
      <w:r w:rsidRPr="00874BFF">
        <w:t xml:space="preserve"> then in Plzeň region (11.1 %) and Moravian-Silesian region (9.3 %).</w:t>
      </w:r>
    </w:p>
    <w:p w14:paraId="29B5CE50" w14:textId="77777777" w:rsidR="006D3AD5" w:rsidRPr="00874BFF" w:rsidRDefault="006D3AD5" w:rsidP="006D3AD5"/>
    <w:p w14:paraId="3EB8A350" w14:textId="77777777" w:rsidR="006D3AD5" w:rsidRPr="00874BFF" w:rsidRDefault="006D3AD5" w:rsidP="006D3AD5">
      <w:pPr>
        <w:rPr>
          <w:b/>
        </w:rPr>
      </w:pPr>
      <w:r w:rsidRPr="00874BFF">
        <w:rPr>
          <w:b/>
        </w:rPr>
        <w:t xml:space="preserve">In the last three years, the respondent companies invested only in a limited extent, in overwhelming majority (84.9 %) from 0 to 5 million CZK. </w:t>
      </w:r>
      <w:r w:rsidRPr="00874BFF">
        <w:t>Investments over CZK 5 million are rather rare among respondent companies.</w:t>
      </w:r>
    </w:p>
    <w:p w14:paraId="48772175" w14:textId="77777777" w:rsidR="00C13AEE" w:rsidRDefault="00C13AEE" w:rsidP="00C13AEE">
      <w:pPr>
        <w:pStyle w:val="Titulek"/>
      </w:pPr>
    </w:p>
    <w:p w14:paraId="0839EAE6" w14:textId="5E6C38B9" w:rsidR="00C13AEE" w:rsidRPr="00874BFF" w:rsidRDefault="00C13AEE" w:rsidP="00C13AEE">
      <w:pPr>
        <w:pStyle w:val="Titulek"/>
      </w:pPr>
      <w:r w:rsidRPr="00874BFF">
        <w:t xml:space="preserve">Table </w:t>
      </w:r>
      <w:r>
        <w:t>30</w:t>
      </w:r>
      <w:r w:rsidRPr="00874BFF">
        <w:t xml:space="preserve">: </w:t>
      </w:r>
      <w:r>
        <w:t>Past investments</w:t>
      </w:r>
    </w:p>
    <w:tbl>
      <w:tblPr>
        <w:tblW w:w="3848" w:type="dxa"/>
        <w:tblInd w:w="65" w:type="dxa"/>
        <w:tblCellMar>
          <w:left w:w="70" w:type="dxa"/>
          <w:right w:w="70" w:type="dxa"/>
        </w:tblCellMar>
        <w:tblLook w:val="0000" w:firstRow="0" w:lastRow="0" w:firstColumn="0" w:lastColumn="0" w:noHBand="0" w:noVBand="0"/>
      </w:tblPr>
      <w:tblGrid>
        <w:gridCol w:w="3425"/>
        <w:gridCol w:w="960"/>
      </w:tblGrid>
      <w:tr w:rsidR="006D3AD5" w:rsidRPr="00874BFF" w14:paraId="0A9EB90F" w14:textId="77777777" w:rsidTr="00443B8F">
        <w:trPr>
          <w:trHeight w:val="255"/>
        </w:trPr>
        <w:tc>
          <w:tcPr>
            <w:tcW w:w="3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9EE73D" w14:textId="77777777" w:rsidR="006D3AD5" w:rsidRPr="00874BFF" w:rsidRDefault="006D3AD5" w:rsidP="00443B8F">
            <w:pPr>
              <w:rPr>
                <w:rFonts w:cs="Arial"/>
                <w:b/>
                <w:sz w:val="20"/>
              </w:rPr>
            </w:pPr>
            <w:r w:rsidRPr="00874BFF">
              <w:rPr>
                <w:b/>
                <w:sz w:val="20"/>
              </w:rPr>
              <w:t>What was the volume of investment activities of your company in the last two years?</w:t>
            </w:r>
          </w:p>
        </w:tc>
        <w:tc>
          <w:tcPr>
            <w:tcW w:w="423" w:type="dxa"/>
            <w:tcBorders>
              <w:top w:val="single" w:sz="4" w:space="0" w:color="000000"/>
              <w:left w:val="nil"/>
              <w:bottom w:val="single" w:sz="4" w:space="0" w:color="000000"/>
              <w:right w:val="single" w:sz="4" w:space="0" w:color="000000"/>
            </w:tcBorders>
            <w:shd w:val="clear" w:color="auto" w:fill="auto"/>
            <w:noWrap/>
            <w:vAlign w:val="bottom"/>
          </w:tcPr>
          <w:p w14:paraId="0719FA29" w14:textId="77777777" w:rsidR="006D3AD5" w:rsidRPr="00874BFF" w:rsidRDefault="006D3AD5" w:rsidP="00443B8F">
            <w:pPr>
              <w:rPr>
                <w:rFonts w:cs="Arial"/>
                <w:sz w:val="20"/>
              </w:rPr>
            </w:pPr>
            <w:r w:rsidRPr="00874BFF">
              <w:rPr>
                <w:sz w:val="20"/>
              </w:rPr>
              <w:t>Share of responses</w:t>
            </w:r>
          </w:p>
        </w:tc>
      </w:tr>
      <w:tr w:rsidR="006D3AD5" w:rsidRPr="00874BFF" w14:paraId="671B2F32" w14:textId="77777777" w:rsidTr="00443B8F">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14:paraId="062E36D7" w14:textId="77777777" w:rsidR="006D3AD5" w:rsidRPr="00874BFF" w:rsidRDefault="006D3AD5" w:rsidP="00443B8F">
            <w:pPr>
              <w:rPr>
                <w:rFonts w:cs="Arial"/>
                <w:sz w:val="20"/>
              </w:rPr>
            </w:pPr>
            <w:r w:rsidRPr="00874BFF">
              <w:rPr>
                <w:sz w:val="20"/>
              </w:rPr>
              <w:t>CZK 0–5 million</w:t>
            </w:r>
          </w:p>
        </w:tc>
        <w:tc>
          <w:tcPr>
            <w:tcW w:w="423" w:type="dxa"/>
            <w:tcBorders>
              <w:top w:val="nil"/>
              <w:left w:val="nil"/>
              <w:bottom w:val="single" w:sz="4" w:space="0" w:color="000000"/>
              <w:right w:val="single" w:sz="4" w:space="0" w:color="000000"/>
            </w:tcBorders>
            <w:shd w:val="clear" w:color="auto" w:fill="auto"/>
            <w:noWrap/>
            <w:vAlign w:val="bottom"/>
          </w:tcPr>
          <w:p w14:paraId="35FA8709" w14:textId="77777777" w:rsidR="006D3AD5" w:rsidRPr="00874BFF" w:rsidRDefault="006D3AD5" w:rsidP="00443B8F">
            <w:pPr>
              <w:jc w:val="right"/>
              <w:rPr>
                <w:rFonts w:cs="Arial"/>
                <w:sz w:val="20"/>
              </w:rPr>
            </w:pPr>
            <w:r w:rsidRPr="00874BFF">
              <w:rPr>
                <w:sz w:val="20"/>
              </w:rPr>
              <w:t>84.91%</w:t>
            </w:r>
          </w:p>
        </w:tc>
      </w:tr>
      <w:tr w:rsidR="006D3AD5" w:rsidRPr="00874BFF" w14:paraId="12FCF9CD" w14:textId="77777777" w:rsidTr="00443B8F">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14:paraId="18EE8395" w14:textId="77777777" w:rsidR="006D3AD5" w:rsidRPr="00874BFF" w:rsidRDefault="006D3AD5" w:rsidP="00443B8F">
            <w:pPr>
              <w:rPr>
                <w:rFonts w:cs="Arial"/>
                <w:sz w:val="20"/>
              </w:rPr>
            </w:pPr>
            <w:r w:rsidRPr="00874BFF">
              <w:rPr>
                <w:sz w:val="20"/>
              </w:rPr>
              <w:t>CZK 6–10 million</w:t>
            </w:r>
          </w:p>
        </w:tc>
        <w:tc>
          <w:tcPr>
            <w:tcW w:w="423" w:type="dxa"/>
            <w:tcBorders>
              <w:top w:val="nil"/>
              <w:left w:val="nil"/>
              <w:bottom w:val="single" w:sz="4" w:space="0" w:color="000000"/>
              <w:right w:val="single" w:sz="4" w:space="0" w:color="000000"/>
            </w:tcBorders>
            <w:shd w:val="clear" w:color="auto" w:fill="auto"/>
            <w:noWrap/>
            <w:vAlign w:val="bottom"/>
          </w:tcPr>
          <w:p w14:paraId="113AAC9F" w14:textId="77777777" w:rsidR="006D3AD5" w:rsidRPr="00874BFF" w:rsidRDefault="006D3AD5" w:rsidP="00443B8F">
            <w:pPr>
              <w:jc w:val="right"/>
              <w:rPr>
                <w:rFonts w:cs="Arial"/>
                <w:sz w:val="20"/>
              </w:rPr>
            </w:pPr>
            <w:r w:rsidRPr="00874BFF">
              <w:rPr>
                <w:sz w:val="20"/>
              </w:rPr>
              <w:t>3.77%</w:t>
            </w:r>
          </w:p>
        </w:tc>
      </w:tr>
      <w:tr w:rsidR="006D3AD5" w:rsidRPr="00874BFF" w14:paraId="475D7A3E" w14:textId="77777777" w:rsidTr="00443B8F">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14:paraId="0E07DD21" w14:textId="77777777" w:rsidR="006D3AD5" w:rsidRPr="00874BFF" w:rsidRDefault="006D3AD5" w:rsidP="00443B8F">
            <w:pPr>
              <w:rPr>
                <w:rFonts w:cs="Arial"/>
                <w:sz w:val="20"/>
              </w:rPr>
            </w:pPr>
            <w:r w:rsidRPr="00874BFF">
              <w:rPr>
                <w:sz w:val="20"/>
              </w:rPr>
              <w:t>CZK 11–20 million</w:t>
            </w:r>
          </w:p>
        </w:tc>
        <w:tc>
          <w:tcPr>
            <w:tcW w:w="423" w:type="dxa"/>
            <w:tcBorders>
              <w:top w:val="nil"/>
              <w:left w:val="nil"/>
              <w:bottom w:val="single" w:sz="4" w:space="0" w:color="000000"/>
              <w:right w:val="single" w:sz="4" w:space="0" w:color="000000"/>
            </w:tcBorders>
            <w:shd w:val="clear" w:color="auto" w:fill="auto"/>
            <w:noWrap/>
            <w:vAlign w:val="bottom"/>
          </w:tcPr>
          <w:p w14:paraId="5EBB028B" w14:textId="77777777" w:rsidR="006D3AD5" w:rsidRPr="00874BFF" w:rsidRDefault="006D3AD5" w:rsidP="00443B8F">
            <w:pPr>
              <w:jc w:val="right"/>
              <w:rPr>
                <w:rFonts w:cs="Arial"/>
                <w:sz w:val="20"/>
              </w:rPr>
            </w:pPr>
            <w:r w:rsidRPr="00874BFF">
              <w:rPr>
                <w:sz w:val="20"/>
              </w:rPr>
              <w:t>1.89%</w:t>
            </w:r>
          </w:p>
        </w:tc>
      </w:tr>
      <w:tr w:rsidR="006D3AD5" w:rsidRPr="00874BFF" w14:paraId="4FA455BE" w14:textId="77777777" w:rsidTr="00443B8F">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14:paraId="68277E01" w14:textId="77777777" w:rsidR="006D3AD5" w:rsidRPr="00874BFF" w:rsidRDefault="006D3AD5" w:rsidP="00443B8F">
            <w:pPr>
              <w:rPr>
                <w:rFonts w:cs="Arial"/>
                <w:sz w:val="20"/>
              </w:rPr>
            </w:pPr>
            <w:r w:rsidRPr="00874BFF">
              <w:rPr>
                <w:sz w:val="20"/>
              </w:rPr>
              <w:t>CZK 21–30 million</w:t>
            </w:r>
          </w:p>
        </w:tc>
        <w:tc>
          <w:tcPr>
            <w:tcW w:w="423" w:type="dxa"/>
            <w:tcBorders>
              <w:top w:val="nil"/>
              <w:left w:val="nil"/>
              <w:bottom w:val="single" w:sz="4" w:space="0" w:color="000000"/>
              <w:right w:val="single" w:sz="4" w:space="0" w:color="000000"/>
            </w:tcBorders>
            <w:shd w:val="clear" w:color="auto" w:fill="auto"/>
            <w:noWrap/>
            <w:vAlign w:val="bottom"/>
          </w:tcPr>
          <w:p w14:paraId="4E19D244" w14:textId="77777777" w:rsidR="006D3AD5" w:rsidRPr="00874BFF" w:rsidRDefault="006D3AD5" w:rsidP="00443B8F">
            <w:pPr>
              <w:jc w:val="right"/>
              <w:rPr>
                <w:rFonts w:cs="Arial"/>
                <w:sz w:val="20"/>
              </w:rPr>
            </w:pPr>
            <w:r w:rsidRPr="00874BFF">
              <w:rPr>
                <w:sz w:val="20"/>
              </w:rPr>
              <w:t>3.77%</w:t>
            </w:r>
          </w:p>
        </w:tc>
      </w:tr>
      <w:tr w:rsidR="006D3AD5" w:rsidRPr="00874BFF" w14:paraId="2DC57DA3" w14:textId="77777777" w:rsidTr="00443B8F">
        <w:trPr>
          <w:trHeight w:val="255"/>
        </w:trPr>
        <w:tc>
          <w:tcPr>
            <w:tcW w:w="3425" w:type="dxa"/>
            <w:tcBorders>
              <w:top w:val="nil"/>
              <w:left w:val="single" w:sz="4" w:space="0" w:color="000000"/>
              <w:bottom w:val="single" w:sz="4" w:space="0" w:color="000000"/>
              <w:right w:val="single" w:sz="4" w:space="0" w:color="000000"/>
            </w:tcBorders>
            <w:shd w:val="clear" w:color="auto" w:fill="auto"/>
            <w:noWrap/>
            <w:vAlign w:val="bottom"/>
          </w:tcPr>
          <w:p w14:paraId="6E7A2819" w14:textId="77777777" w:rsidR="006D3AD5" w:rsidRPr="00874BFF" w:rsidRDefault="006D3AD5" w:rsidP="00443B8F">
            <w:pPr>
              <w:rPr>
                <w:rFonts w:cs="Arial"/>
                <w:sz w:val="20"/>
              </w:rPr>
            </w:pPr>
            <w:r w:rsidRPr="00874BFF">
              <w:rPr>
                <w:sz w:val="20"/>
              </w:rPr>
              <w:t>CZK 31 million and above</w:t>
            </w:r>
          </w:p>
        </w:tc>
        <w:tc>
          <w:tcPr>
            <w:tcW w:w="423" w:type="dxa"/>
            <w:tcBorders>
              <w:top w:val="nil"/>
              <w:left w:val="nil"/>
              <w:bottom w:val="single" w:sz="4" w:space="0" w:color="000000"/>
              <w:right w:val="single" w:sz="4" w:space="0" w:color="000000"/>
            </w:tcBorders>
            <w:shd w:val="clear" w:color="auto" w:fill="auto"/>
            <w:noWrap/>
            <w:vAlign w:val="bottom"/>
          </w:tcPr>
          <w:p w14:paraId="5F612B42" w14:textId="77777777" w:rsidR="006D3AD5" w:rsidRPr="00874BFF" w:rsidRDefault="006D3AD5" w:rsidP="00443B8F">
            <w:pPr>
              <w:jc w:val="right"/>
              <w:rPr>
                <w:rFonts w:cs="Arial"/>
                <w:sz w:val="20"/>
              </w:rPr>
            </w:pPr>
            <w:r w:rsidRPr="00874BFF">
              <w:rPr>
                <w:sz w:val="20"/>
              </w:rPr>
              <w:t>5.66%</w:t>
            </w:r>
          </w:p>
        </w:tc>
      </w:tr>
    </w:tbl>
    <w:p w14:paraId="0C7196F5" w14:textId="77777777" w:rsidR="006D3AD5" w:rsidRPr="00874BFF" w:rsidRDefault="006D3AD5" w:rsidP="006D3AD5">
      <w:r w:rsidRPr="00874BFF">
        <w:t>n=53</w:t>
      </w:r>
    </w:p>
    <w:p w14:paraId="7CB8E614" w14:textId="77777777" w:rsidR="006D3AD5" w:rsidRPr="00874BFF" w:rsidRDefault="006D3AD5" w:rsidP="006D3AD5"/>
    <w:p w14:paraId="5C5F8C7E" w14:textId="77777777" w:rsidR="006D3AD5" w:rsidRPr="00874BFF" w:rsidRDefault="006D3AD5" w:rsidP="006D3AD5">
      <w:pPr>
        <w:rPr>
          <w:b/>
        </w:rPr>
      </w:pPr>
      <w:r w:rsidRPr="00874BFF">
        <w:t xml:space="preserve">More than 70 % of small and medium sized enterprises state that the requested amount of resources for investment funding was not more than CZK 5 million, while the actually received funding was in the range of CZK 0–5 million even in 93 % of cases. </w:t>
      </w:r>
      <w:r w:rsidRPr="00874BFF">
        <w:rPr>
          <w:b/>
        </w:rPr>
        <w:t>Respondents rather often state in the comments to the response on how high funding they actually received that in the end they did not receive any external sources.</w:t>
      </w:r>
      <w:r w:rsidRPr="00874BFF">
        <w:t xml:space="preserve"> </w:t>
      </w:r>
    </w:p>
    <w:p w14:paraId="589DA818" w14:textId="77777777" w:rsidR="006D3AD5" w:rsidRPr="00874BFF" w:rsidRDefault="006D3AD5" w:rsidP="006D3AD5"/>
    <w:p w14:paraId="33469742" w14:textId="77777777" w:rsidR="006D3AD5" w:rsidRPr="00874BFF" w:rsidRDefault="006D3AD5" w:rsidP="006D3AD5">
      <w:r w:rsidRPr="00874BFF">
        <w:lastRenderedPageBreak/>
        <w:t xml:space="preserve">The reason for the limited volume of investments is particularly very limited access of companies at early stages to external sources of financing. </w:t>
      </w:r>
      <w:r w:rsidRPr="00874BFF">
        <w:rPr>
          <w:b/>
        </w:rPr>
        <w:t>In terms of the existing funding of business activities, the clearly prevailing are companies' own sources without supplementing by external sources (46.3 %).</w:t>
      </w:r>
      <w:r w:rsidRPr="00874BFF">
        <w:t xml:space="preserve"> More than 22 % of companies received funds from the family, friends and acquaintances (typically in combination with own funding). </w:t>
      </w:r>
      <w:r w:rsidRPr="00874BFF">
        <w:rPr>
          <w:b/>
        </w:rPr>
        <w:t>The most important sources from the external ones except for the circle of acquaintances and relatives are business angels (9.3 %) and banks (7.4 %). Venture capital funds were ticked off as a source of finance by one respondent only.</w:t>
      </w:r>
      <w:r w:rsidRPr="00874BFF">
        <w:t xml:space="preserve"> Some companies (5.6 %) received resources from managers who also became shareholders of the company. </w:t>
      </w:r>
      <w:r w:rsidRPr="00874BFF">
        <w:rPr>
          <w:b/>
        </w:rPr>
        <w:t xml:space="preserve">In that process, however, more than 57 % of companies searched for information about financing opportunities in a bank. </w:t>
      </w:r>
      <w:r w:rsidRPr="00874BFF">
        <w:t xml:space="preserve">More than 51 % of respondents searched for information about potential  financing of their project in a business incubator or accelerator. </w:t>
      </w:r>
      <w:r w:rsidRPr="00874BFF">
        <w:rPr>
          <w:b/>
        </w:rPr>
        <w:t>Also, more than 51 % of entrepreneurs searched for information about financing opportunities from business angels and venture capital funds.</w:t>
      </w:r>
    </w:p>
    <w:p w14:paraId="36258017" w14:textId="77777777" w:rsidR="006D3AD5" w:rsidRPr="00874BFF" w:rsidRDefault="006D3AD5" w:rsidP="006D3AD5"/>
    <w:p w14:paraId="57AFC646" w14:textId="77777777" w:rsidR="006D3AD5" w:rsidRPr="00874BFF" w:rsidRDefault="006D3AD5" w:rsidP="006D3AD5">
      <w:pPr>
        <w:rPr>
          <w:b/>
        </w:rPr>
      </w:pPr>
      <w:r w:rsidRPr="00874BFF">
        <w:rPr>
          <w:b/>
        </w:rPr>
        <w:t>Difficulties at external fund raising were, according to the replies on the following question, encountered by 74 % of respondents.</w:t>
      </w:r>
    </w:p>
    <w:p w14:paraId="617AD974" w14:textId="77777777" w:rsidR="00C13AEE" w:rsidRDefault="00C13AEE" w:rsidP="00C13AEE">
      <w:pPr>
        <w:pStyle w:val="Titulek"/>
      </w:pPr>
    </w:p>
    <w:p w14:paraId="78C8FE39" w14:textId="627E76FA" w:rsidR="00C13AEE" w:rsidRPr="00874BFF" w:rsidRDefault="00C13AEE" w:rsidP="00C13AEE">
      <w:pPr>
        <w:pStyle w:val="Titulek"/>
      </w:pPr>
      <w:r w:rsidRPr="00874BFF">
        <w:t xml:space="preserve">Table </w:t>
      </w:r>
      <w:r>
        <w:t>31</w:t>
      </w:r>
      <w:r w:rsidRPr="00874BFF">
        <w:t xml:space="preserve">: </w:t>
      </w:r>
      <w:r>
        <w:t>Availability of external financing</w:t>
      </w:r>
    </w:p>
    <w:tbl>
      <w:tblPr>
        <w:tblW w:w="9005" w:type="dxa"/>
        <w:tblInd w:w="65" w:type="dxa"/>
        <w:tblCellMar>
          <w:left w:w="70" w:type="dxa"/>
          <w:right w:w="70" w:type="dxa"/>
        </w:tblCellMar>
        <w:tblLook w:val="0000" w:firstRow="0" w:lastRow="0" w:firstColumn="0" w:lastColumn="0" w:noHBand="0" w:noVBand="0"/>
      </w:tblPr>
      <w:tblGrid>
        <w:gridCol w:w="7925"/>
        <w:gridCol w:w="1080"/>
      </w:tblGrid>
      <w:tr w:rsidR="006D3AD5" w:rsidRPr="00874BFF" w14:paraId="359FAB5E" w14:textId="77777777" w:rsidTr="00443B8F">
        <w:trPr>
          <w:trHeight w:val="255"/>
        </w:trPr>
        <w:tc>
          <w:tcPr>
            <w:tcW w:w="79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301CC5" w14:textId="77777777" w:rsidR="006D3AD5" w:rsidRPr="00874BFF" w:rsidRDefault="006D3AD5" w:rsidP="00443B8F">
            <w:pPr>
              <w:rPr>
                <w:rFonts w:cs="Arial"/>
                <w:b/>
                <w:sz w:val="20"/>
              </w:rPr>
            </w:pPr>
            <w:r w:rsidRPr="00874BFF">
              <w:rPr>
                <w:b/>
                <w:sz w:val="20"/>
              </w:rPr>
              <w:t>What is your evaluation of availability of external financing for your investments?</w:t>
            </w:r>
          </w:p>
        </w:tc>
        <w:tc>
          <w:tcPr>
            <w:tcW w:w="1080" w:type="dxa"/>
            <w:tcBorders>
              <w:top w:val="single" w:sz="4" w:space="0" w:color="000000"/>
              <w:left w:val="nil"/>
              <w:bottom w:val="single" w:sz="4" w:space="0" w:color="000000"/>
              <w:right w:val="single" w:sz="4" w:space="0" w:color="000000"/>
            </w:tcBorders>
            <w:shd w:val="clear" w:color="auto" w:fill="auto"/>
            <w:noWrap/>
            <w:vAlign w:val="bottom"/>
          </w:tcPr>
          <w:p w14:paraId="04CC8890" w14:textId="77777777" w:rsidR="006D3AD5" w:rsidRPr="00874BFF" w:rsidRDefault="006D3AD5" w:rsidP="00443B8F">
            <w:pPr>
              <w:rPr>
                <w:rFonts w:cs="Arial"/>
                <w:sz w:val="20"/>
              </w:rPr>
            </w:pPr>
            <w:r w:rsidRPr="00874BFF">
              <w:rPr>
                <w:sz w:val="20"/>
              </w:rPr>
              <w:t>Share of responses</w:t>
            </w:r>
          </w:p>
        </w:tc>
      </w:tr>
      <w:tr w:rsidR="006D3AD5" w:rsidRPr="00874BFF" w14:paraId="3C88FE95" w14:textId="77777777" w:rsidTr="00443B8F">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14:paraId="497E11AF" w14:textId="77777777" w:rsidR="006D3AD5" w:rsidRPr="00874BFF" w:rsidRDefault="006D3AD5" w:rsidP="00443B8F">
            <w:pPr>
              <w:rPr>
                <w:rFonts w:cs="Arial"/>
                <w:sz w:val="20"/>
              </w:rPr>
            </w:pPr>
            <w:r w:rsidRPr="00874BFF">
              <w:rPr>
                <w:sz w:val="20"/>
              </w:rPr>
              <w:t>Problem-free – We receive funds relatively quickly and easily; the negotiations are usually efficient and successful.</w:t>
            </w:r>
          </w:p>
        </w:tc>
        <w:tc>
          <w:tcPr>
            <w:tcW w:w="1080" w:type="dxa"/>
            <w:tcBorders>
              <w:top w:val="nil"/>
              <w:left w:val="nil"/>
              <w:bottom w:val="single" w:sz="4" w:space="0" w:color="000000"/>
              <w:right w:val="single" w:sz="4" w:space="0" w:color="000000"/>
            </w:tcBorders>
            <w:shd w:val="clear" w:color="auto" w:fill="auto"/>
            <w:noWrap/>
            <w:vAlign w:val="bottom"/>
          </w:tcPr>
          <w:p w14:paraId="04794CEE" w14:textId="77777777" w:rsidR="006D3AD5" w:rsidRPr="00874BFF" w:rsidRDefault="006D3AD5" w:rsidP="00443B8F">
            <w:pPr>
              <w:jc w:val="right"/>
              <w:rPr>
                <w:rFonts w:cs="Arial"/>
                <w:sz w:val="20"/>
              </w:rPr>
            </w:pPr>
            <w:r w:rsidRPr="00874BFF">
              <w:rPr>
                <w:sz w:val="20"/>
              </w:rPr>
              <w:t>12.77%</w:t>
            </w:r>
          </w:p>
        </w:tc>
      </w:tr>
      <w:tr w:rsidR="006D3AD5" w:rsidRPr="00874BFF" w14:paraId="156909F0" w14:textId="77777777" w:rsidTr="00443B8F">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14:paraId="6E9B75D7" w14:textId="77777777" w:rsidR="006D3AD5" w:rsidRPr="00874BFF" w:rsidRDefault="006D3AD5" w:rsidP="00443B8F">
            <w:pPr>
              <w:rPr>
                <w:rFonts w:cs="Arial"/>
                <w:sz w:val="20"/>
              </w:rPr>
            </w:pPr>
            <w:r w:rsidRPr="00874BFF">
              <w:rPr>
                <w:sz w:val="20"/>
              </w:rPr>
              <w:t>With minor problems – The information is sufficient and the funding provider can be found after several rounds of talks.</w:t>
            </w:r>
          </w:p>
        </w:tc>
        <w:tc>
          <w:tcPr>
            <w:tcW w:w="1080" w:type="dxa"/>
            <w:tcBorders>
              <w:top w:val="nil"/>
              <w:left w:val="nil"/>
              <w:bottom w:val="single" w:sz="4" w:space="0" w:color="000000"/>
              <w:right w:val="single" w:sz="4" w:space="0" w:color="000000"/>
            </w:tcBorders>
            <w:shd w:val="clear" w:color="auto" w:fill="auto"/>
            <w:noWrap/>
            <w:vAlign w:val="bottom"/>
          </w:tcPr>
          <w:p w14:paraId="5D049F88" w14:textId="77777777" w:rsidR="006D3AD5" w:rsidRPr="00874BFF" w:rsidRDefault="006D3AD5" w:rsidP="00443B8F">
            <w:pPr>
              <w:jc w:val="right"/>
              <w:rPr>
                <w:rFonts w:cs="Arial"/>
                <w:sz w:val="20"/>
              </w:rPr>
            </w:pPr>
            <w:r w:rsidRPr="00874BFF">
              <w:rPr>
                <w:sz w:val="20"/>
              </w:rPr>
              <w:t>12.77%</w:t>
            </w:r>
          </w:p>
        </w:tc>
      </w:tr>
      <w:tr w:rsidR="006D3AD5" w:rsidRPr="00874BFF" w14:paraId="4C494A89" w14:textId="77777777" w:rsidTr="00443B8F">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14:paraId="79AEF461" w14:textId="77777777" w:rsidR="006D3AD5" w:rsidRPr="00874BFF" w:rsidRDefault="006D3AD5" w:rsidP="00443B8F">
            <w:pPr>
              <w:rPr>
                <w:rFonts w:cs="Arial"/>
                <w:sz w:val="20"/>
              </w:rPr>
            </w:pPr>
            <w:r w:rsidRPr="00874BFF">
              <w:rPr>
                <w:sz w:val="20"/>
              </w:rPr>
              <w:t>Availability is merely good –  financial resources exist here, but they are difficult to raise.</w:t>
            </w:r>
          </w:p>
        </w:tc>
        <w:tc>
          <w:tcPr>
            <w:tcW w:w="1080" w:type="dxa"/>
            <w:tcBorders>
              <w:top w:val="nil"/>
              <w:left w:val="nil"/>
              <w:bottom w:val="single" w:sz="4" w:space="0" w:color="000000"/>
              <w:right w:val="single" w:sz="4" w:space="0" w:color="000000"/>
            </w:tcBorders>
            <w:shd w:val="clear" w:color="auto" w:fill="auto"/>
            <w:noWrap/>
            <w:vAlign w:val="bottom"/>
          </w:tcPr>
          <w:p w14:paraId="47E23648" w14:textId="77777777" w:rsidR="006D3AD5" w:rsidRPr="00874BFF" w:rsidRDefault="006D3AD5" w:rsidP="00443B8F">
            <w:pPr>
              <w:jc w:val="right"/>
              <w:rPr>
                <w:rFonts w:cs="Arial"/>
                <w:sz w:val="20"/>
              </w:rPr>
            </w:pPr>
            <w:r w:rsidRPr="00874BFF">
              <w:rPr>
                <w:sz w:val="20"/>
              </w:rPr>
              <w:t>27.66%</w:t>
            </w:r>
          </w:p>
        </w:tc>
      </w:tr>
      <w:tr w:rsidR="006D3AD5" w:rsidRPr="00874BFF" w14:paraId="605374B2" w14:textId="77777777" w:rsidTr="00443B8F">
        <w:trPr>
          <w:trHeight w:val="255"/>
        </w:trPr>
        <w:tc>
          <w:tcPr>
            <w:tcW w:w="7925" w:type="dxa"/>
            <w:tcBorders>
              <w:top w:val="nil"/>
              <w:left w:val="single" w:sz="4" w:space="0" w:color="000000"/>
              <w:bottom w:val="single" w:sz="4" w:space="0" w:color="000000"/>
              <w:right w:val="single" w:sz="4" w:space="0" w:color="000000"/>
            </w:tcBorders>
            <w:shd w:val="clear" w:color="auto" w:fill="auto"/>
            <w:noWrap/>
            <w:vAlign w:val="bottom"/>
          </w:tcPr>
          <w:p w14:paraId="32BD5691" w14:textId="77777777" w:rsidR="006D3AD5" w:rsidRPr="00874BFF" w:rsidRDefault="006D3AD5" w:rsidP="00443B8F">
            <w:pPr>
              <w:rPr>
                <w:rFonts w:cs="Arial"/>
                <w:sz w:val="20"/>
              </w:rPr>
            </w:pPr>
            <w:r w:rsidRPr="00874BFF">
              <w:rPr>
                <w:sz w:val="20"/>
              </w:rPr>
              <w:t>Availability is poor – there is an information barrier; the banks have high requirements for the collateral value, etc.</w:t>
            </w:r>
          </w:p>
        </w:tc>
        <w:tc>
          <w:tcPr>
            <w:tcW w:w="1080" w:type="dxa"/>
            <w:tcBorders>
              <w:top w:val="nil"/>
              <w:left w:val="nil"/>
              <w:bottom w:val="single" w:sz="4" w:space="0" w:color="000000"/>
              <w:right w:val="single" w:sz="4" w:space="0" w:color="000000"/>
            </w:tcBorders>
            <w:shd w:val="clear" w:color="auto" w:fill="auto"/>
            <w:noWrap/>
            <w:vAlign w:val="bottom"/>
          </w:tcPr>
          <w:p w14:paraId="24AEC8A0" w14:textId="77777777" w:rsidR="006D3AD5" w:rsidRPr="00874BFF" w:rsidRDefault="006D3AD5" w:rsidP="00443B8F">
            <w:pPr>
              <w:jc w:val="right"/>
              <w:rPr>
                <w:rFonts w:cs="Arial"/>
                <w:sz w:val="20"/>
              </w:rPr>
            </w:pPr>
            <w:r w:rsidRPr="00874BFF">
              <w:rPr>
                <w:sz w:val="20"/>
              </w:rPr>
              <w:t>46.81%</w:t>
            </w:r>
          </w:p>
        </w:tc>
      </w:tr>
    </w:tbl>
    <w:p w14:paraId="7CB0B0F2" w14:textId="77777777" w:rsidR="006D3AD5" w:rsidRPr="00874BFF" w:rsidRDefault="006D3AD5" w:rsidP="006D3AD5">
      <w:r w:rsidRPr="00874BFF">
        <w:t>n=47</w:t>
      </w:r>
    </w:p>
    <w:p w14:paraId="21811D6A" w14:textId="77777777" w:rsidR="006D3AD5" w:rsidRPr="00874BFF" w:rsidRDefault="006D3AD5" w:rsidP="006D3AD5"/>
    <w:p w14:paraId="71523BC1" w14:textId="77777777" w:rsidR="006D3AD5" w:rsidRPr="00874BFF" w:rsidRDefault="006D3AD5" w:rsidP="006D3AD5">
      <w:r w:rsidRPr="00874BFF">
        <w:t xml:space="preserve">With respect to the structure of respondent companies, it is not surprising that the major reasons for difficult access to financing mentioned by the companies were limited securing possibilities and short business history which elicits distrust at fund raising. </w:t>
      </w:r>
      <w:r w:rsidRPr="00874BFF">
        <w:rPr>
          <w:b/>
        </w:rPr>
        <w:t xml:space="preserve">The share of viable projects reaches the surprising 79 %. </w:t>
      </w:r>
      <w:r w:rsidRPr="00874BFF">
        <w:t xml:space="preserve">As non-viable we describe such projects the economic potential or high current debt of which are the reasons for difficult access to financing. </w:t>
      </w:r>
    </w:p>
    <w:p w14:paraId="7ACB498E" w14:textId="77777777" w:rsidR="006D3AD5" w:rsidRPr="00874BFF" w:rsidRDefault="006D3AD5" w:rsidP="006D3AD5"/>
    <w:p w14:paraId="63D1C2E5" w14:textId="73899BE6" w:rsidR="006D3AD5" w:rsidRPr="00874BFF" w:rsidRDefault="006D3AD5" w:rsidP="006D3AD5">
      <w:pPr>
        <w:pStyle w:val="Titulek"/>
        <w:keepNext/>
      </w:pPr>
      <w:r w:rsidRPr="00874BFF">
        <w:t xml:space="preserve">Figure </w:t>
      </w:r>
      <w:r w:rsidR="00AE6275">
        <w:t>19</w:t>
      </w:r>
      <w:r w:rsidRPr="00874BFF">
        <w:t>: Major reasons for difficult access to financing, n=43</w:t>
      </w:r>
    </w:p>
    <w:p w14:paraId="012EC434" w14:textId="77777777" w:rsidR="006D3AD5" w:rsidRPr="00874BFF" w:rsidRDefault="006D3AD5" w:rsidP="006D3AD5">
      <w:r w:rsidRPr="00874BFF">
        <w:rPr>
          <w:noProof/>
        </w:rPr>
        <w:drawing>
          <wp:inline distT="0" distB="0" distL="0" distR="0" wp14:anchorId="78D06190" wp14:editId="609EFA2F">
            <wp:extent cx="5348605" cy="2746375"/>
            <wp:effectExtent l="0" t="0" r="4445" b="15875"/>
            <wp:docPr id="1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29BFC6" w14:textId="77777777" w:rsidR="006D3AD5" w:rsidRPr="00874BFF" w:rsidRDefault="006D3AD5" w:rsidP="006D3AD5"/>
    <w:p w14:paraId="2EAF1AAC" w14:textId="77777777" w:rsidR="00C32172" w:rsidRPr="002C224A" w:rsidRDefault="006D3AD5" w:rsidP="006D3AD5">
      <w:r w:rsidRPr="00874BFF">
        <w:lastRenderedPageBreak/>
        <w:t>When the estimated average interest rate of loans for SMEs is compared, according to the OECD , financing of start-up entrepreneurs in the Czech Republic is much more expensive. The median of the estimated interest rate of financing from outside sources was 7.5 %, while the maturity period was most often between 3 and 5 years.</w:t>
      </w:r>
    </w:p>
    <w:p w14:paraId="0E9F14B9" w14:textId="77777777" w:rsidR="00C32172" w:rsidRPr="00A50943" w:rsidRDefault="004B0E10" w:rsidP="00C32172">
      <w:r>
        <w:rPr>
          <w:noProof/>
        </w:rPr>
        <mc:AlternateContent>
          <mc:Choice Requires="wps">
            <w:drawing>
              <wp:anchor distT="45720" distB="45720" distL="114300" distR="114300" simplePos="0" relativeHeight="251657728" behindDoc="0" locked="0" layoutInCell="1" allowOverlap="1" wp14:anchorId="2B43424E" wp14:editId="4E5371BE">
                <wp:simplePos x="0" y="0"/>
                <wp:positionH relativeFrom="column">
                  <wp:posOffset>-4445</wp:posOffset>
                </wp:positionH>
                <wp:positionV relativeFrom="paragraph">
                  <wp:posOffset>18415</wp:posOffset>
                </wp:positionV>
                <wp:extent cx="3731895" cy="4023360"/>
                <wp:effectExtent l="5080" t="8890" r="6350" b="6350"/>
                <wp:wrapSquare wrapText="bothSides"/>
                <wp:docPr id="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4023360"/>
                        </a:xfrm>
                        <a:prstGeom prst="rect">
                          <a:avLst/>
                        </a:prstGeom>
                        <a:solidFill>
                          <a:srgbClr val="FFFFFF"/>
                        </a:solidFill>
                        <a:ln w="9525">
                          <a:solidFill>
                            <a:srgbClr val="000000"/>
                          </a:solidFill>
                          <a:miter lim="800000"/>
                          <a:headEnd/>
                          <a:tailEnd/>
                        </a:ln>
                      </wps:spPr>
                      <wps:txbx>
                        <w:txbxContent>
                          <w:p w14:paraId="22BF6911" w14:textId="77777777" w:rsidR="0012136C" w:rsidRPr="00051A10" w:rsidRDefault="0012136C" w:rsidP="006D3AD5">
                            <w:pPr>
                              <w:rPr>
                                <w:b/>
                              </w:rPr>
                            </w:pPr>
                            <w:r w:rsidRPr="00051A10">
                              <w:rPr>
                                <w:b/>
                              </w:rPr>
                              <w:t xml:space="preserve">Box 1: </w:t>
                            </w:r>
                            <w:r>
                              <w:rPr>
                                <w:b/>
                              </w:rPr>
                              <w:t>Selected comments of questionnaire survey respondents</w:t>
                            </w:r>
                          </w:p>
                          <w:p w14:paraId="242E737D" w14:textId="77777777" w:rsidR="0012136C" w:rsidRPr="00051A10" w:rsidRDefault="0012136C" w:rsidP="006D3AD5"/>
                          <w:p w14:paraId="251152BC" w14:textId="77777777" w:rsidR="0012136C" w:rsidRPr="00142F37" w:rsidRDefault="0012136C" w:rsidP="006D3AD5">
                            <w:pPr>
                              <w:rPr>
                                <w:szCs w:val="22"/>
                              </w:rPr>
                            </w:pPr>
                            <w:r>
                              <w:t>"During the capital raising from banks, I have come to the conclusion that in the Czech Republic it is easier to raise funds for a local sawmill rather than for a global hardware start-up."</w:t>
                            </w:r>
                          </w:p>
                          <w:p w14:paraId="249FC559" w14:textId="77777777" w:rsidR="0012136C" w:rsidRDefault="0012136C" w:rsidP="006D3AD5">
                            <w:pPr>
                              <w:rPr>
                                <w:szCs w:val="22"/>
                              </w:rPr>
                            </w:pPr>
                          </w:p>
                          <w:p w14:paraId="2062B303" w14:textId="77777777" w:rsidR="0012136C" w:rsidRDefault="0012136C" w:rsidP="006D3AD5">
                            <w:pPr>
                              <w:rPr>
                                <w:szCs w:val="22"/>
                              </w:rPr>
                            </w:pPr>
                            <w:r>
                              <w:t>"In creative industries distrust persists  in the return on the investment, a lack of information about benefits of creative industries for economy and interaction with the other sectors. Non-technical innovations and technical innovations are not equalised."</w:t>
                            </w:r>
                          </w:p>
                          <w:p w14:paraId="057A3F1A" w14:textId="77777777" w:rsidR="0012136C" w:rsidRPr="00142F37" w:rsidRDefault="0012136C" w:rsidP="006D3AD5">
                            <w:pPr>
                              <w:rPr>
                                <w:szCs w:val="22"/>
                              </w:rPr>
                            </w:pPr>
                          </w:p>
                          <w:p w14:paraId="3DD38716" w14:textId="77777777" w:rsidR="0012136C" w:rsidRPr="00142F37" w:rsidRDefault="0012136C" w:rsidP="006D3AD5">
                            <w:pPr>
                              <w:rPr>
                                <w:szCs w:val="22"/>
                              </w:rPr>
                            </w:pPr>
                            <w:r>
                              <w:t>"Unfortunately, to start a business from scratch and at the age of 23 poses huge risks and going beyond all due dates and everything. It requires a lot of negotiations and coping with unpleasant situations. The owner meets all the obligations and makes all the payments, but unfortunately he is dependent on clients' payments and therefore he gets very often, or even regularly into problems related to overdue payments, so he cannot and does not want to apply for a loan; moreover, banks would not grant him any loan. The owner's family took out a small bank loan to help him with the start. In spite of that, costs keep prevailing and the company does not generate any profit – but it is approaching zero."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43424E" id="_x0000_t202" coordsize="21600,21600" o:spt="202" path="m,l,21600r21600,l21600,xe">
                <v:stroke joinstyle="miter"/>
                <v:path gradientshapeok="t" o:connecttype="rect"/>
              </v:shapetype>
              <v:shape id="Textové pole 2" o:spid="_x0000_s1048" type="#_x0000_t202" style="position:absolute;left:0;text-align:left;margin-left:-.35pt;margin-top:1.45pt;width:293.85pt;height:316.8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GZNwIAAF8EAAAOAAAAZHJzL2Uyb0RvYy54bWysVEtu2zAQ3RfoHQjua1n+JLZgOUiduiiQ&#10;foCkB6AoSiJKcViStuTeKOfoxTqkbMdI201RLQgOZ/j45s2MVjd9q8heWCdB5zQdjSkRmkMpdZ3T&#10;r4/bNwtKnGe6ZAq0yOlBOHqzfv1q1ZlMTKABVQpLEES7rDM5bbw3WZI43oiWuREYodFZgW2ZR9PW&#10;SWlZh+itSibj8VXSgS2NBS6cw9O7wUnXEb+qBPefq8oJT1ROkZuPq41rEdZkvWJZbZlpJD/SYP/A&#10;omVS46NnqDvmGdlZ+RtUK7kFB5UfcWgTqCrJRcwBs0nHL7J5aJgRMRcUx5mzTO7/wfJP+y+WyDKn&#10;izklmrVYo0fRe9j/fCIGlCCToFFnXIahDwaDff8Weqx1zNeZe+DfHNGwaZiuxa210DWClcgxDTeT&#10;i6sDjgsgRfcRSnyL7TxEoL6ybRAQJSGIjrU6nOuDfAjHw+n1NF0skSdH32w8mU6vYgUTlp2uG+v8&#10;ewEtCZucWmyACM/2984HOiw7hYTXHChZbqVS0bB1sVGW7Bk2yzZ+MYMXYUqTLqfL+WQ+KPBXiHH8&#10;/gTRSo9dr2SLsp+DWBZ0e6fL2JOeSTXskbLSRyGDdoOKvi/6WLc0ShBULqA8oLQWhi7HqcRNA/YH&#10;JR12eE7d9x2zghL1QWN5lulsFkYiGrP59QQNe+kpLj1Mc4TKqadk2G78MEY7Y2Xd4EunhrjFkm5l&#10;FPuZ1ZE/dnGswXHiwphc2jHq+b+w/gUAAP//AwBQSwMEFAAGAAgAAAAhAMJz2OvcAAAABwEAAA8A&#10;AABkcnMvZG93bnJldi54bWxMj8FuwjAQRO+V+g/WVuoFgVNQAg1xUIvEqSdSejfxNomI16ltIPx9&#10;t6dyXM3ozdtiM9peXNCHzpGCl1kCAql2pqNGweFzN12BCFGT0b0jVHDDAJvy8aHQuXFX2uOlio1g&#10;CIVcK2hjHHIpQ92i1WHmBiTOvp23OvLpG2m8vjLc9nKeJJm0uiNeaPWA2xbrU3W2CrKfajH5+DIT&#10;2t927762qdkeUqWen8a3NYiIY/wvw58+q0PJTkd3JhNEr2C65KKC+SsITtPVkj87MnqRpSDLQt77&#10;l78AAAD//wMAUEsBAi0AFAAGAAgAAAAhALaDOJL+AAAA4QEAABMAAAAAAAAAAAAAAAAAAAAAAFtD&#10;b250ZW50X1R5cGVzXS54bWxQSwECLQAUAAYACAAAACEAOP0h/9YAAACUAQAACwAAAAAAAAAAAAAA&#10;AAAvAQAAX3JlbHMvLnJlbHNQSwECLQAUAAYACAAAACEAukZRmTcCAABfBAAADgAAAAAAAAAAAAAA&#10;AAAuAgAAZHJzL2Uyb0RvYy54bWxQSwECLQAUAAYACAAAACEAwnPY69wAAAAHAQAADwAAAAAAAAAA&#10;AAAAAACRBAAAZHJzL2Rvd25yZXYueG1sUEsFBgAAAAAEAAQA8wAAAJoFAAAAAA==&#10;">
                <v:textbox style="mso-fit-shape-to-text:t">
                  <w:txbxContent>
                    <w:p w14:paraId="22BF6911" w14:textId="77777777" w:rsidR="0012136C" w:rsidRPr="00051A10" w:rsidRDefault="0012136C" w:rsidP="006D3AD5">
                      <w:pPr>
                        <w:rPr>
                          <w:b/>
                        </w:rPr>
                      </w:pPr>
                      <w:r w:rsidRPr="00051A10">
                        <w:rPr>
                          <w:b/>
                        </w:rPr>
                        <w:t xml:space="preserve">Box 1: </w:t>
                      </w:r>
                      <w:r>
                        <w:rPr>
                          <w:b/>
                        </w:rPr>
                        <w:t>Selected comments of questionnaire survey respondents</w:t>
                      </w:r>
                    </w:p>
                    <w:p w14:paraId="242E737D" w14:textId="77777777" w:rsidR="0012136C" w:rsidRPr="00051A10" w:rsidRDefault="0012136C" w:rsidP="006D3AD5"/>
                    <w:p w14:paraId="251152BC" w14:textId="77777777" w:rsidR="0012136C" w:rsidRPr="00142F37" w:rsidRDefault="0012136C" w:rsidP="006D3AD5">
                      <w:pPr>
                        <w:rPr>
                          <w:szCs w:val="22"/>
                        </w:rPr>
                      </w:pPr>
                      <w:r>
                        <w:t>"During the capital raising from banks, I have come to the conclusion that in the Czech Republic it is easier to raise funds for a local sawmill rather than for a global hardware start-up."</w:t>
                      </w:r>
                    </w:p>
                    <w:p w14:paraId="249FC559" w14:textId="77777777" w:rsidR="0012136C" w:rsidRDefault="0012136C" w:rsidP="006D3AD5">
                      <w:pPr>
                        <w:rPr>
                          <w:szCs w:val="22"/>
                        </w:rPr>
                      </w:pPr>
                    </w:p>
                    <w:p w14:paraId="2062B303" w14:textId="77777777" w:rsidR="0012136C" w:rsidRDefault="0012136C" w:rsidP="006D3AD5">
                      <w:pPr>
                        <w:rPr>
                          <w:szCs w:val="22"/>
                        </w:rPr>
                      </w:pPr>
                      <w:r>
                        <w:t>"In creative industries distrust persists  in the return on the investment, a lack of information about benefits of creative industries for economy and interaction with the other sectors. Non-technical innovations and technical innovations are not equalised."</w:t>
                      </w:r>
                    </w:p>
                    <w:p w14:paraId="057A3F1A" w14:textId="77777777" w:rsidR="0012136C" w:rsidRPr="00142F37" w:rsidRDefault="0012136C" w:rsidP="006D3AD5">
                      <w:pPr>
                        <w:rPr>
                          <w:szCs w:val="22"/>
                        </w:rPr>
                      </w:pPr>
                    </w:p>
                    <w:p w14:paraId="3DD38716" w14:textId="77777777" w:rsidR="0012136C" w:rsidRPr="00142F37" w:rsidRDefault="0012136C" w:rsidP="006D3AD5">
                      <w:pPr>
                        <w:rPr>
                          <w:szCs w:val="22"/>
                        </w:rPr>
                      </w:pPr>
                      <w:r>
                        <w:t>"Unfortunately, to start a business from scratch and at the age of 23 poses huge risks and going beyond all due dates and everything. It requires a lot of negotiations and coping with unpleasant situations. The owner meets all the obligations and makes all the payments, but unfortunately he is dependent on clients' payments and therefore he gets very often, or even regularly into problems related to overdue payments, so he cannot and does not want to apply for a loan; moreover, banks would not grant him any loan. The owner's family took out a small bank loan to help him with the start. In spite of that, costs keep prevailing and the company does not generate any profit – but it is approaching zero."</w:t>
                      </w:r>
                    </w:p>
                  </w:txbxContent>
                </v:textbox>
                <w10:wrap type="square"/>
              </v:shape>
            </w:pict>
          </mc:Fallback>
        </mc:AlternateContent>
      </w:r>
    </w:p>
    <w:p w14:paraId="30060B82" w14:textId="79891DDC" w:rsidR="004A18C1" w:rsidRDefault="006D3AD5" w:rsidP="00C32172">
      <w:pPr>
        <w:rPr>
          <w:b/>
        </w:rPr>
      </w:pPr>
      <w:r w:rsidRPr="00874BFF">
        <w:t xml:space="preserve">The reasons that specifically resulted in non-use of equity forms of funding were particularly a lack of experience, excessive requirements of the potential investor and unwillingness to share the company. More than 55 %  of respondents, however, also state that they are willing to share the management of the company with an investor in the exchange for provision of funds for further business development. </w:t>
      </w:r>
    </w:p>
    <w:p w14:paraId="209AB540" w14:textId="77777777" w:rsidR="004A18C1" w:rsidRDefault="004A18C1" w:rsidP="00C32172">
      <w:pPr>
        <w:rPr>
          <w:b/>
        </w:rPr>
      </w:pPr>
    </w:p>
    <w:p w14:paraId="6A280F9F" w14:textId="77777777" w:rsidR="004A18C1" w:rsidRPr="00EC4C93" w:rsidRDefault="004A18C1" w:rsidP="004A18C1">
      <w:pPr>
        <w:rPr>
          <w:lang w:val="en-US" w:eastAsia="en-US"/>
        </w:rPr>
      </w:pPr>
      <w:r w:rsidRPr="00685AEF">
        <w:rPr>
          <w:b/>
          <w:lang w:val="en-US" w:eastAsia="en-US"/>
        </w:rPr>
        <w:t>In total 41 % of the target respondents (24 out of 62 responses) plan to use the venture capital in the coming 3 years to fund their investments. Up to 59 % of the target respondents (32 out of 54 responses) could be interested in funding their investment plans from OP EIC in the form of equity investments</w:t>
      </w:r>
      <w:r w:rsidRPr="00EC4C93">
        <w:rPr>
          <w:lang w:val="en-US" w:eastAsia="en-US"/>
        </w:rPr>
        <w:t>.</w:t>
      </w:r>
    </w:p>
    <w:p w14:paraId="07EAC7B1" w14:textId="1C4B7AE9" w:rsidR="00C32172" w:rsidRPr="002C224A" w:rsidRDefault="00C32172" w:rsidP="00C32172">
      <w:pPr>
        <w:rPr>
          <w:b/>
        </w:rPr>
      </w:pPr>
    </w:p>
    <w:p w14:paraId="54FB738B" w14:textId="77777777" w:rsidR="00C32172" w:rsidRPr="002C224A" w:rsidRDefault="00C32172" w:rsidP="00C32172">
      <w:pPr>
        <w:rPr>
          <w:b/>
        </w:rPr>
      </w:pPr>
    </w:p>
    <w:p w14:paraId="4D8C75B6" w14:textId="77777777" w:rsidR="006D3AD5" w:rsidRPr="00874BFF" w:rsidRDefault="006D3AD5" w:rsidP="006D3AD5">
      <w:pPr>
        <w:rPr>
          <w:b/>
        </w:rPr>
      </w:pPr>
      <w:r w:rsidRPr="00874BFF">
        <w:t>In the comments the respondents state, among other things, that they are interested in entry of an investor, but only if it is a partner that will really support further growth of the company. For start-ups communicating with investors it is important to have trust and contacts in the field.</w:t>
      </w:r>
      <w:r w:rsidRPr="00874BFF">
        <w:rPr>
          <w:b/>
        </w:rPr>
        <w:t xml:space="preserve"> Frequent answers in the survey also read that the company is too small and raising equity is too demanding in terms of time and administrative work and therefore inefficient, the team members thus attend to development of the company with a small extent of the company's own funds.</w:t>
      </w:r>
    </w:p>
    <w:p w14:paraId="208C9545" w14:textId="77777777" w:rsidR="006D3AD5" w:rsidRPr="00874BFF" w:rsidRDefault="006D3AD5" w:rsidP="006D3AD5"/>
    <w:p w14:paraId="4C473CDA" w14:textId="77777777" w:rsidR="006D3AD5" w:rsidRPr="00874BFF" w:rsidRDefault="006D3AD5" w:rsidP="006D3AD5">
      <w:r w:rsidRPr="00874BFF">
        <w:rPr>
          <w:b/>
        </w:rPr>
        <w:t>As for the plans for the future, companies are rather optimistic and expect an increase in their investments in the next three years in more than 50 %  of cases of more than CZK 5 million.</w:t>
      </w:r>
      <w:r w:rsidRPr="00874BFF">
        <w:t xml:space="preserve"> Consequently, start-ups postpone their investments for later, when they will be generating a stable cash flow and access to bank loans in particular will improve. They thus prefer a gradual start of their business to a complicated and often unsuccessful negotiation with investors.</w:t>
      </w:r>
    </w:p>
    <w:p w14:paraId="63F6474B" w14:textId="77777777" w:rsidR="006D3AD5" w:rsidRDefault="006D3AD5" w:rsidP="006D3AD5"/>
    <w:p w14:paraId="3DB62696" w14:textId="1F12A5FE" w:rsidR="00C13AEE" w:rsidRPr="00874BFF" w:rsidRDefault="00C13AEE" w:rsidP="00C13AEE">
      <w:pPr>
        <w:pStyle w:val="Titulek"/>
      </w:pPr>
      <w:r w:rsidRPr="00874BFF">
        <w:t xml:space="preserve">Table </w:t>
      </w:r>
      <w:r>
        <w:t>32</w:t>
      </w:r>
      <w:r w:rsidRPr="00874BFF">
        <w:t xml:space="preserve">: </w:t>
      </w:r>
      <w:r>
        <w:t>Future investments</w:t>
      </w:r>
    </w:p>
    <w:tbl>
      <w:tblPr>
        <w:tblW w:w="3231" w:type="dxa"/>
        <w:tblInd w:w="70" w:type="dxa"/>
        <w:tblCellMar>
          <w:left w:w="70" w:type="dxa"/>
          <w:right w:w="70" w:type="dxa"/>
        </w:tblCellMar>
        <w:tblLook w:val="04A0" w:firstRow="1" w:lastRow="0" w:firstColumn="1" w:lastColumn="0" w:noHBand="0" w:noVBand="1"/>
      </w:tblPr>
      <w:tblGrid>
        <w:gridCol w:w="2835"/>
        <w:gridCol w:w="960"/>
      </w:tblGrid>
      <w:tr w:rsidR="006D3AD5" w:rsidRPr="00874BFF" w14:paraId="42F61E7E" w14:textId="77777777" w:rsidTr="00443B8F">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19E8C0" w14:textId="77777777" w:rsidR="006D3AD5" w:rsidRPr="00874BFF" w:rsidRDefault="006D3AD5" w:rsidP="00443B8F">
            <w:pPr>
              <w:rPr>
                <w:rFonts w:cs="Arial"/>
                <w:b/>
                <w:bCs/>
                <w:sz w:val="20"/>
              </w:rPr>
            </w:pPr>
            <w:r w:rsidRPr="00874BFF">
              <w:rPr>
                <w:b/>
                <w:sz w:val="20"/>
              </w:rPr>
              <w:t>How high is the investment that is connected to the business plan you consider?</w:t>
            </w:r>
          </w:p>
        </w:tc>
        <w:tc>
          <w:tcPr>
            <w:tcW w:w="396" w:type="dxa"/>
            <w:tcBorders>
              <w:top w:val="single" w:sz="4" w:space="0" w:color="000000"/>
              <w:left w:val="nil"/>
              <w:bottom w:val="single" w:sz="4" w:space="0" w:color="000000"/>
              <w:right w:val="single" w:sz="4" w:space="0" w:color="000000"/>
            </w:tcBorders>
            <w:shd w:val="clear" w:color="auto" w:fill="auto"/>
            <w:noWrap/>
            <w:vAlign w:val="bottom"/>
          </w:tcPr>
          <w:p w14:paraId="4F030C27" w14:textId="77777777" w:rsidR="006D3AD5" w:rsidRPr="00874BFF" w:rsidRDefault="006D3AD5" w:rsidP="00443B8F">
            <w:pPr>
              <w:rPr>
                <w:rFonts w:cs="Arial"/>
                <w:sz w:val="20"/>
              </w:rPr>
            </w:pPr>
            <w:r w:rsidRPr="00874BFF">
              <w:rPr>
                <w:sz w:val="20"/>
              </w:rPr>
              <w:t>Share of responses</w:t>
            </w:r>
          </w:p>
        </w:tc>
      </w:tr>
      <w:tr w:rsidR="006D3AD5" w:rsidRPr="00874BFF" w14:paraId="5927FE52" w14:textId="77777777" w:rsidTr="00443B8F">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76FC97F2" w14:textId="77777777" w:rsidR="006D3AD5" w:rsidRPr="00874BFF" w:rsidRDefault="006D3AD5" w:rsidP="00443B8F">
            <w:pPr>
              <w:rPr>
                <w:rFonts w:cs="Arial"/>
                <w:sz w:val="20"/>
              </w:rPr>
            </w:pPr>
            <w:r w:rsidRPr="00874BFF">
              <w:rPr>
                <w:sz w:val="20"/>
              </w:rPr>
              <w:t>CZK 0–5 million</w:t>
            </w:r>
          </w:p>
        </w:tc>
        <w:tc>
          <w:tcPr>
            <w:tcW w:w="396" w:type="dxa"/>
            <w:tcBorders>
              <w:top w:val="nil"/>
              <w:left w:val="nil"/>
              <w:bottom w:val="single" w:sz="4" w:space="0" w:color="000000"/>
              <w:right w:val="single" w:sz="4" w:space="0" w:color="000000"/>
            </w:tcBorders>
            <w:shd w:val="clear" w:color="auto" w:fill="auto"/>
            <w:noWrap/>
            <w:vAlign w:val="bottom"/>
          </w:tcPr>
          <w:p w14:paraId="535E0664" w14:textId="77777777" w:rsidR="006D3AD5" w:rsidRPr="00874BFF" w:rsidRDefault="006D3AD5" w:rsidP="00443B8F">
            <w:pPr>
              <w:jc w:val="right"/>
              <w:rPr>
                <w:rFonts w:cs="Arial"/>
                <w:sz w:val="20"/>
              </w:rPr>
            </w:pPr>
            <w:r w:rsidRPr="00874BFF">
              <w:rPr>
                <w:sz w:val="20"/>
              </w:rPr>
              <w:t>46.2%</w:t>
            </w:r>
          </w:p>
        </w:tc>
      </w:tr>
      <w:tr w:rsidR="006D3AD5" w:rsidRPr="00874BFF" w14:paraId="496778B3" w14:textId="77777777" w:rsidTr="00443B8F">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6E548161" w14:textId="77777777" w:rsidR="006D3AD5" w:rsidRPr="00874BFF" w:rsidRDefault="006D3AD5" w:rsidP="00443B8F">
            <w:pPr>
              <w:rPr>
                <w:rFonts w:cs="Arial"/>
                <w:sz w:val="20"/>
              </w:rPr>
            </w:pPr>
            <w:r w:rsidRPr="00874BFF">
              <w:rPr>
                <w:sz w:val="20"/>
              </w:rPr>
              <w:t>CZK 6–10 million</w:t>
            </w:r>
          </w:p>
        </w:tc>
        <w:tc>
          <w:tcPr>
            <w:tcW w:w="396" w:type="dxa"/>
            <w:tcBorders>
              <w:top w:val="nil"/>
              <w:left w:val="nil"/>
              <w:bottom w:val="single" w:sz="4" w:space="0" w:color="000000"/>
              <w:right w:val="single" w:sz="4" w:space="0" w:color="000000"/>
            </w:tcBorders>
            <w:shd w:val="clear" w:color="auto" w:fill="auto"/>
            <w:noWrap/>
            <w:vAlign w:val="bottom"/>
          </w:tcPr>
          <w:p w14:paraId="3AF44E2A" w14:textId="77777777" w:rsidR="006D3AD5" w:rsidRPr="00874BFF" w:rsidRDefault="006D3AD5" w:rsidP="00443B8F">
            <w:pPr>
              <w:jc w:val="right"/>
              <w:rPr>
                <w:rFonts w:cs="Arial"/>
                <w:sz w:val="20"/>
              </w:rPr>
            </w:pPr>
            <w:r w:rsidRPr="00874BFF">
              <w:rPr>
                <w:sz w:val="20"/>
              </w:rPr>
              <w:t>25.0%</w:t>
            </w:r>
          </w:p>
        </w:tc>
      </w:tr>
      <w:tr w:rsidR="006D3AD5" w:rsidRPr="00874BFF" w14:paraId="556F2499" w14:textId="77777777" w:rsidTr="00443B8F">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218E43E5" w14:textId="77777777" w:rsidR="006D3AD5" w:rsidRPr="00874BFF" w:rsidRDefault="006D3AD5" w:rsidP="00443B8F">
            <w:pPr>
              <w:rPr>
                <w:rFonts w:cs="Arial"/>
                <w:sz w:val="20"/>
              </w:rPr>
            </w:pPr>
            <w:r w:rsidRPr="00874BFF">
              <w:rPr>
                <w:sz w:val="20"/>
              </w:rPr>
              <w:lastRenderedPageBreak/>
              <w:t>CZK 11–20 million</w:t>
            </w:r>
          </w:p>
        </w:tc>
        <w:tc>
          <w:tcPr>
            <w:tcW w:w="396" w:type="dxa"/>
            <w:tcBorders>
              <w:top w:val="nil"/>
              <w:left w:val="nil"/>
              <w:bottom w:val="single" w:sz="4" w:space="0" w:color="000000"/>
              <w:right w:val="single" w:sz="4" w:space="0" w:color="000000"/>
            </w:tcBorders>
            <w:shd w:val="clear" w:color="auto" w:fill="auto"/>
            <w:noWrap/>
            <w:vAlign w:val="bottom"/>
          </w:tcPr>
          <w:p w14:paraId="69CF6C00" w14:textId="77777777" w:rsidR="006D3AD5" w:rsidRPr="00874BFF" w:rsidRDefault="006D3AD5" w:rsidP="00443B8F">
            <w:pPr>
              <w:jc w:val="right"/>
              <w:rPr>
                <w:rFonts w:cs="Arial"/>
                <w:sz w:val="20"/>
              </w:rPr>
            </w:pPr>
            <w:r w:rsidRPr="00874BFF">
              <w:rPr>
                <w:sz w:val="20"/>
              </w:rPr>
              <w:t>13.5%</w:t>
            </w:r>
          </w:p>
        </w:tc>
      </w:tr>
      <w:tr w:rsidR="006D3AD5" w:rsidRPr="00874BFF" w14:paraId="685758BE" w14:textId="77777777" w:rsidTr="00443B8F">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23DBF14D" w14:textId="77777777" w:rsidR="006D3AD5" w:rsidRPr="00874BFF" w:rsidRDefault="006D3AD5" w:rsidP="00443B8F">
            <w:pPr>
              <w:rPr>
                <w:rFonts w:cs="Arial"/>
                <w:sz w:val="20"/>
              </w:rPr>
            </w:pPr>
            <w:r w:rsidRPr="00874BFF">
              <w:rPr>
                <w:sz w:val="20"/>
              </w:rPr>
              <w:t>CZK 21–30 million</w:t>
            </w:r>
          </w:p>
        </w:tc>
        <w:tc>
          <w:tcPr>
            <w:tcW w:w="396" w:type="dxa"/>
            <w:tcBorders>
              <w:top w:val="nil"/>
              <w:left w:val="nil"/>
              <w:bottom w:val="single" w:sz="4" w:space="0" w:color="000000"/>
              <w:right w:val="single" w:sz="4" w:space="0" w:color="000000"/>
            </w:tcBorders>
            <w:shd w:val="clear" w:color="auto" w:fill="auto"/>
            <w:noWrap/>
            <w:vAlign w:val="bottom"/>
          </w:tcPr>
          <w:p w14:paraId="47C4EA25" w14:textId="77777777" w:rsidR="006D3AD5" w:rsidRPr="00874BFF" w:rsidRDefault="006D3AD5" w:rsidP="00443B8F">
            <w:pPr>
              <w:jc w:val="right"/>
              <w:rPr>
                <w:rFonts w:cs="Arial"/>
                <w:sz w:val="20"/>
              </w:rPr>
            </w:pPr>
            <w:r w:rsidRPr="00874BFF">
              <w:rPr>
                <w:sz w:val="20"/>
              </w:rPr>
              <w:t>5.8%</w:t>
            </w:r>
          </w:p>
        </w:tc>
      </w:tr>
      <w:tr w:rsidR="006D3AD5" w:rsidRPr="00874BFF" w14:paraId="2915B8BF" w14:textId="77777777" w:rsidTr="00443B8F">
        <w:trPr>
          <w:trHeight w:val="255"/>
        </w:trPr>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79F45FEA" w14:textId="77777777" w:rsidR="006D3AD5" w:rsidRPr="00874BFF" w:rsidRDefault="006D3AD5" w:rsidP="00443B8F">
            <w:pPr>
              <w:rPr>
                <w:rFonts w:cs="Arial"/>
                <w:sz w:val="20"/>
              </w:rPr>
            </w:pPr>
            <w:r w:rsidRPr="00874BFF">
              <w:rPr>
                <w:sz w:val="20"/>
              </w:rPr>
              <w:t>CZK 31 million and above</w:t>
            </w:r>
          </w:p>
        </w:tc>
        <w:tc>
          <w:tcPr>
            <w:tcW w:w="396" w:type="dxa"/>
            <w:tcBorders>
              <w:top w:val="nil"/>
              <w:left w:val="nil"/>
              <w:bottom w:val="single" w:sz="4" w:space="0" w:color="000000"/>
              <w:right w:val="single" w:sz="4" w:space="0" w:color="000000"/>
            </w:tcBorders>
            <w:shd w:val="clear" w:color="auto" w:fill="auto"/>
            <w:noWrap/>
            <w:vAlign w:val="bottom"/>
          </w:tcPr>
          <w:p w14:paraId="2F108D9E" w14:textId="77777777" w:rsidR="006D3AD5" w:rsidRPr="00874BFF" w:rsidRDefault="006D3AD5" w:rsidP="00443B8F">
            <w:pPr>
              <w:jc w:val="right"/>
              <w:rPr>
                <w:rFonts w:cs="Arial"/>
                <w:sz w:val="20"/>
              </w:rPr>
            </w:pPr>
            <w:r w:rsidRPr="00874BFF">
              <w:rPr>
                <w:sz w:val="20"/>
              </w:rPr>
              <w:t>9.6%</w:t>
            </w:r>
          </w:p>
        </w:tc>
      </w:tr>
    </w:tbl>
    <w:p w14:paraId="415D42C4" w14:textId="77777777" w:rsidR="006D3AD5" w:rsidRPr="00874BFF" w:rsidRDefault="006D3AD5" w:rsidP="006D3AD5">
      <w:r w:rsidRPr="00874BFF">
        <w:t>n=52</w:t>
      </w:r>
    </w:p>
    <w:p w14:paraId="31D728B4" w14:textId="77777777" w:rsidR="006D3AD5" w:rsidRPr="00874BFF" w:rsidRDefault="006D3AD5" w:rsidP="006D3AD5"/>
    <w:p w14:paraId="26415084" w14:textId="77777777" w:rsidR="006D3AD5" w:rsidRPr="00874BFF" w:rsidRDefault="006D3AD5" w:rsidP="006D3AD5">
      <w:r w:rsidRPr="00874BFF">
        <w:t>The expected payback period of the planned investments is relatively short in the respondent companies, under 5 years in more than 84 %, up to 3 years in almost one third of them, which is caused, inter alia, by a rather lower prevailing volume of planned investments (up to CZK 10 million in 71 % of cases ).</w:t>
      </w:r>
    </w:p>
    <w:p w14:paraId="32BAAA9A" w14:textId="77777777" w:rsidR="006D3AD5" w:rsidRPr="00874BFF" w:rsidRDefault="006D3AD5" w:rsidP="006D3AD5"/>
    <w:p w14:paraId="3E2F96D5" w14:textId="16B6F093" w:rsidR="006D3AD5" w:rsidRPr="00874BFF" w:rsidRDefault="006D3AD5" w:rsidP="006D3AD5">
      <w:pPr>
        <w:pStyle w:val="Titulek"/>
        <w:keepNext/>
      </w:pPr>
      <w:r w:rsidRPr="00874BFF">
        <w:t xml:space="preserve">Figure </w:t>
      </w:r>
      <w:r w:rsidR="00AE6275">
        <w:t>20</w:t>
      </w:r>
      <w:r w:rsidRPr="00874BFF">
        <w:t>: Results of answers to the question regarding planned investments in the next three years "Within how many years do you expect a full payback of the investment from the generated financial flows (income of the project, savings)?", n=52</w:t>
      </w:r>
    </w:p>
    <w:p w14:paraId="42BA4EC2" w14:textId="77777777" w:rsidR="006D3AD5" w:rsidRPr="00874BFF" w:rsidRDefault="006D3AD5" w:rsidP="006D3AD5">
      <w:pPr>
        <w:rPr>
          <w:noProof/>
        </w:rPr>
      </w:pPr>
      <w:r w:rsidRPr="00874BFF">
        <w:rPr>
          <w:noProof/>
        </w:rPr>
        <w:drawing>
          <wp:inline distT="0" distB="0" distL="0" distR="0" wp14:anchorId="723F63D5" wp14:editId="6766A424">
            <wp:extent cx="4575175" cy="2746375"/>
            <wp:effectExtent l="0" t="0" r="15875" b="15875"/>
            <wp:docPr id="2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6C391B" w14:textId="77777777" w:rsidR="006D3AD5" w:rsidRPr="00874BFF" w:rsidRDefault="006D3AD5" w:rsidP="006D3AD5">
      <w:pPr>
        <w:rPr>
          <w:noProof/>
        </w:rPr>
      </w:pPr>
    </w:p>
    <w:p w14:paraId="52D75F01" w14:textId="77777777" w:rsidR="006D3AD5" w:rsidRPr="00874BFF" w:rsidRDefault="006D3AD5" w:rsidP="006D3AD5">
      <w:pPr>
        <w:tabs>
          <w:tab w:val="left" w:pos="2977"/>
          <w:tab w:val="left" w:pos="3261"/>
        </w:tabs>
        <w:rPr>
          <w:b/>
          <w:noProof/>
        </w:rPr>
      </w:pPr>
      <w:r w:rsidRPr="00874BFF">
        <w:t>Since the respondent entrepreneurs have a huge problem to raise external funds for their projects, it is not surprising that they consider the best form of assistance to be raising awareness of available sources of funding in the Czech Republic or abroad and new contacts, followed by a reduction of the administrative barrier to fundraising.</w:t>
      </w:r>
    </w:p>
    <w:p w14:paraId="2B648AEC" w14:textId="77777777" w:rsidR="006D3AD5" w:rsidRDefault="006D3AD5" w:rsidP="006D3AD5"/>
    <w:p w14:paraId="4EA9E5C0" w14:textId="01BE3A96" w:rsidR="00C13AEE" w:rsidRPr="00874BFF" w:rsidRDefault="00C13AEE" w:rsidP="00685AEF">
      <w:pPr>
        <w:pStyle w:val="Titulek"/>
      </w:pPr>
      <w:r w:rsidRPr="00C13AEE">
        <w:t>Table 3</w:t>
      </w:r>
      <w:r>
        <w:t>3</w:t>
      </w:r>
      <w:r w:rsidRPr="00C13AEE">
        <w:t>:</w:t>
      </w:r>
      <w:r w:rsidR="00675DDF">
        <w:t xml:space="preserve"> Ways to improve access to financing</w:t>
      </w:r>
    </w:p>
    <w:tbl>
      <w:tblPr>
        <w:tblW w:w="6379" w:type="dxa"/>
        <w:tblInd w:w="70" w:type="dxa"/>
        <w:tblCellMar>
          <w:left w:w="70" w:type="dxa"/>
          <w:right w:w="70" w:type="dxa"/>
        </w:tblCellMar>
        <w:tblLook w:val="04A0" w:firstRow="1" w:lastRow="0" w:firstColumn="1" w:lastColumn="0" w:noHBand="0" w:noVBand="1"/>
      </w:tblPr>
      <w:tblGrid>
        <w:gridCol w:w="4820"/>
        <w:gridCol w:w="1559"/>
      </w:tblGrid>
      <w:tr w:rsidR="006D3AD5" w:rsidRPr="00874BFF" w14:paraId="0549F9C7" w14:textId="77777777" w:rsidTr="00443B8F">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251B5" w14:textId="77777777" w:rsidR="006D3AD5" w:rsidRPr="00874BFF" w:rsidRDefault="006D3AD5" w:rsidP="00443B8F">
            <w:pPr>
              <w:rPr>
                <w:rFonts w:cs="Arial"/>
                <w:b/>
                <w:bCs/>
                <w:sz w:val="20"/>
              </w:rPr>
            </w:pPr>
            <w:r w:rsidRPr="00874BFF">
              <w:rPr>
                <w:b/>
                <w:sz w:val="20"/>
              </w:rPr>
              <w:t>What could improve access to financing of your project, so that it could be implemented exactly according to your requirements in terms of the extent, volume of financing and time?</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4755BA7" w14:textId="77777777" w:rsidR="006D3AD5" w:rsidRPr="00874BFF" w:rsidRDefault="006D3AD5" w:rsidP="00443B8F">
            <w:pPr>
              <w:rPr>
                <w:rFonts w:cs="Arial"/>
                <w:sz w:val="20"/>
              </w:rPr>
            </w:pPr>
            <w:r w:rsidRPr="00874BFF">
              <w:rPr>
                <w:sz w:val="20"/>
              </w:rPr>
              <w:t>Share of responses (multiple  answers could be given)</w:t>
            </w:r>
          </w:p>
        </w:tc>
      </w:tr>
      <w:tr w:rsidR="006D3AD5" w:rsidRPr="00874BFF" w14:paraId="77B964EB"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1FFEE2F" w14:textId="77777777" w:rsidR="006D3AD5" w:rsidRPr="00874BFF" w:rsidRDefault="006D3AD5" w:rsidP="00443B8F">
            <w:pPr>
              <w:rPr>
                <w:rFonts w:cs="Arial"/>
                <w:sz w:val="20"/>
              </w:rPr>
            </w:pPr>
            <w:r w:rsidRPr="00874BFF">
              <w:rPr>
                <w:sz w:val="20"/>
              </w:rPr>
              <w:t>Reduction of the administrative barrier to fundraising</w:t>
            </w:r>
          </w:p>
        </w:tc>
        <w:tc>
          <w:tcPr>
            <w:tcW w:w="1559" w:type="dxa"/>
            <w:tcBorders>
              <w:top w:val="nil"/>
              <w:left w:val="nil"/>
              <w:bottom w:val="single" w:sz="4" w:space="0" w:color="auto"/>
              <w:right w:val="single" w:sz="4" w:space="0" w:color="auto"/>
            </w:tcBorders>
            <w:shd w:val="clear" w:color="auto" w:fill="auto"/>
            <w:noWrap/>
            <w:vAlign w:val="bottom"/>
          </w:tcPr>
          <w:p w14:paraId="52613EF7" w14:textId="77777777" w:rsidR="006D3AD5" w:rsidRPr="00874BFF" w:rsidRDefault="006D3AD5" w:rsidP="00443B8F">
            <w:pPr>
              <w:jc w:val="right"/>
              <w:rPr>
                <w:rFonts w:cs="Arial"/>
                <w:sz w:val="20"/>
              </w:rPr>
            </w:pPr>
            <w:r w:rsidRPr="00874BFF">
              <w:rPr>
                <w:sz w:val="20"/>
              </w:rPr>
              <w:t>49.0%</w:t>
            </w:r>
          </w:p>
        </w:tc>
      </w:tr>
      <w:tr w:rsidR="006D3AD5" w:rsidRPr="00874BFF" w14:paraId="65BDBD67"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1E617E63" w14:textId="77777777" w:rsidR="006D3AD5" w:rsidRPr="00874BFF" w:rsidRDefault="006D3AD5" w:rsidP="00443B8F">
            <w:pPr>
              <w:rPr>
                <w:rFonts w:cs="Arial"/>
                <w:sz w:val="20"/>
              </w:rPr>
            </w:pPr>
            <w:r w:rsidRPr="00874BFF">
              <w:rPr>
                <w:sz w:val="20"/>
              </w:rPr>
              <w:t xml:space="preserve">Joining a hub, business incubator, better cooperation with a university, etc. </w:t>
            </w:r>
          </w:p>
        </w:tc>
        <w:tc>
          <w:tcPr>
            <w:tcW w:w="1559" w:type="dxa"/>
            <w:tcBorders>
              <w:top w:val="nil"/>
              <w:left w:val="nil"/>
              <w:bottom w:val="single" w:sz="4" w:space="0" w:color="auto"/>
              <w:right w:val="single" w:sz="4" w:space="0" w:color="auto"/>
            </w:tcBorders>
            <w:shd w:val="clear" w:color="auto" w:fill="auto"/>
            <w:noWrap/>
            <w:vAlign w:val="bottom"/>
          </w:tcPr>
          <w:p w14:paraId="1D3A6EEA" w14:textId="77777777" w:rsidR="006D3AD5" w:rsidRPr="00874BFF" w:rsidRDefault="006D3AD5" w:rsidP="00443B8F">
            <w:pPr>
              <w:jc w:val="right"/>
              <w:rPr>
                <w:rFonts w:cs="Arial"/>
                <w:sz w:val="20"/>
              </w:rPr>
            </w:pPr>
            <w:r w:rsidRPr="00874BFF">
              <w:rPr>
                <w:sz w:val="20"/>
              </w:rPr>
              <w:t>7.8%</w:t>
            </w:r>
          </w:p>
        </w:tc>
      </w:tr>
      <w:tr w:rsidR="006D3AD5" w:rsidRPr="00874BFF" w14:paraId="1166F7EF"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B1813AD" w14:textId="77777777" w:rsidR="006D3AD5" w:rsidRPr="00874BFF" w:rsidRDefault="006D3AD5" w:rsidP="00443B8F">
            <w:pPr>
              <w:rPr>
                <w:rFonts w:cs="Arial"/>
                <w:sz w:val="20"/>
              </w:rPr>
            </w:pPr>
            <w:r w:rsidRPr="00874BFF">
              <w:rPr>
                <w:sz w:val="20"/>
              </w:rPr>
              <w:t>Raising awareness of available sources of financing in the Czech Republic, getting new contacts</w:t>
            </w:r>
          </w:p>
        </w:tc>
        <w:tc>
          <w:tcPr>
            <w:tcW w:w="1559" w:type="dxa"/>
            <w:tcBorders>
              <w:top w:val="nil"/>
              <w:left w:val="nil"/>
              <w:bottom w:val="single" w:sz="4" w:space="0" w:color="auto"/>
              <w:right w:val="single" w:sz="4" w:space="0" w:color="auto"/>
            </w:tcBorders>
            <w:shd w:val="clear" w:color="auto" w:fill="auto"/>
            <w:noWrap/>
            <w:vAlign w:val="bottom"/>
          </w:tcPr>
          <w:p w14:paraId="25B7A5F9" w14:textId="77777777" w:rsidR="006D3AD5" w:rsidRPr="00874BFF" w:rsidRDefault="006D3AD5" w:rsidP="00443B8F">
            <w:pPr>
              <w:jc w:val="right"/>
              <w:rPr>
                <w:rFonts w:cs="Arial"/>
                <w:sz w:val="20"/>
              </w:rPr>
            </w:pPr>
            <w:r w:rsidRPr="00874BFF">
              <w:rPr>
                <w:sz w:val="20"/>
              </w:rPr>
              <w:t>68.6%</w:t>
            </w:r>
          </w:p>
        </w:tc>
      </w:tr>
      <w:tr w:rsidR="006D3AD5" w:rsidRPr="00874BFF" w14:paraId="35744461"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6424153" w14:textId="77777777" w:rsidR="006D3AD5" w:rsidRPr="00874BFF" w:rsidRDefault="006D3AD5" w:rsidP="00443B8F">
            <w:pPr>
              <w:rPr>
                <w:rFonts w:cs="Arial"/>
                <w:sz w:val="20"/>
              </w:rPr>
            </w:pPr>
            <w:r w:rsidRPr="00874BFF">
              <w:rPr>
                <w:sz w:val="20"/>
              </w:rPr>
              <w:t>Assistance at preparation of the project (e.g. business plan or specialised consultancy)</w:t>
            </w:r>
          </w:p>
        </w:tc>
        <w:tc>
          <w:tcPr>
            <w:tcW w:w="1559" w:type="dxa"/>
            <w:tcBorders>
              <w:top w:val="nil"/>
              <w:left w:val="nil"/>
              <w:bottom w:val="single" w:sz="4" w:space="0" w:color="auto"/>
              <w:right w:val="single" w:sz="4" w:space="0" w:color="auto"/>
            </w:tcBorders>
            <w:shd w:val="clear" w:color="auto" w:fill="auto"/>
            <w:noWrap/>
            <w:vAlign w:val="bottom"/>
          </w:tcPr>
          <w:p w14:paraId="26D0DB28" w14:textId="77777777" w:rsidR="006D3AD5" w:rsidRPr="00874BFF" w:rsidRDefault="006D3AD5" w:rsidP="00443B8F">
            <w:pPr>
              <w:jc w:val="right"/>
              <w:rPr>
                <w:rFonts w:cs="Arial"/>
                <w:sz w:val="20"/>
              </w:rPr>
            </w:pPr>
            <w:r w:rsidRPr="00874BFF">
              <w:rPr>
                <w:sz w:val="20"/>
              </w:rPr>
              <w:t>29.4%</w:t>
            </w:r>
          </w:p>
        </w:tc>
      </w:tr>
      <w:tr w:rsidR="006D3AD5" w:rsidRPr="00874BFF" w14:paraId="754C29C3"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48701594" w14:textId="77777777" w:rsidR="006D3AD5" w:rsidRPr="00874BFF" w:rsidRDefault="006D3AD5" w:rsidP="00443B8F">
            <w:pPr>
              <w:rPr>
                <w:rFonts w:cs="Arial"/>
                <w:sz w:val="20"/>
              </w:rPr>
            </w:pPr>
            <w:r w:rsidRPr="00874BFF">
              <w:rPr>
                <w:sz w:val="20"/>
              </w:rPr>
              <w:t>Raising awareness of available sources of financing from abroad, getting new contacts (e.g. via support of business trips  in foreign destinations)</w:t>
            </w:r>
          </w:p>
        </w:tc>
        <w:tc>
          <w:tcPr>
            <w:tcW w:w="1559" w:type="dxa"/>
            <w:tcBorders>
              <w:top w:val="nil"/>
              <w:left w:val="nil"/>
              <w:bottom w:val="single" w:sz="4" w:space="0" w:color="auto"/>
              <w:right w:val="single" w:sz="4" w:space="0" w:color="auto"/>
            </w:tcBorders>
            <w:shd w:val="clear" w:color="auto" w:fill="auto"/>
            <w:noWrap/>
            <w:vAlign w:val="bottom"/>
          </w:tcPr>
          <w:p w14:paraId="0EF8AE87" w14:textId="77777777" w:rsidR="006D3AD5" w:rsidRPr="00874BFF" w:rsidRDefault="006D3AD5" w:rsidP="00443B8F">
            <w:pPr>
              <w:jc w:val="right"/>
              <w:rPr>
                <w:rFonts w:cs="Arial"/>
                <w:sz w:val="20"/>
              </w:rPr>
            </w:pPr>
            <w:r w:rsidRPr="00874BFF">
              <w:rPr>
                <w:sz w:val="20"/>
              </w:rPr>
              <w:t>49.0%</w:t>
            </w:r>
          </w:p>
        </w:tc>
      </w:tr>
      <w:tr w:rsidR="006D3AD5" w:rsidRPr="00874BFF" w14:paraId="59AEC864"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5EB0AF0" w14:textId="77777777" w:rsidR="006D3AD5" w:rsidRPr="00874BFF" w:rsidRDefault="006D3AD5" w:rsidP="00443B8F">
            <w:pPr>
              <w:rPr>
                <w:rFonts w:cs="Arial"/>
                <w:sz w:val="20"/>
              </w:rPr>
            </w:pPr>
            <w:r w:rsidRPr="00874BFF">
              <w:rPr>
                <w:sz w:val="20"/>
              </w:rPr>
              <w:lastRenderedPageBreak/>
              <w:t>Establishing a venture capital investment fund managed by the state, providing capital for participation of private investors</w:t>
            </w:r>
          </w:p>
        </w:tc>
        <w:tc>
          <w:tcPr>
            <w:tcW w:w="1559" w:type="dxa"/>
            <w:tcBorders>
              <w:top w:val="nil"/>
              <w:left w:val="nil"/>
              <w:bottom w:val="single" w:sz="4" w:space="0" w:color="auto"/>
              <w:right w:val="single" w:sz="4" w:space="0" w:color="auto"/>
            </w:tcBorders>
            <w:shd w:val="clear" w:color="auto" w:fill="auto"/>
            <w:noWrap/>
            <w:vAlign w:val="bottom"/>
          </w:tcPr>
          <w:p w14:paraId="250F5EA6" w14:textId="77777777" w:rsidR="006D3AD5" w:rsidRPr="00874BFF" w:rsidRDefault="006D3AD5" w:rsidP="00443B8F">
            <w:pPr>
              <w:jc w:val="right"/>
              <w:rPr>
                <w:rFonts w:cs="Arial"/>
                <w:sz w:val="20"/>
              </w:rPr>
            </w:pPr>
            <w:r w:rsidRPr="00874BFF">
              <w:rPr>
                <w:sz w:val="20"/>
              </w:rPr>
              <w:t>15.7%</w:t>
            </w:r>
          </w:p>
        </w:tc>
      </w:tr>
      <w:tr w:rsidR="006D3AD5" w:rsidRPr="00874BFF" w14:paraId="1AB4340C"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214A861D" w14:textId="77777777" w:rsidR="006D3AD5" w:rsidRPr="00874BFF" w:rsidRDefault="006D3AD5" w:rsidP="00443B8F">
            <w:pPr>
              <w:rPr>
                <w:rFonts w:cs="Arial"/>
                <w:sz w:val="20"/>
              </w:rPr>
            </w:pPr>
            <w:r w:rsidRPr="00874BFF">
              <w:rPr>
                <w:sz w:val="20"/>
              </w:rPr>
              <w:t>Securing a guarantee for the loan</w:t>
            </w:r>
          </w:p>
        </w:tc>
        <w:tc>
          <w:tcPr>
            <w:tcW w:w="1559" w:type="dxa"/>
            <w:tcBorders>
              <w:top w:val="nil"/>
              <w:left w:val="nil"/>
              <w:bottom w:val="single" w:sz="4" w:space="0" w:color="auto"/>
              <w:right w:val="single" w:sz="4" w:space="0" w:color="auto"/>
            </w:tcBorders>
            <w:shd w:val="clear" w:color="auto" w:fill="auto"/>
            <w:noWrap/>
            <w:vAlign w:val="bottom"/>
          </w:tcPr>
          <w:p w14:paraId="4307BB96" w14:textId="77777777" w:rsidR="006D3AD5" w:rsidRPr="00874BFF" w:rsidRDefault="006D3AD5" w:rsidP="00443B8F">
            <w:pPr>
              <w:jc w:val="right"/>
              <w:rPr>
                <w:rFonts w:cs="Arial"/>
                <w:sz w:val="20"/>
              </w:rPr>
            </w:pPr>
            <w:r w:rsidRPr="00874BFF">
              <w:rPr>
                <w:sz w:val="20"/>
              </w:rPr>
              <w:t>9.8%</w:t>
            </w:r>
          </w:p>
        </w:tc>
      </w:tr>
      <w:tr w:rsidR="006D3AD5" w:rsidRPr="00874BFF" w14:paraId="0A8C0AE6"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0E3D7FF0" w14:textId="77777777" w:rsidR="006D3AD5" w:rsidRPr="00874BFF" w:rsidRDefault="006D3AD5" w:rsidP="00443B8F">
            <w:pPr>
              <w:rPr>
                <w:rFonts w:cs="Arial"/>
                <w:sz w:val="20"/>
              </w:rPr>
            </w:pPr>
            <w:r w:rsidRPr="00874BFF">
              <w:rPr>
                <w:sz w:val="20"/>
              </w:rPr>
              <w:t>Improving the conditions for the loan – less strict guarantee requirements</w:t>
            </w:r>
          </w:p>
        </w:tc>
        <w:tc>
          <w:tcPr>
            <w:tcW w:w="1559" w:type="dxa"/>
            <w:tcBorders>
              <w:top w:val="nil"/>
              <w:left w:val="nil"/>
              <w:bottom w:val="single" w:sz="4" w:space="0" w:color="auto"/>
              <w:right w:val="single" w:sz="4" w:space="0" w:color="auto"/>
            </w:tcBorders>
            <w:shd w:val="clear" w:color="auto" w:fill="auto"/>
            <w:noWrap/>
            <w:vAlign w:val="bottom"/>
          </w:tcPr>
          <w:p w14:paraId="6861C9EA" w14:textId="77777777" w:rsidR="006D3AD5" w:rsidRPr="00874BFF" w:rsidRDefault="006D3AD5" w:rsidP="00443B8F">
            <w:pPr>
              <w:jc w:val="right"/>
              <w:rPr>
                <w:rFonts w:cs="Arial"/>
                <w:sz w:val="20"/>
              </w:rPr>
            </w:pPr>
            <w:r w:rsidRPr="00874BFF">
              <w:rPr>
                <w:sz w:val="20"/>
              </w:rPr>
              <w:t>7.8%</w:t>
            </w:r>
          </w:p>
        </w:tc>
      </w:tr>
      <w:tr w:rsidR="006D3AD5" w:rsidRPr="00874BFF" w14:paraId="60C28C09" w14:textId="77777777" w:rsidTr="00443B8F">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tcPr>
          <w:p w14:paraId="398ADAD1" w14:textId="77777777" w:rsidR="006D3AD5" w:rsidRPr="00874BFF" w:rsidRDefault="006D3AD5" w:rsidP="00443B8F">
            <w:pPr>
              <w:rPr>
                <w:rFonts w:cs="Arial"/>
                <w:sz w:val="20"/>
              </w:rPr>
            </w:pPr>
            <w:r w:rsidRPr="00874BFF">
              <w:rPr>
                <w:sz w:val="20"/>
              </w:rPr>
              <w:t>Improving the conditions for the loan – preferential interest rate</w:t>
            </w:r>
          </w:p>
        </w:tc>
        <w:tc>
          <w:tcPr>
            <w:tcW w:w="1559" w:type="dxa"/>
            <w:tcBorders>
              <w:top w:val="nil"/>
              <w:left w:val="nil"/>
              <w:bottom w:val="single" w:sz="4" w:space="0" w:color="auto"/>
              <w:right w:val="single" w:sz="4" w:space="0" w:color="auto"/>
            </w:tcBorders>
            <w:shd w:val="clear" w:color="auto" w:fill="auto"/>
            <w:noWrap/>
            <w:vAlign w:val="bottom"/>
          </w:tcPr>
          <w:p w14:paraId="1EF965C9" w14:textId="77777777" w:rsidR="006D3AD5" w:rsidRPr="00874BFF" w:rsidRDefault="006D3AD5" w:rsidP="00443B8F">
            <w:pPr>
              <w:jc w:val="right"/>
              <w:rPr>
                <w:rFonts w:cs="Arial"/>
                <w:sz w:val="20"/>
              </w:rPr>
            </w:pPr>
            <w:r w:rsidRPr="00874BFF">
              <w:rPr>
                <w:sz w:val="20"/>
              </w:rPr>
              <w:t>9.8%</w:t>
            </w:r>
          </w:p>
        </w:tc>
      </w:tr>
    </w:tbl>
    <w:p w14:paraId="22832211" w14:textId="77777777" w:rsidR="006D3AD5" w:rsidRPr="00874BFF" w:rsidRDefault="006D3AD5" w:rsidP="006D3AD5"/>
    <w:p w14:paraId="1BBEB620" w14:textId="77777777" w:rsidR="006D3AD5" w:rsidRPr="00874BFF" w:rsidRDefault="006D3AD5" w:rsidP="006D3AD5">
      <w:r w:rsidRPr="00874BFF">
        <w:t xml:space="preserve">With regard to potential support from public resources and expected effects of the support, the respondent state that 64 % of them would make the planned investments only partially or not at all, whereas only 36 % of them would make the investments in full. </w:t>
      </w:r>
      <w:r w:rsidRPr="00874BFF">
        <w:rPr>
          <w:b/>
        </w:rPr>
        <w:t>The preferred form of support is equity investments (73 %), followed in a small distance by preferential loans (68 %) and guarantees (61 %).</w:t>
      </w:r>
    </w:p>
    <w:p w14:paraId="7E5DBC31" w14:textId="77777777" w:rsidR="006D3AD5" w:rsidRPr="00874BFF" w:rsidRDefault="006D3AD5" w:rsidP="006D3AD5"/>
    <w:p w14:paraId="6D09AA72" w14:textId="77777777" w:rsidR="006D3AD5" w:rsidRPr="00874BFF" w:rsidDel="002E16DE" w:rsidRDefault="006D3AD5" w:rsidP="006D3AD5">
      <w:r w:rsidRPr="00874BFF">
        <w:t xml:space="preserve">The  results of the questionnaire among growth-oriented companies at early business stages indicate identification of a real market failure, when these companies have only a very limited access to financing from external sources, which prevents them from necessary investing and impedes their rapid growth. </w:t>
      </w:r>
      <w:r w:rsidRPr="00874BFF">
        <w:rPr>
          <w:b/>
        </w:rPr>
        <w:t>A market failure can be coped particularly with a support of equity  investments and guarantees. The replies to the questions also indicate a need of specialised consultancy services related to improvement in access to financing (making the company more attractive, access to contact network in the Czech Republic or abroad, etc.).</w:t>
      </w:r>
    </w:p>
    <w:p w14:paraId="26DCC0FD" w14:textId="77777777" w:rsidR="006D3AD5" w:rsidRPr="00874BFF" w:rsidRDefault="006D3AD5" w:rsidP="006D3AD5">
      <w:pPr>
        <w:pStyle w:val="Nadpis4"/>
        <w:rPr>
          <w:rFonts w:ascii="Calibri" w:hAnsi="Calibri"/>
        </w:rPr>
      </w:pPr>
      <w:bookmarkStart w:id="739" w:name="_Toc416383730"/>
      <w:bookmarkStart w:id="740" w:name="_Toc416447720"/>
      <w:bookmarkStart w:id="741" w:name="_Toc416383731"/>
      <w:bookmarkStart w:id="742" w:name="_Toc416447721"/>
      <w:bookmarkStart w:id="743" w:name="_Toc416383732"/>
      <w:bookmarkStart w:id="744" w:name="_Toc416447722"/>
      <w:bookmarkStart w:id="745" w:name="_Toc416383733"/>
      <w:bookmarkStart w:id="746" w:name="_Toc416447723"/>
      <w:bookmarkStart w:id="747" w:name="_Toc416383734"/>
      <w:bookmarkStart w:id="748" w:name="_Toc416447724"/>
      <w:bookmarkStart w:id="749" w:name="_Toc416383735"/>
      <w:bookmarkStart w:id="750" w:name="_Toc416447725"/>
      <w:bookmarkStart w:id="751" w:name="_Toc416383736"/>
      <w:bookmarkStart w:id="752" w:name="_Toc416447726"/>
      <w:bookmarkStart w:id="753" w:name="_Toc416383737"/>
      <w:bookmarkStart w:id="754" w:name="_Toc416447727"/>
      <w:bookmarkStart w:id="755" w:name="_Toc416383738"/>
      <w:bookmarkStart w:id="756" w:name="_Toc416447728"/>
      <w:bookmarkStart w:id="757" w:name="_Toc416383739"/>
      <w:bookmarkStart w:id="758" w:name="_Toc416447729"/>
      <w:bookmarkStart w:id="759" w:name="_Toc416383740"/>
      <w:bookmarkStart w:id="760" w:name="_Toc416447730"/>
      <w:bookmarkStart w:id="761" w:name="_Toc416383741"/>
      <w:bookmarkStart w:id="762" w:name="_Toc416447731"/>
      <w:bookmarkStart w:id="763" w:name="_Toc416383742"/>
      <w:bookmarkStart w:id="764" w:name="_Toc416447732"/>
      <w:bookmarkStart w:id="765" w:name="_Toc416383743"/>
      <w:bookmarkStart w:id="766" w:name="_Toc416447733"/>
      <w:bookmarkStart w:id="767" w:name="_Toc416383794"/>
      <w:bookmarkStart w:id="768" w:name="_Toc416447784"/>
      <w:bookmarkStart w:id="769" w:name="_Toc416383795"/>
      <w:bookmarkStart w:id="770" w:name="_Toc416447785"/>
      <w:bookmarkStart w:id="771" w:name="_Toc416383796"/>
      <w:bookmarkStart w:id="772" w:name="_Toc416447786"/>
      <w:bookmarkStart w:id="773" w:name="_Toc416383797"/>
      <w:bookmarkStart w:id="774" w:name="_Toc416447787"/>
      <w:bookmarkStart w:id="775" w:name="_Toc416383798"/>
      <w:bookmarkStart w:id="776" w:name="_Toc416447788"/>
      <w:bookmarkStart w:id="777" w:name="_Toc416383799"/>
      <w:bookmarkStart w:id="778" w:name="_Toc416447789"/>
      <w:bookmarkStart w:id="779" w:name="_Toc416383800"/>
      <w:bookmarkStart w:id="780" w:name="_Toc416447790"/>
      <w:bookmarkStart w:id="781" w:name="_Toc416383801"/>
      <w:bookmarkStart w:id="782" w:name="_Toc416447791"/>
      <w:bookmarkStart w:id="783" w:name="_Toc416383802"/>
      <w:bookmarkStart w:id="784" w:name="_Toc416447792"/>
      <w:bookmarkStart w:id="785" w:name="_Toc416383803"/>
      <w:bookmarkStart w:id="786" w:name="_Toc416447793"/>
      <w:bookmarkStart w:id="787" w:name="_Toc416383804"/>
      <w:bookmarkStart w:id="788" w:name="_Toc416447794"/>
      <w:bookmarkStart w:id="789" w:name="_Toc416383805"/>
      <w:bookmarkStart w:id="790" w:name="_Toc416447795"/>
      <w:bookmarkStart w:id="791" w:name="_Toc416383806"/>
      <w:bookmarkStart w:id="792" w:name="_Toc416447796"/>
      <w:bookmarkStart w:id="793" w:name="_Toc416383807"/>
      <w:bookmarkStart w:id="794" w:name="_Toc416447797"/>
      <w:bookmarkStart w:id="795" w:name="_Toc416383808"/>
      <w:bookmarkStart w:id="796" w:name="_Toc416447798"/>
      <w:bookmarkStart w:id="797" w:name="_Toc416383809"/>
      <w:bookmarkStart w:id="798" w:name="_Toc416447799"/>
      <w:bookmarkStart w:id="799" w:name="_Toc416383810"/>
      <w:bookmarkStart w:id="800" w:name="_Toc416447800"/>
      <w:bookmarkStart w:id="801" w:name="_Toc416383811"/>
      <w:bookmarkStart w:id="802" w:name="_Toc416447801"/>
      <w:bookmarkStart w:id="803" w:name="_Toc4168004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874BFF">
        <w:rPr>
          <w:rFonts w:ascii="Calibri" w:hAnsi="Calibri"/>
        </w:rPr>
        <w:t>Estimate of absorption capacity of public support and the financial instrument</w:t>
      </w:r>
    </w:p>
    <w:bookmarkEnd w:id="803"/>
    <w:p w14:paraId="7DE48133" w14:textId="77777777" w:rsidR="006D3AD5" w:rsidRPr="00874BFF" w:rsidRDefault="006D3AD5" w:rsidP="006D3AD5"/>
    <w:p w14:paraId="423D72D2" w14:textId="77777777" w:rsidR="006D3AD5" w:rsidRPr="00874BFF" w:rsidRDefault="006D3AD5" w:rsidP="006D3AD5">
      <w:pPr>
        <w:pStyle w:val="Neslovannadpisy"/>
      </w:pPr>
      <w:r w:rsidRPr="00874BFF">
        <w:t>Estimated absorption capacity of proposed financial instruments</w:t>
      </w:r>
    </w:p>
    <w:p w14:paraId="4A6AAE57" w14:textId="77777777" w:rsidR="006D3AD5" w:rsidRPr="00874BFF" w:rsidRDefault="006D3AD5" w:rsidP="006D3AD5">
      <w:r w:rsidRPr="00874BFF">
        <w:t xml:space="preserve">Based on the results of the questionnaire, identified demand for loans and extrapolation based on aggregate data on investment and loan activities of SMEs in previous years (according to CSO, MIT and OECD), </w:t>
      </w:r>
      <w:r w:rsidRPr="00874BFF">
        <w:rPr>
          <w:b/>
        </w:rPr>
        <w:t>the demand for business loans of developing SMEs in the following years (until 2020) has been estimated at CZK 661 billion.</w:t>
      </w:r>
      <w:r w:rsidRPr="00874BFF">
        <w:t xml:space="preserve"> The results are based on a conservative projection of 350 billion of SMEs' investments per year and a relatively lower borrowing tendency (at the level of 2013).</w:t>
      </w:r>
    </w:p>
    <w:p w14:paraId="79AF2774" w14:textId="77777777" w:rsidR="006D3AD5" w:rsidRPr="00874BFF" w:rsidRDefault="006D3AD5" w:rsidP="006D3AD5"/>
    <w:p w14:paraId="4F8983E7" w14:textId="77777777" w:rsidR="006D3AD5" w:rsidRPr="00874BFF" w:rsidRDefault="006D3AD5" w:rsidP="006D3AD5">
      <w:pPr>
        <w:rPr>
          <w:b/>
        </w:rPr>
      </w:pPr>
      <w:r w:rsidRPr="00874BFF">
        <w:t xml:space="preserve">At quantification of a market failure (unsatisfied demand of viable projects), attention is paid to the reference value of unsatisfied demand from the EC analysis 2013 (minimum value) and unsatisfied demand for external financing in the questionnaire (maximum value). </w:t>
      </w:r>
      <w:r w:rsidRPr="00874BFF">
        <w:rPr>
          <w:b/>
        </w:rPr>
        <w:t>The market failure in debt financing of the SMEs development suitable for intervention by a financial instrument of the OP EIC can be estimated in the range of CZK 27–113 billion (with regard to the currentness of new data, probably closer to the upper figure). This variance also represents a high sensitivity of the bank's lending policy and SMEs' investments to the economic development.</w:t>
      </w:r>
    </w:p>
    <w:p w14:paraId="69960B02" w14:textId="77777777" w:rsidR="006D3AD5" w:rsidRPr="00874BFF" w:rsidRDefault="006D3AD5" w:rsidP="006D3AD5"/>
    <w:tbl>
      <w:tblPr>
        <w:tblW w:w="9323" w:type="dxa"/>
        <w:tblBorders>
          <w:bottom w:val="single" w:sz="4" w:space="0" w:color="72C7E7"/>
          <w:insideH w:val="single" w:sz="4" w:space="0" w:color="72C7E7"/>
        </w:tblBorders>
        <w:tblCellMar>
          <w:top w:w="28" w:type="dxa"/>
          <w:left w:w="28" w:type="dxa"/>
          <w:bottom w:w="28" w:type="dxa"/>
          <w:right w:w="28" w:type="dxa"/>
        </w:tblCellMar>
        <w:tblLook w:val="04A0" w:firstRow="1" w:lastRow="0" w:firstColumn="1" w:lastColumn="0" w:noHBand="0" w:noVBand="1"/>
      </w:tblPr>
      <w:tblGrid>
        <w:gridCol w:w="2933"/>
        <w:gridCol w:w="1743"/>
        <w:gridCol w:w="2179"/>
        <w:gridCol w:w="1162"/>
        <w:gridCol w:w="1306"/>
      </w:tblGrid>
      <w:tr w:rsidR="006D3AD5" w:rsidRPr="00874BFF" w14:paraId="20349178" w14:textId="77777777" w:rsidTr="00443B8F">
        <w:trPr>
          <w:trHeight w:val="750"/>
        </w:trPr>
        <w:tc>
          <w:tcPr>
            <w:tcW w:w="2933" w:type="dxa"/>
            <w:shd w:val="clear" w:color="auto" w:fill="72C7E7"/>
            <w:vAlign w:val="center"/>
            <w:hideMark/>
          </w:tcPr>
          <w:p w14:paraId="3C31409E" w14:textId="77777777" w:rsidR="006D3AD5" w:rsidRPr="00874BFF" w:rsidRDefault="006D3AD5" w:rsidP="00443B8F">
            <w:pPr>
              <w:overflowPunct/>
              <w:autoSpaceDE/>
              <w:autoSpaceDN/>
              <w:adjustRightInd/>
              <w:jc w:val="center"/>
              <w:textAlignment w:val="auto"/>
              <w:rPr>
                <w:b/>
                <w:bCs/>
                <w:color w:val="FFFFFF"/>
                <w:sz w:val="19"/>
                <w:szCs w:val="19"/>
              </w:rPr>
            </w:pPr>
            <w:r w:rsidRPr="00874BFF">
              <w:rPr>
                <w:b/>
                <w:color w:val="FFFFFF"/>
                <w:sz w:val="19"/>
              </w:rPr>
              <w:t>million CZK</w:t>
            </w:r>
          </w:p>
        </w:tc>
        <w:tc>
          <w:tcPr>
            <w:tcW w:w="1743" w:type="dxa"/>
            <w:shd w:val="clear" w:color="auto" w:fill="72C7E7"/>
            <w:vAlign w:val="center"/>
            <w:hideMark/>
          </w:tcPr>
          <w:p w14:paraId="4888AEA9" w14:textId="77777777" w:rsidR="006D3AD5" w:rsidRPr="00874BFF" w:rsidRDefault="006D3AD5" w:rsidP="00443B8F">
            <w:pPr>
              <w:overflowPunct/>
              <w:autoSpaceDE/>
              <w:autoSpaceDN/>
              <w:adjustRightInd/>
              <w:jc w:val="center"/>
              <w:textAlignment w:val="auto"/>
              <w:rPr>
                <w:b/>
                <w:bCs/>
                <w:color w:val="FFFFFF"/>
                <w:sz w:val="19"/>
                <w:szCs w:val="19"/>
              </w:rPr>
            </w:pPr>
            <w:r w:rsidRPr="00874BFF">
              <w:rPr>
                <w:b/>
                <w:color w:val="FFFFFF"/>
                <w:sz w:val="19"/>
              </w:rPr>
              <w:t>Questionnaire sample (603 respondents)</w:t>
            </w:r>
          </w:p>
        </w:tc>
        <w:tc>
          <w:tcPr>
            <w:tcW w:w="2179" w:type="dxa"/>
            <w:shd w:val="clear" w:color="auto" w:fill="72C7E7"/>
            <w:vAlign w:val="center"/>
            <w:hideMark/>
          </w:tcPr>
          <w:p w14:paraId="3EA16B40" w14:textId="77777777" w:rsidR="006D3AD5" w:rsidRPr="00874BFF" w:rsidRDefault="006D3AD5" w:rsidP="00443B8F">
            <w:pPr>
              <w:overflowPunct/>
              <w:autoSpaceDE/>
              <w:autoSpaceDN/>
              <w:adjustRightInd/>
              <w:jc w:val="center"/>
              <w:textAlignment w:val="auto"/>
              <w:rPr>
                <w:b/>
                <w:bCs/>
                <w:color w:val="FFFFFF"/>
                <w:sz w:val="19"/>
                <w:szCs w:val="19"/>
              </w:rPr>
            </w:pPr>
            <w:r w:rsidRPr="00874BFF">
              <w:rPr>
                <w:b/>
                <w:color w:val="FFFFFF"/>
                <w:sz w:val="19"/>
              </w:rPr>
              <w:t>Extrapolation (Czech Republic, 2016–2023)</w:t>
            </w:r>
          </w:p>
        </w:tc>
        <w:tc>
          <w:tcPr>
            <w:tcW w:w="1162" w:type="dxa"/>
            <w:shd w:val="clear" w:color="auto" w:fill="72C7E7"/>
            <w:vAlign w:val="center"/>
            <w:hideMark/>
          </w:tcPr>
          <w:p w14:paraId="519C58A1" w14:textId="77777777" w:rsidR="006D3AD5" w:rsidRPr="00874BFF" w:rsidRDefault="006D3AD5" w:rsidP="00443B8F">
            <w:pPr>
              <w:overflowPunct/>
              <w:autoSpaceDE/>
              <w:autoSpaceDN/>
              <w:adjustRightInd/>
              <w:jc w:val="center"/>
              <w:textAlignment w:val="auto"/>
              <w:rPr>
                <w:b/>
                <w:bCs/>
                <w:color w:val="FFFFFF"/>
                <w:sz w:val="19"/>
                <w:szCs w:val="19"/>
              </w:rPr>
            </w:pPr>
            <w:r w:rsidRPr="00874BFF">
              <w:rPr>
                <w:b/>
                <w:color w:val="FFFFFF"/>
                <w:sz w:val="19"/>
              </w:rPr>
              <w:t>Market failures (EC)</w:t>
            </w:r>
          </w:p>
        </w:tc>
        <w:tc>
          <w:tcPr>
            <w:tcW w:w="1306" w:type="dxa"/>
            <w:shd w:val="clear" w:color="auto" w:fill="72C7E7"/>
            <w:vAlign w:val="center"/>
            <w:hideMark/>
          </w:tcPr>
          <w:p w14:paraId="76010548" w14:textId="77777777" w:rsidR="006D3AD5" w:rsidRPr="00874BFF" w:rsidRDefault="006D3AD5" w:rsidP="00443B8F">
            <w:pPr>
              <w:overflowPunct/>
              <w:autoSpaceDE/>
              <w:autoSpaceDN/>
              <w:adjustRightInd/>
              <w:jc w:val="center"/>
              <w:textAlignment w:val="auto"/>
              <w:rPr>
                <w:b/>
                <w:bCs/>
                <w:color w:val="FFFFFF"/>
                <w:sz w:val="19"/>
                <w:szCs w:val="19"/>
              </w:rPr>
            </w:pPr>
            <w:r w:rsidRPr="00874BFF">
              <w:rPr>
                <w:b/>
                <w:color w:val="FFFFFF"/>
                <w:sz w:val="19"/>
              </w:rPr>
              <w:t>Market failures (questionnaire)</w:t>
            </w:r>
          </w:p>
        </w:tc>
      </w:tr>
      <w:tr w:rsidR="006D3AD5" w:rsidRPr="00874BFF" w14:paraId="67B022BF" w14:textId="77777777" w:rsidTr="00443B8F">
        <w:trPr>
          <w:trHeight w:val="315"/>
        </w:trPr>
        <w:tc>
          <w:tcPr>
            <w:tcW w:w="2933" w:type="dxa"/>
            <w:shd w:val="clear" w:color="auto" w:fill="FFFFFF"/>
            <w:noWrap/>
            <w:vAlign w:val="center"/>
            <w:hideMark/>
          </w:tcPr>
          <w:p w14:paraId="1BBD7B3E" w14:textId="77777777" w:rsidR="006D3AD5" w:rsidRPr="00874BFF" w:rsidRDefault="006D3AD5" w:rsidP="00443B8F">
            <w:pPr>
              <w:overflowPunct/>
              <w:autoSpaceDE/>
              <w:autoSpaceDN/>
              <w:adjustRightInd/>
              <w:jc w:val="center"/>
              <w:textAlignment w:val="auto"/>
              <w:rPr>
                <w:b/>
                <w:bCs/>
                <w:color w:val="000000"/>
                <w:sz w:val="19"/>
                <w:szCs w:val="19"/>
              </w:rPr>
            </w:pPr>
            <w:r w:rsidRPr="00874BFF">
              <w:rPr>
                <w:b/>
                <w:color w:val="000000"/>
                <w:sz w:val="19"/>
              </w:rPr>
              <w:t>Planned investments</w:t>
            </w:r>
          </w:p>
        </w:tc>
        <w:tc>
          <w:tcPr>
            <w:tcW w:w="1743" w:type="dxa"/>
            <w:shd w:val="clear" w:color="auto" w:fill="FFFFFF"/>
            <w:noWrap/>
            <w:vAlign w:val="center"/>
            <w:hideMark/>
          </w:tcPr>
          <w:p w14:paraId="4F2DBA69"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7,985</w:t>
            </w:r>
          </w:p>
        </w:tc>
        <w:tc>
          <w:tcPr>
            <w:tcW w:w="2179" w:type="dxa"/>
            <w:shd w:val="clear" w:color="auto" w:fill="FFFFFF"/>
            <w:noWrap/>
            <w:vAlign w:val="center"/>
            <w:hideMark/>
          </w:tcPr>
          <w:p w14:paraId="28553386"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780,000</w:t>
            </w:r>
          </w:p>
        </w:tc>
        <w:tc>
          <w:tcPr>
            <w:tcW w:w="1162" w:type="dxa"/>
            <w:shd w:val="clear" w:color="auto" w:fill="FFFFFF"/>
            <w:noWrap/>
            <w:vAlign w:val="center"/>
            <w:hideMark/>
          </w:tcPr>
          <w:p w14:paraId="67A66C4D"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41,000</w:t>
            </w:r>
          </w:p>
        </w:tc>
        <w:tc>
          <w:tcPr>
            <w:tcW w:w="1306" w:type="dxa"/>
            <w:shd w:val="clear" w:color="auto" w:fill="FFFFFF"/>
            <w:noWrap/>
            <w:vAlign w:val="center"/>
            <w:hideMark/>
          </w:tcPr>
          <w:p w14:paraId="7695B0E4"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170,000</w:t>
            </w:r>
          </w:p>
        </w:tc>
      </w:tr>
      <w:tr w:rsidR="006D3AD5" w:rsidRPr="00874BFF" w14:paraId="58290C32" w14:textId="77777777" w:rsidTr="00443B8F">
        <w:trPr>
          <w:trHeight w:val="315"/>
        </w:trPr>
        <w:tc>
          <w:tcPr>
            <w:tcW w:w="2933" w:type="dxa"/>
            <w:shd w:val="clear" w:color="auto" w:fill="FFFFFF"/>
            <w:noWrap/>
            <w:vAlign w:val="center"/>
            <w:hideMark/>
          </w:tcPr>
          <w:p w14:paraId="6B31E668" w14:textId="77777777" w:rsidR="006D3AD5" w:rsidRPr="00874BFF" w:rsidRDefault="006D3AD5" w:rsidP="00443B8F">
            <w:pPr>
              <w:overflowPunct/>
              <w:autoSpaceDE/>
              <w:autoSpaceDN/>
              <w:adjustRightInd/>
              <w:jc w:val="center"/>
              <w:textAlignment w:val="auto"/>
              <w:rPr>
                <w:b/>
                <w:bCs/>
                <w:color w:val="000000"/>
                <w:sz w:val="19"/>
                <w:szCs w:val="19"/>
              </w:rPr>
            </w:pPr>
            <w:r w:rsidRPr="00874BFF">
              <w:rPr>
                <w:b/>
                <w:color w:val="000000"/>
                <w:sz w:val="19"/>
              </w:rPr>
              <w:t>Planned external financing</w:t>
            </w:r>
          </w:p>
        </w:tc>
        <w:tc>
          <w:tcPr>
            <w:tcW w:w="1743" w:type="dxa"/>
            <w:shd w:val="clear" w:color="auto" w:fill="FFFFFF"/>
            <w:noWrap/>
            <w:vAlign w:val="center"/>
            <w:hideMark/>
          </w:tcPr>
          <w:p w14:paraId="746108A2"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5,350</w:t>
            </w:r>
          </w:p>
        </w:tc>
        <w:tc>
          <w:tcPr>
            <w:tcW w:w="2179" w:type="dxa"/>
            <w:shd w:val="clear" w:color="auto" w:fill="FFFFFF"/>
            <w:noWrap/>
            <w:vAlign w:val="center"/>
            <w:hideMark/>
          </w:tcPr>
          <w:p w14:paraId="49951B92"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535,000</w:t>
            </w:r>
          </w:p>
        </w:tc>
        <w:tc>
          <w:tcPr>
            <w:tcW w:w="1162" w:type="dxa"/>
            <w:shd w:val="clear" w:color="auto" w:fill="FFFFFF"/>
            <w:noWrap/>
            <w:vAlign w:val="center"/>
            <w:hideMark/>
          </w:tcPr>
          <w:p w14:paraId="784F9F74"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27,000</w:t>
            </w:r>
          </w:p>
        </w:tc>
        <w:tc>
          <w:tcPr>
            <w:tcW w:w="1306" w:type="dxa"/>
            <w:shd w:val="clear" w:color="auto" w:fill="FFFFFF"/>
            <w:noWrap/>
            <w:vAlign w:val="center"/>
            <w:hideMark/>
          </w:tcPr>
          <w:p w14:paraId="21A5292B" w14:textId="77777777" w:rsidR="006D3AD5" w:rsidRPr="00874BFF" w:rsidRDefault="006D3AD5" w:rsidP="00443B8F">
            <w:pPr>
              <w:overflowPunct/>
              <w:autoSpaceDE/>
              <w:autoSpaceDN/>
              <w:adjustRightInd/>
              <w:jc w:val="center"/>
              <w:textAlignment w:val="auto"/>
              <w:rPr>
                <w:color w:val="000000"/>
                <w:sz w:val="19"/>
                <w:szCs w:val="19"/>
              </w:rPr>
            </w:pPr>
            <w:r w:rsidRPr="00874BFF">
              <w:rPr>
                <w:color w:val="000000"/>
                <w:sz w:val="19"/>
              </w:rPr>
              <w:t>113,000</w:t>
            </w:r>
          </w:p>
        </w:tc>
      </w:tr>
    </w:tbl>
    <w:p w14:paraId="39C5AF22" w14:textId="0337E629" w:rsidR="006D3AD5" w:rsidRPr="00874BFF" w:rsidRDefault="006D3AD5" w:rsidP="006D3AD5">
      <w:pPr>
        <w:pStyle w:val="Titulek"/>
        <w:keepNext/>
      </w:pPr>
      <w:r w:rsidRPr="00874BFF">
        <w:t xml:space="preserve">Table </w:t>
      </w:r>
      <w:r w:rsidR="009629C9">
        <w:t>34</w:t>
      </w:r>
      <w:r w:rsidRPr="00874BFF">
        <w:t>: Estimated absorption capacity of debt instruments of the OP EIC</w:t>
      </w:r>
    </w:p>
    <w:p w14:paraId="6FDC8470" w14:textId="77777777" w:rsidR="006D3AD5" w:rsidRPr="00874BFF" w:rsidRDefault="006D3AD5" w:rsidP="006D3AD5"/>
    <w:p w14:paraId="79D1BBC3" w14:textId="77777777" w:rsidR="006D3AD5" w:rsidRPr="00874BFF" w:rsidRDefault="006D3AD5" w:rsidP="006D3AD5">
      <w:r w:rsidRPr="00874BFF">
        <w:t xml:space="preserve">In terms of early stage SMEs (seed and start-up stages), the basis consists in indicated investments of the respondent start-ups in the previous period and interest in equity investments (median from the GEM survey and the questionnaire).  Extrapolation is carried out based on GEM data on the number of new innovative entrepreneurs in industries with higher technological demands. As non-viable and </w:t>
      </w:r>
      <w:r w:rsidRPr="00874BFF">
        <w:lastRenderedPageBreak/>
        <w:t>inadequate projects are excluded, one tenth of the projects are considered, with a projection until 2023 (index 2.5). A market failure is derived from the ratio of demanded and supplied external financing mentioned in the questionnaire which was mostly participated by advanced start-up projects. Based on these assumptions,</w:t>
      </w:r>
      <w:r w:rsidRPr="00874BFF">
        <w:rPr>
          <w:b/>
        </w:rPr>
        <w:t xml:space="preserve"> in the next period we derive the demand for equity investments  at the minimum level of CZK 3 billion, of which CZK 1.4 billion is identified as a market gap coverable by the financial instrument. </w:t>
      </w:r>
      <w:r w:rsidRPr="00874BFF">
        <w:t>The absorption capacity in the next period can be positively influenced by both potential incentivising effect of the financial instrument itself and further development of the soft state support in the field of consulting and business incubators. A marked increase in the absorption capacity for the financial instrument would result from a successful implementation of the proof-of-concept instrument in SO 1.2 which can, however, show only at the end of the programming period.</w:t>
      </w:r>
    </w:p>
    <w:p w14:paraId="7E1D2A70" w14:textId="77777777" w:rsidR="006D3AD5" w:rsidRPr="00874BFF" w:rsidRDefault="006D3AD5" w:rsidP="006D3AD5"/>
    <w:p w14:paraId="1641B6D4" w14:textId="12857390" w:rsidR="006D3AD5" w:rsidRPr="00874BFF" w:rsidRDefault="006D3AD5" w:rsidP="006D3AD5">
      <w:pPr>
        <w:pStyle w:val="Titulek"/>
        <w:keepNext/>
      </w:pPr>
      <w:r w:rsidRPr="00874BFF">
        <w:t>Table 3</w:t>
      </w:r>
      <w:r w:rsidR="009629C9">
        <w:t>5</w:t>
      </w:r>
      <w:r w:rsidRPr="00874BFF">
        <w:t>: Estimate of absorption capacity of venture capital of the OP EIC</w:t>
      </w:r>
    </w:p>
    <w:tbl>
      <w:tblPr>
        <w:tblpPr w:leftFromText="141" w:rightFromText="141" w:vertAnchor="text" w:tblpY="1"/>
        <w:tblW w:w="8304" w:type="dxa"/>
        <w:tblBorders>
          <w:bottom w:val="single" w:sz="4" w:space="0" w:color="72C7E7"/>
          <w:insideH w:val="single" w:sz="4" w:space="0" w:color="72C7E7"/>
        </w:tblBorders>
        <w:tblCellMar>
          <w:top w:w="28" w:type="dxa"/>
          <w:left w:w="28" w:type="dxa"/>
          <w:bottom w:w="28" w:type="dxa"/>
          <w:right w:w="28" w:type="dxa"/>
        </w:tblCellMar>
        <w:tblLook w:val="04A0" w:firstRow="1" w:lastRow="0" w:firstColumn="1" w:lastColumn="0" w:noHBand="0" w:noVBand="1"/>
      </w:tblPr>
      <w:tblGrid>
        <w:gridCol w:w="3160"/>
        <w:gridCol w:w="1960"/>
        <w:gridCol w:w="1720"/>
        <w:gridCol w:w="1464"/>
      </w:tblGrid>
      <w:tr w:rsidR="006D3AD5" w:rsidRPr="00874BFF" w14:paraId="7B426D48" w14:textId="77777777" w:rsidTr="00903CCE">
        <w:trPr>
          <w:trHeight w:val="750"/>
        </w:trPr>
        <w:tc>
          <w:tcPr>
            <w:tcW w:w="3160" w:type="dxa"/>
            <w:shd w:val="clear" w:color="auto" w:fill="72C7E7"/>
            <w:noWrap/>
            <w:hideMark/>
          </w:tcPr>
          <w:p w14:paraId="720FA9F8" w14:textId="77777777" w:rsidR="006D3AD5" w:rsidRPr="00874BFF" w:rsidRDefault="006D3AD5" w:rsidP="00443B8F">
            <w:pPr>
              <w:overflowPunct/>
              <w:autoSpaceDE/>
              <w:autoSpaceDN/>
              <w:adjustRightInd/>
              <w:jc w:val="center"/>
              <w:textAlignment w:val="auto"/>
              <w:rPr>
                <w:b/>
                <w:bCs/>
                <w:color w:val="FFFFFF"/>
                <w:szCs w:val="22"/>
              </w:rPr>
            </w:pPr>
            <w:r w:rsidRPr="00874BFF">
              <w:rPr>
                <w:b/>
                <w:color w:val="FFFFFF"/>
              </w:rPr>
              <w:t>million CZK</w:t>
            </w:r>
          </w:p>
        </w:tc>
        <w:tc>
          <w:tcPr>
            <w:tcW w:w="1960" w:type="dxa"/>
            <w:shd w:val="clear" w:color="auto" w:fill="72C7E7"/>
            <w:hideMark/>
          </w:tcPr>
          <w:p w14:paraId="5DF88FD2" w14:textId="77777777" w:rsidR="006D3AD5" w:rsidRPr="00874BFF" w:rsidRDefault="006D3AD5" w:rsidP="00443B8F">
            <w:pPr>
              <w:overflowPunct/>
              <w:autoSpaceDE/>
              <w:autoSpaceDN/>
              <w:adjustRightInd/>
              <w:jc w:val="center"/>
              <w:textAlignment w:val="auto"/>
              <w:rPr>
                <w:b/>
                <w:bCs/>
                <w:color w:val="FFFFFF"/>
                <w:szCs w:val="22"/>
              </w:rPr>
            </w:pPr>
            <w:r w:rsidRPr="00874BFF">
              <w:rPr>
                <w:b/>
                <w:color w:val="FFFFFF"/>
              </w:rPr>
              <w:t>Questionnaire sample (55 )</w:t>
            </w:r>
          </w:p>
        </w:tc>
        <w:tc>
          <w:tcPr>
            <w:tcW w:w="1720" w:type="dxa"/>
            <w:shd w:val="clear" w:color="auto" w:fill="72C7E7"/>
            <w:hideMark/>
          </w:tcPr>
          <w:p w14:paraId="23B24787" w14:textId="77777777" w:rsidR="006D3AD5" w:rsidRPr="00874BFF" w:rsidRDefault="006D3AD5" w:rsidP="00443B8F">
            <w:pPr>
              <w:overflowPunct/>
              <w:autoSpaceDE/>
              <w:autoSpaceDN/>
              <w:adjustRightInd/>
              <w:jc w:val="center"/>
              <w:textAlignment w:val="auto"/>
              <w:rPr>
                <w:b/>
                <w:bCs/>
                <w:color w:val="FFFFFF"/>
                <w:szCs w:val="22"/>
              </w:rPr>
            </w:pPr>
            <w:r w:rsidRPr="00874BFF">
              <w:rPr>
                <w:b/>
                <w:color w:val="FFFFFF"/>
              </w:rPr>
              <w:t>Extrapolation (GEM, 2016–2023)</w:t>
            </w:r>
          </w:p>
        </w:tc>
        <w:tc>
          <w:tcPr>
            <w:tcW w:w="1464" w:type="dxa"/>
            <w:shd w:val="clear" w:color="auto" w:fill="72C7E7"/>
            <w:hideMark/>
          </w:tcPr>
          <w:p w14:paraId="096ED086" w14:textId="77777777" w:rsidR="006D3AD5" w:rsidRPr="00874BFF" w:rsidRDefault="006D3AD5" w:rsidP="00443B8F">
            <w:pPr>
              <w:overflowPunct/>
              <w:autoSpaceDE/>
              <w:autoSpaceDN/>
              <w:adjustRightInd/>
              <w:jc w:val="center"/>
              <w:textAlignment w:val="auto"/>
              <w:rPr>
                <w:b/>
                <w:bCs/>
                <w:color w:val="FFFFFF"/>
                <w:szCs w:val="22"/>
              </w:rPr>
            </w:pPr>
            <w:r w:rsidRPr="00874BFF">
              <w:rPr>
                <w:b/>
                <w:color w:val="FFFFFF"/>
              </w:rPr>
              <w:t>Market failures (questionnaire)</w:t>
            </w:r>
          </w:p>
        </w:tc>
      </w:tr>
      <w:tr w:rsidR="00903CCE" w:rsidRPr="00874BFF" w14:paraId="065AA5A8" w14:textId="77777777" w:rsidTr="00685AEF">
        <w:trPr>
          <w:trHeight w:val="300"/>
        </w:trPr>
        <w:tc>
          <w:tcPr>
            <w:tcW w:w="3160" w:type="dxa"/>
            <w:shd w:val="clear" w:color="auto" w:fill="FFFFFF"/>
            <w:noWrap/>
            <w:hideMark/>
          </w:tcPr>
          <w:p w14:paraId="3E6763BC" w14:textId="77777777" w:rsidR="00903CCE" w:rsidRPr="00874BFF" w:rsidRDefault="00903CCE" w:rsidP="00903CCE">
            <w:pPr>
              <w:overflowPunct/>
              <w:autoSpaceDE/>
              <w:autoSpaceDN/>
              <w:adjustRightInd/>
              <w:jc w:val="center"/>
              <w:textAlignment w:val="auto"/>
              <w:rPr>
                <w:b/>
                <w:bCs/>
                <w:color w:val="000000"/>
                <w:szCs w:val="22"/>
              </w:rPr>
            </w:pPr>
            <w:r w:rsidRPr="00874BFF">
              <w:rPr>
                <w:b/>
                <w:color w:val="000000"/>
              </w:rPr>
              <w:t>Investment incentive</w:t>
            </w:r>
          </w:p>
        </w:tc>
        <w:tc>
          <w:tcPr>
            <w:tcW w:w="1960" w:type="dxa"/>
            <w:shd w:val="clear" w:color="auto" w:fill="FFFFFF"/>
            <w:noWrap/>
            <w:vAlign w:val="center"/>
            <w:hideMark/>
          </w:tcPr>
          <w:p w14:paraId="1F69F173" w14:textId="24AF056D"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570    </w:t>
            </w:r>
          </w:p>
        </w:tc>
        <w:tc>
          <w:tcPr>
            <w:tcW w:w="1720" w:type="dxa"/>
            <w:shd w:val="clear" w:color="auto" w:fill="FFFFFF"/>
            <w:noWrap/>
            <w:vAlign w:val="center"/>
            <w:hideMark/>
          </w:tcPr>
          <w:p w14:paraId="3E608D90" w14:textId="696FF439"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7 470    </w:t>
            </w:r>
          </w:p>
        </w:tc>
        <w:tc>
          <w:tcPr>
            <w:tcW w:w="1464" w:type="dxa"/>
            <w:shd w:val="clear" w:color="auto" w:fill="FFFFFF"/>
            <w:noWrap/>
            <w:vAlign w:val="center"/>
            <w:hideMark/>
          </w:tcPr>
          <w:p w14:paraId="19239D6A" w14:textId="06F90F71"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3 560    </w:t>
            </w:r>
          </w:p>
        </w:tc>
      </w:tr>
      <w:tr w:rsidR="00903CCE" w:rsidRPr="00874BFF" w14:paraId="02D776FB" w14:textId="77777777" w:rsidTr="00685AEF">
        <w:trPr>
          <w:trHeight w:val="300"/>
        </w:trPr>
        <w:tc>
          <w:tcPr>
            <w:tcW w:w="3160" w:type="dxa"/>
            <w:shd w:val="clear" w:color="auto" w:fill="FFFFFF"/>
            <w:hideMark/>
          </w:tcPr>
          <w:p w14:paraId="5E91CFB5" w14:textId="77777777" w:rsidR="00903CCE" w:rsidRPr="00874BFF" w:rsidRDefault="00903CCE" w:rsidP="00903CCE">
            <w:pPr>
              <w:overflowPunct/>
              <w:autoSpaceDE/>
              <w:autoSpaceDN/>
              <w:adjustRightInd/>
              <w:jc w:val="center"/>
              <w:textAlignment w:val="auto"/>
              <w:rPr>
                <w:b/>
                <w:bCs/>
                <w:color w:val="000000"/>
                <w:szCs w:val="22"/>
              </w:rPr>
            </w:pPr>
            <w:r w:rsidRPr="00874BFF">
              <w:rPr>
                <w:b/>
                <w:color w:val="000000"/>
              </w:rPr>
              <w:t>External financing</w:t>
            </w:r>
          </w:p>
        </w:tc>
        <w:tc>
          <w:tcPr>
            <w:tcW w:w="1960" w:type="dxa"/>
            <w:shd w:val="clear" w:color="auto" w:fill="FFFFFF"/>
            <w:noWrap/>
            <w:vAlign w:val="center"/>
            <w:hideMark/>
          </w:tcPr>
          <w:p w14:paraId="1ADA3D01" w14:textId="1BD228A3"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407    </w:t>
            </w:r>
          </w:p>
        </w:tc>
        <w:tc>
          <w:tcPr>
            <w:tcW w:w="1720" w:type="dxa"/>
            <w:shd w:val="clear" w:color="auto" w:fill="FFFFFF"/>
            <w:noWrap/>
            <w:vAlign w:val="center"/>
            <w:hideMark/>
          </w:tcPr>
          <w:p w14:paraId="41631892" w14:textId="686DACBC"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5 340    </w:t>
            </w:r>
          </w:p>
        </w:tc>
        <w:tc>
          <w:tcPr>
            <w:tcW w:w="1464" w:type="dxa"/>
            <w:shd w:val="clear" w:color="auto" w:fill="FFFFFF"/>
            <w:noWrap/>
            <w:vAlign w:val="center"/>
            <w:hideMark/>
          </w:tcPr>
          <w:p w14:paraId="11B25E47" w14:textId="528898FD"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2 540    </w:t>
            </w:r>
          </w:p>
        </w:tc>
      </w:tr>
      <w:tr w:rsidR="00903CCE" w:rsidRPr="00874BFF" w14:paraId="65A2A22D" w14:textId="77777777" w:rsidTr="00685AEF">
        <w:trPr>
          <w:trHeight w:val="615"/>
        </w:trPr>
        <w:tc>
          <w:tcPr>
            <w:tcW w:w="3160" w:type="dxa"/>
            <w:shd w:val="clear" w:color="auto" w:fill="FFFFFF"/>
            <w:hideMark/>
          </w:tcPr>
          <w:p w14:paraId="1EFC1C9B" w14:textId="1417BA02" w:rsidR="00903CCE" w:rsidRPr="00874BFF" w:rsidRDefault="00903CCE" w:rsidP="00B225B7">
            <w:pPr>
              <w:overflowPunct/>
              <w:autoSpaceDE/>
              <w:autoSpaceDN/>
              <w:adjustRightInd/>
              <w:jc w:val="center"/>
              <w:textAlignment w:val="auto"/>
              <w:rPr>
                <w:b/>
                <w:bCs/>
                <w:color w:val="000000"/>
                <w:szCs w:val="22"/>
              </w:rPr>
            </w:pPr>
            <w:r w:rsidRPr="00874BFF">
              <w:rPr>
                <w:b/>
                <w:color w:val="000000"/>
              </w:rPr>
              <w:t xml:space="preserve">Absorption capacity of </w:t>
            </w:r>
            <w:r>
              <w:rPr>
                <w:b/>
                <w:color w:val="000000"/>
              </w:rPr>
              <w:t>the equity financial instrument</w:t>
            </w:r>
          </w:p>
        </w:tc>
        <w:tc>
          <w:tcPr>
            <w:tcW w:w="1960" w:type="dxa"/>
            <w:shd w:val="clear" w:color="auto" w:fill="FFFFFF"/>
            <w:noWrap/>
            <w:vAlign w:val="center"/>
            <w:hideMark/>
          </w:tcPr>
          <w:p w14:paraId="48E21A3C" w14:textId="6D47AC20"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240    </w:t>
            </w:r>
          </w:p>
        </w:tc>
        <w:tc>
          <w:tcPr>
            <w:tcW w:w="1720" w:type="dxa"/>
            <w:shd w:val="clear" w:color="auto" w:fill="FFFFFF"/>
            <w:noWrap/>
            <w:vAlign w:val="center"/>
            <w:hideMark/>
          </w:tcPr>
          <w:p w14:paraId="25155BEC" w14:textId="71A339D0"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3 150    </w:t>
            </w:r>
          </w:p>
        </w:tc>
        <w:tc>
          <w:tcPr>
            <w:tcW w:w="1464" w:type="dxa"/>
            <w:shd w:val="clear" w:color="auto" w:fill="FFFFFF"/>
            <w:noWrap/>
            <w:vAlign w:val="center"/>
            <w:hideMark/>
          </w:tcPr>
          <w:p w14:paraId="3F742455" w14:textId="1DEDD9E0" w:rsidR="00903CCE" w:rsidRPr="00874BFF" w:rsidRDefault="00903CCE" w:rsidP="00903CCE">
            <w:pPr>
              <w:overflowPunct/>
              <w:autoSpaceDE/>
              <w:autoSpaceDN/>
              <w:adjustRightInd/>
              <w:jc w:val="center"/>
              <w:textAlignment w:val="auto"/>
              <w:rPr>
                <w:color w:val="000000"/>
                <w:szCs w:val="22"/>
              </w:rPr>
            </w:pPr>
            <w:r>
              <w:rPr>
                <w:color w:val="000000"/>
                <w:szCs w:val="22"/>
              </w:rPr>
              <w:t xml:space="preserve">              1 500    </w:t>
            </w:r>
          </w:p>
        </w:tc>
      </w:tr>
    </w:tbl>
    <w:p w14:paraId="2B347543" w14:textId="77777777" w:rsidR="006D3AD5" w:rsidRPr="00874BFF" w:rsidRDefault="006D3AD5" w:rsidP="006D3AD5"/>
    <w:p w14:paraId="168347CF" w14:textId="77777777" w:rsidR="006D3AD5" w:rsidRPr="00874BFF" w:rsidRDefault="006D3AD5" w:rsidP="006D3AD5">
      <w:pPr>
        <w:pStyle w:val="Nadpis4"/>
        <w:rPr>
          <w:rFonts w:ascii="Calibri" w:hAnsi="Calibri"/>
        </w:rPr>
      </w:pPr>
      <w:bookmarkStart w:id="804" w:name="_Toc416800439"/>
      <w:r w:rsidRPr="00874BFF">
        <w:rPr>
          <w:rFonts w:ascii="Calibri" w:hAnsi="Calibri"/>
        </w:rPr>
        <w:t>Identification of market failures and sub-optimal investment situations</w:t>
      </w:r>
    </w:p>
    <w:p w14:paraId="45669A14" w14:textId="77777777" w:rsidR="006D3AD5" w:rsidRPr="00874BFF" w:rsidRDefault="006D3AD5" w:rsidP="006D3AD5">
      <w:pPr>
        <w:pStyle w:val="Neslovannadpisy"/>
      </w:pPr>
    </w:p>
    <w:bookmarkEnd w:id="804"/>
    <w:p w14:paraId="0C31CEDB" w14:textId="77777777" w:rsidR="006D3AD5" w:rsidRPr="00874BFF" w:rsidRDefault="006D3AD5" w:rsidP="006D3AD5">
      <w:pPr>
        <w:pStyle w:val="Neslovannadpisy"/>
      </w:pPr>
      <w:r w:rsidRPr="00874BFF">
        <w:t>Financing of developed SMEs</w:t>
      </w:r>
    </w:p>
    <w:p w14:paraId="6DD95603" w14:textId="77777777" w:rsidR="006D3AD5" w:rsidRPr="00874BFF" w:rsidRDefault="006D3AD5" w:rsidP="006D3AD5">
      <w:r w:rsidRPr="00874BFF">
        <w:t>Ability of the financial market to allocate resources efficiently for the benefit of SMEs' financing can be deduced from the total volume of loans granted to small and medium sized enterprises in a certain period of time, their number, the share in the total number of SMEs, the share of SMEs that applied for financing and particularly the estimated share of SMEs that did not raise the necessary finance, although they had been able to present a viable business plan (they were refused, did not  raise funds in full or did not apply for them).</w:t>
      </w:r>
    </w:p>
    <w:p w14:paraId="45C5A29B" w14:textId="77777777" w:rsidR="006D3AD5" w:rsidRPr="00874BFF" w:rsidRDefault="006D3AD5" w:rsidP="006D3AD5"/>
    <w:p w14:paraId="49FBF557" w14:textId="36E2904F" w:rsidR="006D3AD5" w:rsidRPr="00874BFF" w:rsidRDefault="006D3AD5" w:rsidP="006D3AD5">
      <w:r w:rsidRPr="00874BFF">
        <w:t xml:space="preserve">The results of the questionnaire survey mentioned in the previous chapter and in the technical annex show relatively good access of SMEs to loans in general, though there are limitations for projects with an increased risk. These conclusions also correspond to independent analyses that prove the relatively good access of SMEs to capital. </w:t>
      </w:r>
      <w:r w:rsidRPr="00874BFF">
        <w:rPr>
          <w:b/>
        </w:rPr>
        <w:t>It follows from the</w:t>
      </w:r>
      <w:r w:rsidR="0047204C">
        <w:rPr>
          <w:b/>
        </w:rPr>
        <w:t xml:space="preserve"> older</w:t>
      </w:r>
      <w:r w:rsidRPr="00874BFF">
        <w:rPr>
          <w:b/>
        </w:rPr>
        <w:t xml:space="preserve"> analysis of the European Commission that the investment requirement of viable projects was not satisfied at the volume of EUR 124–871 million in 2009–2011.</w:t>
      </w:r>
      <w:r w:rsidRPr="00874BFF">
        <w:t xml:space="preserve"> Further, the Commission comes to the conclusion that the share of financially viable SMEs in the Czech Republic that did not receive the required funding was 5.1 % in 2009–2011</w:t>
      </w:r>
      <w:r w:rsidRPr="00874BFF">
        <w:rPr>
          <w:vertAlign w:val="superscript"/>
        </w:rPr>
        <w:footnoteReference w:id="26"/>
      </w:r>
      <w:r w:rsidRPr="00874BFF">
        <w:t>. Since that time, the level of loans remained constant except for a decrease in 2013 which, thanks to the economic growth, is likely to be rectified in the following years. The value can thus be regarded as reference. An older EIF analysis from 2007</w:t>
      </w:r>
      <w:r w:rsidRPr="00874BFF">
        <w:rPr>
          <w:rStyle w:val="Znakapoznpodarou"/>
          <w:rFonts w:ascii="Calibri" w:hAnsi="Calibri"/>
        </w:rPr>
        <w:footnoteReference w:id="27"/>
      </w:r>
      <w:r w:rsidRPr="00874BFF">
        <w:t xml:space="preserve"> states that 60 % of Czech SMEs applied for a commercial loan, while two thirds of them succeeded. The most frequent reasons for non-completion of the lending process were, according to the applicants , banks' excessive information requirements, complicated administration of the loan and too long handling of the loan application. On average in Europe, loan financing is used by more than 50 % of SMEs.</w:t>
      </w:r>
    </w:p>
    <w:p w14:paraId="61FFED0F" w14:textId="77777777" w:rsidR="006D3AD5" w:rsidRPr="00874BFF" w:rsidRDefault="006D3AD5" w:rsidP="006D3AD5"/>
    <w:p w14:paraId="32364C37" w14:textId="77777777" w:rsidR="006D3AD5" w:rsidRPr="00874BFF" w:rsidRDefault="006D3AD5" w:rsidP="006D3AD5">
      <w:r w:rsidRPr="00874BFF">
        <w:lastRenderedPageBreak/>
        <w:t xml:space="preserve">Other sources also come to similar conclusions – access to financing of SMEs as a whole is not a problem in the Czech Republic. In the context of the Czech Republic, it is possible to mention sub-optimal investment situations rather than direct market failures. A problem, to a certain extent, consists in the factors outside the financial market. The slow-down in investments follows worsened sales in the domestic market (consumption was the main cause of the economic recession in the Czech Republic in 2013) and in markets of the main business partners. Small and medium enterprises thus often do not carry out investment activities at all, or they do, but in a limited extent only due to uncertainty of predictions of future economic development and consequently of financial flows and basic economic parameters of investments. </w:t>
      </w:r>
      <w:r w:rsidRPr="00874BFF">
        <w:rPr>
          <w:b/>
        </w:rPr>
        <w:t>We can expect that a considerable number of companies did not present their business plan at all, specifically for reasons lying particularly beyond financial markets.</w:t>
      </w:r>
    </w:p>
    <w:p w14:paraId="6816A5CE" w14:textId="77777777" w:rsidR="006D3AD5" w:rsidRPr="00874BFF" w:rsidRDefault="006D3AD5" w:rsidP="006D3AD5">
      <w:pPr>
        <w:rPr>
          <w:b/>
        </w:rPr>
      </w:pPr>
    </w:p>
    <w:p w14:paraId="47E3C925" w14:textId="77777777" w:rsidR="006D3AD5" w:rsidRPr="00874BFF" w:rsidRDefault="006D3AD5" w:rsidP="006D3AD5">
      <w:r w:rsidRPr="00874BFF">
        <w:t>However, the extent of problems with availability of loans for SMEs may increase at present, despite the decrease in interest rates. The development of rates clearly shows that despite the current decrease in deposit rates the banks' interest margin had to go down inevitably. At the same time, the banking sector is under pressure of regulator's measures for strengthening stability of banks, which has shown in an increase in the equity ratio indicator. Pressure of costs and pressure on banks to decrease their profit are growing. Simultaneously, however, there is no weakening in their shareholders' pressure on profitability which stands at a very high level in large banks in European comparison. For the  above-mentioned reasons, banks make necessarily more efforts to secure loans to the highest possible degree and thus to minimize losses from loans in case of a client's default. Despite decreasing interest rates, access to loan financing at the current market can be more difficult for some SMEs.</w:t>
      </w:r>
    </w:p>
    <w:p w14:paraId="08A86D35" w14:textId="77777777" w:rsidR="006D3AD5" w:rsidRPr="00874BFF" w:rsidRDefault="006D3AD5" w:rsidP="006D3AD5"/>
    <w:p w14:paraId="407238C9" w14:textId="77777777" w:rsidR="006D3AD5" w:rsidRPr="00874BFF" w:rsidRDefault="006D3AD5" w:rsidP="006D3AD5">
      <w:r w:rsidRPr="00874BFF">
        <w:t>It is also necessary to add that the relatively good availability of loans for SMEs in the past was significantly influenced even by public support by guarantee and loan instruments offered by CMZR Bank which thus proves to be effective.</w:t>
      </w:r>
    </w:p>
    <w:p w14:paraId="78F94923" w14:textId="77777777" w:rsidR="006D3AD5" w:rsidRPr="00874BFF" w:rsidRDefault="006D3AD5" w:rsidP="006D3AD5"/>
    <w:p w14:paraId="0E77C6EB" w14:textId="77777777" w:rsidR="006D3AD5" w:rsidRPr="00874BFF" w:rsidRDefault="006D3AD5" w:rsidP="006D3AD5">
      <w:r w:rsidRPr="00874BFF">
        <w:t>When set properly, support by guarantees and soft loans can help in effective bridging the expected niche in the market in order to mitigate the risk both on the part of the lending institution  and mainly on the part of the borrowing SME that will be thus helped to decrease costs of financing.</w:t>
      </w:r>
    </w:p>
    <w:p w14:paraId="2416DAF2" w14:textId="77777777" w:rsidR="006D3AD5" w:rsidRPr="00874BFF" w:rsidRDefault="006D3AD5" w:rsidP="006D3AD5"/>
    <w:p w14:paraId="1BDA4AE3" w14:textId="77777777" w:rsidR="006D3AD5" w:rsidRPr="00874BFF" w:rsidRDefault="006D3AD5" w:rsidP="006D3AD5">
      <w:pPr>
        <w:pStyle w:val="Neslovannadpisy"/>
      </w:pPr>
      <w:r w:rsidRPr="00874BFF">
        <w:t>Early stage financing</w:t>
      </w:r>
    </w:p>
    <w:p w14:paraId="20779932" w14:textId="77777777" w:rsidR="006D3AD5" w:rsidRPr="00874BFF" w:rsidRDefault="006D3AD5" w:rsidP="006D3AD5">
      <w:r w:rsidRPr="00874BFF">
        <w:t xml:space="preserve">Venture capital and quasi-equity investments are the most efficient form of financing for companies at the early stage with regard to their rapid growth. </w:t>
      </w:r>
      <w:r w:rsidRPr="00874BFF">
        <w:rPr>
          <w:b/>
        </w:rPr>
        <w:t>The low degree of development of the Czech market in this area thus shows a significant market failure which impedes the development potential of new innovative business projects in the Czech Republic.</w:t>
      </w:r>
    </w:p>
    <w:p w14:paraId="273CC585" w14:textId="77777777" w:rsidR="006D3AD5" w:rsidRPr="00874BFF" w:rsidRDefault="006D3AD5" w:rsidP="006D3AD5"/>
    <w:p w14:paraId="61723530" w14:textId="77777777" w:rsidR="006D3AD5" w:rsidRPr="00874BFF" w:rsidRDefault="006D3AD5" w:rsidP="006D3AD5">
      <w:r w:rsidRPr="00874BFF">
        <w:t>As it follows from the above-described analysis of the PE and VC financing market, despite the positive trend in the latest development, the investment activity related to the venture capital is very low in the Czech Republic. A lacking interest of investors can be identified both in the segment of later stage investments and especially at the early stage. As also followed from interviews with experts and investors, the problem with early stage VC is not purely a lack of capital, but rather other factors.</w:t>
      </w:r>
    </w:p>
    <w:p w14:paraId="756F6347" w14:textId="77777777" w:rsidR="006D3AD5" w:rsidRPr="00874BFF" w:rsidRDefault="006D3AD5" w:rsidP="006D3AD5"/>
    <w:p w14:paraId="4D4089C3" w14:textId="77777777" w:rsidR="006D3AD5" w:rsidRPr="00874BFF" w:rsidRDefault="006D3AD5" w:rsidP="006D3AD5">
      <w:r w:rsidRPr="00874BFF">
        <w:t xml:space="preserve">The analysis of causes indicates existence of a market failure on the part of both investors and beneficiaries. Due to insufficient managerial experience and lacking consulting services, authors of projects are not often able to commercialised their plan or presentation effectively to attract interest of private investors. Projects are often lacking a good business model. </w:t>
      </w:r>
      <w:r w:rsidRPr="00874BFF">
        <w:rPr>
          <w:b/>
        </w:rPr>
        <w:t xml:space="preserve">Recently, the offer of consultancy and assistance services for start-up entrepreneurs, along  with activities of CzechEkoSystem and CzechAccelerator of the CzechInvest Agency, has considerably improved, There was a substantial increase in the offer of private business incubators (e.g. StartupYard, Node5, </w:t>
      </w:r>
      <w:r w:rsidRPr="00874BFF">
        <w:rPr>
          <w:b/>
        </w:rPr>
        <w:lastRenderedPageBreak/>
        <w:t>StarCube) and other programmes (e.g. eClub, iCollege), nevertheless, further emphasis on refinement of the environment and support of business incubators is necessary.</w:t>
      </w:r>
    </w:p>
    <w:p w14:paraId="3FF1D821" w14:textId="77777777" w:rsidR="006D3AD5" w:rsidRPr="00874BFF" w:rsidRDefault="006D3AD5" w:rsidP="006D3AD5"/>
    <w:p w14:paraId="3BFD3F1B" w14:textId="77777777" w:rsidR="006D3AD5" w:rsidRPr="00874BFF" w:rsidRDefault="006D3AD5" w:rsidP="006D3AD5">
      <w:r w:rsidRPr="00874BFF">
        <w:rPr>
          <w:b/>
        </w:rPr>
        <w:t>The number of institutional investors in venture capital is still very small in the Czech Republic, although it has been growing recently.</w:t>
      </w:r>
      <w:r w:rsidRPr="00874BFF">
        <w:t xml:space="preserve"> The same can be said about foreign investors' activity in the Czech market which, although growing recently, is still generally low. Unlike bigger and more advanced markets, the Czech market is for foreign investors generally less interesting and known. Both problems also result from specifically Czech regulatory barriers which prevent pension funds from investing in these funds.</w:t>
      </w:r>
    </w:p>
    <w:p w14:paraId="7D6AD5D5" w14:textId="77777777" w:rsidR="006D3AD5" w:rsidRPr="00874BFF" w:rsidRDefault="006D3AD5" w:rsidP="006D3AD5"/>
    <w:p w14:paraId="069A4338" w14:textId="77777777" w:rsidR="006D3AD5" w:rsidRPr="00874BFF" w:rsidRDefault="006D3AD5" w:rsidP="006D3AD5">
      <w:r w:rsidRPr="00874BFF">
        <w:t xml:space="preserve">In venture capital, we see a relatively smaller market failure on the part of start-up financing in the capital-less intensive sectors of ICT and innovative services, where investors are already now active, willing to provide capital for highly promising projects. </w:t>
      </w:r>
      <w:r w:rsidRPr="00874BFF">
        <w:rPr>
          <w:b/>
        </w:rPr>
        <w:t>However, even here the barrier is still a high aversion of investors against risk</w:t>
      </w:r>
      <w:r w:rsidRPr="00874BFF">
        <w:t xml:space="preserve">, although it also results from rather poor quality and low potential of many projects. The relative abundance of capital on the part of investors is thus seeking a way for appreciation with difficulty. The state intervention with regard to financing can help primarily spread the risk thanks to a preferential setting. It can also be an impulse for establishing other investment funds with necessary specialisation and greater interest from abroad. </w:t>
      </w:r>
    </w:p>
    <w:p w14:paraId="6711721D" w14:textId="77777777" w:rsidR="006D3AD5" w:rsidRPr="00874BFF" w:rsidRDefault="006D3AD5" w:rsidP="006D3AD5"/>
    <w:p w14:paraId="2353BA46" w14:textId="77777777" w:rsidR="006D3AD5" w:rsidRPr="00874BFF" w:rsidRDefault="006D3AD5" w:rsidP="006D3AD5">
      <w:r w:rsidRPr="00874BFF">
        <w:t>Within the above-mentioned market barriers, problems can be found even in later stage capital venture investments (starting from approx. EUR 1–4 million), where, according to the CVCA,  only a single fund with this specialisation exists among Czech VC funds currently .</w:t>
      </w:r>
    </w:p>
    <w:p w14:paraId="5E1DCCF2" w14:textId="77777777" w:rsidR="006D3AD5" w:rsidRPr="00874BFF" w:rsidRDefault="006D3AD5" w:rsidP="006D3AD5"/>
    <w:p w14:paraId="384C3EA0" w14:textId="77777777" w:rsidR="006D3AD5" w:rsidRPr="00874BFF" w:rsidRDefault="006D3AD5" w:rsidP="006D3AD5">
      <w:pPr>
        <w:rPr>
          <w:b/>
        </w:rPr>
      </w:pPr>
      <w:r w:rsidRPr="00874BFF">
        <w:rPr>
          <w:b/>
        </w:rPr>
        <w:t>However, we see the main market failure in a lack of supported and available projects in other highly innovative areas, where results of public R&amp;D can be applied.</w:t>
      </w:r>
      <w:r w:rsidRPr="00874BFF">
        <w:t xml:space="preserve"> This area is not in the focus of active venture funds in the Czech Republic due to the high risk, investment costs and complexity of the special topic, as well as due to the small number of good university spin-offs to which investments could be channelled. We attribute a significant part of the market failure to inability of public entities to support commercialisation of plans in research centres established by means of public support, in scientific and technical parks and at leading universities. </w:t>
      </w:r>
      <w:r w:rsidRPr="00874BFF">
        <w:rPr>
          <w:b/>
        </w:rPr>
        <w:t>Consequently, a market gap can be identified here on the part of investors, commercialisation of R&amp;D and support of preparation of projects suitable for investing.</w:t>
      </w:r>
    </w:p>
    <w:p w14:paraId="600B4A61" w14:textId="77777777" w:rsidR="006D3AD5" w:rsidRPr="00874BFF" w:rsidRDefault="006D3AD5" w:rsidP="006D3AD5">
      <w:pPr>
        <w:rPr>
          <w:b/>
        </w:rPr>
      </w:pPr>
    </w:p>
    <w:p w14:paraId="2C31454E" w14:textId="77777777" w:rsidR="006D3AD5" w:rsidRPr="00874BFF" w:rsidRDefault="006D3AD5" w:rsidP="006D3AD5">
      <w:pPr>
        <w:pStyle w:val="Nadpis4"/>
        <w:rPr>
          <w:rFonts w:ascii="Calibri" w:hAnsi="Calibri"/>
        </w:rPr>
      </w:pPr>
      <w:bookmarkStart w:id="805" w:name="_Toc416800440"/>
      <w:r w:rsidRPr="00874BFF">
        <w:rPr>
          <w:rFonts w:ascii="Calibri" w:hAnsi="Calibri"/>
        </w:rPr>
        <w:t>Proposal of solutions for the identified market failures</w:t>
      </w:r>
    </w:p>
    <w:bookmarkEnd w:id="805"/>
    <w:p w14:paraId="793C818C" w14:textId="77777777" w:rsidR="006D3AD5" w:rsidRPr="00874BFF" w:rsidRDefault="006D3AD5" w:rsidP="006D3AD5">
      <w:r w:rsidRPr="00874BFF">
        <w:t>With regard to the profit potential of successful projects, we definitely recommend to use financial instruments in both analysed areas of SO 2.1.</w:t>
      </w:r>
    </w:p>
    <w:p w14:paraId="2142CB40" w14:textId="77777777" w:rsidR="006D3AD5" w:rsidRPr="00874BFF" w:rsidRDefault="006D3AD5" w:rsidP="006D3AD5"/>
    <w:p w14:paraId="1A7C259A" w14:textId="77777777" w:rsidR="006D3AD5" w:rsidRPr="00874BFF" w:rsidRDefault="006D3AD5" w:rsidP="006D3AD5">
      <w:r w:rsidRPr="00874BFF">
        <w:t xml:space="preserve">In financing development investments of stable and longer existing SMEs that typically search for external financing by loans, </w:t>
      </w:r>
      <w:r w:rsidRPr="00874BFF">
        <w:rPr>
          <w:b/>
        </w:rPr>
        <w:t>it seems to be a good follow-up of the previous support by soft loans and guarantees – in both individual and portfolio forms.</w:t>
      </w:r>
    </w:p>
    <w:p w14:paraId="27BB4622" w14:textId="77777777" w:rsidR="006D3AD5" w:rsidRPr="00874BFF" w:rsidRDefault="006D3AD5" w:rsidP="006D3AD5">
      <w:pPr>
        <w:rPr>
          <w:b/>
        </w:rPr>
      </w:pPr>
    </w:p>
    <w:p w14:paraId="567E613D" w14:textId="77777777" w:rsidR="006D3AD5" w:rsidRPr="00874BFF" w:rsidRDefault="006D3AD5" w:rsidP="006D3AD5">
      <w:r w:rsidRPr="00874BFF">
        <w:t>For the segment of new innovative companies at the early stage (seed, start-up), an effective form of support can be equity investments made by the state – both directly in individual innovative companies and in venture capital investment funds that will adhere to the investment strategy defined by the managing authority. In any case, a prerequisite must be engagement of private equity at the level of co-investments or fund. A public venture capital fund should not compete with private funds, but it should complement them aptly and reduce the risk of common investments.</w:t>
      </w:r>
    </w:p>
    <w:p w14:paraId="496547A9" w14:textId="77777777" w:rsidR="006D3AD5" w:rsidRPr="00874BFF" w:rsidRDefault="006D3AD5" w:rsidP="006D3AD5"/>
    <w:p w14:paraId="4D7B0AD1" w14:textId="095700FC" w:rsidR="006D3AD5" w:rsidRPr="00874BFF" w:rsidRDefault="006D3AD5" w:rsidP="006D3AD5">
      <w:r w:rsidRPr="00874BFF">
        <w:t xml:space="preserve">Here it seems to be highly desirable if the investment strategy is focused on the segment of seed financing of high-tech projects using R&amp;D results, where the biggest market gap is observed. In this respect, it is important to work in parallel with the instrument of equity investments for the pre-seed </w:t>
      </w:r>
      <w:r w:rsidRPr="00874BFF">
        <w:lastRenderedPageBreak/>
        <w:t>stage, in SO 1.2. Another important aspect is the connection with support of consultancy and business skill development programmes of the CzechInvest Agency</w:t>
      </w:r>
      <w:r w:rsidR="00524A9F">
        <w:t>/ABI</w:t>
      </w:r>
      <w:r w:rsidRPr="00874BFF">
        <w:t>.</w:t>
      </w:r>
    </w:p>
    <w:p w14:paraId="045AC766" w14:textId="77777777" w:rsidR="006D3AD5" w:rsidRPr="00874BFF" w:rsidRDefault="006D3AD5" w:rsidP="006D3AD5"/>
    <w:p w14:paraId="29A054DF" w14:textId="77777777" w:rsidR="006D3AD5" w:rsidRPr="00874BFF" w:rsidRDefault="006D3AD5" w:rsidP="006D3AD5">
      <w:pPr>
        <w:pStyle w:val="Nadpis3"/>
        <w:rPr>
          <w:rFonts w:ascii="Calibri" w:hAnsi="Calibri"/>
        </w:rPr>
      </w:pPr>
      <w:bookmarkStart w:id="806" w:name="_Toc416383815"/>
      <w:bookmarkStart w:id="807" w:name="_Toc416447805"/>
      <w:bookmarkStart w:id="808" w:name="_Toc416383816"/>
      <w:bookmarkStart w:id="809" w:name="_Toc416447806"/>
      <w:bookmarkStart w:id="810" w:name="_Toc416383817"/>
      <w:bookmarkStart w:id="811" w:name="_Toc416447807"/>
      <w:bookmarkStart w:id="812" w:name="_Toc416383818"/>
      <w:bookmarkStart w:id="813" w:name="_Toc416447808"/>
      <w:bookmarkStart w:id="814" w:name="_Toc416383819"/>
      <w:bookmarkStart w:id="815" w:name="_Toc416447809"/>
      <w:bookmarkStart w:id="816" w:name="_Toc416383820"/>
      <w:bookmarkStart w:id="817" w:name="_Toc416447810"/>
      <w:bookmarkStart w:id="818" w:name="_Toc416383821"/>
      <w:bookmarkStart w:id="819" w:name="_Toc416447811"/>
      <w:bookmarkStart w:id="820" w:name="_Toc416383822"/>
      <w:bookmarkStart w:id="821" w:name="_Toc416447812"/>
      <w:bookmarkStart w:id="822" w:name="_Toc416383823"/>
      <w:bookmarkStart w:id="823" w:name="_Toc416447813"/>
      <w:bookmarkStart w:id="824" w:name="_Toc416800441"/>
      <w:bookmarkStart w:id="825" w:name="_Toc422312110"/>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874BFF">
        <w:rPr>
          <w:rFonts w:ascii="Calibri" w:hAnsi="Calibri"/>
        </w:rPr>
        <w:t>Assessment of added value of financial instruments</w:t>
      </w:r>
      <w:bookmarkEnd w:id="824"/>
      <w:bookmarkEnd w:id="825"/>
    </w:p>
    <w:p w14:paraId="06E4A710" w14:textId="77777777" w:rsidR="006D3AD5" w:rsidRPr="00874BFF" w:rsidRDefault="006D3AD5" w:rsidP="006D3AD5">
      <w:pPr>
        <w:pStyle w:val="Nadpis4"/>
        <w:rPr>
          <w:rFonts w:ascii="Calibri" w:hAnsi="Calibri"/>
        </w:rPr>
      </w:pPr>
      <w:r w:rsidRPr="00874BFF">
        <w:rPr>
          <w:rFonts w:ascii="Calibri" w:hAnsi="Calibri"/>
        </w:rPr>
        <w:t>Introduction of model projects</w:t>
      </w:r>
    </w:p>
    <w:p w14:paraId="0CE9BF32" w14:textId="4821D32C" w:rsidR="006D3AD5" w:rsidRPr="00874BFF" w:rsidRDefault="006D3AD5" w:rsidP="006D3AD5">
      <w:r w:rsidRPr="00874BFF">
        <w:t>A model project of debt instruments for supporting development of established companies is a machinery and equipment manufacturer from the category of medium sized enterprises. In order to introduce a new type of production, the company searched for financing of its investment in machinery and equipment worth 18 million</w:t>
      </w:r>
      <w:r w:rsidR="00E53460">
        <w:t xml:space="preserve"> CZK</w:t>
      </w:r>
      <w:r w:rsidRPr="00874BFF">
        <w:t>.</w:t>
      </w:r>
    </w:p>
    <w:p w14:paraId="7E58A558" w14:textId="77777777" w:rsidR="006D3AD5" w:rsidRPr="00874BFF" w:rsidRDefault="006D3AD5" w:rsidP="006D3AD5"/>
    <w:p w14:paraId="29CC2C69" w14:textId="77777777" w:rsidR="006D3AD5" w:rsidRPr="00874BFF" w:rsidRDefault="006D3AD5" w:rsidP="006D3AD5">
      <w:r w:rsidRPr="00874BFF">
        <w:t xml:space="preserve">As part of the analysis of potential impact of public support on economy of the investment project, an analysis of variance has been made, mapping what impacts can be identified in the alternative without public support, subsidy alternative, soft loan alternative and  the alternative of soft loan with a subsidy component. </w:t>
      </w:r>
    </w:p>
    <w:p w14:paraId="18D09356" w14:textId="77777777" w:rsidR="006D3AD5" w:rsidRPr="00874BFF" w:rsidRDefault="006D3AD5" w:rsidP="006D3AD5"/>
    <w:tbl>
      <w:tblPr>
        <w:tblW w:w="8882" w:type="dxa"/>
        <w:tblInd w:w="55" w:type="dxa"/>
        <w:tblCellMar>
          <w:left w:w="0" w:type="dxa"/>
          <w:right w:w="0" w:type="dxa"/>
        </w:tblCellMar>
        <w:tblLook w:val="00A0" w:firstRow="1" w:lastRow="0" w:firstColumn="1" w:lastColumn="0" w:noHBand="0" w:noVBand="0"/>
      </w:tblPr>
      <w:tblGrid>
        <w:gridCol w:w="2388"/>
        <w:gridCol w:w="1562"/>
        <w:gridCol w:w="1570"/>
        <w:gridCol w:w="1724"/>
        <w:gridCol w:w="1702"/>
      </w:tblGrid>
      <w:tr w:rsidR="006D3AD5" w:rsidRPr="00874BFF" w14:paraId="4E20DF9E" w14:textId="77777777" w:rsidTr="00443B8F">
        <w:trPr>
          <w:trHeight w:val="20"/>
        </w:trPr>
        <w:tc>
          <w:tcPr>
            <w:tcW w:w="2372" w:type="dxa"/>
            <w:tcBorders>
              <w:top w:val="single" w:sz="4" w:space="0" w:color="002776"/>
              <w:left w:val="single" w:sz="4" w:space="0" w:color="002776"/>
              <w:bottom w:val="nil"/>
              <w:right w:val="nil"/>
            </w:tcBorders>
            <w:shd w:val="clear" w:color="auto" w:fill="002060"/>
            <w:noWrap/>
            <w:vAlign w:val="center"/>
          </w:tcPr>
          <w:p w14:paraId="14B0FFE5" w14:textId="48CC1CD9" w:rsidR="006D3AD5" w:rsidRPr="00874BFF" w:rsidRDefault="006D3AD5" w:rsidP="00443B8F">
            <w:pPr>
              <w:jc w:val="center"/>
              <w:rPr>
                <w:rFonts w:cs="Arial"/>
                <w:b/>
                <w:bCs/>
                <w:color w:val="EEECE1"/>
                <w:sz w:val="18"/>
                <w:szCs w:val="18"/>
              </w:rPr>
            </w:pPr>
          </w:p>
        </w:tc>
        <w:tc>
          <w:tcPr>
            <w:tcW w:w="1546" w:type="dxa"/>
            <w:tcBorders>
              <w:top w:val="single" w:sz="4" w:space="0" w:color="002776"/>
              <w:left w:val="nil"/>
              <w:bottom w:val="nil"/>
              <w:right w:val="nil"/>
            </w:tcBorders>
            <w:shd w:val="clear" w:color="auto" w:fill="002060"/>
            <w:noWrap/>
            <w:vAlign w:val="bottom"/>
          </w:tcPr>
          <w:p w14:paraId="6555A9C3" w14:textId="77777777" w:rsidR="006D3AD5" w:rsidRPr="00874BFF" w:rsidRDefault="006D3AD5" w:rsidP="00443B8F">
            <w:pPr>
              <w:jc w:val="left"/>
              <w:rPr>
                <w:rFonts w:cs="Arial"/>
                <w:b/>
                <w:bCs/>
                <w:color w:val="EEECE1"/>
                <w:sz w:val="18"/>
                <w:szCs w:val="18"/>
              </w:rPr>
            </w:pPr>
            <w:r w:rsidRPr="00874BFF">
              <w:rPr>
                <w:b/>
                <w:color w:val="EEECE1"/>
                <w:sz w:val="18"/>
              </w:rPr>
              <w:t> </w:t>
            </w:r>
          </w:p>
        </w:tc>
        <w:tc>
          <w:tcPr>
            <w:tcW w:w="1554" w:type="dxa"/>
            <w:tcBorders>
              <w:top w:val="single" w:sz="4" w:space="0" w:color="002776"/>
              <w:left w:val="nil"/>
              <w:bottom w:val="nil"/>
              <w:right w:val="nil"/>
            </w:tcBorders>
            <w:shd w:val="clear" w:color="auto" w:fill="002060"/>
            <w:noWrap/>
            <w:vAlign w:val="bottom"/>
          </w:tcPr>
          <w:p w14:paraId="225E992D" w14:textId="77777777" w:rsidR="006D3AD5" w:rsidRPr="00874BFF" w:rsidRDefault="006D3AD5" w:rsidP="00443B8F">
            <w:pPr>
              <w:jc w:val="left"/>
              <w:rPr>
                <w:rFonts w:cs="Arial"/>
                <w:b/>
                <w:bCs/>
                <w:color w:val="EEECE1"/>
                <w:sz w:val="18"/>
                <w:szCs w:val="18"/>
              </w:rPr>
            </w:pPr>
            <w:r w:rsidRPr="00874BFF">
              <w:rPr>
                <w:b/>
                <w:color w:val="EEECE1"/>
                <w:sz w:val="18"/>
              </w:rPr>
              <w:t> </w:t>
            </w:r>
          </w:p>
        </w:tc>
        <w:tc>
          <w:tcPr>
            <w:tcW w:w="3410" w:type="dxa"/>
            <w:gridSpan w:val="2"/>
            <w:tcBorders>
              <w:top w:val="single" w:sz="4" w:space="0" w:color="002776"/>
              <w:left w:val="nil"/>
              <w:bottom w:val="single" w:sz="4" w:space="0" w:color="FFFFFF"/>
              <w:right w:val="single" w:sz="4" w:space="0" w:color="002776"/>
            </w:tcBorders>
            <w:shd w:val="clear" w:color="auto" w:fill="002060"/>
            <w:vAlign w:val="bottom"/>
          </w:tcPr>
          <w:p w14:paraId="22270614" w14:textId="77777777" w:rsidR="006D3AD5" w:rsidRPr="00874BFF" w:rsidRDefault="006D3AD5" w:rsidP="00443B8F">
            <w:pPr>
              <w:ind w:left="-678"/>
              <w:jc w:val="right"/>
              <w:rPr>
                <w:rFonts w:cs="Arial"/>
                <w:b/>
                <w:bCs/>
                <w:i/>
                <w:iCs/>
                <w:color w:val="EEECE1"/>
                <w:sz w:val="18"/>
                <w:szCs w:val="18"/>
              </w:rPr>
            </w:pPr>
            <w:r w:rsidRPr="00874BFF">
              <w:rPr>
                <w:b/>
                <w:i/>
                <w:color w:val="EEECE1"/>
                <w:sz w:val="18"/>
              </w:rPr>
              <w:t>Investment: CZK 18,000,000</w:t>
            </w:r>
            <w:r w:rsidRPr="00874BFF">
              <w:rPr>
                <w:b/>
                <w:bCs/>
                <w:i/>
                <w:iCs/>
                <w:color w:val="EEECE1"/>
                <w:sz w:val="18"/>
                <w:szCs w:val="18"/>
              </w:rPr>
              <w:br/>
            </w:r>
            <w:r w:rsidRPr="00874BFF">
              <w:rPr>
                <w:b/>
                <w:i/>
                <w:color w:val="EEECE1"/>
                <w:sz w:val="18"/>
              </w:rPr>
              <w:t>Annual yield: variable</w:t>
            </w:r>
            <w:r w:rsidRPr="00874BFF">
              <w:rPr>
                <w:b/>
                <w:bCs/>
                <w:i/>
                <w:iCs/>
                <w:color w:val="EEECE1"/>
                <w:sz w:val="18"/>
                <w:szCs w:val="18"/>
              </w:rPr>
              <w:br/>
            </w:r>
            <w:r w:rsidRPr="00874BFF">
              <w:rPr>
                <w:b/>
                <w:i/>
                <w:color w:val="EEECE1"/>
                <w:sz w:val="18"/>
              </w:rPr>
              <w:t>Commercial loan – interest rate: 4.0 %  Soft loan: interest rate: 2.0 %</w:t>
            </w:r>
          </w:p>
        </w:tc>
      </w:tr>
      <w:tr w:rsidR="006D3AD5" w:rsidRPr="00874BFF" w14:paraId="7822187B" w14:textId="77777777" w:rsidTr="00443B8F">
        <w:trPr>
          <w:trHeight w:val="20"/>
        </w:trPr>
        <w:tc>
          <w:tcPr>
            <w:tcW w:w="2372" w:type="dxa"/>
            <w:tcBorders>
              <w:top w:val="nil"/>
              <w:left w:val="single" w:sz="4" w:space="0" w:color="002776"/>
              <w:bottom w:val="single" w:sz="4" w:space="0" w:color="002776"/>
              <w:right w:val="nil"/>
            </w:tcBorders>
            <w:shd w:val="clear" w:color="auto" w:fill="002060"/>
            <w:noWrap/>
            <w:vAlign w:val="center"/>
          </w:tcPr>
          <w:p w14:paraId="5E2F8CA2" w14:textId="77777777" w:rsidR="006D3AD5" w:rsidRPr="00874BFF" w:rsidRDefault="006D3AD5" w:rsidP="00443B8F">
            <w:pPr>
              <w:jc w:val="left"/>
              <w:rPr>
                <w:rFonts w:cs="Arial"/>
                <w:b/>
                <w:bCs/>
                <w:color w:val="EEECE1"/>
                <w:sz w:val="18"/>
                <w:szCs w:val="18"/>
              </w:rPr>
            </w:pPr>
            <w:r w:rsidRPr="00874BFF">
              <w:rPr>
                <w:b/>
                <w:color w:val="EEECE1"/>
                <w:sz w:val="18"/>
              </w:rPr>
              <w:t> </w:t>
            </w:r>
          </w:p>
        </w:tc>
        <w:tc>
          <w:tcPr>
            <w:tcW w:w="1546" w:type="dxa"/>
            <w:tcBorders>
              <w:top w:val="single" w:sz="4" w:space="0" w:color="FFFFFF"/>
              <w:left w:val="nil"/>
              <w:bottom w:val="single" w:sz="4" w:space="0" w:color="002776"/>
              <w:right w:val="nil"/>
            </w:tcBorders>
            <w:shd w:val="clear" w:color="auto" w:fill="002060"/>
            <w:noWrap/>
            <w:vAlign w:val="center"/>
          </w:tcPr>
          <w:p w14:paraId="613313B1" w14:textId="77777777" w:rsidR="006D3AD5" w:rsidRPr="00874BFF" w:rsidRDefault="006D3AD5" w:rsidP="00443B8F">
            <w:pPr>
              <w:jc w:val="center"/>
              <w:rPr>
                <w:rFonts w:cs="Arial"/>
                <w:b/>
                <w:bCs/>
                <w:color w:val="EEECE1"/>
                <w:sz w:val="18"/>
                <w:szCs w:val="18"/>
              </w:rPr>
            </w:pPr>
            <w:r w:rsidRPr="00874BFF">
              <w:rPr>
                <w:b/>
                <w:color w:val="EEECE1"/>
                <w:sz w:val="18"/>
              </w:rPr>
              <w:t>100% market loan</w:t>
            </w:r>
          </w:p>
        </w:tc>
        <w:tc>
          <w:tcPr>
            <w:tcW w:w="1554" w:type="dxa"/>
            <w:tcBorders>
              <w:top w:val="single" w:sz="4" w:space="0" w:color="FFFFFF"/>
              <w:left w:val="nil"/>
              <w:bottom w:val="single" w:sz="4" w:space="0" w:color="002776"/>
              <w:right w:val="nil"/>
            </w:tcBorders>
            <w:shd w:val="clear" w:color="auto" w:fill="002060"/>
            <w:vAlign w:val="center"/>
          </w:tcPr>
          <w:p w14:paraId="7F875C44" w14:textId="77777777" w:rsidR="006D3AD5" w:rsidRPr="00874BFF" w:rsidRDefault="006D3AD5" w:rsidP="00443B8F">
            <w:pPr>
              <w:jc w:val="center"/>
              <w:rPr>
                <w:rFonts w:cs="Arial"/>
                <w:b/>
                <w:bCs/>
                <w:color w:val="EEECE1"/>
                <w:sz w:val="18"/>
                <w:szCs w:val="18"/>
              </w:rPr>
            </w:pPr>
            <w:r w:rsidRPr="00874BFF">
              <w:rPr>
                <w:b/>
                <w:color w:val="EEECE1"/>
                <w:sz w:val="18"/>
              </w:rPr>
              <w:t>50 % market loan, 50 % subsidy</w:t>
            </w:r>
          </w:p>
        </w:tc>
        <w:tc>
          <w:tcPr>
            <w:tcW w:w="1716" w:type="dxa"/>
            <w:tcBorders>
              <w:top w:val="nil"/>
              <w:left w:val="nil"/>
              <w:bottom w:val="single" w:sz="4" w:space="0" w:color="002776"/>
              <w:right w:val="nil"/>
            </w:tcBorders>
            <w:shd w:val="clear" w:color="auto" w:fill="002060"/>
            <w:vAlign w:val="center"/>
          </w:tcPr>
          <w:p w14:paraId="06EB9D49" w14:textId="77777777" w:rsidR="006D3AD5" w:rsidRPr="00874BFF" w:rsidRDefault="006D3AD5" w:rsidP="00443B8F">
            <w:pPr>
              <w:jc w:val="center"/>
              <w:rPr>
                <w:rFonts w:cs="Arial"/>
                <w:b/>
                <w:bCs/>
                <w:color w:val="EEECE1"/>
                <w:sz w:val="18"/>
                <w:szCs w:val="18"/>
              </w:rPr>
            </w:pPr>
            <w:r w:rsidRPr="00874BFF">
              <w:rPr>
                <w:b/>
                <w:color w:val="EEECE1"/>
                <w:sz w:val="18"/>
              </w:rPr>
              <w:t>20 % subsidy, 80 % soft loan</w:t>
            </w:r>
          </w:p>
        </w:tc>
        <w:tc>
          <w:tcPr>
            <w:tcW w:w="1694" w:type="dxa"/>
            <w:tcBorders>
              <w:top w:val="nil"/>
              <w:left w:val="nil"/>
              <w:bottom w:val="single" w:sz="4" w:space="0" w:color="002776"/>
              <w:right w:val="single" w:sz="4" w:space="0" w:color="002776"/>
            </w:tcBorders>
            <w:shd w:val="clear" w:color="auto" w:fill="002060"/>
            <w:vAlign w:val="center"/>
          </w:tcPr>
          <w:p w14:paraId="17FDA14F" w14:textId="77777777" w:rsidR="006D3AD5" w:rsidRPr="00874BFF" w:rsidRDefault="006D3AD5" w:rsidP="00443B8F">
            <w:pPr>
              <w:jc w:val="center"/>
              <w:rPr>
                <w:rFonts w:cs="Arial"/>
                <w:b/>
                <w:bCs/>
                <w:color w:val="EEECE1"/>
                <w:sz w:val="18"/>
                <w:szCs w:val="18"/>
              </w:rPr>
            </w:pPr>
            <w:r w:rsidRPr="00874BFF">
              <w:rPr>
                <w:b/>
                <w:color w:val="EEECE1"/>
                <w:sz w:val="18"/>
              </w:rPr>
              <w:t>100 % soft loan</w:t>
            </w:r>
          </w:p>
        </w:tc>
      </w:tr>
      <w:tr w:rsidR="006D3AD5" w:rsidRPr="00874BFF" w14:paraId="39B586B1" w14:textId="77777777" w:rsidTr="00443B8F">
        <w:trPr>
          <w:trHeight w:val="20"/>
        </w:trPr>
        <w:tc>
          <w:tcPr>
            <w:tcW w:w="2372" w:type="dxa"/>
            <w:tcBorders>
              <w:top w:val="nil"/>
              <w:left w:val="single" w:sz="4" w:space="0" w:color="002776"/>
              <w:bottom w:val="single" w:sz="4" w:space="0" w:color="002776"/>
              <w:right w:val="nil"/>
            </w:tcBorders>
            <w:noWrap/>
            <w:vAlign w:val="center"/>
          </w:tcPr>
          <w:p w14:paraId="4F121D25" w14:textId="77777777" w:rsidR="006D3AD5" w:rsidRPr="00874BFF" w:rsidRDefault="006D3AD5" w:rsidP="00443B8F">
            <w:pPr>
              <w:jc w:val="left"/>
              <w:rPr>
                <w:rFonts w:cs="Arial"/>
                <w:color w:val="000000"/>
                <w:sz w:val="18"/>
                <w:szCs w:val="18"/>
              </w:rPr>
            </w:pPr>
            <w:r w:rsidRPr="00874BFF">
              <w:rPr>
                <w:color w:val="000000"/>
                <w:sz w:val="18"/>
              </w:rPr>
              <w:t>Internal rate of return (IRR)</w:t>
            </w:r>
          </w:p>
        </w:tc>
        <w:tc>
          <w:tcPr>
            <w:tcW w:w="1546" w:type="dxa"/>
            <w:tcBorders>
              <w:top w:val="nil"/>
              <w:left w:val="nil"/>
              <w:bottom w:val="single" w:sz="4" w:space="0" w:color="002776"/>
              <w:right w:val="nil"/>
            </w:tcBorders>
            <w:noWrap/>
            <w:vAlign w:val="center"/>
          </w:tcPr>
          <w:p w14:paraId="04F4F507" w14:textId="77777777" w:rsidR="006D3AD5" w:rsidRPr="00874BFF" w:rsidRDefault="006D3AD5" w:rsidP="00443B8F">
            <w:pPr>
              <w:jc w:val="center"/>
              <w:rPr>
                <w:rFonts w:cs="Arial"/>
                <w:color w:val="000000"/>
                <w:sz w:val="18"/>
                <w:szCs w:val="18"/>
              </w:rPr>
            </w:pPr>
            <w:r w:rsidRPr="00874BFF">
              <w:t>14.29%</w:t>
            </w:r>
          </w:p>
        </w:tc>
        <w:tc>
          <w:tcPr>
            <w:tcW w:w="1554" w:type="dxa"/>
            <w:tcBorders>
              <w:top w:val="nil"/>
              <w:left w:val="nil"/>
              <w:bottom w:val="single" w:sz="4" w:space="0" w:color="002776"/>
              <w:right w:val="nil"/>
            </w:tcBorders>
            <w:noWrap/>
            <w:vAlign w:val="center"/>
          </w:tcPr>
          <w:p w14:paraId="4468C630" w14:textId="77777777" w:rsidR="006D3AD5" w:rsidRPr="00874BFF" w:rsidRDefault="006D3AD5" w:rsidP="00443B8F">
            <w:pPr>
              <w:jc w:val="center"/>
              <w:rPr>
                <w:rFonts w:cs="Arial"/>
                <w:color w:val="000000"/>
                <w:sz w:val="18"/>
                <w:szCs w:val="18"/>
              </w:rPr>
            </w:pPr>
            <w:r w:rsidRPr="00874BFF">
              <w:t>25.63%</w:t>
            </w:r>
          </w:p>
        </w:tc>
        <w:tc>
          <w:tcPr>
            <w:tcW w:w="1716" w:type="dxa"/>
            <w:tcBorders>
              <w:top w:val="nil"/>
              <w:left w:val="nil"/>
              <w:bottom w:val="single" w:sz="4" w:space="0" w:color="002776"/>
              <w:right w:val="nil"/>
            </w:tcBorders>
            <w:noWrap/>
            <w:vAlign w:val="center"/>
          </w:tcPr>
          <w:p w14:paraId="02880592" w14:textId="77777777" w:rsidR="006D3AD5" w:rsidRPr="00874BFF" w:rsidRDefault="006D3AD5" w:rsidP="00443B8F">
            <w:pPr>
              <w:jc w:val="center"/>
              <w:rPr>
                <w:rFonts w:cs="Arial"/>
                <w:color w:val="000000"/>
                <w:sz w:val="18"/>
                <w:szCs w:val="18"/>
              </w:rPr>
            </w:pPr>
            <w:r w:rsidRPr="00874BFF">
              <w:t>17.82%</w:t>
            </w:r>
          </w:p>
        </w:tc>
        <w:tc>
          <w:tcPr>
            <w:tcW w:w="1694" w:type="dxa"/>
            <w:tcBorders>
              <w:top w:val="nil"/>
              <w:left w:val="nil"/>
              <w:bottom w:val="single" w:sz="4" w:space="0" w:color="002776"/>
              <w:right w:val="single" w:sz="4" w:space="0" w:color="002776"/>
            </w:tcBorders>
            <w:noWrap/>
            <w:vAlign w:val="center"/>
          </w:tcPr>
          <w:p w14:paraId="374A5542" w14:textId="77777777" w:rsidR="006D3AD5" w:rsidRPr="00874BFF" w:rsidRDefault="006D3AD5" w:rsidP="00443B8F">
            <w:pPr>
              <w:jc w:val="center"/>
              <w:rPr>
                <w:rFonts w:cs="Arial"/>
                <w:color w:val="000000"/>
                <w:sz w:val="18"/>
                <w:szCs w:val="18"/>
              </w:rPr>
            </w:pPr>
            <w:r w:rsidRPr="00874BFF">
              <w:t>14.29%</w:t>
            </w:r>
          </w:p>
        </w:tc>
      </w:tr>
      <w:tr w:rsidR="006D3AD5" w:rsidRPr="00874BFF" w14:paraId="70B6E532" w14:textId="77777777" w:rsidTr="00443B8F">
        <w:trPr>
          <w:trHeight w:val="20"/>
        </w:trPr>
        <w:tc>
          <w:tcPr>
            <w:tcW w:w="2372" w:type="dxa"/>
            <w:tcBorders>
              <w:top w:val="nil"/>
              <w:left w:val="single" w:sz="4" w:space="0" w:color="002776"/>
              <w:bottom w:val="single" w:sz="4" w:space="0" w:color="002776"/>
              <w:right w:val="nil"/>
            </w:tcBorders>
            <w:noWrap/>
            <w:vAlign w:val="center"/>
          </w:tcPr>
          <w:p w14:paraId="03FD0A3F" w14:textId="77777777" w:rsidR="006D3AD5" w:rsidRPr="00874BFF" w:rsidRDefault="006D3AD5" w:rsidP="00443B8F">
            <w:pPr>
              <w:jc w:val="left"/>
              <w:rPr>
                <w:rFonts w:cs="Arial"/>
                <w:color w:val="000000"/>
                <w:sz w:val="18"/>
                <w:szCs w:val="18"/>
              </w:rPr>
            </w:pPr>
            <w:r w:rsidRPr="00874BFF">
              <w:rPr>
                <w:color w:val="000000"/>
                <w:sz w:val="18"/>
              </w:rPr>
              <w:t>Net present value (NPV in thousands CZK)</w:t>
            </w:r>
          </w:p>
        </w:tc>
        <w:tc>
          <w:tcPr>
            <w:tcW w:w="1546" w:type="dxa"/>
            <w:tcBorders>
              <w:top w:val="nil"/>
              <w:left w:val="nil"/>
              <w:bottom w:val="single" w:sz="4" w:space="0" w:color="002776"/>
              <w:right w:val="nil"/>
            </w:tcBorders>
            <w:noWrap/>
            <w:vAlign w:val="center"/>
          </w:tcPr>
          <w:p w14:paraId="1D7ED37A" w14:textId="77777777" w:rsidR="006D3AD5" w:rsidRPr="00874BFF" w:rsidRDefault="006D3AD5" w:rsidP="00443B8F">
            <w:pPr>
              <w:jc w:val="center"/>
              <w:rPr>
                <w:rFonts w:cs="Arial"/>
                <w:color w:val="000000"/>
                <w:sz w:val="18"/>
                <w:szCs w:val="18"/>
              </w:rPr>
            </w:pPr>
            <w:r w:rsidRPr="00874BFF">
              <w:t>17,583</w:t>
            </w:r>
          </w:p>
        </w:tc>
        <w:tc>
          <w:tcPr>
            <w:tcW w:w="1554" w:type="dxa"/>
            <w:tcBorders>
              <w:top w:val="nil"/>
              <w:left w:val="nil"/>
              <w:bottom w:val="single" w:sz="4" w:space="0" w:color="002776"/>
              <w:right w:val="nil"/>
            </w:tcBorders>
            <w:noWrap/>
            <w:vAlign w:val="center"/>
          </w:tcPr>
          <w:p w14:paraId="2583B8D4" w14:textId="77777777" w:rsidR="006D3AD5" w:rsidRPr="00874BFF" w:rsidRDefault="006D3AD5" w:rsidP="00443B8F">
            <w:pPr>
              <w:jc w:val="center"/>
              <w:rPr>
                <w:rFonts w:cs="Arial"/>
                <w:color w:val="000000"/>
                <w:sz w:val="18"/>
                <w:szCs w:val="18"/>
              </w:rPr>
            </w:pPr>
            <w:r w:rsidRPr="00874BFF">
              <w:t>26,237</w:t>
            </w:r>
          </w:p>
        </w:tc>
        <w:tc>
          <w:tcPr>
            <w:tcW w:w="1716" w:type="dxa"/>
            <w:tcBorders>
              <w:top w:val="nil"/>
              <w:left w:val="nil"/>
              <w:bottom w:val="single" w:sz="4" w:space="0" w:color="002776"/>
              <w:right w:val="nil"/>
            </w:tcBorders>
            <w:noWrap/>
            <w:vAlign w:val="center"/>
          </w:tcPr>
          <w:p w14:paraId="495657C2" w14:textId="77777777" w:rsidR="006D3AD5" w:rsidRPr="00874BFF" w:rsidRDefault="006D3AD5" w:rsidP="00443B8F">
            <w:pPr>
              <w:jc w:val="center"/>
              <w:rPr>
                <w:rFonts w:cs="Arial"/>
                <w:color w:val="000000"/>
                <w:sz w:val="18"/>
                <w:szCs w:val="18"/>
              </w:rPr>
            </w:pPr>
            <w:r w:rsidRPr="00874BFF">
              <w:t>27,081</w:t>
            </w:r>
          </w:p>
        </w:tc>
        <w:tc>
          <w:tcPr>
            <w:tcW w:w="1694" w:type="dxa"/>
            <w:tcBorders>
              <w:top w:val="nil"/>
              <w:left w:val="nil"/>
              <w:bottom w:val="single" w:sz="4" w:space="0" w:color="002776"/>
              <w:right w:val="single" w:sz="4" w:space="0" w:color="002776"/>
            </w:tcBorders>
            <w:noWrap/>
            <w:vAlign w:val="center"/>
          </w:tcPr>
          <w:p w14:paraId="107196E7" w14:textId="77777777" w:rsidR="006D3AD5" w:rsidRPr="00874BFF" w:rsidRDefault="006D3AD5" w:rsidP="00443B8F">
            <w:pPr>
              <w:jc w:val="center"/>
              <w:rPr>
                <w:rFonts w:cs="Arial"/>
                <w:color w:val="000000"/>
                <w:sz w:val="18"/>
                <w:szCs w:val="18"/>
              </w:rPr>
            </w:pPr>
            <w:r w:rsidRPr="00874BFF">
              <w:t>23,551</w:t>
            </w:r>
          </w:p>
        </w:tc>
      </w:tr>
      <w:tr w:rsidR="006D3AD5" w:rsidRPr="00874BFF" w14:paraId="60DF9D6C" w14:textId="77777777" w:rsidTr="00443B8F">
        <w:trPr>
          <w:trHeight w:val="20"/>
        </w:trPr>
        <w:tc>
          <w:tcPr>
            <w:tcW w:w="2372" w:type="dxa"/>
            <w:tcBorders>
              <w:top w:val="nil"/>
              <w:left w:val="single" w:sz="4" w:space="0" w:color="002776"/>
              <w:bottom w:val="single" w:sz="4" w:space="0" w:color="002776"/>
              <w:right w:val="nil"/>
            </w:tcBorders>
            <w:noWrap/>
            <w:vAlign w:val="center"/>
          </w:tcPr>
          <w:p w14:paraId="3383A1BB" w14:textId="77777777" w:rsidR="006D3AD5" w:rsidRPr="00874BFF" w:rsidRDefault="006D3AD5" w:rsidP="00443B8F">
            <w:pPr>
              <w:jc w:val="left"/>
              <w:rPr>
                <w:rFonts w:cs="Arial"/>
                <w:color w:val="000000"/>
                <w:sz w:val="18"/>
                <w:szCs w:val="18"/>
              </w:rPr>
            </w:pPr>
            <w:r w:rsidRPr="00874BFF">
              <w:rPr>
                <w:color w:val="000000"/>
                <w:sz w:val="18"/>
              </w:rPr>
              <w:t>Simple payback period (years)</w:t>
            </w:r>
          </w:p>
        </w:tc>
        <w:tc>
          <w:tcPr>
            <w:tcW w:w="1546" w:type="dxa"/>
            <w:tcBorders>
              <w:top w:val="nil"/>
              <w:left w:val="nil"/>
              <w:bottom w:val="single" w:sz="4" w:space="0" w:color="002776"/>
              <w:right w:val="nil"/>
            </w:tcBorders>
            <w:noWrap/>
            <w:vAlign w:val="center"/>
          </w:tcPr>
          <w:p w14:paraId="5BE0526E" w14:textId="77777777" w:rsidR="006D3AD5" w:rsidRPr="00874BFF" w:rsidRDefault="006D3AD5" w:rsidP="00443B8F">
            <w:pPr>
              <w:jc w:val="center"/>
              <w:rPr>
                <w:rFonts w:cs="Arial"/>
                <w:color w:val="000000"/>
                <w:sz w:val="18"/>
                <w:szCs w:val="18"/>
              </w:rPr>
            </w:pPr>
            <w:r w:rsidRPr="00874BFF">
              <w:t>6.42</w:t>
            </w:r>
          </w:p>
        </w:tc>
        <w:tc>
          <w:tcPr>
            <w:tcW w:w="1554" w:type="dxa"/>
            <w:tcBorders>
              <w:top w:val="nil"/>
              <w:left w:val="nil"/>
              <w:bottom w:val="single" w:sz="4" w:space="0" w:color="002776"/>
              <w:right w:val="nil"/>
            </w:tcBorders>
            <w:noWrap/>
            <w:vAlign w:val="center"/>
          </w:tcPr>
          <w:p w14:paraId="47C73B73" w14:textId="77777777" w:rsidR="006D3AD5" w:rsidRPr="00874BFF" w:rsidRDefault="006D3AD5" w:rsidP="00443B8F">
            <w:pPr>
              <w:jc w:val="center"/>
              <w:rPr>
                <w:rFonts w:cs="Arial"/>
                <w:color w:val="000000"/>
                <w:sz w:val="18"/>
                <w:szCs w:val="18"/>
              </w:rPr>
            </w:pPr>
            <w:r w:rsidRPr="00874BFF">
              <w:t>5.02</w:t>
            </w:r>
          </w:p>
        </w:tc>
        <w:tc>
          <w:tcPr>
            <w:tcW w:w="1716" w:type="dxa"/>
            <w:tcBorders>
              <w:top w:val="nil"/>
              <w:left w:val="nil"/>
              <w:bottom w:val="single" w:sz="4" w:space="0" w:color="002776"/>
              <w:right w:val="nil"/>
            </w:tcBorders>
            <w:noWrap/>
            <w:vAlign w:val="center"/>
          </w:tcPr>
          <w:p w14:paraId="41407D6C" w14:textId="77777777" w:rsidR="006D3AD5" w:rsidRPr="00874BFF" w:rsidRDefault="006D3AD5" w:rsidP="00443B8F">
            <w:pPr>
              <w:jc w:val="center"/>
              <w:rPr>
                <w:rFonts w:cs="Arial"/>
                <w:color w:val="000000"/>
                <w:sz w:val="18"/>
                <w:szCs w:val="18"/>
              </w:rPr>
            </w:pPr>
            <w:r w:rsidRPr="00874BFF">
              <w:t>5.89</w:t>
            </w:r>
          </w:p>
        </w:tc>
        <w:tc>
          <w:tcPr>
            <w:tcW w:w="1694" w:type="dxa"/>
            <w:tcBorders>
              <w:top w:val="nil"/>
              <w:left w:val="nil"/>
              <w:bottom w:val="single" w:sz="4" w:space="0" w:color="002776"/>
              <w:right w:val="single" w:sz="4" w:space="0" w:color="002776"/>
            </w:tcBorders>
            <w:noWrap/>
            <w:vAlign w:val="center"/>
          </w:tcPr>
          <w:p w14:paraId="62187F7C" w14:textId="77777777" w:rsidR="006D3AD5" w:rsidRPr="00874BFF" w:rsidRDefault="006D3AD5" w:rsidP="00443B8F">
            <w:pPr>
              <w:jc w:val="center"/>
              <w:rPr>
                <w:rFonts w:cs="Arial"/>
                <w:color w:val="000000"/>
                <w:sz w:val="18"/>
                <w:szCs w:val="18"/>
              </w:rPr>
            </w:pPr>
            <w:r w:rsidRPr="00874BFF">
              <w:t>6.42</w:t>
            </w:r>
          </w:p>
        </w:tc>
      </w:tr>
      <w:tr w:rsidR="006D3AD5" w:rsidRPr="00874BFF" w14:paraId="04E79F68" w14:textId="77777777" w:rsidTr="00443B8F">
        <w:trPr>
          <w:trHeight w:val="20"/>
        </w:trPr>
        <w:tc>
          <w:tcPr>
            <w:tcW w:w="2372" w:type="dxa"/>
            <w:tcBorders>
              <w:top w:val="nil"/>
              <w:left w:val="single" w:sz="4" w:space="0" w:color="002776"/>
              <w:bottom w:val="single" w:sz="4" w:space="0" w:color="002776"/>
              <w:right w:val="nil"/>
            </w:tcBorders>
            <w:noWrap/>
            <w:vAlign w:val="center"/>
          </w:tcPr>
          <w:p w14:paraId="7DA72F38" w14:textId="77777777" w:rsidR="006D3AD5" w:rsidRPr="00874BFF" w:rsidRDefault="006D3AD5" w:rsidP="00443B8F">
            <w:pPr>
              <w:jc w:val="left"/>
              <w:rPr>
                <w:rFonts w:cs="Arial"/>
                <w:color w:val="000000"/>
                <w:sz w:val="18"/>
                <w:szCs w:val="18"/>
              </w:rPr>
            </w:pPr>
            <w:r w:rsidRPr="00874BFF">
              <w:rPr>
                <w:color w:val="000000"/>
                <w:sz w:val="18"/>
              </w:rPr>
              <w:t>Discounted payback period (years)</w:t>
            </w:r>
          </w:p>
        </w:tc>
        <w:tc>
          <w:tcPr>
            <w:tcW w:w="1546" w:type="dxa"/>
            <w:tcBorders>
              <w:top w:val="nil"/>
              <w:left w:val="nil"/>
              <w:bottom w:val="single" w:sz="4" w:space="0" w:color="002776"/>
              <w:right w:val="nil"/>
            </w:tcBorders>
            <w:noWrap/>
            <w:vAlign w:val="center"/>
          </w:tcPr>
          <w:p w14:paraId="11CB6245" w14:textId="77777777" w:rsidR="006D3AD5" w:rsidRPr="00874BFF" w:rsidRDefault="006D3AD5" w:rsidP="00443B8F">
            <w:pPr>
              <w:jc w:val="center"/>
              <w:rPr>
                <w:rFonts w:cs="Arial"/>
                <w:color w:val="000000"/>
                <w:sz w:val="18"/>
                <w:szCs w:val="18"/>
              </w:rPr>
            </w:pPr>
            <w:r w:rsidRPr="00874BFF">
              <w:t>7.1</w:t>
            </w:r>
          </w:p>
        </w:tc>
        <w:tc>
          <w:tcPr>
            <w:tcW w:w="1554" w:type="dxa"/>
            <w:tcBorders>
              <w:top w:val="nil"/>
              <w:left w:val="nil"/>
              <w:bottom w:val="single" w:sz="4" w:space="0" w:color="002776"/>
              <w:right w:val="nil"/>
            </w:tcBorders>
            <w:noWrap/>
            <w:vAlign w:val="center"/>
          </w:tcPr>
          <w:p w14:paraId="4285AC56" w14:textId="77777777" w:rsidR="006D3AD5" w:rsidRPr="00874BFF" w:rsidRDefault="006D3AD5" w:rsidP="00443B8F">
            <w:pPr>
              <w:jc w:val="center"/>
              <w:rPr>
                <w:rFonts w:cs="Arial"/>
                <w:color w:val="000000"/>
                <w:sz w:val="18"/>
                <w:szCs w:val="18"/>
              </w:rPr>
            </w:pPr>
            <w:r w:rsidRPr="00874BFF">
              <w:t>6.3</w:t>
            </w:r>
          </w:p>
        </w:tc>
        <w:tc>
          <w:tcPr>
            <w:tcW w:w="1716" w:type="dxa"/>
            <w:tcBorders>
              <w:top w:val="nil"/>
              <w:left w:val="nil"/>
              <w:bottom w:val="single" w:sz="4" w:space="0" w:color="002776"/>
              <w:right w:val="nil"/>
            </w:tcBorders>
            <w:noWrap/>
            <w:vAlign w:val="center"/>
          </w:tcPr>
          <w:p w14:paraId="1D312CB8" w14:textId="77777777" w:rsidR="006D3AD5" w:rsidRPr="00874BFF" w:rsidRDefault="006D3AD5" w:rsidP="00443B8F">
            <w:pPr>
              <w:jc w:val="center"/>
              <w:rPr>
                <w:rFonts w:cs="Arial"/>
                <w:color w:val="000000"/>
                <w:sz w:val="18"/>
                <w:szCs w:val="18"/>
              </w:rPr>
            </w:pPr>
            <w:r w:rsidRPr="00874BFF">
              <w:t>6.1</w:t>
            </w:r>
          </w:p>
        </w:tc>
        <w:tc>
          <w:tcPr>
            <w:tcW w:w="1694" w:type="dxa"/>
            <w:tcBorders>
              <w:top w:val="nil"/>
              <w:left w:val="nil"/>
              <w:bottom w:val="single" w:sz="4" w:space="0" w:color="002776"/>
              <w:right w:val="single" w:sz="4" w:space="0" w:color="002776"/>
            </w:tcBorders>
            <w:noWrap/>
            <w:vAlign w:val="center"/>
          </w:tcPr>
          <w:p w14:paraId="028D61A5" w14:textId="77777777" w:rsidR="006D3AD5" w:rsidRPr="00874BFF" w:rsidRDefault="006D3AD5" w:rsidP="00443B8F">
            <w:pPr>
              <w:keepNext/>
              <w:jc w:val="center"/>
              <w:rPr>
                <w:rFonts w:cs="Arial"/>
                <w:color w:val="000000"/>
                <w:sz w:val="18"/>
                <w:szCs w:val="18"/>
              </w:rPr>
            </w:pPr>
            <w:r w:rsidRPr="00874BFF">
              <w:t>6.7</w:t>
            </w:r>
          </w:p>
        </w:tc>
      </w:tr>
    </w:tbl>
    <w:p w14:paraId="44DB0F8E" w14:textId="597B8CB1" w:rsidR="006D3AD5" w:rsidRPr="00874BFF" w:rsidRDefault="006D3AD5" w:rsidP="006D3AD5">
      <w:pPr>
        <w:pStyle w:val="Titulek"/>
        <w:jc w:val="center"/>
      </w:pPr>
      <w:r w:rsidRPr="00874BFF">
        <w:t>Table 3</w:t>
      </w:r>
      <w:r w:rsidR="00035834">
        <w:t>6</w:t>
      </w:r>
      <w:r w:rsidRPr="00874BFF">
        <w:t>: Impact of the support on the project economy</w:t>
      </w:r>
    </w:p>
    <w:p w14:paraId="22F0A2F4" w14:textId="77777777" w:rsidR="006D3AD5" w:rsidRPr="00874BFF" w:rsidRDefault="006D3AD5" w:rsidP="006D3AD5"/>
    <w:p w14:paraId="04A8362C" w14:textId="77777777" w:rsidR="006D3AD5" w:rsidRPr="00874BFF" w:rsidRDefault="006D3AD5" w:rsidP="006D3AD5">
      <w:r w:rsidRPr="00874BFF">
        <w:t>In terms of its economic parameters and the type of company, the project is optimal for support by the debt financial instrument.</w:t>
      </w:r>
    </w:p>
    <w:p w14:paraId="4432ED0F" w14:textId="77777777" w:rsidR="006D3AD5" w:rsidRPr="00874BFF" w:rsidRDefault="006D3AD5" w:rsidP="006D3AD5"/>
    <w:p w14:paraId="70BD1F54" w14:textId="77777777" w:rsidR="006D3AD5" w:rsidRPr="00874BFF" w:rsidRDefault="006D3AD5" w:rsidP="006D3AD5">
      <w:r w:rsidRPr="00874BFF">
        <w:rPr>
          <w:b/>
        </w:rPr>
        <w:t>The model project for support by equity investments</w:t>
      </w:r>
      <w:r w:rsidRPr="00874BFF">
        <w:t xml:space="preserve"> is difficult to determine because of a wide variability of potential projects. In general, however, it will concern companies existing not more than three years which still show only a limited or negative profit or are still at the early stage of commercial operation, but they comprise a significant growth and profit potential, even at the European level. As mentioned in the questionnaire, the most frequently requested equity financing by respondent companies is approximately CZK 5 million, however, a substantial variability has to be taken into account.</w:t>
      </w:r>
    </w:p>
    <w:p w14:paraId="2267D347" w14:textId="77777777" w:rsidR="006D3AD5" w:rsidRPr="00874BFF" w:rsidRDefault="006D3AD5" w:rsidP="006D3AD5"/>
    <w:p w14:paraId="042104B7" w14:textId="77777777" w:rsidR="006D3AD5" w:rsidRDefault="006D3AD5" w:rsidP="006D3AD5">
      <w:r w:rsidRPr="00874BFF">
        <w:t xml:space="preserve">As a model project Deloitte Advisory mentions a participant of the CzechEkoSystem programme, carrying on business activities in nanotechnologies with a prospect for global operation. One year after establishment, the company is already operating in the market, although still with a  negative annual cash flow (primarily due to the high capital locked up in material stock necessary to execute existing orders). Under the CzechEkoSystem programme, the company used consultancy services for a proper setting of the business model and the distribution network for its product, competition analysis, proposal of implementation of a selected form of the business model and for calculation of financing requirement based on the company value and expected cash flows. The company makes efforts to attract already a second investor, when the primary reason is to strengthen their working capital (purchase of expensive material to settle accepted orders and contracts). Based on the quantification of the company's value (the method of discounted future cash flows in next 5 years), the company </w:t>
      </w:r>
      <w:r w:rsidRPr="00874BFF">
        <w:lastRenderedPageBreak/>
        <w:t>strives for entry of an investor with the capital injection of approx. USD 500,000 with an offer of the equity share of 10–25 %. According to interviews with the company management, searching for an investor is very hard and without support of the CES programme the efforts made would not be likely successful. The above-mentioned experience proves that good projects can raise necessary funding of development in the market (entry of an investor is highly probable now), nevertheless, without active support this step would be very difficult.</w:t>
      </w:r>
    </w:p>
    <w:p w14:paraId="3421CC2D" w14:textId="77777777" w:rsidR="000C64DE" w:rsidRPr="00874BFF" w:rsidRDefault="000C64DE" w:rsidP="006D3AD5"/>
    <w:p w14:paraId="18549D2A" w14:textId="77777777" w:rsidR="006D3AD5" w:rsidRPr="00874BFF" w:rsidRDefault="006D3AD5" w:rsidP="006D3AD5">
      <w:pPr>
        <w:pStyle w:val="Nadpis4"/>
        <w:rPr>
          <w:rFonts w:ascii="Calibri" w:hAnsi="Calibri"/>
        </w:rPr>
      </w:pPr>
      <w:r w:rsidRPr="00874BFF">
        <w:rPr>
          <w:rFonts w:ascii="Calibri" w:hAnsi="Calibri"/>
        </w:rPr>
        <w:t>Added value of the financial instrument, problems, risks and comparison with other forms of support</w:t>
      </w:r>
    </w:p>
    <w:p w14:paraId="011E056A" w14:textId="77777777" w:rsidR="006D3AD5" w:rsidRDefault="006D3AD5" w:rsidP="006D3AD5">
      <w:r w:rsidRPr="00874BFF">
        <w:t>The tables below show an overview of added value, problems and risks from the point of view of the final recipient and the MA (Table 2) and in terms of the overall impact on absorption capacity and achievement of the objectives  in SO 2.1 with attention paid to impacts on the market environment. Comparisons are made of the planned instruments using guarantees, soft loans, equity investment and subsidies.</w:t>
      </w:r>
    </w:p>
    <w:p w14:paraId="5CB558F0" w14:textId="77777777" w:rsidR="000C64DE" w:rsidRPr="00874BFF" w:rsidRDefault="000C64DE" w:rsidP="006D3AD5"/>
    <w:p w14:paraId="77C26CFA" w14:textId="77777777" w:rsidR="006D3AD5" w:rsidRPr="00874BFF" w:rsidRDefault="006D3AD5" w:rsidP="006D3AD5">
      <w:pPr>
        <w:pStyle w:val="Neslovannadpisy"/>
      </w:pPr>
      <w:r w:rsidRPr="00874BFF">
        <w:t>Established development SMEs</w:t>
      </w:r>
    </w:p>
    <w:p w14:paraId="78DB98DF" w14:textId="77777777" w:rsidR="006D3AD5" w:rsidRPr="00874BFF" w:rsidRDefault="006D3AD5" w:rsidP="006D3AD5"/>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874BFF" w14:paraId="18F1C23E" w14:textId="77777777" w:rsidTr="00443B8F">
        <w:trPr>
          <w:trHeight w:val="315"/>
        </w:trPr>
        <w:tc>
          <w:tcPr>
            <w:tcW w:w="960" w:type="dxa"/>
            <w:shd w:val="clear" w:color="auto" w:fill="365F91"/>
            <w:noWrap/>
            <w:vAlign w:val="bottom"/>
          </w:tcPr>
          <w:p w14:paraId="1B849787" w14:textId="77777777" w:rsidR="006D3AD5" w:rsidRPr="00874BFF" w:rsidRDefault="006D3AD5" w:rsidP="00443B8F">
            <w:pPr>
              <w:jc w:val="left"/>
              <w:rPr>
                <w:sz w:val="24"/>
                <w:szCs w:val="24"/>
              </w:rPr>
            </w:pPr>
          </w:p>
        </w:tc>
        <w:tc>
          <w:tcPr>
            <w:tcW w:w="960" w:type="dxa"/>
            <w:shd w:val="clear" w:color="auto" w:fill="365F91"/>
            <w:noWrap/>
            <w:vAlign w:val="bottom"/>
          </w:tcPr>
          <w:p w14:paraId="48B5DAE7" w14:textId="77777777" w:rsidR="006D3AD5" w:rsidRPr="00874BFF" w:rsidRDefault="006D3AD5" w:rsidP="00443B8F">
            <w:pPr>
              <w:jc w:val="left"/>
              <w:rPr>
                <w:color w:val="000000"/>
                <w:sz w:val="24"/>
                <w:szCs w:val="24"/>
              </w:rPr>
            </w:pPr>
            <w:r w:rsidRPr="00874BFF">
              <w:rPr>
                <w:color w:val="000000"/>
                <w:sz w:val="24"/>
              </w:rPr>
              <w:t> </w:t>
            </w:r>
          </w:p>
        </w:tc>
        <w:tc>
          <w:tcPr>
            <w:tcW w:w="4744" w:type="dxa"/>
            <w:gridSpan w:val="2"/>
            <w:shd w:val="clear" w:color="auto" w:fill="365F91"/>
            <w:noWrap/>
            <w:vAlign w:val="center"/>
          </w:tcPr>
          <w:p w14:paraId="039BA6FD" w14:textId="77777777" w:rsidR="006D3AD5" w:rsidRPr="00874BFF" w:rsidRDefault="006D3AD5" w:rsidP="00443B8F">
            <w:pPr>
              <w:jc w:val="center"/>
              <w:rPr>
                <w:b/>
                <w:bCs/>
                <w:color w:val="FFFFFF"/>
                <w:sz w:val="24"/>
                <w:szCs w:val="24"/>
              </w:rPr>
            </w:pPr>
            <w:r w:rsidRPr="00874BFF">
              <w:rPr>
                <w:b/>
                <w:color w:val="FFFFFF"/>
                <w:sz w:val="24"/>
              </w:rPr>
              <w:t>Financial instrument</w:t>
            </w:r>
          </w:p>
        </w:tc>
        <w:tc>
          <w:tcPr>
            <w:tcW w:w="2330" w:type="dxa"/>
            <w:shd w:val="clear" w:color="auto" w:fill="365F91"/>
          </w:tcPr>
          <w:p w14:paraId="0561EDF0" w14:textId="77777777" w:rsidR="006D3AD5" w:rsidRPr="00874BFF" w:rsidRDefault="006D3AD5" w:rsidP="00443B8F">
            <w:pPr>
              <w:jc w:val="center"/>
              <w:rPr>
                <w:b/>
                <w:bCs/>
                <w:color w:val="FFFFFF"/>
                <w:sz w:val="24"/>
                <w:szCs w:val="24"/>
              </w:rPr>
            </w:pPr>
            <w:r w:rsidRPr="00874BFF">
              <w:rPr>
                <w:b/>
                <w:color w:val="FFFFFF"/>
                <w:sz w:val="24"/>
              </w:rPr>
              <w:t>Subsidy</w:t>
            </w:r>
          </w:p>
        </w:tc>
      </w:tr>
      <w:tr w:rsidR="006D3AD5" w:rsidRPr="00874BFF" w14:paraId="073100FE" w14:textId="77777777" w:rsidTr="00443B8F">
        <w:trPr>
          <w:trHeight w:val="315"/>
        </w:trPr>
        <w:tc>
          <w:tcPr>
            <w:tcW w:w="960" w:type="dxa"/>
            <w:shd w:val="clear" w:color="auto" w:fill="365F91"/>
            <w:noWrap/>
            <w:vAlign w:val="center"/>
          </w:tcPr>
          <w:p w14:paraId="0DB584E4" w14:textId="77777777" w:rsidR="006D3AD5" w:rsidRPr="00874BFF" w:rsidRDefault="006D3AD5" w:rsidP="00443B8F">
            <w:pPr>
              <w:jc w:val="center"/>
              <w:rPr>
                <w:b/>
                <w:bCs/>
                <w:color w:val="000000"/>
                <w:sz w:val="24"/>
                <w:szCs w:val="24"/>
              </w:rPr>
            </w:pPr>
          </w:p>
        </w:tc>
        <w:tc>
          <w:tcPr>
            <w:tcW w:w="960" w:type="dxa"/>
            <w:shd w:val="clear" w:color="auto" w:fill="365F91"/>
            <w:noWrap/>
            <w:vAlign w:val="center"/>
          </w:tcPr>
          <w:p w14:paraId="07B7D36E" w14:textId="77777777" w:rsidR="006D3AD5" w:rsidRPr="00874BFF" w:rsidRDefault="006D3AD5" w:rsidP="00443B8F">
            <w:pPr>
              <w:jc w:val="left"/>
              <w:rPr>
                <w:color w:val="000000"/>
                <w:sz w:val="24"/>
                <w:szCs w:val="24"/>
              </w:rPr>
            </w:pPr>
            <w:r w:rsidRPr="00874BFF">
              <w:rPr>
                <w:color w:val="000000"/>
                <w:sz w:val="24"/>
              </w:rPr>
              <w:t> </w:t>
            </w:r>
          </w:p>
        </w:tc>
        <w:tc>
          <w:tcPr>
            <w:tcW w:w="2414" w:type="dxa"/>
            <w:shd w:val="clear" w:color="auto" w:fill="365F91"/>
            <w:vAlign w:val="center"/>
          </w:tcPr>
          <w:p w14:paraId="3236EA12" w14:textId="77777777" w:rsidR="006D3AD5" w:rsidRPr="00874BFF" w:rsidRDefault="006D3AD5" w:rsidP="00443B8F">
            <w:pPr>
              <w:jc w:val="center"/>
              <w:rPr>
                <w:b/>
                <w:bCs/>
                <w:color w:val="FFFFFF"/>
                <w:sz w:val="24"/>
                <w:szCs w:val="24"/>
              </w:rPr>
            </w:pPr>
            <w:r w:rsidRPr="00874BFF">
              <w:rPr>
                <w:b/>
                <w:color w:val="FFFFFF"/>
                <w:sz w:val="24"/>
              </w:rPr>
              <w:t>Guarantee instrument</w:t>
            </w:r>
          </w:p>
        </w:tc>
        <w:tc>
          <w:tcPr>
            <w:tcW w:w="2330" w:type="dxa"/>
            <w:shd w:val="clear" w:color="auto" w:fill="365F91"/>
            <w:vAlign w:val="center"/>
          </w:tcPr>
          <w:p w14:paraId="7FBE7679" w14:textId="77777777" w:rsidR="006D3AD5" w:rsidRPr="00874BFF" w:rsidRDefault="006D3AD5" w:rsidP="00443B8F">
            <w:pPr>
              <w:jc w:val="center"/>
              <w:rPr>
                <w:b/>
                <w:bCs/>
                <w:color w:val="FFFFFF"/>
                <w:sz w:val="24"/>
                <w:szCs w:val="24"/>
              </w:rPr>
            </w:pPr>
            <w:r w:rsidRPr="00874BFF">
              <w:rPr>
                <w:b/>
                <w:color w:val="FFFFFF"/>
                <w:sz w:val="24"/>
              </w:rPr>
              <w:t>Soft loan</w:t>
            </w:r>
          </w:p>
        </w:tc>
        <w:tc>
          <w:tcPr>
            <w:tcW w:w="2330" w:type="dxa"/>
            <w:shd w:val="clear" w:color="auto" w:fill="365F91"/>
          </w:tcPr>
          <w:p w14:paraId="48D3FA2A" w14:textId="77777777" w:rsidR="006D3AD5" w:rsidRPr="00874BFF" w:rsidRDefault="006D3AD5" w:rsidP="00443B8F">
            <w:pPr>
              <w:jc w:val="center"/>
              <w:rPr>
                <w:b/>
                <w:bCs/>
                <w:color w:val="FFFFFF"/>
                <w:sz w:val="24"/>
                <w:szCs w:val="24"/>
              </w:rPr>
            </w:pPr>
          </w:p>
        </w:tc>
      </w:tr>
      <w:tr w:rsidR="006D3AD5" w:rsidRPr="00874BFF" w14:paraId="6E5BDE47" w14:textId="77777777" w:rsidTr="00443B8F">
        <w:trPr>
          <w:trHeight w:val="720"/>
        </w:trPr>
        <w:tc>
          <w:tcPr>
            <w:tcW w:w="960" w:type="dxa"/>
            <w:vMerge w:val="restart"/>
            <w:shd w:val="clear" w:color="auto" w:fill="8DB3E2"/>
            <w:noWrap/>
            <w:textDirection w:val="btLr"/>
            <w:vAlign w:val="center"/>
          </w:tcPr>
          <w:p w14:paraId="7DFFBAAE" w14:textId="5592D8E6" w:rsidR="006D3AD5" w:rsidRPr="00874BFF" w:rsidRDefault="008F5F02" w:rsidP="00443B8F">
            <w:pPr>
              <w:jc w:val="center"/>
              <w:rPr>
                <w:b/>
                <w:bCs/>
                <w:color w:val="FFFFFF"/>
                <w:sz w:val="24"/>
                <w:szCs w:val="24"/>
              </w:rPr>
            </w:pPr>
            <w:r>
              <w:rPr>
                <w:b/>
                <w:color w:val="FFFFFF"/>
                <w:sz w:val="24"/>
              </w:rPr>
              <w:t>Added value of public support for final recipients</w:t>
            </w:r>
            <w:r w:rsidR="006D3AD5" w:rsidRPr="00874BFF">
              <w:rPr>
                <w:b/>
                <w:color w:val="FFFFFF"/>
                <w:sz w:val="24"/>
              </w:rPr>
              <w:t xml:space="preserve"> and the MA</w:t>
            </w:r>
          </w:p>
        </w:tc>
        <w:tc>
          <w:tcPr>
            <w:tcW w:w="960" w:type="dxa"/>
            <w:vMerge w:val="restart"/>
            <w:shd w:val="clear" w:color="auto" w:fill="8DB3E2"/>
            <w:noWrap/>
            <w:textDirection w:val="btLr"/>
            <w:vAlign w:val="center"/>
          </w:tcPr>
          <w:p w14:paraId="56A99E12"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8DB3E2"/>
            <w:vAlign w:val="center"/>
          </w:tcPr>
          <w:p w14:paraId="4421F1EE" w14:textId="77777777" w:rsidR="006D3AD5" w:rsidRPr="00874BFF" w:rsidRDefault="006D3AD5" w:rsidP="00443B8F">
            <w:pPr>
              <w:jc w:val="center"/>
              <w:rPr>
                <w:b/>
                <w:color w:val="FFFFFF"/>
                <w:sz w:val="20"/>
              </w:rPr>
            </w:pPr>
            <w:r w:rsidRPr="00874BFF">
              <w:rPr>
                <w:b/>
                <w:color w:val="FFFFFF"/>
                <w:sz w:val="20"/>
              </w:rPr>
              <w:t>Making unreachable financing accessible</w:t>
            </w:r>
          </w:p>
        </w:tc>
        <w:tc>
          <w:tcPr>
            <w:tcW w:w="2330" w:type="dxa"/>
            <w:shd w:val="clear" w:color="auto" w:fill="8DB3E2"/>
            <w:vAlign w:val="center"/>
          </w:tcPr>
          <w:p w14:paraId="654B05AF" w14:textId="77777777" w:rsidR="006D3AD5" w:rsidRPr="00874BFF" w:rsidRDefault="006D3AD5" w:rsidP="00443B8F">
            <w:pPr>
              <w:jc w:val="center"/>
              <w:rPr>
                <w:b/>
                <w:color w:val="FFFFFF"/>
                <w:sz w:val="20"/>
              </w:rPr>
            </w:pPr>
            <w:r w:rsidRPr="00874BFF">
              <w:rPr>
                <w:b/>
                <w:color w:val="FFFFFF"/>
                <w:sz w:val="20"/>
              </w:rPr>
              <w:t>Making a lot more external financing accessible</w:t>
            </w:r>
          </w:p>
        </w:tc>
        <w:tc>
          <w:tcPr>
            <w:tcW w:w="2330" w:type="dxa"/>
            <w:shd w:val="clear" w:color="auto" w:fill="8DB3E2"/>
          </w:tcPr>
          <w:p w14:paraId="0A25FCB2" w14:textId="77777777" w:rsidR="006D3AD5" w:rsidRPr="00874BFF" w:rsidRDefault="006D3AD5" w:rsidP="00443B8F">
            <w:pPr>
              <w:jc w:val="center"/>
              <w:rPr>
                <w:b/>
                <w:color w:val="FFFFFF"/>
                <w:sz w:val="20"/>
              </w:rPr>
            </w:pPr>
            <w:r w:rsidRPr="00874BFF">
              <w:rPr>
                <w:b/>
                <w:color w:val="FFFFFF"/>
                <w:sz w:val="20"/>
              </w:rPr>
              <w:t>Non-repayable contribution for the project</w:t>
            </w:r>
          </w:p>
        </w:tc>
      </w:tr>
      <w:tr w:rsidR="006D3AD5" w:rsidRPr="00874BFF" w14:paraId="1600528F" w14:textId="77777777" w:rsidTr="00443B8F">
        <w:trPr>
          <w:trHeight w:val="480"/>
        </w:trPr>
        <w:tc>
          <w:tcPr>
            <w:tcW w:w="960" w:type="dxa"/>
            <w:vMerge/>
            <w:shd w:val="clear" w:color="auto" w:fill="8DB3E2"/>
            <w:vAlign w:val="center"/>
          </w:tcPr>
          <w:p w14:paraId="556B2AAD"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0B510372"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3DFDE2AA" w14:textId="77777777" w:rsidR="006D3AD5" w:rsidRPr="00874BFF" w:rsidRDefault="006D3AD5" w:rsidP="00443B8F">
            <w:pPr>
              <w:jc w:val="center"/>
              <w:rPr>
                <w:b/>
                <w:color w:val="FFFFFF"/>
                <w:sz w:val="20"/>
              </w:rPr>
            </w:pPr>
            <w:r w:rsidRPr="00874BFF">
              <w:rPr>
                <w:b/>
                <w:color w:val="FFFFFF"/>
                <w:sz w:val="20"/>
              </w:rPr>
              <w:t>Partial reduction of the interest rate by reducing the risk surcharge</w:t>
            </w:r>
          </w:p>
        </w:tc>
        <w:tc>
          <w:tcPr>
            <w:tcW w:w="2330" w:type="dxa"/>
            <w:shd w:val="clear" w:color="auto" w:fill="8DB3E2"/>
            <w:vAlign w:val="center"/>
          </w:tcPr>
          <w:p w14:paraId="4FED5AB7" w14:textId="77777777" w:rsidR="006D3AD5" w:rsidRPr="00874BFF" w:rsidRDefault="006D3AD5" w:rsidP="00443B8F">
            <w:pPr>
              <w:jc w:val="center"/>
              <w:rPr>
                <w:b/>
                <w:color w:val="FFFFFF"/>
                <w:sz w:val="20"/>
              </w:rPr>
            </w:pPr>
            <w:r w:rsidRPr="00874BFF">
              <w:rPr>
                <w:b/>
                <w:color w:val="FFFFFF"/>
                <w:sz w:val="20"/>
              </w:rPr>
              <w:t>Reduction of the interest rate</w:t>
            </w:r>
          </w:p>
        </w:tc>
        <w:tc>
          <w:tcPr>
            <w:tcW w:w="2330" w:type="dxa"/>
            <w:shd w:val="clear" w:color="auto" w:fill="8DB3E2"/>
          </w:tcPr>
          <w:p w14:paraId="5FBDF8D8" w14:textId="77777777" w:rsidR="006D3AD5" w:rsidRPr="00874BFF" w:rsidRDefault="006D3AD5" w:rsidP="00443B8F">
            <w:pPr>
              <w:jc w:val="center"/>
              <w:rPr>
                <w:b/>
                <w:color w:val="FFFFFF"/>
                <w:sz w:val="20"/>
              </w:rPr>
            </w:pPr>
            <w:r w:rsidRPr="00874BFF">
              <w:rPr>
                <w:b/>
                <w:color w:val="FFFFFF"/>
                <w:sz w:val="20"/>
              </w:rPr>
              <w:t xml:space="preserve">Highly reduced payback period </w:t>
            </w:r>
          </w:p>
        </w:tc>
      </w:tr>
      <w:tr w:rsidR="006D3AD5" w:rsidRPr="00874BFF" w14:paraId="2C949498" w14:textId="77777777" w:rsidTr="00443B8F">
        <w:trPr>
          <w:trHeight w:val="720"/>
        </w:trPr>
        <w:tc>
          <w:tcPr>
            <w:tcW w:w="960" w:type="dxa"/>
            <w:vMerge/>
            <w:shd w:val="clear" w:color="auto" w:fill="8DB3E2"/>
            <w:vAlign w:val="center"/>
          </w:tcPr>
          <w:p w14:paraId="256BF47E"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398F569F"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4AFAEB3A" w14:textId="77777777" w:rsidR="006D3AD5" w:rsidRPr="00874BFF" w:rsidRDefault="006D3AD5" w:rsidP="00443B8F">
            <w:pPr>
              <w:jc w:val="center"/>
              <w:rPr>
                <w:b/>
                <w:color w:val="FFFFFF"/>
                <w:sz w:val="20"/>
              </w:rPr>
            </w:pPr>
            <w:r w:rsidRPr="00874BFF">
              <w:rPr>
                <w:b/>
                <w:color w:val="FFFFFF"/>
                <w:sz w:val="20"/>
              </w:rPr>
              <w:t>Reduction of demands for pledge of the company</w:t>
            </w:r>
          </w:p>
        </w:tc>
        <w:tc>
          <w:tcPr>
            <w:tcW w:w="2330" w:type="dxa"/>
            <w:shd w:val="clear" w:color="auto" w:fill="8DB3E2"/>
            <w:vAlign w:val="center"/>
          </w:tcPr>
          <w:p w14:paraId="171EE544" w14:textId="77777777" w:rsidR="006D3AD5" w:rsidRPr="00874BFF" w:rsidRDefault="006D3AD5" w:rsidP="00443B8F">
            <w:pPr>
              <w:jc w:val="center"/>
              <w:rPr>
                <w:b/>
                <w:color w:val="FFFFFF"/>
                <w:sz w:val="20"/>
              </w:rPr>
            </w:pPr>
            <w:r w:rsidRPr="00874BFF">
              <w:rPr>
                <w:b/>
                <w:color w:val="FFFFFF"/>
                <w:sz w:val="20"/>
              </w:rPr>
              <w:t>Longer payback period</w:t>
            </w:r>
          </w:p>
        </w:tc>
        <w:tc>
          <w:tcPr>
            <w:tcW w:w="2330" w:type="dxa"/>
            <w:shd w:val="clear" w:color="auto" w:fill="8DB3E2"/>
          </w:tcPr>
          <w:p w14:paraId="174E2956" w14:textId="77777777" w:rsidR="006D3AD5" w:rsidRPr="00874BFF" w:rsidRDefault="006D3AD5" w:rsidP="00443B8F">
            <w:pPr>
              <w:jc w:val="center"/>
              <w:rPr>
                <w:b/>
                <w:color w:val="FFFFFF"/>
                <w:sz w:val="20"/>
              </w:rPr>
            </w:pPr>
            <w:r w:rsidRPr="00874BFF">
              <w:rPr>
                <w:b/>
                <w:color w:val="FFFFFF"/>
                <w:sz w:val="20"/>
              </w:rPr>
              <w:t>Easier finding a loan for the remaining costs of the project</w:t>
            </w:r>
          </w:p>
        </w:tc>
      </w:tr>
      <w:tr w:rsidR="006D3AD5" w:rsidRPr="00874BFF" w14:paraId="3059D0A5" w14:textId="77777777" w:rsidTr="00443B8F">
        <w:trPr>
          <w:trHeight w:val="478"/>
        </w:trPr>
        <w:tc>
          <w:tcPr>
            <w:tcW w:w="960" w:type="dxa"/>
            <w:vMerge/>
            <w:shd w:val="clear" w:color="auto" w:fill="8DB3E2"/>
            <w:vAlign w:val="center"/>
          </w:tcPr>
          <w:p w14:paraId="5B156894"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5F59DC0B" w14:textId="77777777" w:rsidR="006D3AD5" w:rsidRPr="00874BFF" w:rsidRDefault="006D3AD5" w:rsidP="00443B8F">
            <w:pPr>
              <w:jc w:val="left"/>
              <w:rPr>
                <w:b/>
                <w:bCs/>
                <w:color w:val="FFFFFF"/>
                <w:sz w:val="24"/>
                <w:szCs w:val="24"/>
              </w:rPr>
            </w:pPr>
          </w:p>
        </w:tc>
        <w:tc>
          <w:tcPr>
            <w:tcW w:w="2414" w:type="dxa"/>
            <w:shd w:val="clear" w:color="auto" w:fill="8DB3E2"/>
            <w:noWrap/>
            <w:vAlign w:val="center"/>
          </w:tcPr>
          <w:p w14:paraId="155B6984" w14:textId="77777777" w:rsidR="006D3AD5" w:rsidRPr="00874BFF" w:rsidRDefault="006D3AD5" w:rsidP="00443B8F">
            <w:pPr>
              <w:jc w:val="center"/>
              <w:rPr>
                <w:b/>
                <w:color w:val="FFFFFF"/>
                <w:sz w:val="20"/>
              </w:rPr>
            </w:pPr>
          </w:p>
        </w:tc>
        <w:tc>
          <w:tcPr>
            <w:tcW w:w="2330" w:type="dxa"/>
            <w:shd w:val="clear" w:color="auto" w:fill="8DB3E2"/>
            <w:vAlign w:val="center"/>
          </w:tcPr>
          <w:p w14:paraId="6EEBA66C" w14:textId="77777777" w:rsidR="006D3AD5" w:rsidRPr="00874BFF" w:rsidRDefault="006D3AD5" w:rsidP="00443B8F">
            <w:pPr>
              <w:jc w:val="center"/>
              <w:rPr>
                <w:b/>
                <w:color w:val="FFFFFF"/>
                <w:sz w:val="20"/>
              </w:rPr>
            </w:pPr>
            <w:r w:rsidRPr="00874BFF">
              <w:rPr>
                <w:b/>
                <w:color w:val="FFFFFF"/>
                <w:sz w:val="20"/>
              </w:rPr>
              <w:t>Reduced payback period</w:t>
            </w:r>
          </w:p>
        </w:tc>
        <w:tc>
          <w:tcPr>
            <w:tcW w:w="2330" w:type="dxa"/>
            <w:shd w:val="clear" w:color="auto" w:fill="8DB3E2"/>
          </w:tcPr>
          <w:p w14:paraId="615C6349" w14:textId="77777777" w:rsidR="006D3AD5" w:rsidRPr="00874BFF" w:rsidRDefault="006D3AD5" w:rsidP="00443B8F">
            <w:pPr>
              <w:jc w:val="center"/>
              <w:rPr>
                <w:b/>
                <w:color w:val="FFFFFF"/>
                <w:sz w:val="20"/>
              </w:rPr>
            </w:pPr>
            <w:r w:rsidRPr="00874BFF">
              <w:rPr>
                <w:b/>
                <w:color w:val="FFFFFF"/>
                <w:sz w:val="20"/>
              </w:rPr>
              <w:t>Possibility to invest the surplus of profit in other investments</w:t>
            </w:r>
          </w:p>
        </w:tc>
      </w:tr>
      <w:tr w:rsidR="006D3AD5" w:rsidRPr="00874BFF" w14:paraId="01627CE8" w14:textId="77777777" w:rsidTr="00443B8F">
        <w:trPr>
          <w:trHeight w:val="680"/>
        </w:trPr>
        <w:tc>
          <w:tcPr>
            <w:tcW w:w="960" w:type="dxa"/>
            <w:vMerge/>
            <w:shd w:val="clear" w:color="auto" w:fill="8DB3E2"/>
            <w:vAlign w:val="center"/>
          </w:tcPr>
          <w:p w14:paraId="00A61DB7"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7FCEABCD"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36A1CBC3"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vAlign w:val="center"/>
          </w:tcPr>
          <w:p w14:paraId="7812D99E"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tcPr>
          <w:p w14:paraId="0633842E" w14:textId="77777777" w:rsidR="006D3AD5" w:rsidRPr="00874BFF" w:rsidRDefault="006D3AD5" w:rsidP="00443B8F">
            <w:pPr>
              <w:jc w:val="center"/>
              <w:rPr>
                <w:b/>
                <w:color w:val="FFFFFF"/>
                <w:sz w:val="20"/>
              </w:rPr>
            </w:pPr>
          </w:p>
        </w:tc>
      </w:tr>
      <w:tr w:rsidR="006D3AD5" w:rsidRPr="00874BFF" w14:paraId="595C8872" w14:textId="77777777" w:rsidTr="00443B8F">
        <w:trPr>
          <w:trHeight w:val="690"/>
        </w:trPr>
        <w:tc>
          <w:tcPr>
            <w:tcW w:w="960" w:type="dxa"/>
            <w:vMerge/>
            <w:shd w:val="clear" w:color="auto" w:fill="8DB3E2"/>
            <w:vAlign w:val="center"/>
          </w:tcPr>
          <w:p w14:paraId="3A5E797E"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5567ACDE"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055F9AA4"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vAlign w:val="center"/>
          </w:tcPr>
          <w:p w14:paraId="3FBC3ED3"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tcPr>
          <w:p w14:paraId="33C2F5CD" w14:textId="77777777" w:rsidR="006D3AD5" w:rsidRPr="00874BFF" w:rsidRDefault="006D3AD5" w:rsidP="00443B8F">
            <w:pPr>
              <w:jc w:val="left"/>
              <w:rPr>
                <w:b/>
                <w:color w:val="FFFFFF"/>
                <w:sz w:val="20"/>
              </w:rPr>
            </w:pPr>
          </w:p>
        </w:tc>
      </w:tr>
      <w:tr w:rsidR="006D3AD5" w:rsidRPr="00874BFF" w14:paraId="2F5D94AA" w14:textId="77777777" w:rsidTr="00443B8F">
        <w:trPr>
          <w:trHeight w:val="735"/>
        </w:trPr>
        <w:tc>
          <w:tcPr>
            <w:tcW w:w="960" w:type="dxa"/>
            <w:vMerge/>
            <w:shd w:val="clear" w:color="auto" w:fill="8DB3E2"/>
            <w:vAlign w:val="center"/>
          </w:tcPr>
          <w:p w14:paraId="4DEB687C" w14:textId="77777777" w:rsidR="006D3AD5" w:rsidRPr="00874BFF" w:rsidRDefault="006D3AD5" w:rsidP="00443B8F">
            <w:pPr>
              <w:jc w:val="left"/>
              <w:rPr>
                <w:b/>
                <w:bCs/>
                <w:color w:val="FFFFFF"/>
                <w:sz w:val="24"/>
                <w:szCs w:val="24"/>
              </w:rPr>
            </w:pPr>
          </w:p>
        </w:tc>
        <w:tc>
          <w:tcPr>
            <w:tcW w:w="960" w:type="dxa"/>
            <w:vMerge w:val="restart"/>
            <w:shd w:val="clear" w:color="auto" w:fill="8DB3E2"/>
            <w:noWrap/>
            <w:textDirection w:val="btLr"/>
            <w:vAlign w:val="center"/>
          </w:tcPr>
          <w:p w14:paraId="5B144C8A"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8DB3E2"/>
            <w:vAlign w:val="center"/>
          </w:tcPr>
          <w:p w14:paraId="34C92EC3" w14:textId="77777777" w:rsidR="006D3AD5" w:rsidRPr="00874BFF" w:rsidRDefault="006D3AD5" w:rsidP="00443B8F">
            <w:pPr>
              <w:jc w:val="center"/>
              <w:rPr>
                <w:b/>
                <w:color w:val="FFFFFF"/>
                <w:sz w:val="20"/>
              </w:rPr>
            </w:pPr>
            <w:r w:rsidRPr="00874BFF">
              <w:rPr>
                <w:b/>
                <w:color w:val="FFFFFF"/>
                <w:sz w:val="20"/>
              </w:rPr>
              <w:t>High leverage effect and a wider range of supported projects and investments</w:t>
            </w:r>
          </w:p>
        </w:tc>
        <w:tc>
          <w:tcPr>
            <w:tcW w:w="2330" w:type="dxa"/>
            <w:shd w:val="clear" w:color="auto" w:fill="8DB3E2"/>
            <w:vAlign w:val="center"/>
          </w:tcPr>
          <w:p w14:paraId="2513C682" w14:textId="77777777" w:rsidR="006D3AD5" w:rsidRPr="00874BFF" w:rsidRDefault="006D3AD5" w:rsidP="00443B8F">
            <w:pPr>
              <w:jc w:val="center"/>
              <w:rPr>
                <w:b/>
                <w:color w:val="FFFFFF"/>
                <w:sz w:val="20"/>
              </w:rPr>
            </w:pPr>
            <w:r w:rsidRPr="00874BFF">
              <w:rPr>
                <w:b/>
                <w:color w:val="FFFFFF"/>
                <w:sz w:val="20"/>
              </w:rPr>
              <w:t>High revolving effect and supporting projects in further cycles</w:t>
            </w:r>
          </w:p>
        </w:tc>
        <w:tc>
          <w:tcPr>
            <w:tcW w:w="2330" w:type="dxa"/>
            <w:shd w:val="clear" w:color="auto" w:fill="8DB3E2"/>
          </w:tcPr>
          <w:p w14:paraId="02B330A3" w14:textId="77777777" w:rsidR="006D3AD5" w:rsidRPr="00874BFF" w:rsidRDefault="006D3AD5" w:rsidP="00443B8F">
            <w:pPr>
              <w:jc w:val="center"/>
              <w:rPr>
                <w:b/>
                <w:color w:val="FFFFFF"/>
                <w:sz w:val="20"/>
              </w:rPr>
            </w:pPr>
          </w:p>
        </w:tc>
      </w:tr>
      <w:tr w:rsidR="006D3AD5" w:rsidRPr="00874BFF" w14:paraId="77A907FF" w14:textId="77777777" w:rsidTr="00443B8F">
        <w:trPr>
          <w:trHeight w:val="735"/>
        </w:trPr>
        <w:tc>
          <w:tcPr>
            <w:tcW w:w="960" w:type="dxa"/>
            <w:vMerge/>
            <w:shd w:val="clear" w:color="auto" w:fill="8DB3E2"/>
            <w:vAlign w:val="center"/>
          </w:tcPr>
          <w:p w14:paraId="341D011F"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vAlign w:val="center"/>
          </w:tcPr>
          <w:p w14:paraId="57C0D80E" w14:textId="77777777" w:rsidR="006D3AD5" w:rsidRPr="00874BFF" w:rsidRDefault="006D3AD5" w:rsidP="00443B8F">
            <w:pPr>
              <w:jc w:val="center"/>
              <w:rPr>
                <w:b/>
                <w:bCs/>
                <w:color w:val="FFFFFF"/>
                <w:sz w:val="18"/>
                <w:szCs w:val="18"/>
              </w:rPr>
            </w:pPr>
          </w:p>
        </w:tc>
        <w:tc>
          <w:tcPr>
            <w:tcW w:w="2414" w:type="dxa"/>
            <w:shd w:val="clear" w:color="auto" w:fill="8DB3E2"/>
            <w:vAlign w:val="center"/>
          </w:tcPr>
          <w:p w14:paraId="1C2D6A1A" w14:textId="77777777" w:rsidR="006D3AD5" w:rsidRPr="00874BFF" w:rsidRDefault="006D3AD5" w:rsidP="00443B8F">
            <w:pPr>
              <w:jc w:val="center"/>
              <w:rPr>
                <w:b/>
                <w:color w:val="FFFFFF"/>
                <w:sz w:val="20"/>
              </w:rPr>
            </w:pPr>
            <w:r w:rsidRPr="00874BFF">
              <w:rPr>
                <w:b/>
                <w:color w:val="FFFFFF"/>
                <w:sz w:val="20"/>
              </w:rPr>
              <w:t>Possibility of revolving depending on the risk strategy</w:t>
            </w:r>
          </w:p>
        </w:tc>
        <w:tc>
          <w:tcPr>
            <w:tcW w:w="2330" w:type="dxa"/>
            <w:shd w:val="clear" w:color="auto" w:fill="8DB3E2"/>
            <w:vAlign w:val="center"/>
          </w:tcPr>
          <w:p w14:paraId="154C3932" w14:textId="77777777" w:rsidR="006D3AD5" w:rsidRPr="00874BFF" w:rsidRDefault="006D3AD5" w:rsidP="00443B8F">
            <w:pPr>
              <w:jc w:val="center"/>
              <w:rPr>
                <w:b/>
                <w:color w:val="FFFFFF"/>
                <w:sz w:val="20"/>
              </w:rPr>
            </w:pPr>
            <w:r w:rsidRPr="00874BFF">
              <w:rPr>
                <w:b/>
                <w:color w:val="FFFFFF"/>
                <w:sz w:val="20"/>
              </w:rPr>
              <w:t>Predictable instalments</w:t>
            </w:r>
          </w:p>
        </w:tc>
        <w:tc>
          <w:tcPr>
            <w:tcW w:w="2330" w:type="dxa"/>
            <w:shd w:val="clear" w:color="auto" w:fill="8DB3E2"/>
          </w:tcPr>
          <w:p w14:paraId="283AED29" w14:textId="77777777" w:rsidR="006D3AD5" w:rsidRPr="00874BFF" w:rsidRDefault="006D3AD5" w:rsidP="00443B8F">
            <w:pPr>
              <w:jc w:val="center"/>
              <w:rPr>
                <w:b/>
                <w:color w:val="FFFFFF"/>
                <w:sz w:val="20"/>
              </w:rPr>
            </w:pPr>
          </w:p>
        </w:tc>
      </w:tr>
      <w:tr w:rsidR="006D3AD5" w:rsidRPr="00874BFF" w14:paraId="6C48590A" w14:textId="77777777" w:rsidTr="00443B8F">
        <w:trPr>
          <w:trHeight w:val="311"/>
        </w:trPr>
        <w:tc>
          <w:tcPr>
            <w:tcW w:w="960" w:type="dxa"/>
            <w:vMerge/>
            <w:tcBorders>
              <w:bottom w:val="single" w:sz="4" w:space="0" w:color="auto"/>
            </w:tcBorders>
            <w:shd w:val="clear" w:color="auto" w:fill="8DB3E2"/>
            <w:vAlign w:val="center"/>
          </w:tcPr>
          <w:p w14:paraId="2AA4B421" w14:textId="77777777" w:rsidR="006D3AD5" w:rsidRPr="00874BFF" w:rsidRDefault="006D3AD5" w:rsidP="00443B8F">
            <w:pPr>
              <w:jc w:val="left"/>
              <w:rPr>
                <w:b/>
                <w:bCs/>
                <w:color w:val="FFFFFF"/>
                <w:sz w:val="18"/>
                <w:szCs w:val="18"/>
              </w:rPr>
            </w:pPr>
          </w:p>
        </w:tc>
        <w:tc>
          <w:tcPr>
            <w:tcW w:w="960" w:type="dxa"/>
            <w:vMerge/>
            <w:tcBorders>
              <w:bottom w:val="single" w:sz="4" w:space="0" w:color="auto"/>
            </w:tcBorders>
            <w:shd w:val="clear" w:color="auto" w:fill="8DB3E2"/>
            <w:noWrap/>
            <w:textDirection w:val="btLr"/>
            <w:vAlign w:val="center"/>
          </w:tcPr>
          <w:p w14:paraId="0B9F1E73" w14:textId="77777777" w:rsidR="006D3AD5" w:rsidRPr="00874BFF" w:rsidRDefault="006D3AD5" w:rsidP="00443B8F">
            <w:pPr>
              <w:jc w:val="center"/>
              <w:rPr>
                <w:b/>
                <w:bCs/>
                <w:color w:val="FFFFFF"/>
                <w:sz w:val="18"/>
                <w:szCs w:val="18"/>
              </w:rPr>
            </w:pPr>
          </w:p>
        </w:tc>
        <w:tc>
          <w:tcPr>
            <w:tcW w:w="2414" w:type="dxa"/>
            <w:tcBorders>
              <w:bottom w:val="single" w:sz="4" w:space="0" w:color="auto"/>
            </w:tcBorders>
            <w:shd w:val="clear" w:color="auto" w:fill="8DB3E2"/>
            <w:vAlign w:val="center"/>
          </w:tcPr>
          <w:p w14:paraId="725FC7B0" w14:textId="77777777" w:rsidR="006D3AD5" w:rsidRPr="00874BFF" w:rsidRDefault="006D3AD5" w:rsidP="00443B8F">
            <w:pPr>
              <w:jc w:val="center"/>
              <w:rPr>
                <w:b/>
                <w:color w:val="FFFFFF"/>
                <w:sz w:val="20"/>
              </w:rPr>
            </w:pPr>
            <w:r w:rsidRPr="00874BFF">
              <w:rPr>
                <w:b/>
                <w:color w:val="FFFFFF"/>
                <w:sz w:val="20"/>
              </w:rPr>
              <w:t>Rapid absorption</w:t>
            </w:r>
          </w:p>
        </w:tc>
        <w:tc>
          <w:tcPr>
            <w:tcW w:w="2330" w:type="dxa"/>
            <w:tcBorders>
              <w:bottom w:val="single" w:sz="4" w:space="0" w:color="auto"/>
            </w:tcBorders>
            <w:shd w:val="clear" w:color="auto" w:fill="8DB3E2"/>
            <w:vAlign w:val="center"/>
          </w:tcPr>
          <w:p w14:paraId="5F7CA7B1" w14:textId="77777777" w:rsidR="006D3AD5" w:rsidRPr="00874BFF" w:rsidRDefault="006D3AD5" w:rsidP="00443B8F">
            <w:pPr>
              <w:jc w:val="center"/>
              <w:rPr>
                <w:b/>
                <w:color w:val="FFFFFF"/>
                <w:sz w:val="20"/>
              </w:rPr>
            </w:pPr>
            <w:r w:rsidRPr="00874BFF">
              <w:rPr>
                <w:b/>
                <w:color w:val="FFFFFF"/>
                <w:sz w:val="20"/>
              </w:rPr>
              <w:t>Rapid absorption</w:t>
            </w:r>
          </w:p>
        </w:tc>
        <w:tc>
          <w:tcPr>
            <w:tcW w:w="2330" w:type="dxa"/>
            <w:tcBorders>
              <w:bottom w:val="single" w:sz="4" w:space="0" w:color="auto"/>
            </w:tcBorders>
            <w:shd w:val="clear" w:color="auto" w:fill="8DB3E2"/>
          </w:tcPr>
          <w:p w14:paraId="4C3A1BC6" w14:textId="77777777" w:rsidR="006D3AD5" w:rsidRPr="00874BFF" w:rsidRDefault="006D3AD5" w:rsidP="00443B8F">
            <w:pPr>
              <w:jc w:val="center"/>
              <w:rPr>
                <w:b/>
                <w:color w:val="FFFFFF"/>
                <w:sz w:val="20"/>
              </w:rPr>
            </w:pPr>
          </w:p>
        </w:tc>
      </w:tr>
      <w:tr w:rsidR="006D3AD5" w:rsidRPr="00874BFF" w14:paraId="785BFFA7" w14:textId="77777777" w:rsidTr="00443B8F">
        <w:trPr>
          <w:trHeight w:val="735"/>
        </w:trPr>
        <w:tc>
          <w:tcPr>
            <w:tcW w:w="960" w:type="dxa"/>
            <w:vMerge w:val="restart"/>
            <w:shd w:val="clear" w:color="auto" w:fill="FF0000"/>
            <w:textDirection w:val="btLr"/>
            <w:vAlign w:val="center"/>
          </w:tcPr>
          <w:p w14:paraId="2E8CB3DE" w14:textId="77777777" w:rsidR="006D3AD5" w:rsidRPr="00874BFF" w:rsidRDefault="006D3AD5" w:rsidP="00443B8F">
            <w:pPr>
              <w:ind w:left="113" w:right="113"/>
              <w:jc w:val="center"/>
              <w:rPr>
                <w:b/>
                <w:bCs/>
                <w:color w:val="FFFFFF"/>
                <w:sz w:val="24"/>
                <w:szCs w:val="24"/>
              </w:rPr>
            </w:pPr>
            <w:r w:rsidRPr="00874BFF">
              <w:rPr>
                <w:b/>
                <w:color w:val="FFFFFF"/>
                <w:sz w:val="24"/>
              </w:rPr>
              <w:t>Disadvantages, problems and risks</w:t>
            </w:r>
          </w:p>
        </w:tc>
        <w:tc>
          <w:tcPr>
            <w:tcW w:w="960" w:type="dxa"/>
            <w:vMerge w:val="restart"/>
            <w:shd w:val="clear" w:color="auto" w:fill="FF0000"/>
            <w:noWrap/>
            <w:textDirection w:val="btLr"/>
            <w:vAlign w:val="center"/>
          </w:tcPr>
          <w:p w14:paraId="66DD2064"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FF0000"/>
            <w:vAlign w:val="center"/>
          </w:tcPr>
          <w:p w14:paraId="4C3086E0" w14:textId="77777777" w:rsidR="006D3AD5" w:rsidRPr="00874BFF" w:rsidRDefault="006D3AD5" w:rsidP="00443B8F">
            <w:pPr>
              <w:jc w:val="center"/>
              <w:rPr>
                <w:b/>
                <w:color w:val="FFFFFF"/>
                <w:sz w:val="20"/>
              </w:rPr>
            </w:pPr>
            <w:r w:rsidRPr="00874BFF">
              <w:rPr>
                <w:b/>
                <w:color w:val="FFFFFF"/>
                <w:sz w:val="20"/>
              </w:rPr>
              <w:t>He does not receive any money, but must be repaying.</w:t>
            </w:r>
          </w:p>
        </w:tc>
        <w:tc>
          <w:tcPr>
            <w:tcW w:w="2330" w:type="dxa"/>
            <w:shd w:val="clear" w:color="auto" w:fill="FF0000"/>
            <w:vAlign w:val="center"/>
          </w:tcPr>
          <w:p w14:paraId="7CB32473" w14:textId="77777777" w:rsidR="006D3AD5" w:rsidRPr="00874BFF" w:rsidRDefault="006D3AD5" w:rsidP="00443B8F">
            <w:pPr>
              <w:jc w:val="center"/>
              <w:rPr>
                <w:b/>
                <w:color w:val="FFFFFF"/>
                <w:sz w:val="20"/>
              </w:rPr>
            </w:pPr>
            <w:r w:rsidRPr="00874BFF">
              <w:rPr>
                <w:b/>
                <w:color w:val="FFFFFF"/>
                <w:sz w:val="20"/>
              </w:rPr>
              <w:t>He does not receive any money, but must be repaying.</w:t>
            </w:r>
          </w:p>
        </w:tc>
        <w:tc>
          <w:tcPr>
            <w:tcW w:w="2330" w:type="dxa"/>
            <w:shd w:val="clear" w:color="auto" w:fill="FF0000"/>
          </w:tcPr>
          <w:p w14:paraId="7F8A5140" w14:textId="77777777" w:rsidR="006D3AD5" w:rsidRPr="00874BFF" w:rsidRDefault="006D3AD5" w:rsidP="00443B8F">
            <w:pPr>
              <w:jc w:val="center"/>
              <w:rPr>
                <w:b/>
                <w:color w:val="FFFFFF"/>
                <w:sz w:val="20"/>
              </w:rPr>
            </w:pPr>
            <w:r w:rsidRPr="00874BFF">
              <w:rPr>
                <w:b/>
                <w:color w:val="FFFFFF"/>
                <w:sz w:val="20"/>
              </w:rPr>
              <w:t>High administrative demands</w:t>
            </w:r>
          </w:p>
        </w:tc>
      </w:tr>
      <w:tr w:rsidR="006D3AD5" w:rsidRPr="00874BFF" w14:paraId="7DD5182A" w14:textId="77777777" w:rsidTr="00443B8F">
        <w:trPr>
          <w:trHeight w:val="735"/>
        </w:trPr>
        <w:tc>
          <w:tcPr>
            <w:tcW w:w="960" w:type="dxa"/>
            <w:vMerge/>
            <w:shd w:val="clear" w:color="auto" w:fill="FF0000"/>
            <w:vAlign w:val="center"/>
          </w:tcPr>
          <w:p w14:paraId="7C6BB029"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4A5216E5"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4A452EBA" w14:textId="77777777" w:rsidR="006D3AD5" w:rsidRPr="00874BFF" w:rsidRDefault="006D3AD5" w:rsidP="00443B8F">
            <w:pPr>
              <w:jc w:val="center"/>
              <w:rPr>
                <w:b/>
                <w:color w:val="FFFFFF"/>
                <w:sz w:val="20"/>
              </w:rPr>
            </w:pPr>
            <w:r w:rsidRPr="00874BFF">
              <w:rPr>
                <w:b/>
                <w:color w:val="FFFFFF"/>
                <w:sz w:val="20"/>
              </w:rPr>
              <w:t>Low effect on  reduction of interest</w:t>
            </w:r>
          </w:p>
        </w:tc>
        <w:tc>
          <w:tcPr>
            <w:tcW w:w="2330" w:type="dxa"/>
            <w:shd w:val="clear" w:color="auto" w:fill="FF0000"/>
            <w:vAlign w:val="center"/>
          </w:tcPr>
          <w:p w14:paraId="5B1E5FBF" w14:textId="77777777" w:rsidR="006D3AD5" w:rsidRPr="00874BFF" w:rsidRDefault="006D3AD5" w:rsidP="00443B8F">
            <w:pPr>
              <w:jc w:val="center"/>
              <w:rPr>
                <w:b/>
                <w:color w:val="FFFFFF"/>
                <w:sz w:val="20"/>
              </w:rPr>
            </w:pPr>
            <w:r w:rsidRPr="00874BFF">
              <w:rPr>
                <w:b/>
                <w:color w:val="FFFFFF"/>
                <w:sz w:val="20"/>
              </w:rPr>
              <w:t>Lower effect on the return of the project when compared with  a subsidy</w:t>
            </w:r>
          </w:p>
        </w:tc>
        <w:tc>
          <w:tcPr>
            <w:tcW w:w="2330" w:type="dxa"/>
            <w:shd w:val="clear" w:color="auto" w:fill="FF0000"/>
          </w:tcPr>
          <w:p w14:paraId="374C1BD9" w14:textId="77777777" w:rsidR="006D3AD5" w:rsidRPr="00874BFF" w:rsidRDefault="006D3AD5" w:rsidP="00443B8F">
            <w:pPr>
              <w:jc w:val="center"/>
              <w:rPr>
                <w:b/>
                <w:color w:val="FFFFFF"/>
                <w:sz w:val="20"/>
              </w:rPr>
            </w:pPr>
            <w:r w:rsidRPr="00874BFF">
              <w:rPr>
                <w:b/>
                <w:color w:val="FFFFFF"/>
                <w:sz w:val="20"/>
              </w:rPr>
              <w:t>Controlled process of tendering for suppliers – higher costs</w:t>
            </w:r>
          </w:p>
        </w:tc>
      </w:tr>
      <w:tr w:rsidR="006D3AD5" w:rsidRPr="00874BFF" w14:paraId="02C5F94A" w14:textId="77777777" w:rsidTr="00443B8F">
        <w:trPr>
          <w:trHeight w:val="456"/>
        </w:trPr>
        <w:tc>
          <w:tcPr>
            <w:tcW w:w="960" w:type="dxa"/>
            <w:vMerge/>
            <w:shd w:val="clear" w:color="auto" w:fill="FF0000"/>
            <w:vAlign w:val="center"/>
          </w:tcPr>
          <w:p w14:paraId="730CF645"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5350AE60"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593E75B6" w14:textId="77777777" w:rsidR="006D3AD5" w:rsidRPr="00874BFF" w:rsidRDefault="006D3AD5" w:rsidP="00443B8F">
            <w:pPr>
              <w:jc w:val="center"/>
              <w:rPr>
                <w:b/>
                <w:color w:val="FFFFFF"/>
                <w:sz w:val="20"/>
              </w:rPr>
            </w:pPr>
          </w:p>
        </w:tc>
        <w:tc>
          <w:tcPr>
            <w:tcW w:w="2330" w:type="dxa"/>
            <w:shd w:val="clear" w:color="auto" w:fill="FF0000"/>
            <w:vAlign w:val="center"/>
          </w:tcPr>
          <w:p w14:paraId="4C36A2FB" w14:textId="77777777" w:rsidR="006D3AD5" w:rsidRPr="00874BFF" w:rsidRDefault="006D3AD5" w:rsidP="00443B8F">
            <w:pPr>
              <w:jc w:val="center"/>
              <w:rPr>
                <w:b/>
                <w:color w:val="FFFFFF"/>
                <w:sz w:val="20"/>
              </w:rPr>
            </w:pPr>
            <w:r w:rsidRPr="00874BFF">
              <w:rPr>
                <w:b/>
                <w:color w:val="FFFFFF"/>
                <w:sz w:val="20"/>
              </w:rPr>
              <w:t>Lower effect of making financing accessible to high-risk projects</w:t>
            </w:r>
          </w:p>
        </w:tc>
        <w:tc>
          <w:tcPr>
            <w:tcW w:w="2330" w:type="dxa"/>
            <w:shd w:val="clear" w:color="auto" w:fill="FF0000"/>
          </w:tcPr>
          <w:p w14:paraId="6717452F" w14:textId="77777777" w:rsidR="006D3AD5" w:rsidRPr="00874BFF" w:rsidRDefault="006D3AD5" w:rsidP="00443B8F">
            <w:pPr>
              <w:jc w:val="center"/>
              <w:rPr>
                <w:b/>
                <w:color w:val="FFFFFF"/>
                <w:sz w:val="20"/>
              </w:rPr>
            </w:pPr>
            <w:r w:rsidRPr="00874BFF">
              <w:rPr>
                <w:b/>
                <w:color w:val="FFFFFF"/>
                <w:sz w:val="20"/>
              </w:rPr>
              <w:t>Necessity of pre-financing – ex post payment</w:t>
            </w:r>
          </w:p>
        </w:tc>
      </w:tr>
      <w:tr w:rsidR="006D3AD5" w:rsidRPr="00874BFF" w14:paraId="1DFE7181" w14:textId="77777777" w:rsidTr="00443B8F">
        <w:trPr>
          <w:trHeight w:val="735"/>
        </w:trPr>
        <w:tc>
          <w:tcPr>
            <w:tcW w:w="960" w:type="dxa"/>
            <w:vMerge/>
            <w:shd w:val="clear" w:color="auto" w:fill="FF0000"/>
            <w:vAlign w:val="center"/>
          </w:tcPr>
          <w:p w14:paraId="7FF93DDB"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17C700AF"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4872095F" w14:textId="77777777" w:rsidR="006D3AD5" w:rsidRPr="00874BFF" w:rsidRDefault="006D3AD5" w:rsidP="00443B8F">
            <w:pPr>
              <w:jc w:val="center"/>
              <w:rPr>
                <w:b/>
                <w:color w:val="FFFFFF"/>
                <w:sz w:val="20"/>
              </w:rPr>
            </w:pPr>
          </w:p>
        </w:tc>
        <w:tc>
          <w:tcPr>
            <w:tcW w:w="2330" w:type="dxa"/>
            <w:shd w:val="clear" w:color="auto" w:fill="FF0000"/>
            <w:vAlign w:val="center"/>
          </w:tcPr>
          <w:p w14:paraId="59DE6C82" w14:textId="77777777" w:rsidR="006D3AD5" w:rsidRPr="00874BFF" w:rsidRDefault="006D3AD5" w:rsidP="00443B8F">
            <w:pPr>
              <w:jc w:val="center"/>
              <w:rPr>
                <w:b/>
                <w:color w:val="FFFFFF"/>
                <w:sz w:val="20"/>
              </w:rPr>
            </w:pPr>
          </w:p>
        </w:tc>
        <w:tc>
          <w:tcPr>
            <w:tcW w:w="2330" w:type="dxa"/>
            <w:shd w:val="clear" w:color="auto" w:fill="FF0000"/>
          </w:tcPr>
          <w:p w14:paraId="44F59FC0" w14:textId="77777777" w:rsidR="006D3AD5" w:rsidRPr="00874BFF" w:rsidRDefault="006D3AD5" w:rsidP="00443B8F">
            <w:pPr>
              <w:jc w:val="center"/>
              <w:rPr>
                <w:b/>
                <w:color w:val="FFFFFF"/>
                <w:sz w:val="20"/>
              </w:rPr>
            </w:pPr>
            <w:r w:rsidRPr="00874BFF">
              <w:rPr>
                <w:b/>
                <w:color w:val="FFFFFF"/>
                <w:sz w:val="20"/>
              </w:rPr>
              <w:t>Risk of subsequent  withdrawal of subsidy due to mistakes in the project and failure to meet the criteria.</w:t>
            </w:r>
          </w:p>
        </w:tc>
      </w:tr>
      <w:tr w:rsidR="006D3AD5" w:rsidRPr="00874BFF" w14:paraId="71A0219E" w14:textId="77777777" w:rsidTr="00443B8F">
        <w:trPr>
          <w:trHeight w:val="735"/>
        </w:trPr>
        <w:tc>
          <w:tcPr>
            <w:tcW w:w="960" w:type="dxa"/>
            <w:vMerge/>
            <w:shd w:val="clear" w:color="auto" w:fill="FF0000"/>
            <w:vAlign w:val="center"/>
          </w:tcPr>
          <w:p w14:paraId="455512CB" w14:textId="77777777" w:rsidR="006D3AD5" w:rsidRPr="00874BFF" w:rsidRDefault="006D3AD5" w:rsidP="00443B8F">
            <w:pPr>
              <w:jc w:val="left"/>
              <w:rPr>
                <w:b/>
                <w:bCs/>
                <w:color w:val="000000"/>
                <w:sz w:val="24"/>
                <w:szCs w:val="24"/>
              </w:rPr>
            </w:pPr>
          </w:p>
        </w:tc>
        <w:tc>
          <w:tcPr>
            <w:tcW w:w="960" w:type="dxa"/>
            <w:vMerge w:val="restart"/>
            <w:shd w:val="clear" w:color="auto" w:fill="FF0000"/>
            <w:noWrap/>
            <w:textDirection w:val="btLr"/>
            <w:vAlign w:val="center"/>
          </w:tcPr>
          <w:p w14:paraId="6BBEC0AC"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FF0000"/>
            <w:vAlign w:val="center"/>
          </w:tcPr>
          <w:p w14:paraId="0FF278E7" w14:textId="77777777" w:rsidR="006D3AD5" w:rsidRPr="00874BFF" w:rsidRDefault="006D3AD5" w:rsidP="00443B8F">
            <w:pPr>
              <w:jc w:val="center"/>
              <w:rPr>
                <w:b/>
                <w:color w:val="FFFFFF"/>
                <w:sz w:val="20"/>
              </w:rPr>
            </w:pPr>
            <w:r w:rsidRPr="00874BFF">
              <w:rPr>
                <w:b/>
                <w:color w:val="FFFFFF"/>
                <w:sz w:val="20"/>
              </w:rPr>
              <w:t>Very low revolving effect</w:t>
            </w:r>
          </w:p>
        </w:tc>
        <w:tc>
          <w:tcPr>
            <w:tcW w:w="2330" w:type="dxa"/>
            <w:shd w:val="clear" w:color="auto" w:fill="FF0000"/>
            <w:vAlign w:val="center"/>
          </w:tcPr>
          <w:p w14:paraId="6414F77A" w14:textId="77777777" w:rsidR="006D3AD5" w:rsidRPr="00874BFF" w:rsidRDefault="006D3AD5" w:rsidP="00443B8F">
            <w:pPr>
              <w:jc w:val="center"/>
              <w:rPr>
                <w:b/>
                <w:color w:val="FFFFFF"/>
                <w:sz w:val="20"/>
              </w:rPr>
            </w:pPr>
            <w:r w:rsidRPr="00874BFF">
              <w:rPr>
                <w:b/>
                <w:color w:val="FFFFFF"/>
                <w:sz w:val="20"/>
              </w:rPr>
              <w:t>Lower leverage effect than guarantees</w:t>
            </w:r>
          </w:p>
        </w:tc>
        <w:tc>
          <w:tcPr>
            <w:tcW w:w="2330" w:type="dxa"/>
            <w:shd w:val="clear" w:color="auto" w:fill="FF0000"/>
          </w:tcPr>
          <w:p w14:paraId="1367010E" w14:textId="77777777" w:rsidR="006D3AD5" w:rsidRPr="00874BFF" w:rsidRDefault="006D3AD5" w:rsidP="00443B8F">
            <w:pPr>
              <w:jc w:val="center"/>
              <w:rPr>
                <w:b/>
                <w:color w:val="FFFFFF"/>
                <w:sz w:val="20"/>
              </w:rPr>
            </w:pPr>
            <w:r w:rsidRPr="00874BFF">
              <w:rPr>
                <w:b/>
                <w:color w:val="FFFFFF"/>
                <w:sz w:val="20"/>
              </w:rPr>
              <w:t>Non-repayable costs</w:t>
            </w:r>
          </w:p>
        </w:tc>
      </w:tr>
      <w:tr w:rsidR="006D3AD5" w:rsidRPr="00874BFF" w14:paraId="24015AB8" w14:textId="77777777" w:rsidTr="00443B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6"/>
        </w:trPr>
        <w:tc>
          <w:tcPr>
            <w:tcW w:w="960" w:type="dxa"/>
            <w:vMerge/>
            <w:tcBorders>
              <w:top w:val="single" w:sz="4" w:space="0" w:color="auto"/>
              <w:left w:val="single" w:sz="4" w:space="0" w:color="auto"/>
              <w:bottom w:val="single" w:sz="4" w:space="0" w:color="auto"/>
              <w:right w:val="single" w:sz="4" w:space="0" w:color="auto"/>
            </w:tcBorders>
          </w:tcPr>
          <w:p w14:paraId="273698B2" w14:textId="77777777" w:rsidR="006D3AD5" w:rsidRPr="00874BFF" w:rsidRDefault="006D3AD5" w:rsidP="00443B8F">
            <w:pPr>
              <w:jc w:val="left"/>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noWrap/>
            <w:textDirection w:val="btLr"/>
          </w:tcPr>
          <w:p w14:paraId="748CA686" w14:textId="77777777" w:rsidR="006D3AD5" w:rsidRPr="00874BFF" w:rsidRDefault="006D3AD5" w:rsidP="00443B8F">
            <w:pPr>
              <w:jc w:val="center"/>
              <w:rPr>
                <w:b/>
                <w:bCs/>
                <w:color w:val="000000"/>
                <w:sz w:val="18"/>
                <w:szCs w:val="18"/>
              </w:rPr>
            </w:pPr>
          </w:p>
        </w:tc>
        <w:tc>
          <w:tcPr>
            <w:tcW w:w="2414" w:type="dxa"/>
            <w:tcBorders>
              <w:top w:val="single" w:sz="4" w:space="0" w:color="auto"/>
              <w:left w:val="single" w:sz="4" w:space="0" w:color="auto"/>
              <w:bottom w:val="single" w:sz="4" w:space="0" w:color="auto"/>
              <w:right w:val="single" w:sz="4" w:space="0" w:color="auto"/>
            </w:tcBorders>
            <w:shd w:val="clear" w:color="auto" w:fill="FF0000"/>
          </w:tcPr>
          <w:p w14:paraId="52DD55EB"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14:paraId="1036004D" w14:textId="77777777" w:rsidR="006D3AD5" w:rsidRPr="00874BFF" w:rsidRDefault="006D3AD5" w:rsidP="00443B8F">
            <w:pPr>
              <w:jc w:val="center"/>
              <w:rPr>
                <w:b/>
                <w:color w:val="FFFFFF"/>
                <w:sz w:val="20"/>
              </w:rPr>
            </w:pPr>
            <w:r w:rsidRPr="00874BFF">
              <w:rPr>
                <w:b/>
                <w:color w:val="FFFFFF"/>
                <w:sz w:val="20"/>
              </w:rPr>
              <w:t>Revolving is impeded by fees of the intermediary</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14:paraId="02B63AFB" w14:textId="77777777" w:rsidR="006D3AD5" w:rsidRPr="00874BFF" w:rsidRDefault="006D3AD5" w:rsidP="00443B8F">
            <w:pPr>
              <w:jc w:val="center"/>
              <w:rPr>
                <w:b/>
                <w:color w:val="FFFFFF"/>
                <w:sz w:val="20"/>
              </w:rPr>
            </w:pPr>
            <w:r w:rsidRPr="00874BFF">
              <w:rPr>
                <w:b/>
                <w:color w:val="FFFFFF"/>
                <w:sz w:val="20"/>
              </w:rPr>
              <w:t>Lower number of supported projects</w:t>
            </w:r>
          </w:p>
        </w:tc>
      </w:tr>
      <w:tr w:rsidR="006D3AD5" w:rsidRPr="00874BFF" w14:paraId="3A36C7AA" w14:textId="77777777" w:rsidTr="00443B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tcBorders>
              <w:top w:val="single" w:sz="4" w:space="0" w:color="auto"/>
              <w:left w:val="single" w:sz="4" w:space="0" w:color="auto"/>
              <w:bottom w:val="single" w:sz="4" w:space="0" w:color="auto"/>
              <w:right w:val="single" w:sz="4" w:space="0" w:color="auto"/>
            </w:tcBorders>
          </w:tcPr>
          <w:p w14:paraId="63020CC7" w14:textId="77777777" w:rsidR="006D3AD5" w:rsidRPr="00874BFF" w:rsidRDefault="006D3AD5" w:rsidP="00443B8F">
            <w:pPr>
              <w:jc w:val="left"/>
              <w:rPr>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noWrap/>
            <w:textDirection w:val="btLr"/>
          </w:tcPr>
          <w:p w14:paraId="60B10728" w14:textId="77777777" w:rsidR="006D3AD5" w:rsidRPr="00874BFF" w:rsidRDefault="006D3AD5" w:rsidP="00443B8F">
            <w:pPr>
              <w:jc w:val="center"/>
              <w:rPr>
                <w:b/>
                <w:bCs/>
                <w:color w:val="000000"/>
                <w:sz w:val="18"/>
                <w:szCs w:val="18"/>
              </w:rPr>
            </w:pPr>
          </w:p>
        </w:tc>
        <w:tc>
          <w:tcPr>
            <w:tcW w:w="2414" w:type="dxa"/>
            <w:tcBorders>
              <w:top w:val="single" w:sz="4" w:space="0" w:color="auto"/>
              <w:left w:val="single" w:sz="4" w:space="0" w:color="auto"/>
              <w:bottom w:val="single" w:sz="4" w:space="0" w:color="auto"/>
              <w:right w:val="single" w:sz="4" w:space="0" w:color="auto"/>
            </w:tcBorders>
            <w:shd w:val="clear" w:color="auto" w:fill="FF0000"/>
          </w:tcPr>
          <w:p w14:paraId="026C73B5" w14:textId="77777777" w:rsidR="006D3AD5" w:rsidRPr="00874BFF" w:rsidRDefault="006D3AD5" w:rsidP="00443B8F">
            <w:pPr>
              <w:jc w:val="center"/>
              <w:rPr>
                <w:b/>
                <w:color w:val="FFFFFF"/>
                <w:sz w:val="20"/>
              </w:rPr>
            </w:pPr>
          </w:p>
        </w:tc>
        <w:tc>
          <w:tcPr>
            <w:tcW w:w="2330" w:type="dxa"/>
            <w:tcBorders>
              <w:top w:val="single" w:sz="4" w:space="0" w:color="auto"/>
              <w:left w:val="single" w:sz="4" w:space="0" w:color="auto"/>
              <w:bottom w:val="single" w:sz="4" w:space="0" w:color="auto"/>
              <w:right w:val="single" w:sz="4" w:space="0" w:color="auto"/>
            </w:tcBorders>
            <w:shd w:val="clear" w:color="auto" w:fill="FF0000"/>
          </w:tcPr>
          <w:p w14:paraId="159FA8FE"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tcBorders>
              <w:top w:val="single" w:sz="4" w:space="0" w:color="auto"/>
              <w:left w:val="single" w:sz="4" w:space="0" w:color="auto"/>
              <w:bottom w:val="single" w:sz="4" w:space="0" w:color="auto"/>
              <w:right w:val="single" w:sz="4" w:space="0" w:color="auto"/>
            </w:tcBorders>
            <w:shd w:val="clear" w:color="auto" w:fill="FF0000"/>
          </w:tcPr>
          <w:p w14:paraId="2922E1A2" w14:textId="77777777" w:rsidR="006D3AD5" w:rsidRPr="00874BFF" w:rsidRDefault="006D3AD5" w:rsidP="00443B8F">
            <w:pPr>
              <w:keepNext/>
              <w:jc w:val="center"/>
              <w:rPr>
                <w:b/>
                <w:color w:val="FFFFFF"/>
                <w:sz w:val="20"/>
              </w:rPr>
            </w:pPr>
            <w:r w:rsidRPr="00874BFF">
              <w:rPr>
                <w:b/>
                <w:color w:val="FFFFFF"/>
                <w:sz w:val="20"/>
              </w:rPr>
              <w:t>Slower absorption</w:t>
            </w:r>
          </w:p>
        </w:tc>
      </w:tr>
    </w:tbl>
    <w:p w14:paraId="629686FE" w14:textId="16536265" w:rsidR="006D3AD5" w:rsidRPr="00874BFF" w:rsidRDefault="006D3AD5" w:rsidP="006D3AD5">
      <w:pPr>
        <w:pStyle w:val="Titulek"/>
      </w:pPr>
      <w:r w:rsidRPr="00874BFF">
        <w:t>Table 3</w:t>
      </w:r>
      <w:r w:rsidR="00035834">
        <w:t>7</w:t>
      </w:r>
      <w:r w:rsidRPr="00874BFF">
        <w:t>: Added value, disadvantages, problems and risks of public support for final recipients and MA</w:t>
      </w:r>
    </w:p>
    <w:p w14:paraId="43C5ADFE" w14:textId="77777777" w:rsidR="006D3AD5" w:rsidRPr="00874BFF" w:rsidRDefault="006D3AD5" w:rsidP="006D3AD5"/>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3AD5" w:rsidRPr="00874BFF" w14:paraId="0C596489" w14:textId="77777777" w:rsidTr="00443B8F">
        <w:tc>
          <w:tcPr>
            <w:tcW w:w="1729" w:type="dxa"/>
            <w:shd w:val="clear" w:color="auto" w:fill="8DB3E2"/>
          </w:tcPr>
          <w:p w14:paraId="11B0BC72"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Market failure</w:t>
            </w:r>
          </w:p>
        </w:tc>
        <w:tc>
          <w:tcPr>
            <w:tcW w:w="2694" w:type="dxa"/>
            <w:shd w:val="clear" w:color="auto" w:fill="8DB3E2"/>
          </w:tcPr>
          <w:p w14:paraId="443A2CB8"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Guarantee instrument</w:t>
            </w:r>
          </w:p>
        </w:tc>
        <w:tc>
          <w:tcPr>
            <w:tcW w:w="2268" w:type="dxa"/>
            <w:shd w:val="clear" w:color="auto" w:fill="8DB3E2"/>
          </w:tcPr>
          <w:p w14:paraId="06D25761"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Soft loan</w:t>
            </w:r>
          </w:p>
        </w:tc>
        <w:tc>
          <w:tcPr>
            <w:tcW w:w="2268" w:type="dxa"/>
            <w:shd w:val="clear" w:color="auto" w:fill="8DB3E2"/>
          </w:tcPr>
          <w:p w14:paraId="4E6ED11F"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Subsidy</w:t>
            </w:r>
          </w:p>
        </w:tc>
      </w:tr>
      <w:tr w:rsidR="006D3AD5" w:rsidRPr="00874BFF" w14:paraId="7ADBBBAC" w14:textId="77777777" w:rsidTr="00443B8F">
        <w:trPr>
          <w:trHeight w:val="793"/>
        </w:trPr>
        <w:tc>
          <w:tcPr>
            <w:tcW w:w="1729" w:type="dxa"/>
          </w:tcPr>
          <w:p w14:paraId="5C72A02D" w14:textId="77777777" w:rsidR="006D3AD5" w:rsidRPr="00874BFF" w:rsidRDefault="006D3AD5" w:rsidP="00443B8F">
            <w:pPr>
              <w:pStyle w:val="Highlight2"/>
              <w:jc w:val="left"/>
              <w:rPr>
                <w:rFonts w:ascii="Calibri" w:hAnsi="Calibri" w:cs="Calibri"/>
              </w:rPr>
            </w:pPr>
            <w:r w:rsidRPr="00874BFF">
              <w:rPr>
                <w:rFonts w:ascii="Calibri" w:hAnsi="Calibri"/>
                <w:color w:val="000000"/>
              </w:rPr>
              <w:t>Loan securing</w:t>
            </w:r>
          </w:p>
        </w:tc>
        <w:tc>
          <w:tcPr>
            <w:tcW w:w="2694" w:type="dxa"/>
          </w:tcPr>
          <w:p w14:paraId="3477D85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It  solves the problem of securing up to the amount of the guarantee, makes </w:t>
            </w:r>
            <w:r w:rsidRPr="00874BFF">
              <w:rPr>
                <w:rFonts w:ascii="Calibri" w:hAnsi="Calibri"/>
                <w:b w:val="0"/>
                <w:color w:val="000000"/>
              </w:rPr>
              <w:lastRenderedPageBreak/>
              <w:t>financing accessible to projects of SMEs without any pledge.</w:t>
            </w:r>
          </w:p>
        </w:tc>
        <w:tc>
          <w:tcPr>
            <w:tcW w:w="2268" w:type="dxa"/>
          </w:tcPr>
          <w:p w14:paraId="74B303A0"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lastRenderedPageBreak/>
              <w:t xml:space="preserve">The necessity of securing the loan remains; possible use of pledge </w:t>
            </w:r>
            <w:r w:rsidRPr="00874BFF">
              <w:rPr>
                <w:rFonts w:ascii="Calibri" w:hAnsi="Calibri"/>
                <w:b w:val="0"/>
                <w:color w:val="000000"/>
              </w:rPr>
              <w:lastRenderedPageBreak/>
              <w:t>for commercial and soft loans.</w:t>
            </w:r>
          </w:p>
        </w:tc>
        <w:tc>
          <w:tcPr>
            <w:tcW w:w="2268" w:type="dxa"/>
          </w:tcPr>
          <w:p w14:paraId="129F0DA9"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lastRenderedPageBreak/>
              <w:t xml:space="preserve">It does not solve the securing directly, it subsidises part of the </w:t>
            </w:r>
            <w:r w:rsidRPr="00874BFF">
              <w:rPr>
                <w:rFonts w:ascii="Calibri" w:hAnsi="Calibri"/>
                <w:b w:val="0"/>
                <w:color w:val="000000"/>
              </w:rPr>
              <w:lastRenderedPageBreak/>
              <w:t>investment, the problem of securing the loan for pre-financing and participation remains.</w:t>
            </w:r>
          </w:p>
        </w:tc>
      </w:tr>
      <w:tr w:rsidR="006D3AD5" w:rsidRPr="00874BFF" w14:paraId="6A95A487" w14:textId="77777777" w:rsidTr="00443B8F">
        <w:trPr>
          <w:trHeight w:val="1521"/>
        </w:trPr>
        <w:tc>
          <w:tcPr>
            <w:tcW w:w="1729" w:type="dxa"/>
          </w:tcPr>
          <w:p w14:paraId="5ABBA6ED"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lastRenderedPageBreak/>
              <w:t>Project risk</w:t>
            </w:r>
          </w:p>
        </w:tc>
        <w:tc>
          <w:tcPr>
            <w:tcW w:w="2694" w:type="dxa"/>
          </w:tcPr>
          <w:p w14:paraId="6BFFAC3C" w14:textId="58F4D46C"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It spreads the risk among the final recipient</w:t>
            </w:r>
            <w:r w:rsidR="006D3AD5" w:rsidRPr="00874BFF">
              <w:rPr>
                <w:rFonts w:ascii="Calibri" w:hAnsi="Calibri"/>
                <w:b w:val="0"/>
                <w:color w:val="000000"/>
              </w:rPr>
              <w:t>, the bank and the FI. More liquid collateral, a marked reduction of the risk for the lending institution</w:t>
            </w:r>
          </w:p>
          <w:p w14:paraId="4A7F6757"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The MA has predefined losses up to the absolute amount of the share for risk coverage.</w:t>
            </w:r>
          </w:p>
          <w:p w14:paraId="14AC6407" w14:textId="77777777" w:rsidR="006D3AD5" w:rsidRPr="00874BFF" w:rsidRDefault="006D3AD5" w:rsidP="00443B8F">
            <w:pPr>
              <w:pStyle w:val="Highlight2"/>
              <w:jc w:val="center"/>
              <w:rPr>
                <w:rFonts w:ascii="Calibri" w:hAnsi="Calibri" w:cs="Calibri"/>
                <w:b w:val="0"/>
                <w:color w:val="000000"/>
              </w:rPr>
            </w:pPr>
          </w:p>
        </w:tc>
        <w:tc>
          <w:tcPr>
            <w:tcW w:w="2268" w:type="dxa"/>
          </w:tcPr>
          <w:p w14:paraId="348617D7" w14:textId="0AC9EB65"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It spreads the risk among the final recipient</w:t>
            </w:r>
            <w:r w:rsidR="006D3AD5" w:rsidRPr="00874BFF">
              <w:rPr>
                <w:rFonts w:ascii="Calibri" w:hAnsi="Calibri"/>
                <w:b w:val="0"/>
                <w:color w:val="000000"/>
              </w:rPr>
              <w:t>, the bank and the FI.</w:t>
            </w:r>
          </w:p>
          <w:p w14:paraId="174D6EE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The MA has predefined losses up to the absolute amount of the share for risk coverage.</w:t>
            </w:r>
          </w:p>
          <w:p w14:paraId="10A40E3A" w14:textId="77777777" w:rsidR="006D3AD5" w:rsidRPr="00874BFF" w:rsidRDefault="006D3AD5" w:rsidP="00443B8F">
            <w:pPr>
              <w:pStyle w:val="Highlight2"/>
              <w:jc w:val="center"/>
              <w:rPr>
                <w:rFonts w:ascii="Calibri" w:hAnsi="Calibri" w:cs="Calibri"/>
                <w:b w:val="0"/>
                <w:color w:val="000000"/>
              </w:rPr>
            </w:pPr>
          </w:p>
        </w:tc>
        <w:tc>
          <w:tcPr>
            <w:tcW w:w="2268" w:type="dxa"/>
          </w:tcPr>
          <w:p w14:paraId="00C2820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Improvement of economic parameters of the project reduces the risk of default. Improved creditworthiness of subsidized projects.</w:t>
            </w:r>
          </w:p>
          <w:p w14:paraId="41039199" w14:textId="683466D0"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The final recipient assumes the risk only</w:t>
            </w:r>
            <w:r w:rsidR="006D3AD5" w:rsidRPr="00874BFF">
              <w:rPr>
                <w:rFonts w:ascii="Calibri" w:hAnsi="Calibri"/>
                <w:b w:val="0"/>
                <w:color w:val="000000"/>
              </w:rPr>
              <w:t xml:space="preserve"> to the amount of participation of eligible and ineligible costs (also at the amount of the subsidy if sustainability of the project is not reached). </w:t>
            </w:r>
          </w:p>
          <w:p w14:paraId="40F57DDD" w14:textId="77777777" w:rsidR="006D3AD5" w:rsidRPr="00874BFF" w:rsidRDefault="006D3AD5" w:rsidP="00443B8F">
            <w:pPr>
              <w:pStyle w:val="Highlight2"/>
              <w:jc w:val="center"/>
              <w:rPr>
                <w:rFonts w:ascii="Calibri" w:hAnsi="Calibri" w:cs="Calibri"/>
                <w:b w:val="0"/>
                <w:color w:val="000000"/>
              </w:rPr>
            </w:pPr>
          </w:p>
          <w:p w14:paraId="24EA6014" w14:textId="77777777" w:rsidR="006D3AD5" w:rsidRPr="00874BFF" w:rsidRDefault="006D3AD5" w:rsidP="00443B8F">
            <w:pPr>
              <w:pStyle w:val="Highlight2"/>
              <w:jc w:val="center"/>
              <w:rPr>
                <w:rFonts w:ascii="Calibri" w:hAnsi="Calibri" w:cs="Calibri"/>
                <w:b w:val="0"/>
                <w:color w:val="000000"/>
              </w:rPr>
            </w:pPr>
          </w:p>
          <w:p w14:paraId="4E749C1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 The MA has predefined losses up to the absolute amount of the subsidy.</w:t>
            </w:r>
          </w:p>
        </w:tc>
      </w:tr>
      <w:tr w:rsidR="006D3AD5" w:rsidRPr="00874BFF" w14:paraId="36704888" w14:textId="77777777" w:rsidTr="00443B8F">
        <w:tc>
          <w:tcPr>
            <w:tcW w:w="1729" w:type="dxa"/>
          </w:tcPr>
          <w:p w14:paraId="09D5BE64" w14:textId="77777777" w:rsidR="006D3AD5" w:rsidRPr="00874BFF" w:rsidRDefault="006D3AD5" w:rsidP="00443B8F">
            <w:pPr>
              <w:pStyle w:val="Highlight2"/>
              <w:jc w:val="left"/>
              <w:rPr>
                <w:rFonts w:ascii="Calibri" w:hAnsi="Calibri" w:cs="Calibri"/>
              </w:rPr>
            </w:pPr>
            <w:r w:rsidRPr="00874BFF">
              <w:rPr>
                <w:rFonts w:ascii="Calibri" w:hAnsi="Calibri"/>
                <w:color w:val="000000"/>
              </w:rPr>
              <w:t>Administrative burden</w:t>
            </w:r>
          </w:p>
        </w:tc>
        <w:tc>
          <w:tcPr>
            <w:tcW w:w="2694" w:type="dxa"/>
          </w:tcPr>
          <w:p w14:paraId="67F5B2A8"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Simpler administration, without any risk of withdrawal of support due to technical mistakes</w:t>
            </w:r>
          </w:p>
          <w:p w14:paraId="57D3B6F0" w14:textId="77777777" w:rsidR="006D3AD5" w:rsidRPr="00874BFF" w:rsidRDefault="006D3AD5" w:rsidP="00443B8F">
            <w:pPr>
              <w:pStyle w:val="Highlight2"/>
              <w:jc w:val="center"/>
              <w:rPr>
                <w:rFonts w:ascii="Calibri" w:hAnsi="Calibri" w:cs="Calibri"/>
                <w:b w:val="0"/>
                <w:color w:val="000000"/>
              </w:rPr>
            </w:pPr>
          </w:p>
        </w:tc>
        <w:tc>
          <w:tcPr>
            <w:tcW w:w="2268" w:type="dxa"/>
          </w:tcPr>
          <w:p w14:paraId="701E0235"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t>Simpler administration, without any risk of withdrawal of support due to technical mistakes</w:t>
            </w:r>
          </w:p>
        </w:tc>
        <w:tc>
          <w:tcPr>
            <w:tcW w:w="2268" w:type="dxa"/>
          </w:tcPr>
          <w:p w14:paraId="4A47901B" w14:textId="2228DD75" w:rsidR="006D3AD5" w:rsidRPr="00874BFF" w:rsidRDefault="00CF3F95" w:rsidP="00443B8F">
            <w:pPr>
              <w:pStyle w:val="Highlight2"/>
              <w:jc w:val="center"/>
              <w:rPr>
                <w:rFonts w:ascii="Calibri" w:hAnsi="Calibri" w:cs="Calibri"/>
                <w:b w:val="0"/>
                <w:color w:val="000000"/>
              </w:rPr>
            </w:pPr>
            <w:r>
              <w:rPr>
                <w:rFonts w:ascii="Calibri" w:hAnsi="Calibri"/>
                <w:b w:val="0"/>
                <w:color w:val="000000"/>
              </w:rPr>
              <w:t>High administrative and regulatory burden limits final recipients</w:t>
            </w:r>
            <w:r w:rsidR="006D3AD5" w:rsidRPr="00874BFF">
              <w:rPr>
                <w:rFonts w:ascii="Calibri" w:hAnsi="Calibri"/>
                <w:b w:val="0"/>
                <w:color w:val="000000"/>
              </w:rPr>
              <w:t xml:space="preserve">, increases costs and poses a risk of withdrawal of subsidy. </w:t>
            </w:r>
          </w:p>
        </w:tc>
      </w:tr>
      <w:tr w:rsidR="006D3AD5" w:rsidRPr="00874BFF" w14:paraId="4EB17B78" w14:textId="77777777" w:rsidTr="00443B8F">
        <w:trPr>
          <w:trHeight w:val="1474"/>
        </w:trPr>
        <w:tc>
          <w:tcPr>
            <w:tcW w:w="1729" w:type="dxa"/>
          </w:tcPr>
          <w:p w14:paraId="0C9B5264" w14:textId="77777777" w:rsidR="006D3AD5" w:rsidRPr="00874BFF" w:rsidRDefault="006D3AD5" w:rsidP="00443B8F">
            <w:pPr>
              <w:rPr>
                <w:sz w:val="19"/>
              </w:rPr>
            </w:pPr>
            <w:r w:rsidRPr="00874BFF">
              <w:rPr>
                <w:b/>
                <w:sz w:val="20"/>
              </w:rPr>
              <w:t>Overall effect on investment activity and absorption in SO</w:t>
            </w:r>
          </w:p>
        </w:tc>
        <w:tc>
          <w:tcPr>
            <w:tcW w:w="2694" w:type="dxa"/>
          </w:tcPr>
          <w:p w14:paraId="3DB476A8"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xml:space="preserve">Positive effect of making external financing accessible and reduction of the degree of securing </w:t>
            </w:r>
          </w:p>
          <w:p w14:paraId="4F38EAF0"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Support is adequate to the market failure and encourages SMEs to pursue development activity. It is a high leverage effect for private resources.</w:t>
            </w:r>
          </w:p>
        </w:tc>
        <w:tc>
          <w:tcPr>
            <w:tcW w:w="2268" w:type="dxa"/>
          </w:tcPr>
          <w:p w14:paraId="5599E635" w14:textId="77777777" w:rsidR="006D3AD5" w:rsidRPr="00874BFF" w:rsidRDefault="006D3AD5" w:rsidP="00443B8F">
            <w:pPr>
              <w:rPr>
                <w:sz w:val="19"/>
              </w:rPr>
            </w:pPr>
            <w:r w:rsidRPr="00874BFF">
              <w:rPr>
                <w:sz w:val="20"/>
              </w:rPr>
              <w:t>A substantial reduction of the debt service, it gives access to higher external financing.</w:t>
            </w:r>
          </w:p>
          <w:p w14:paraId="0C21641C" w14:textId="77777777" w:rsidR="006D3AD5" w:rsidRPr="00874BFF" w:rsidRDefault="006D3AD5" w:rsidP="00443B8F">
            <w:pPr>
              <w:rPr>
                <w:b/>
                <w:sz w:val="19"/>
              </w:rPr>
            </w:pPr>
            <w:r w:rsidRPr="00874BFF">
              <w:rPr>
                <w:color w:val="000000"/>
                <w:sz w:val="20"/>
              </w:rPr>
              <w:t>– Support is adequate to the market failure and encourages SMEs to pursue development activity. More projects can be supported thanks to the revolving facility.</w:t>
            </w:r>
          </w:p>
        </w:tc>
        <w:tc>
          <w:tcPr>
            <w:tcW w:w="2268" w:type="dxa"/>
          </w:tcPr>
          <w:p w14:paraId="780A4C60" w14:textId="77777777" w:rsidR="006D3AD5" w:rsidRPr="00874BFF" w:rsidRDefault="006D3AD5" w:rsidP="00443B8F">
            <w:pPr>
              <w:rPr>
                <w:color w:val="000000"/>
                <w:sz w:val="20"/>
              </w:rPr>
            </w:pPr>
            <w:r w:rsidRPr="00874BFF">
              <w:rPr>
                <w:color w:val="000000"/>
                <w:sz w:val="20"/>
              </w:rPr>
              <w:t>Potential for supporting a higher number of unsustainable projects.</w:t>
            </w:r>
          </w:p>
          <w:p w14:paraId="3E2106A5" w14:textId="77777777" w:rsidR="006D3AD5" w:rsidRPr="00874BFF" w:rsidRDefault="006D3AD5" w:rsidP="00443B8F">
            <w:pPr>
              <w:rPr>
                <w:color w:val="000000"/>
                <w:sz w:val="19"/>
              </w:rPr>
            </w:pPr>
            <w:r w:rsidRPr="00874BFF">
              <w:rPr>
                <w:color w:val="000000"/>
                <w:sz w:val="20"/>
              </w:rPr>
              <w:t>Limitation due to administrative complexity.</w:t>
            </w:r>
          </w:p>
          <w:p w14:paraId="1408C6E1" w14:textId="77777777" w:rsidR="006D3AD5" w:rsidRPr="00874BFF" w:rsidRDefault="006D3AD5" w:rsidP="00443B8F">
            <w:pPr>
              <w:rPr>
                <w:color w:val="000000"/>
                <w:sz w:val="19"/>
              </w:rPr>
            </w:pPr>
            <w:r w:rsidRPr="00874BFF">
              <w:rPr>
                <w:color w:val="000000"/>
                <w:sz w:val="20"/>
              </w:rPr>
              <w:t>Limitation due to a lack of available funds reduces effective support of the investment demand.</w:t>
            </w:r>
          </w:p>
          <w:p w14:paraId="2FC25E89" w14:textId="77777777" w:rsidR="006D3AD5" w:rsidRPr="00874BFF" w:rsidRDefault="006D3AD5" w:rsidP="00443B8F">
            <w:pPr>
              <w:rPr>
                <w:b/>
                <w:color w:val="000000"/>
                <w:sz w:val="19"/>
              </w:rPr>
            </w:pPr>
          </w:p>
        </w:tc>
      </w:tr>
      <w:tr w:rsidR="006D3AD5" w:rsidRPr="00874BFF" w14:paraId="548F426F" w14:textId="77777777" w:rsidTr="00443B8F">
        <w:tc>
          <w:tcPr>
            <w:tcW w:w="1729" w:type="dxa"/>
          </w:tcPr>
          <w:p w14:paraId="09DA924C"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Effect on disruption of the market environment</w:t>
            </w:r>
          </w:p>
        </w:tc>
        <w:tc>
          <w:tcPr>
            <w:tcW w:w="2694" w:type="dxa"/>
          </w:tcPr>
          <w:p w14:paraId="212B3013"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Little effect on the market environment, increase in competition by removal of the financial barrier to small stakeholders, relief of risk policy of financial institutions.</w:t>
            </w:r>
          </w:p>
        </w:tc>
        <w:tc>
          <w:tcPr>
            <w:tcW w:w="2268" w:type="dxa"/>
          </w:tcPr>
          <w:p w14:paraId="10E000CD"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Little effect on the market environment, recoverable support encourages stakeholders to act economically and efficiently.</w:t>
            </w:r>
          </w:p>
          <w:p w14:paraId="7C8B7F47"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Supplement to the private financial market.</w:t>
            </w:r>
          </w:p>
        </w:tc>
        <w:tc>
          <w:tcPr>
            <w:tcW w:w="2268" w:type="dxa"/>
          </w:tcPr>
          <w:p w14:paraId="0E9EB996" w14:textId="3A317795"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 xml:space="preserve">Strong </w:t>
            </w:r>
            <w:r w:rsidR="008F5F02">
              <w:rPr>
                <w:rFonts w:ascii="Calibri" w:hAnsi="Calibri"/>
                <w:b w:val="0"/>
                <w:color w:val="000000"/>
              </w:rPr>
              <w:t>financial benefit for final recipients</w:t>
            </w:r>
            <w:r w:rsidRPr="00874BFF">
              <w:rPr>
                <w:rFonts w:ascii="Calibri" w:hAnsi="Calibri"/>
                <w:b w:val="0"/>
                <w:color w:val="000000"/>
              </w:rPr>
              <w:t>, it generates lower pressure on economic results of the project.</w:t>
            </w:r>
          </w:p>
          <w:p w14:paraId="7A426D74"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Supporting even projects of inferior quality without potential of long-term sustainability and profitability – limitation of market efficiency.</w:t>
            </w:r>
          </w:p>
          <w:p w14:paraId="616E03A9"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Partial crowding out of private funding</w:t>
            </w:r>
          </w:p>
        </w:tc>
      </w:tr>
    </w:tbl>
    <w:p w14:paraId="16F48693" w14:textId="77777777" w:rsidR="006D3AD5" w:rsidRPr="00874BFF" w:rsidRDefault="006D3AD5" w:rsidP="006D3AD5"/>
    <w:p w14:paraId="3DDB7E9C" w14:textId="17F26F32" w:rsidR="006D3AD5" w:rsidRPr="00874BFF" w:rsidRDefault="006D3AD5" w:rsidP="006D3AD5">
      <w:pPr>
        <w:pStyle w:val="Titulek"/>
      </w:pPr>
      <w:r w:rsidRPr="00874BFF">
        <w:lastRenderedPageBreak/>
        <w:t>Table 3</w:t>
      </w:r>
      <w:r w:rsidR="00035834">
        <w:t>8</w:t>
      </w:r>
      <w:r w:rsidRPr="00874BFF">
        <w:t xml:space="preserve"> – Added value of support for the objectives of SO 2.1 (established SMEs), OP EIC, and impact on the market environment</w:t>
      </w:r>
    </w:p>
    <w:p w14:paraId="2894EBE8" w14:textId="77777777" w:rsidR="006D3AD5" w:rsidRPr="00874BFF" w:rsidRDefault="006D3AD5" w:rsidP="006D3AD5"/>
    <w:p w14:paraId="742AF6D3" w14:textId="77777777" w:rsidR="006D3AD5" w:rsidRPr="00874BFF" w:rsidRDefault="006D3AD5" w:rsidP="006D3AD5">
      <w:r w:rsidRPr="00874BFF">
        <w:t>A profit making potential of SMEs' development projects in SO 2.1 should be a matter-of-course component of these investments and we do not consider useful to use the subsidy support for this type of projects which moreover places excessive demands on SMEs by administrative burden and constraints in tendering procedures. With regard to the identified market failure and the objectives to make the most efficient use of the funds from the OP EI to increase investment activities, the combination of a loan instrument and guarantees seems to be reasonable. Both instruments cope with the problem of accessibility of funding for SMEs and at the same time they constitute a good combination in terms of leverage and revolving effects. Guarantees will enable a high number of activated private resources, loans will secure funding for support of SMEs even in the next period of time.</w:t>
      </w:r>
    </w:p>
    <w:p w14:paraId="2F4BEACC" w14:textId="77777777" w:rsidR="006D3AD5" w:rsidRPr="00874BFF" w:rsidRDefault="006D3AD5" w:rsidP="006D3AD5">
      <w:pPr>
        <w:pStyle w:val="Neslovannadpisy"/>
      </w:pPr>
    </w:p>
    <w:p w14:paraId="0E7B6E8D" w14:textId="77777777" w:rsidR="006D3AD5" w:rsidRPr="00874BFF" w:rsidRDefault="006D3AD5" w:rsidP="006D3AD5">
      <w:pPr>
        <w:pStyle w:val="Neslovannadpisy"/>
      </w:pPr>
      <w:r w:rsidRPr="00874BFF">
        <w:t>Starting innovative SMEs</w:t>
      </w:r>
    </w:p>
    <w:p w14:paraId="304CD3EA" w14:textId="77777777" w:rsidR="006D3AD5" w:rsidRPr="00874BFF" w:rsidRDefault="006D3AD5" w:rsidP="006D3AD5">
      <w:pPr>
        <w:pStyle w:val="Neslovannadpisy"/>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874BFF" w14:paraId="7B1B3635" w14:textId="77777777" w:rsidTr="00443B8F">
        <w:trPr>
          <w:trHeight w:val="315"/>
        </w:trPr>
        <w:tc>
          <w:tcPr>
            <w:tcW w:w="960" w:type="dxa"/>
            <w:shd w:val="clear" w:color="auto" w:fill="365F91"/>
            <w:noWrap/>
            <w:vAlign w:val="bottom"/>
          </w:tcPr>
          <w:p w14:paraId="0E6A96CC" w14:textId="77777777" w:rsidR="006D3AD5" w:rsidRPr="00874BFF" w:rsidRDefault="006D3AD5" w:rsidP="00443B8F">
            <w:pPr>
              <w:jc w:val="left"/>
              <w:rPr>
                <w:sz w:val="24"/>
                <w:szCs w:val="24"/>
              </w:rPr>
            </w:pPr>
          </w:p>
        </w:tc>
        <w:tc>
          <w:tcPr>
            <w:tcW w:w="960" w:type="dxa"/>
            <w:shd w:val="clear" w:color="auto" w:fill="365F91"/>
            <w:noWrap/>
            <w:vAlign w:val="bottom"/>
          </w:tcPr>
          <w:p w14:paraId="2A27BAF8" w14:textId="77777777" w:rsidR="006D3AD5" w:rsidRPr="00874BFF" w:rsidRDefault="006D3AD5" w:rsidP="00443B8F">
            <w:pPr>
              <w:jc w:val="left"/>
              <w:rPr>
                <w:color w:val="000000"/>
                <w:sz w:val="24"/>
                <w:szCs w:val="24"/>
              </w:rPr>
            </w:pPr>
            <w:r w:rsidRPr="00874BFF">
              <w:rPr>
                <w:color w:val="000000"/>
                <w:sz w:val="24"/>
              </w:rPr>
              <w:t> </w:t>
            </w:r>
          </w:p>
        </w:tc>
        <w:tc>
          <w:tcPr>
            <w:tcW w:w="4744" w:type="dxa"/>
            <w:gridSpan w:val="2"/>
            <w:shd w:val="clear" w:color="auto" w:fill="365F91"/>
            <w:noWrap/>
            <w:vAlign w:val="center"/>
          </w:tcPr>
          <w:p w14:paraId="513C9209" w14:textId="77777777" w:rsidR="006D3AD5" w:rsidRPr="00874BFF" w:rsidRDefault="006D3AD5" w:rsidP="00443B8F">
            <w:pPr>
              <w:jc w:val="center"/>
              <w:rPr>
                <w:b/>
                <w:bCs/>
                <w:color w:val="FFFFFF"/>
                <w:sz w:val="24"/>
                <w:szCs w:val="24"/>
              </w:rPr>
            </w:pPr>
            <w:r w:rsidRPr="00874BFF">
              <w:rPr>
                <w:b/>
                <w:color w:val="FFFFFF"/>
                <w:sz w:val="24"/>
              </w:rPr>
              <w:t>Financial instrument</w:t>
            </w:r>
          </w:p>
        </w:tc>
        <w:tc>
          <w:tcPr>
            <w:tcW w:w="2330" w:type="dxa"/>
            <w:shd w:val="clear" w:color="auto" w:fill="365F91"/>
          </w:tcPr>
          <w:p w14:paraId="1BBB4A39" w14:textId="77777777" w:rsidR="006D3AD5" w:rsidRPr="00874BFF" w:rsidRDefault="006D3AD5" w:rsidP="00443B8F">
            <w:pPr>
              <w:jc w:val="center"/>
              <w:rPr>
                <w:b/>
                <w:bCs/>
                <w:color w:val="FFFFFF"/>
                <w:sz w:val="24"/>
                <w:szCs w:val="24"/>
              </w:rPr>
            </w:pPr>
            <w:r w:rsidRPr="00874BFF">
              <w:rPr>
                <w:b/>
                <w:color w:val="FFFFFF"/>
                <w:sz w:val="24"/>
              </w:rPr>
              <w:t>Subsidy</w:t>
            </w:r>
          </w:p>
        </w:tc>
      </w:tr>
      <w:tr w:rsidR="006D3AD5" w:rsidRPr="00874BFF" w14:paraId="41E1EA1E" w14:textId="77777777" w:rsidTr="00443B8F">
        <w:tblPrEx>
          <w:tblCellMar>
            <w:left w:w="108" w:type="dxa"/>
            <w:right w:w="108" w:type="dxa"/>
          </w:tblCellMar>
        </w:tblPrEx>
        <w:trPr>
          <w:trHeight w:val="315"/>
        </w:trPr>
        <w:tc>
          <w:tcPr>
            <w:tcW w:w="960" w:type="dxa"/>
            <w:shd w:val="clear" w:color="auto" w:fill="8DB3E2"/>
            <w:noWrap/>
          </w:tcPr>
          <w:p w14:paraId="5DFB96B9" w14:textId="77777777" w:rsidR="006D3AD5" w:rsidRPr="00874BFF" w:rsidRDefault="006D3AD5" w:rsidP="00443B8F">
            <w:pPr>
              <w:jc w:val="center"/>
              <w:rPr>
                <w:b/>
                <w:bCs/>
                <w:color w:val="000000"/>
                <w:sz w:val="24"/>
                <w:szCs w:val="24"/>
              </w:rPr>
            </w:pPr>
          </w:p>
        </w:tc>
        <w:tc>
          <w:tcPr>
            <w:tcW w:w="960" w:type="dxa"/>
            <w:shd w:val="clear" w:color="auto" w:fill="8DB3E2"/>
            <w:noWrap/>
          </w:tcPr>
          <w:p w14:paraId="17D220A2" w14:textId="77777777" w:rsidR="006D3AD5" w:rsidRPr="00874BFF" w:rsidRDefault="006D3AD5" w:rsidP="00443B8F">
            <w:pPr>
              <w:jc w:val="left"/>
              <w:rPr>
                <w:color w:val="000000"/>
                <w:sz w:val="24"/>
                <w:szCs w:val="24"/>
              </w:rPr>
            </w:pPr>
            <w:r w:rsidRPr="00874BFF">
              <w:rPr>
                <w:color w:val="000000"/>
                <w:sz w:val="24"/>
              </w:rPr>
              <w:t> </w:t>
            </w:r>
          </w:p>
        </w:tc>
        <w:tc>
          <w:tcPr>
            <w:tcW w:w="2414" w:type="dxa"/>
            <w:shd w:val="clear" w:color="auto" w:fill="8DB3E2"/>
          </w:tcPr>
          <w:p w14:paraId="733AB021" w14:textId="77777777" w:rsidR="006D3AD5" w:rsidRPr="00874BFF" w:rsidRDefault="006D3AD5" w:rsidP="00443B8F">
            <w:pPr>
              <w:jc w:val="center"/>
              <w:rPr>
                <w:b/>
                <w:bCs/>
                <w:color w:val="FFFFFF"/>
                <w:sz w:val="24"/>
                <w:szCs w:val="24"/>
              </w:rPr>
            </w:pPr>
            <w:r w:rsidRPr="00874BFF">
              <w:rPr>
                <w:b/>
                <w:color w:val="FFFFFF"/>
                <w:sz w:val="24"/>
              </w:rPr>
              <w:t>Equity investments</w:t>
            </w:r>
          </w:p>
        </w:tc>
        <w:tc>
          <w:tcPr>
            <w:tcW w:w="2330" w:type="dxa"/>
            <w:shd w:val="clear" w:color="auto" w:fill="8DB3E2"/>
          </w:tcPr>
          <w:p w14:paraId="2D83D48E" w14:textId="77777777" w:rsidR="006D3AD5" w:rsidRPr="00874BFF" w:rsidRDefault="006D3AD5" w:rsidP="00443B8F">
            <w:pPr>
              <w:jc w:val="center"/>
              <w:rPr>
                <w:b/>
                <w:bCs/>
                <w:color w:val="FFFFFF"/>
                <w:sz w:val="24"/>
                <w:szCs w:val="24"/>
              </w:rPr>
            </w:pPr>
            <w:r w:rsidRPr="00874BFF">
              <w:rPr>
                <w:b/>
                <w:color w:val="FFFFFF"/>
                <w:sz w:val="24"/>
              </w:rPr>
              <w:t>Soft loan</w:t>
            </w:r>
          </w:p>
        </w:tc>
        <w:tc>
          <w:tcPr>
            <w:tcW w:w="2330" w:type="dxa"/>
            <w:shd w:val="clear" w:color="auto" w:fill="8DB3E2"/>
          </w:tcPr>
          <w:p w14:paraId="357E1B16" w14:textId="77777777" w:rsidR="006D3AD5" w:rsidRPr="00874BFF" w:rsidRDefault="006D3AD5" w:rsidP="00443B8F">
            <w:pPr>
              <w:jc w:val="center"/>
              <w:rPr>
                <w:b/>
                <w:bCs/>
                <w:color w:val="FFFFFF"/>
                <w:sz w:val="24"/>
                <w:szCs w:val="24"/>
              </w:rPr>
            </w:pPr>
          </w:p>
        </w:tc>
      </w:tr>
      <w:tr w:rsidR="006D3AD5" w:rsidRPr="00874BFF" w14:paraId="5FE2AAF5" w14:textId="77777777" w:rsidTr="00443B8F">
        <w:tblPrEx>
          <w:tblCellMar>
            <w:left w:w="108" w:type="dxa"/>
            <w:right w:w="108" w:type="dxa"/>
          </w:tblCellMar>
        </w:tblPrEx>
        <w:trPr>
          <w:trHeight w:val="720"/>
        </w:trPr>
        <w:tc>
          <w:tcPr>
            <w:tcW w:w="960" w:type="dxa"/>
            <w:vMerge w:val="restart"/>
            <w:shd w:val="clear" w:color="auto" w:fill="8DB3E2"/>
            <w:noWrap/>
            <w:textDirection w:val="btLr"/>
          </w:tcPr>
          <w:p w14:paraId="12DF538C" w14:textId="41FC460A" w:rsidR="006D3AD5" w:rsidRPr="00874BFF" w:rsidRDefault="008F5F02" w:rsidP="00443B8F">
            <w:pPr>
              <w:jc w:val="center"/>
              <w:rPr>
                <w:b/>
                <w:bCs/>
                <w:color w:val="FFFFFF"/>
                <w:sz w:val="24"/>
                <w:szCs w:val="24"/>
              </w:rPr>
            </w:pPr>
            <w:r>
              <w:rPr>
                <w:b/>
                <w:color w:val="FFFFFF"/>
                <w:sz w:val="24"/>
              </w:rPr>
              <w:t>Added value of public support for final recipients</w:t>
            </w:r>
            <w:r w:rsidR="006D3AD5" w:rsidRPr="00874BFF">
              <w:rPr>
                <w:b/>
                <w:color w:val="FFFFFF"/>
                <w:sz w:val="24"/>
              </w:rPr>
              <w:t xml:space="preserve"> and the MA</w:t>
            </w:r>
          </w:p>
        </w:tc>
        <w:tc>
          <w:tcPr>
            <w:tcW w:w="960" w:type="dxa"/>
            <w:vMerge w:val="restart"/>
            <w:shd w:val="clear" w:color="auto" w:fill="8DB3E2"/>
            <w:noWrap/>
            <w:textDirection w:val="btLr"/>
          </w:tcPr>
          <w:p w14:paraId="1C94E2C0"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8DB3E2"/>
          </w:tcPr>
          <w:p w14:paraId="16CB9EC4" w14:textId="77777777" w:rsidR="006D3AD5" w:rsidRPr="00874BFF" w:rsidRDefault="006D3AD5" w:rsidP="00443B8F">
            <w:pPr>
              <w:jc w:val="center"/>
              <w:rPr>
                <w:b/>
                <w:color w:val="FFFFFF"/>
                <w:sz w:val="20"/>
              </w:rPr>
            </w:pPr>
            <w:r w:rsidRPr="00874BFF">
              <w:rPr>
                <w:b/>
                <w:color w:val="FFFFFF"/>
                <w:sz w:val="20"/>
              </w:rPr>
              <w:t>Provision of capital for development</w:t>
            </w:r>
          </w:p>
        </w:tc>
        <w:tc>
          <w:tcPr>
            <w:tcW w:w="2330" w:type="dxa"/>
            <w:shd w:val="clear" w:color="auto" w:fill="8DB3E2"/>
          </w:tcPr>
          <w:p w14:paraId="1C9695D4" w14:textId="77777777" w:rsidR="006D3AD5" w:rsidRPr="00874BFF" w:rsidRDefault="006D3AD5" w:rsidP="00443B8F">
            <w:pPr>
              <w:jc w:val="center"/>
              <w:rPr>
                <w:b/>
                <w:color w:val="FFFFFF"/>
                <w:sz w:val="20"/>
              </w:rPr>
            </w:pPr>
            <w:r w:rsidRPr="00874BFF">
              <w:rPr>
                <w:b/>
                <w:color w:val="FFFFFF"/>
                <w:sz w:val="20"/>
              </w:rPr>
              <w:t>Potential access to financing</w:t>
            </w:r>
          </w:p>
        </w:tc>
        <w:tc>
          <w:tcPr>
            <w:tcW w:w="2330" w:type="dxa"/>
            <w:shd w:val="clear" w:color="auto" w:fill="8DB3E2"/>
          </w:tcPr>
          <w:p w14:paraId="57FEAA93" w14:textId="77777777" w:rsidR="006D3AD5" w:rsidRPr="00874BFF" w:rsidRDefault="006D3AD5" w:rsidP="00443B8F">
            <w:pPr>
              <w:jc w:val="center"/>
              <w:rPr>
                <w:b/>
                <w:color w:val="FFFFFF"/>
                <w:sz w:val="20"/>
              </w:rPr>
            </w:pPr>
            <w:r w:rsidRPr="00874BFF">
              <w:rPr>
                <w:b/>
                <w:color w:val="FFFFFF"/>
                <w:sz w:val="20"/>
              </w:rPr>
              <w:t>Non-repayable contribution for the project</w:t>
            </w:r>
          </w:p>
        </w:tc>
      </w:tr>
      <w:tr w:rsidR="006D3AD5" w:rsidRPr="00874BFF" w14:paraId="6A26A935" w14:textId="77777777" w:rsidTr="00443B8F">
        <w:tblPrEx>
          <w:tblCellMar>
            <w:left w:w="108" w:type="dxa"/>
            <w:right w:w="108" w:type="dxa"/>
          </w:tblCellMar>
        </w:tblPrEx>
        <w:trPr>
          <w:trHeight w:val="480"/>
        </w:trPr>
        <w:tc>
          <w:tcPr>
            <w:tcW w:w="960" w:type="dxa"/>
            <w:vMerge/>
            <w:shd w:val="clear" w:color="auto" w:fill="8DB3E2"/>
          </w:tcPr>
          <w:p w14:paraId="15C565E1" w14:textId="77777777" w:rsidR="006D3AD5" w:rsidRPr="00874BFF" w:rsidRDefault="006D3AD5" w:rsidP="00443B8F">
            <w:pPr>
              <w:jc w:val="left"/>
              <w:rPr>
                <w:b/>
                <w:bCs/>
                <w:color w:val="FFFFFF"/>
                <w:sz w:val="24"/>
                <w:szCs w:val="24"/>
              </w:rPr>
            </w:pPr>
          </w:p>
        </w:tc>
        <w:tc>
          <w:tcPr>
            <w:tcW w:w="960" w:type="dxa"/>
            <w:vMerge/>
            <w:shd w:val="clear" w:color="auto" w:fill="8DB3E2"/>
          </w:tcPr>
          <w:p w14:paraId="50E2194B" w14:textId="77777777" w:rsidR="006D3AD5" w:rsidRPr="00874BFF" w:rsidRDefault="006D3AD5" w:rsidP="00443B8F">
            <w:pPr>
              <w:jc w:val="left"/>
              <w:rPr>
                <w:b/>
                <w:bCs/>
                <w:color w:val="FFFFFF"/>
                <w:sz w:val="24"/>
                <w:szCs w:val="24"/>
              </w:rPr>
            </w:pPr>
          </w:p>
        </w:tc>
        <w:tc>
          <w:tcPr>
            <w:tcW w:w="2414" w:type="dxa"/>
            <w:shd w:val="clear" w:color="auto" w:fill="8DB3E2"/>
          </w:tcPr>
          <w:p w14:paraId="0CF120B3" w14:textId="77777777" w:rsidR="006D3AD5" w:rsidRPr="00874BFF" w:rsidRDefault="006D3AD5" w:rsidP="00443B8F">
            <w:pPr>
              <w:jc w:val="center"/>
              <w:rPr>
                <w:b/>
                <w:color w:val="FFFFFF"/>
                <w:sz w:val="20"/>
              </w:rPr>
            </w:pPr>
            <w:r w:rsidRPr="00874BFF">
              <w:rPr>
                <w:b/>
                <w:color w:val="FFFFFF"/>
                <w:sz w:val="20"/>
              </w:rPr>
              <w:t>Possibility of flexible management of the funds</w:t>
            </w:r>
          </w:p>
        </w:tc>
        <w:tc>
          <w:tcPr>
            <w:tcW w:w="2330" w:type="dxa"/>
            <w:shd w:val="clear" w:color="auto" w:fill="8DB3E2"/>
          </w:tcPr>
          <w:p w14:paraId="19802D53" w14:textId="77777777" w:rsidR="006D3AD5" w:rsidRPr="00874BFF" w:rsidRDefault="006D3AD5" w:rsidP="00443B8F">
            <w:pPr>
              <w:jc w:val="center"/>
              <w:rPr>
                <w:b/>
                <w:color w:val="FFFFFF"/>
                <w:sz w:val="20"/>
              </w:rPr>
            </w:pPr>
            <w:r w:rsidRPr="00874BFF">
              <w:rPr>
                <w:b/>
                <w:color w:val="FFFFFF"/>
                <w:sz w:val="20"/>
              </w:rPr>
              <w:t>Reduced debt service</w:t>
            </w:r>
          </w:p>
        </w:tc>
        <w:tc>
          <w:tcPr>
            <w:tcW w:w="2330" w:type="dxa"/>
            <w:shd w:val="clear" w:color="auto" w:fill="8DB3E2"/>
          </w:tcPr>
          <w:p w14:paraId="655788C4" w14:textId="77777777" w:rsidR="006D3AD5" w:rsidRPr="00874BFF" w:rsidRDefault="006D3AD5" w:rsidP="00443B8F">
            <w:pPr>
              <w:jc w:val="center"/>
              <w:rPr>
                <w:b/>
                <w:color w:val="FFFFFF"/>
                <w:sz w:val="20"/>
              </w:rPr>
            </w:pPr>
            <w:r w:rsidRPr="00874BFF">
              <w:rPr>
                <w:b/>
                <w:color w:val="FFFFFF"/>
                <w:sz w:val="20"/>
              </w:rPr>
              <w:t>Highly reduced investment costs</w:t>
            </w:r>
          </w:p>
        </w:tc>
      </w:tr>
      <w:tr w:rsidR="006D3AD5" w:rsidRPr="00874BFF" w14:paraId="42FE8328" w14:textId="77777777" w:rsidTr="00443B8F">
        <w:tblPrEx>
          <w:tblCellMar>
            <w:left w:w="108" w:type="dxa"/>
            <w:right w:w="108" w:type="dxa"/>
          </w:tblCellMar>
        </w:tblPrEx>
        <w:trPr>
          <w:trHeight w:val="720"/>
        </w:trPr>
        <w:tc>
          <w:tcPr>
            <w:tcW w:w="960" w:type="dxa"/>
            <w:vMerge/>
            <w:shd w:val="clear" w:color="auto" w:fill="8DB3E2"/>
          </w:tcPr>
          <w:p w14:paraId="68364692" w14:textId="77777777" w:rsidR="006D3AD5" w:rsidRPr="00874BFF" w:rsidRDefault="006D3AD5" w:rsidP="00443B8F">
            <w:pPr>
              <w:jc w:val="left"/>
              <w:rPr>
                <w:b/>
                <w:bCs/>
                <w:color w:val="FFFFFF"/>
                <w:sz w:val="24"/>
                <w:szCs w:val="24"/>
              </w:rPr>
            </w:pPr>
          </w:p>
        </w:tc>
        <w:tc>
          <w:tcPr>
            <w:tcW w:w="960" w:type="dxa"/>
            <w:vMerge/>
            <w:shd w:val="clear" w:color="auto" w:fill="8DB3E2"/>
          </w:tcPr>
          <w:p w14:paraId="053E3399" w14:textId="77777777" w:rsidR="006D3AD5" w:rsidRPr="00874BFF" w:rsidRDefault="006D3AD5" w:rsidP="00443B8F">
            <w:pPr>
              <w:jc w:val="left"/>
              <w:rPr>
                <w:b/>
                <w:bCs/>
                <w:color w:val="FFFFFF"/>
                <w:sz w:val="24"/>
                <w:szCs w:val="24"/>
              </w:rPr>
            </w:pPr>
          </w:p>
        </w:tc>
        <w:tc>
          <w:tcPr>
            <w:tcW w:w="2414" w:type="dxa"/>
            <w:shd w:val="clear" w:color="auto" w:fill="8DB3E2"/>
          </w:tcPr>
          <w:p w14:paraId="3E4E1EEB" w14:textId="77777777" w:rsidR="006D3AD5" w:rsidRPr="00874BFF" w:rsidRDefault="006D3AD5" w:rsidP="00443B8F">
            <w:pPr>
              <w:jc w:val="center"/>
              <w:rPr>
                <w:b/>
                <w:color w:val="FFFFFF"/>
                <w:sz w:val="20"/>
              </w:rPr>
            </w:pPr>
            <w:r w:rsidRPr="00874BFF">
              <w:rPr>
                <w:b/>
                <w:color w:val="FFFFFF"/>
                <w:sz w:val="20"/>
              </w:rPr>
              <w:t>Increasing potential credit worthiness of the entity strengthened by capital</w:t>
            </w:r>
          </w:p>
        </w:tc>
        <w:tc>
          <w:tcPr>
            <w:tcW w:w="2330" w:type="dxa"/>
            <w:shd w:val="clear" w:color="auto" w:fill="8DB3E2"/>
          </w:tcPr>
          <w:p w14:paraId="5604E8E6" w14:textId="77777777" w:rsidR="006D3AD5" w:rsidRPr="00874BFF" w:rsidRDefault="006D3AD5" w:rsidP="00443B8F">
            <w:pPr>
              <w:jc w:val="center"/>
              <w:rPr>
                <w:b/>
                <w:color w:val="FFFFFF"/>
                <w:sz w:val="20"/>
              </w:rPr>
            </w:pPr>
            <w:r w:rsidRPr="00874BFF">
              <w:rPr>
                <w:b/>
                <w:color w:val="FFFFFF"/>
                <w:sz w:val="20"/>
              </w:rPr>
              <w:t>Longer payback period</w:t>
            </w:r>
          </w:p>
        </w:tc>
        <w:tc>
          <w:tcPr>
            <w:tcW w:w="2330" w:type="dxa"/>
            <w:shd w:val="clear" w:color="auto" w:fill="8DB3E2"/>
          </w:tcPr>
          <w:p w14:paraId="15679CFE" w14:textId="77777777" w:rsidR="006D3AD5" w:rsidRPr="00874BFF" w:rsidRDefault="006D3AD5" w:rsidP="00443B8F">
            <w:pPr>
              <w:jc w:val="center"/>
              <w:rPr>
                <w:b/>
                <w:color w:val="FFFFFF"/>
                <w:sz w:val="20"/>
              </w:rPr>
            </w:pPr>
          </w:p>
        </w:tc>
      </w:tr>
      <w:tr w:rsidR="006D3AD5" w:rsidRPr="00874BFF" w14:paraId="747CC3E3" w14:textId="77777777" w:rsidTr="00443B8F">
        <w:tblPrEx>
          <w:tblCellMar>
            <w:left w:w="108" w:type="dxa"/>
            <w:right w:w="108" w:type="dxa"/>
          </w:tblCellMar>
        </w:tblPrEx>
        <w:trPr>
          <w:trHeight w:val="478"/>
        </w:trPr>
        <w:tc>
          <w:tcPr>
            <w:tcW w:w="960" w:type="dxa"/>
            <w:vMerge/>
            <w:shd w:val="clear" w:color="auto" w:fill="8DB3E2"/>
          </w:tcPr>
          <w:p w14:paraId="38FA68ED" w14:textId="77777777" w:rsidR="006D3AD5" w:rsidRPr="00874BFF" w:rsidRDefault="006D3AD5" w:rsidP="00443B8F">
            <w:pPr>
              <w:jc w:val="left"/>
              <w:rPr>
                <w:b/>
                <w:bCs/>
                <w:color w:val="FFFFFF"/>
                <w:sz w:val="24"/>
                <w:szCs w:val="24"/>
              </w:rPr>
            </w:pPr>
          </w:p>
        </w:tc>
        <w:tc>
          <w:tcPr>
            <w:tcW w:w="960" w:type="dxa"/>
            <w:vMerge/>
            <w:shd w:val="clear" w:color="auto" w:fill="8DB3E2"/>
          </w:tcPr>
          <w:p w14:paraId="79982C4D" w14:textId="77777777" w:rsidR="006D3AD5" w:rsidRPr="00874BFF" w:rsidRDefault="006D3AD5" w:rsidP="00443B8F">
            <w:pPr>
              <w:jc w:val="left"/>
              <w:rPr>
                <w:b/>
                <w:bCs/>
                <w:color w:val="FFFFFF"/>
                <w:sz w:val="24"/>
                <w:szCs w:val="24"/>
              </w:rPr>
            </w:pPr>
          </w:p>
        </w:tc>
        <w:tc>
          <w:tcPr>
            <w:tcW w:w="2414" w:type="dxa"/>
            <w:shd w:val="clear" w:color="auto" w:fill="8DB3E2"/>
            <w:noWrap/>
          </w:tcPr>
          <w:p w14:paraId="5DE88EDD" w14:textId="77777777" w:rsidR="006D3AD5" w:rsidRPr="00874BFF" w:rsidRDefault="006D3AD5" w:rsidP="00443B8F">
            <w:pPr>
              <w:jc w:val="center"/>
              <w:rPr>
                <w:b/>
                <w:color w:val="FFFFFF"/>
                <w:sz w:val="20"/>
              </w:rPr>
            </w:pPr>
            <w:r w:rsidRPr="00874BFF">
              <w:rPr>
                <w:b/>
                <w:color w:val="FFFFFF"/>
                <w:sz w:val="20"/>
              </w:rPr>
              <w:t xml:space="preserve">High pressure on achieving profitability of the project </w:t>
            </w:r>
          </w:p>
        </w:tc>
        <w:tc>
          <w:tcPr>
            <w:tcW w:w="2330" w:type="dxa"/>
            <w:shd w:val="clear" w:color="auto" w:fill="8DB3E2"/>
          </w:tcPr>
          <w:p w14:paraId="3DBDAF18"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tcPr>
          <w:p w14:paraId="30F2FA65" w14:textId="77777777" w:rsidR="006D3AD5" w:rsidRPr="00874BFF" w:rsidRDefault="006D3AD5" w:rsidP="00443B8F">
            <w:pPr>
              <w:jc w:val="center"/>
              <w:rPr>
                <w:b/>
                <w:color w:val="FFFFFF"/>
                <w:sz w:val="20"/>
              </w:rPr>
            </w:pPr>
          </w:p>
        </w:tc>
      </w:tr>
      <w:tr w:rsidR="006D3AD5" w:rsidRPr="00874BFF" w14:paraId="5E436DCC" w14:textId="77777777" w:rsidTr="00443B8F">
        <w:tblPrEx>
          <w:tblCellMar>
            <w:left w:w="108" w:type="dxa"/>
            <w:right w:w="108" w:type="dxa"/>
          </w:tblCellMar>
        </w:tblPrEx>
        <w:trPr>
          <w:trHeight w:val="680"/>
        </w:trPr>
        <w:tc>
          <w:tcPr>
            <w:tcW w:w="960" w:type="dxa"/>
            <w:vMerge/>
            <w:shd w:val="clear" w:color="auto" w:fill="8DB3E2"/>
          </w:tcPr>
          <w:p w14:paraId="7173DB71" w14:textId="77777777" w:rsidR="006D3AD5" w:rsidRPr="00874BFF" w:rsidRDefault="006D3AD5" w:rsidP="00443B8F">
            <w:pPr>
              <w:jc w:val="left"/>
              <w:rPr>
                <w:b/>
                <w:bCs/>
                <w:color w:val="FFFFFF"/>
                <w:sz w:val="24"/>
                <w:szCs w:val="24"/>
              </w:rPr>
            </w:pPr>
          </w:p>
        </w:tc>
        <w:tc>
          <w:tcPr>
            <w:tcW w:w="960" w:type="dxa"/>
            <w:vMerge/>
            <w:shd w:val="clear" w:color="auto" w:fill="8DB3E2"/>
          </w:tcPr>
          <w:p w14:paraId="04B6612F" w14:textId="77777777" w:rsidR="006D3AD5" w:rsidRPr="00874BFF" w:rsidRDefault="006D3AD5" w:rsidP="00443B8F">
            <w:pPr>
              <w:jc w:val="left"/>
              <w:rPr>
                <w:b/>
                <w:bCs/>
                <w:color w:val="FFFFFF"/>
                <w:sz w:val="24"/>
                <w:szCs w:val="24"/>
              </w:rPr>
            </w:pPr>
          </w:p>
        </w:tc>
        <w:tc>
          <w:tcPr>
            <w:tcW w:w="2414" w:type="dxa"/>
            <w:shd w:val="clear" w:color="auto" w:fill="8DB3E2"/>
          </w:tcPr>
          <w:p w14:paraId="63BB0789" w14:textId="77777777" w:rsidR="006D3AD5" w:rsidRPr="00874BFF" w:rsidRDefault="006D3AD5" w:rsidP="00443B8F">
            <w:pPr>
              <w:jc w:val="center"/>
              <w:rPr>
                <w:b/>
                <w:color w:val="FFFFFF"/>
                <w:sz w:val="20"/>
              </w:rPr>
            </w:pPr>
            <w:r w:rsidRPr="00874BFF">
              <w:rPr>
                <w:b/>
                <w:color w:val="FFFFFF"/>
                <w:sz w:val="20"/>
              </w:rPr>
              <w:t>Know-how and contacts from investors</w:t>
            </w:r>
          </w:p>
        </w:tc>
        <w:tc>
          <w:tcPr>
            <w:tcW w:w="2330" w:type="dxa"/>
            <w:shd w:val="clear" w:color="auto" w:fill="8DB3E2"/>
          </w:tcPr>
          <w:p w14:paraId="191D0D34"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tcPr>
          <w:p w14:paraId="0A905617" w14:textId="77777777" w:rsidR="006D3AD5" w:rsidRPr="00874BFF" w:rsidRDefault="006D3AD5" w:rsidP="00443B8F">
            <w:pPr>
              <w:jc w:val="center"/>
              <w:rPr>
                <w:b/>
                <w:color w:val="FFFFFF"/>
                <w:sz w:val="20"/>
              </w:rPr>
            </w:pPr>
          </w:p>
        </w:tc>
      </w:tr>
      <w:tr w:rsidR="006D3AD5" w:rsidRPr="00874BFF" w14:paraId="2CF5AC97" w14:textId="77777777" w:rsidTr="00443B8F">
        <w:trPr>
          <w:trHeight w:val="690"/>
        </w:trPr>
        <w:tc>
          <w:tcPr>
            <w:tcW w:w="960" w:type="dxa"/>
            <w:vMerge/>
            <w:shd w:val="clear" w:color="auto" w:fill="8DB3E2"/>
            <w:vAlign w:val="center"/>
          </w:tcPr>
          <w:p w14:paraId="5BD802D9"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08F23393"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4EB141BA" w14:textId="77777777" w:rsidR="006D3AD5" w:rsidRPr="00874BFF" w:rsidRDefault="006D3AD5" w:rsidP="00443B8F">
            <w:pPr>
              <w:jc w:val="center"/>
              <w:rPr>
                <w:b/>
                <w:color w:val="FFFFFF"/>
                <w:sz w:val="20"/>
              </w:rPr>
            </w:pPr>
            <w:r w:rsidRPr="00874BFF">
              <w:rPr>
                <w:b/>
                <w:color w:val="FFFFFF"/>
                <w:sz w:val="20"/>
              </w:rPr>
              <w:t>Higher attractiveness of the company for other investors</w:t>
            </w:r>
          </w:p>
        </w:tc>
        <w:tc>
          <w:tcPr>
            <w:tcW w:w="2330" w:type="dxa"/>
            <w:shd w:val="clear" w:color="auto" w:fill="8DB3E2"/>
            <w:vAlign w:val="center"/>
          </w:tcPr>
          <w:p w14:paraId="013366AC" w14:textId="77777777" w:rsidR="006D3AD5" w:rsidRPr="00874BFF" w:rsidRDefault="006D3AD5" w:rsidP="00443B8F">
            <w:pPr>
              <w:jc w:val="center"/>
              <w:rPr>
                <w:b/>
                <w:color w:val="FFFFFF"/>
                <w:sz w:val="20"/>
              </w:rPr>
            </w:pPr>
            <w:r w:rsidRPr="00874BFF">
              <w:rPr>
                <w:b/>
                <w:color w:val="FFFFFF"/>
                <w:sz w:val="20"/>
              </w:rPr>
              <w:t>Absolute control over the raised funds and business activities</w:t>
            </w:r>
          </w:p>
        </w:tc>
        <w:tc>
          <w:tcPr>
            <w:tcW w:w="2330" w:type="dxa"/>
            <w:shd w:val="clear" w:color="auto" w:fill="8DB3E2"/>
          </w:tcPr>
          <w:p w14:paraId="2BF68FC1" w14:textId="77777777" w:rsidR="006D3AD5" w:rsidRPr="00874BFF" w:rsidRDefault="006D3AD5" w:rsidP="00443B8F">
            <w:pPr>
              <w:jc w:val="left"/>
              <w:rPr>
                <w:b/>
                <w:color w:val="FFFFFF"/>
                <w:sz w:val="20"/>
              </w:rPr>
            </w:pPr>
          </w:p>
        </w:tc>
      </w:tr>
      <w:tr w:rsidR="006D3AD5" w:rsidRPr="00874BFF" w14:paraId="102774A1" w14:textId="77777777" w:rsidTr="00443B8F">
        <w:tblPrEx>
          <w:tblCellMar>
            <w:left w:w="108" w:type="dxa"/>
            <w:right w:w="108" w:type="dxa"/>
          </w:tblCellMar>
        </w:tblPrEx>
        <w:trPr>
          <w:trHeight w:val="690"/>
        </w:trPr>
        <w:tc>
          <w:tcPr>
            <w:tcW w:w="960" w:type="dxa"/>
            <w:vMerge/>
            <w:shd w:val="clear" w:color="auto" w:fill="8DB3E2"/>
          </w:tcPr>
          <w:p w14:paraId="67EAFB27" w14:textId="77777777" w:rsidR="006D3AD5" w:rsidRPr="00874BFF" w:rsidRDefault="006D3AD5" w:rsidP="00443B8F">
            <w:pPr>
              <w:jc w:val="left"/>
              <w:rPr>
                <w:b/>
                <w:bCs/>
                <w:color w:val="FFFFFF"/>
                <w:sz w:val="24"/>
                <w:szCs w:val="24"/>
              </w:rPr>
            </w:pPr>
          </w:p>
        </w:tc>
        <w:tc>
          <w:tcPr>
            <w:tcW w:w="960" w:type="dxa"/>
            <w:vMerge/>
            <w:shd w:val="clear" w:color="auto" w:fill="8DB3E2"/>
          </w:tcPr>
          <w:p w14:paraId="3CB1E4A4" w14:textId="77777777" w:rsidR="006D3AD5" w:rsidRPr="00874BFF" w:rsidRDefault="006D3AD5" w:rsidP="00443B8F">
            <w:pPr>
              <w:jc w:val="left"/>
              <w:rPr>
                <w:b/>
                <w:bCs/>
                <w:color w:val="FFFFFF"/>
                <w:sz w:val="24"/>
                <w:szCs w:val="24"/>
              </w:rPr>
            </w:pPr>
          </w:p>
        </w:tc>
        <w:tc>
          <w:tcPr>
            <w:tcW w:w="2414" w:type="dxa"/>
            <w:shd w:val="clear" w:color="auto" w:fill="8DB3E2"/>
          </w:tcPr>
          <w:p w14:paraId="0F9D4518" w14:textId="77777777" w:rsidR="006D3AD5" w:rsidRPr="00874BFF" w:rsidRDefault="006D3AD5" w:rsidP="00443B8F">
            <w:pPr>
              <w:jc w:val="center"/>
              <w:rPr>
                <w:b/>
                <w:color w:val="FFFFFF"/>
                <w:sz w:val="20"/>
              </w:rPr>
            </w:pPr>
            <w:r w:rsidRPr="00874BFF">
              <w:rPr>
                <w:b/>
                <w:color w:val="FFFFFF"/>
                <w:sz w:val="20"/>
              </w:rPr>
              <w:t>Possibility of interaction with professional assistance  related to business development (CI)</w:t>
            </w:r>
          </w:p>
        </w:tc>
        <w:tc>
          <w:tcPr>
            <w:tcW w:w="2330" w:type="dxa"/>
            <w:shd w:val="clear" w:color="auto" w:fill="8DB3E2"/>
          </w:tcPr>
          <w:p w14:paraId="1F705135" w14:textId="77777777" w:rsidR="006D3AD5" w:rsidRPr="00874BFF" w:rsidRDefault="006D3AD5" w:rsidP="00443B8F">
            <w:pPr>
              <w:jc w:val="center"/>
              <w:rPr>
                <w:b/>
                <w:color w:val="FFFFFF"/>
                <w:sz w:val="20"/>
              </w:rPr>
            </w:pPr>
            <w:r w:rsidRPr="00874BFF">
              <w:rPr>
                <w:b/>
                <w:color w:val="FFFFFF"/>
                <w:sz w:val="20"/>
              </w:rPr>
              <w:t>Potential revolving effect and supporting projects in further cycles</w:t>
            </w:r>
          </w:p>
        </w:tc>
        <w:tc>
          <w:tcPr>
            <w:tcW w:w="2330" w:type="dxa"/>
            <w:shd w:val="clear" w:color="auto" w:fill="8DB3E2"/>
          </w:tcPr>
          <w:p w14:paraId="32E82D87" w14:textId="77777777" w:rsidR="006D3AD5" w:rsidRPr="00874BFF" w:rsidRDefault="006D3AD5" w:rsidP="00443B8F">
            <w:pPr>
              <w:jc w:val="left"/>
              <w:rPr>
                <w:b/>
                <w:color w:val="FFFFFF"/>
                <w:sz w:val="20"/>
              </w:rPr>
            </w:pPr>
          </w:p>
        </w:tc>
      </w:tr>
      <w:tr w:rsidR="006D3AD5" w:rsidRPr="00874BFF" w14:paraId="3CA9F138" w14:textId="77777777" w:rsidTr="00443B8F">
        <w:tblPrEx>
          <w:tblCellMar>
            <w:left w:w="108" w:type="dxa"/>
            <w:right w:w="108" w:type="dxa"/>
          </w:tblCellMar>
        </w:tblPrEx>
        <w:trPr>
          <w:trHeight w:val="735"/>
        </w:trPr>
        <w:tc>
          <w:tcPr>
            <w:tcW w:w="960" w:type="dxa"/>
            <w:vMerge/>
            <w:shd w:val="clear" w:color="auto" w:fill="8DB3E2"/>
          </w:tcPr>
          <w:p w14:paraId="54B1FD22" w14:textId="77777777" w:rsidR="006D3AD5" w:rsidRPr="00874BFF" w:rsidRDefault="006D3AD5" w:rsidP="00443B8F">
            <w:pPr>
              <w:jc w:val="left"/>
              <w:rPr>
                <w:b/>
                <w:bCs/>
                <w:color w:val="FFFFFF"/>
                <w:sz w:val="24"/>
                <w:szCs w:val="24"/>
              </w:rPr>
            </w:pPr>
          </w:p>
        </w:tc>
        <w:tc>
          <w:tcPr>
            <w:tcW w:w="960" w:type="dxa"/>
            <w:vMerge w:val="restart"/>
            <w:shd w:val="clear" w:color="auto" w:fill="8DB3E2"/>
            <w:noWrap/>
            <w:textDirection w:val="btLr"/>
          </w:tcPr>
          <w:p w14:paraId="4B48E77A"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8DB3E2"/>
          </w:tcPr>
          <w:p w14:paraId="46E52343" w14:textId="77777777" w:rsidR="006D3AD5" w:rsidRPr="00874BFF" w:rsidRDefault="006D3AD5" w:rsidP="00443B8F">
            <w:pPr>
              <w:jc w:val="center"/>
              <w:rPr>
                <w:b/>
                <w:color w:val="FFFFFF"/>
                <w:sz w:val="20"/>
              </w:rPr>
            </w:pPr>
            <w:r w:rsidRPr="00874BFF">
              <w:rPr>
                <w:b/>
                <w:color w:val="FFFFFF"/>
                <w:sz w:val="20"/>
              </w:rPr>
              <w:t>Revolving potential</w:t>
            </w:r>
          </w:p>
        </w:tc>
        <w:tc>
          <w:tcPr>
            <w:tcW w:w="2330" w:type="dxa"/>
            <w:shd w:val="clear" w:color="auto" w:fill="8DB3E2"/>
          </w:tcPr>
          <w:p w14:paraId="5F86A96A" w14:textId="77777777" w:rsidR="006D3AD5" w:rsidRPr="00874BFF" w:rsidRDefault="006D3AD5" w:rsidP="00443B8F">
            <w:pPr>
              <w:jc w:val="center"/>
              <w:rPr>
                <w:b/>
                <w:color w:val="FFFFFF"/>
                <w:sz w:val="20"/>
              </w:rPr>
            </w:pPr>
            <w:r w:rsidRPr="00874BFF">
              <w:rPr>
                <w:b/>
                <w:color w:val="FFFFFF"/>
                <w:sz w:val="20"/>
              </w:rPr>
              <w:t>Predictable instalments</w:t>
            </w:r>
          </w:p>
        </w:tc>
        <w:tc>
          <w:tcPr>
            <w:tcW w:w="2330" w:type="dxa"/>
            <w:shd w:val="clear" w:color="auto" w:fill="8DB3E2"/>
          </w:tcPr>
          <w:p w14:paraId="4C1E2CCF" w14:textId="77777777" w:rsidR="006D3AD5" w:rsidRPr="00874BFF" w:rsidRDefault="006D3AD5" w:rsidP="00443B8F">
            <w:pPr>
              <w:jc w:val="center"/>
              <w:rPr>
                <w:b/>
                <w:color w:val="FFFFFF"/>
                <w:sz w:val="20"/>
              </w:rPr>
            </w:pPr>
          </w:p>
        </w:tc>
      </w:tr>
      <w:tr w:rsidR="006D3AD5" w:rsidRPr="00874BFF" w14:paraId="2E91BA18" w14:textId="77777777" w:rsidTr="00443B8F">
        <w:tblPrEx>
          <w:tblCellMar>
            <w:left w:w="108" w:type="dxa"/>
            <w:right w:w="108" w:type="dxa"/>
          </w:tblCellMar>
        </w:tblPrEx>
        <w:trPr>
          <w:trHeight w:val="735"/>
        </w:trPr>
        <w:tc>
          <w:tcPr>
            <w:tcW w:w="960" w:type="dxa"/>
            <w:vMerge/>
            <w:shd w:val="clear" w:color="auto" w:fill="8DB3E2"/>
          </w:tcPr>
          <w:p w14:paraId="5E97BA06"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tcPr>
          <w:p w14:paraId="7DC8595C" w14:textId="77777777" w:rsidR="006D3AD5" w:rsidRPr="00874BFF" w:rsidRDefault="006D3AD5" w:rsidP="00443B8F">
            <w:pPr>
              <w:jc w:val="center"/>
              <w:rPr>
                <w:b/>
                <w:bCs/>
                <w:color w:val="FFFFFF"/>
                <w:sz w:val="18"/>
                <w:szCs w:val="18"/>
              </w:rPr>
            </w:pPr>
          </w:p>
        </w:tc>
        <w:tc>
          <w:tcPr>
            <w:tcW w:w="2414" w:type="dxa"/>
            <w:shd w:val="clear" w:color="auto" w:fill="8DB3E2"/>
          </w:tcPr>
          <w:p w14:paraId="0A190ED1" w14:textId="77777777" w:rsidR="006D3AD5" w:rsidRPr="00874BFF" w:rsidRDefault="006D3AD5" w:rsidP="00443B8F">
            <w:pPr>
              <w:jc w:val="center"/>
              <w:rPr>
                <w:b/>
                <w:color w:val="FFFFFF"/>
                <w:sz w:val="20"/>
              </w:rPr>
            </w:pPr>
            <w:r w:rsidRPr="00874BFF">
              <w:rPr>
                <w:b/>
                <w:color w:val="FFFFFF"/>
                <w:sz w:val="20"/>
              </w:rPr>
              <w:t>Effective instrument for PE market development</w:t>
            </w:r>
          </w:p>
        </w:tc>
        <w:tc>
          <w:tcPr>
            <w:tcW w:w="2330" w:type="dxa"/>
            <w:shd w:val="clear" w:color="auto" w:fill="8DB3E2"/>
          </w:tcPr>
          <w:p w14:paraId="7E5A2D15" w14:textId="77777777" w:rsidR="006D3AD5" w:rsidRPr="00874BFF" w:rsidRDefault="006D3AD5" w:rsidP="00443B8F">
            <w:pPr>
              <w:jc w:val="center"/>
              <w:rPr>
                <w:b/>
                <w:color w:val="FFFFFF"/>
                <w:sz w:val="20"/>
              </w:rPr>
            </w:pPr>
            <w:r w:rsidRPr="00874BFF">
              <w:rPr>
                <w:b/>
                <w:color w:val="FFFFFF"/>
                <w:sz w:val="20"/>
              </w:rPr>
              <w:t>Rapid absorption</w:t>
            </w:r>
          </w:p>
        </w:tc>
        <w:tc>
          <w:tcPr>
            <w:tcW w:w="2330" w:type="dxa"/>
            <w:shd w:val="clear" w:color="auto" w:fill="8DB3E2"/>
          </w:tcPr>
          <w:p w14:paraId="64807191" w14:textId="77777777" w:rsidR="006D3AD5" w:rsidRPr="00874BFF" w:rsidRDefault="006D3AD5" w:rsidP="00443B8F">
            <w:pPr>
              <w:jc w:val="center"/>
              <w:rPr>
                <w:b/>
                <w:color w:val="FFFFFF"/>
                <w:sz w:val="20"/>
              </w:rPr>
            </w:pPr>
          </w:p>
        </w:tc>
      </w:tr>
      <w:tr w:rsidR="006D3AD5" w:rsidRPr="00874BFF" w14:paraId="577140CC" w14:textId="77777777" w:rsidTr="00443B8F">
        <w:trPr>
          <w:trHeight w:val="311"/>
        </w:trPr>
        <w:tc>
          <w:tcPr>
            <w:tcW w:w="960" w:type="dxa"/>
            <w:vMerge/>
            <w:shd w:val="clear" w:color="auto" w:fill="8DB3E2"/>
            <w:vAlign w:val="center"/>
          </w:tcPr>
          <w:p w14:paraId="279CEC35"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vAlign w:val="center"/>
          </w:tcPr>
          <w:p w14:paraId="4A1E7DA7" w14:textId="77777777" w:rsidR="006D3AD5" w:rsidRPr="00874BFF" w:rsidRDefault="006D3AD5" w:rsidP="00443B8F">
            <w:pPr>
              <w:jc w:val="center"/>
              <w:rPr>
                <w:b/>
                <w:bCs/>
                <w:color w:val="FFFFFF"/>
                <w:sz w:val="18"/>
                <w:szCs w:val="18"/>
              </w:rPr>
            </w:pPr>
          </w:p>
        </w:tc>
        <w:tc>
          <w:tcPr>
            <w:tcW w:w="2414" w:type="dxa"/>
            <w:shd w:val="clear" w:color="auto" w:fill="8DB3E2"/>
            <w:vAlign w:val="center"/>
          </w:tcPr>
          <w:p w14:paraId="0EC745B0" w14:textId="77777777" w:rsidR="006D3AD5" w:rsidRPr="00874BFF" w:rsidRDefault="006D3AD5" w:rsidP="00443B8F">
            <w:pPr>
              <w:jc w:val="center"/>
              <w:rPr>
                <w:b/>
                <w:color w:val="FFFFFF"/>
                <w:sz w:val="20"/>
              </w:rPr>
            </w:pPr>
            <w:r w:rsidRPr="00874BFF">
              <w:rPr>
                <w:b/>
                <w:color w:val="FFFFFF"/>
                <w:sz w:val="20"/>
              </w:rPr>
              <w:t>Possibility to connect with the pre-seed fund SO 1.2</w:t>
            </w:r>
          </w:p>
        </w:tc>
        <w:tc>
          <w:tcPr>
            <w:tcW w:w="2330" w:type="dxa"/>
            <w:shd w:val="clear" w:color="auto" w:fill="8DB3E2"/>
            <w:vAlign w:val="center"/>
          </w:tcPr>
          <w:p w14:paraId="0DC9387F" w14:textId="77777777" w:rsidR="006D3AD5" w:rsidRPr="00874BFF" w:rsidRDefault="006D3AD5" w:rsidP="00443B8F">
            <w:pPr>
              <w:jc w:val="center"/>
              <w:rPr>
                <w:b/>
                <w:color w:val="FFFFFF"/>
                <w:sz w:val="20"/>
              </w:rPr>
            </w:pPr>
          </w:p>
        </w:tc>
        <w:tc>
          <w:tcPr>
            <w:tcW w:w="2330" w:type="dxa"/>
            <w:shd w:val="clear" w:color="auto" w:fill="8DB3E2"/>
          </w:tcPr>
          <w:p w14:paraId="7B892584" w14:textId="77777777" w:rsidR="006D3AD5" w:rsidRPr="00874BFF" w:rsidRDefault="006D3AD5" w:rsidP="00443B8F">
            <w:pPr>
              <w:jc w:val="center"/>
              <w:rPr>
                <w:b/>
                <w:color w:val="FFFFFF"/>
                <w:sz w:val="20"/>
              </w:rPr>
            </w:pPr>
          </w:p>
        </w:tc>
      </w:tr>
      <w:tr w:rsidR="006D3AD5" w:rsidRPr="00874BFF" w14:paraId="070B59B5" w14:textId="77777777" w:rsidTr="00443B8F">
        <w:tblPrEx>
          <w:tblCellMar>
            <w:left w:w="108" w:type="dxa"/>
            <w:right w:w="108" w:type="dxa"/>
          </w:tblCellMar>
        </w:tblPrEx>
        <w:trPr>
          <w:trHeight w:val="311"/>
        </w:trPr>
        <w:tc>
          <w:tcPr>
            <w:tcW w:w="960" w:type="dxa"/>
            <w:vMerge/>
            <w:shd w:val="clear" w:color="auto" w:fill="8DB3E2"/>
          </w:tcPr>
          <w:p w14:paraId="2ECFB817"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tcPr>
          <w:p w14:paraId="71D605FF" w14:textId="77777777" w:rsidR="006D3AD5" w:rsidRPr="00874BFF" w:rsidRDefault="006D3AD5" w:rsidP="00443B8F">
            <w:pPr>
              <w:jc w:val="center"/>
              <w:rPr>
                <w:b/>
                <w:bCs/>
                <w:color w:val="FFFFFF"/>
                <w:sz w:val="18"/>
                <w:szCs w:val="18"/>
              </w:rPr>
            </w:pPr>
          </w:p>
        </w:tc>
        <w:tc>
          <w:tcPr>
            <w:tcW w:w="2414" w:type="dxa"/>
            <w:shd w:val="clear" w:color="auto" w:fill="8DB3E2"/>
          </w:tcPr>
          <w:p w14:paraId="3AB0F7F4" w14:textId="77777777" w:rsidR="006D3AD5" w:rsidRPr="00874BFF" w:rsidRDefault="006D3AD5" w:rsidP="00443B8F">
            <w:pPr>
              <w:jc w:val="center"/>
              <w:rPr>
                <w:b/>
                <w:color w:val="FFFFFF"/>
                <w:sz w:val="20"/>
              </w:rPr>
            </w:pPr>
            <w:r w:rsidRPr="00874BFF">
              <w:rPr>
                <w:b/>
                <w:color w:val="FFFFFF"/>
                <w:sz w:val="20"/>
              </w:rPr>
              <w:t>Higher chance for supervision of invested funds</w:t>
            </w:r>
          </w:p>
        </w:tc>
        <w:tc>
          <w:tcPr>
            <w:tcW w:w="2330" w:type="dxa"/>
            <w:shd w:val="clear" w:color="auto" w:fill="8DB3E2"/>
          </w:tcPr>
          <w:p w14:paraId="32253045" w14:textId="77777777" w:rsidR="006D3AD5" w:rsidRPr="00874BFF" w:rsidRDefault="006D3AD5" w:rsidP="00443B8F">
            <w:pPr>
              <w:jc w:val="center"/>
              <w:rPr>
                <w:b/>
                <w:color w:val="FFFFFF"/>
                <w:sz w:val="20"/>
              </w:rPr>
            </w:pPr>
          </w:p>
        </w:tc>
        <w:tc>
          <w:tcPr>
            <w:tcW w:w="2330" w:type="dxa"/>
            <w:shd w:val="clear" w:color="auto" w:fill="8DB3E2"/>
          </w:tcPr>
          <w:p w14:paraId="57B99EBB" w14:textId="77777777" w:rsidR="006D3AD5" w:rsidRPr="00874BFF" w:rsidRDefault="006D3AD5" w:rsidP="00443B8F">
            <w:pPr>
              <w:jc w:val="center"/>
              <w:rPr>
                <w:b/>
                <w:color w:val="FFFFFF"/>
                <w:sz w:val="20"/>
              </w:rPr>
            </w:pPr>
          </w:p>
        </w:tc>
      </w:tr>
      <w:tr w:rsidR="006D3AD5" w:rsidRPr="00874BFF" w14:paraId="700E419C" w14:textId="77777777" w:rsidTr="00443B8F">
        <w:tblPrEx>
          <w:tblCellMar>
            <w:left w:w="108" w:type="dxa"/>
            <w:right w:w="108" w:type="dxa"/>
          </w:tblCellMar>
        </w:tblPrEx>
        <w:trPr>
          <w:trHeight w:val="735"/>
        </w:trPr>
        <w:tc>
          <w:tcPr>
            <w:tcW w:w="960" w:type="dxa"/>
            <w:vMerge w:val="restart"/>
            <w:shd w:val="clear" w:color="auto" w:fill="FF0000"/>
            <w:textDirection w:val="btLr"/>
          </w:tcPr>
          <w:p w14:paraId="597D2C33" w14:textId="77777777" w:rsidR="006D3AD5" w:rsidRPr="00874BFF" w:rsidRDefault="006D3AD5" w:rsidP="00443B8F">
            <w:pPr>
              <w:ind w:left="113" w:right="113"/>
              <w:jc w:val="center"/>
              <w:rPr>
                <w:b/>
                <w:bCs/>
                <w:color w:val="FFFFFF"/>
                <w:sz w:val="24"/>
                <w:szCs w:val="24"/>
              </w:rPr>
            </w:pPr>
            <w:r w:rsidRPr="00874BFF">
              <w:rPr>
                <w:b/>
                <w:color w:val="FFFFFF"/>
                <w:sz w:val="24"/>
              </w:rPr>
              <w:t>Disadvantages, problems and risks</w:t>
            </w:r>
          </w:p>
        </w:tc>
        <w:tc>
          <w:tcPr>
            <w:tcW w:w="960" w:type="dxa"/>
            <w:vMerge w:val="restart"/>
            <w:shd w:val="clear" w:color="auto" w:fill="FF0000"/>
            <w:noWrap/>
            <w:textDirection w:val="btLr"/>
          </w:tcPr>
          <w:p w14:paraId="32158A41"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FF0000"/>
          </w:tcPr>
          <w:p w14:paraId="7F659E66" w14:textId="77777777" w:rsidR="006D3AD5" w:rsidRPr="00874BFF" w:rsidRDefault="006D3AD5" w:rsidP="00443B8F">
            <w:pPr>
              <w:jc w:val="center"/>
              <w:rPr>
                <w:b/>
                <w:color w:val="FFFFFF"/>
                <w:sz w:val="20"/>
              </w:rPr>
            </w:pPr>
            <w:r w:rsidRPr="00874BFF">
              <w:rPr>
                <w:b/>
                <w:color w:val="FFFFFF"/>
                <w:sz w:val="20"/>
              </w:rPr>
              <w:t xml:space="preserve">Loss of  some share in the company </w:t>
            </w:r>
          </w:p>
        </w:tc>
        <w:tc>
          <w:tcPr>
            <w:tcW w:w="2330" w:type="dxa"/>
            <w:shd w:val="clear" w:color="auto" w:fill="FF0000"/>
          </w:tcPr>
          <w:p w14:paraId="787AB77F" w14:textId="77777777" w:rsidR="006D3AD5" w:rsidRPr="00874BFF" w:rsidRDefault="006D3AD5" w:rsidP="00443B8F">
            <w:pPr>
              <w:jc w:val="center"/>
              <w:rPr>
                <w:b/>
                <w:color w:val="FFFFFF"/>
                <w:sz w:val="20"/>
              </w:rPr>
            </w:pPr>
            <w:r w:rsidRPr="00874BFF">
              <w:rPr>
                <w:b/>
                <w:color w:val="FFFFFF"/>
                <w:sz w:val="20"/>
              </w:rPr>
              <w:t>Burdening of the new company by debt service</w:t>
            </w:r>
          </w:p>
        </w:tc>
        <w:tc>
          <w:tcPr>
            <w:tcW w:w="2330" w:type="dxa"/>
            <w:shd w:val="clear" w:color="auto" w:fill="FF0000"/>
          </w:tcPr>
          <w:p w14:paraId="16DE7A80" w14:textId="77777777" w:rsidR="006D3AD5" w:rsidRPr="00874BFF" w:rsidRDefault="006D3AD5" w:rsidP="00443B8F">
            <w:pPr>
              <w:jc w:val="center"/>
              <w:rPr>
                <w:b/>
                <w:color w:val="FFFFFF"/>
                <w:sz w:val="20"/>
              </w:rPr>
            </w:pPr>
            <w:r w:rsidRPr="00874BFF">
              <w:rPr>
                <w:b/>
                <w:color w:val="FFFFFF"/>
                <w:sz w:val="20"/>
              </w:rPr>
              <w:t>High administrative demands – high costs of external services</w:t>
            </w:r>
          </w:p>
        </w:tc>
      </w:tr>
      <w:tr w:rsidR="006D3AD5" w:rsidRPr="00874BFF" w14:paraId="6460280C" w14:textId="77777777" w:rsidTr="00443B8F">
        <w:tblPrEx>
          <w:tblCellMar>
            <w:left w:w="108" w:type="dxa"/>
            <w:right w:w="108" w:type="dxa"/>
          </w:tblCellMar>
        </w:tblPrEx>
        <w:trPr>
          <w:trHeight w:val="735"/>
        </w:trPr>
        <w:tc>
          <w:tcPr>
            <w:tcW w:w="960" w:type="dxa"/>
            <w:vMerge/>
            <w:shd w:val="clear" w:color="auto" w:fill="FF0000"/>
          </w:tcPr>
          <w:p w14:paraId="6DF7F7F4"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5CF03643" w14:textId="77777777" w:rsidR="006D3AD5" w:rsidRPr="00874BFF" w:rsidRDefault="006D3AD5" w:rsidP="00443B8F">
            <w:pPr>
              <w:jc w:val="center"/>
              <w:rPr>
                <w:b/>
                <w:bCs/>
                <w:color w:val="000000"/>
                <w:sz w:val="24"/>
                <w:szCs w:val="24"/>
              </w:rPr>
            </w:pPr>
          </w:p>
        </w:tc>
        <w:tc>
          <w:tcPr>
            <w:tcW w:w="2414" w:type="dxa"/>
            <w:shd w:val="clear" w:color="auto" w:fill="FF0000"/>
          </w:tcPr>
          <w:p w14:paraId="065E9477" w14:textId="77777777" w:rsidR="006D3AD5" w:rsidRPr="00874BFF" w:rsidRDefault="006D3AD5" w:rsidP="00443B8F">
            <w:pPr>
              <w:jc w:val="center"/>
              <w:rPr>
                <w:b/>
                <w:color w:val="FFFFFF"/>
                <w:sz w:val="20"/>
              </w:rPr>
            </w:pPr>
            <w:r w:rsidRPr="00874BFF">
              <w:rPr>
                <w:b/>
                <w:color w:val="FFFFFF"/>
                <w:sz w:val="20"/>
              </w:rPr>
              <w:t>Limitation in the company management itself</w:t>
            </w:r>
          </w:p>
        </w:tc>
        <w:tc>
          <w:tcPr>
            <w:tcW w:w="2330" w:type="dxa"/>
            <w:shd w:val="clear" w:color="auto" w:fill="FF0000"/>
          </w:tcPr>
          <w:p w14:paraId="757250D3" w14:textId="77777777" w:rsidR="006D3AD5" w:rsidRPr="00874BFF" w:rsidRDefault="006D3AD5" w:rsidP="00443B8F">
            <w:pPr>
              <w:jc w:val="center"/>
              <w:rPr>
                <w:b/>
                <w:color w:val="FFFFFF"/>
                <w:sz w:val="20"/>
              </w:rPr>
            </w:pPr>
            <w:r w:rsidRPr="00874BFF">
              <w:rPr>
                <w:b/>
                <w:color w:val="FFFFFF"/>
                <w:sz w:val="20"/>
              </w:rPr>
              <w:t>High pressure on repayment and generation of rapid profit</w:t>
            </w:r>
          </w:p>
        </w:tc>
        <w:tc>
          <w:tcPr>
            <w:tcW w:w="2330" w:type="dxa"/>
            <w:shd w:val="clear" w:color="auto" w:fill="FF0000"/>
          </w:tcPr>
          <w:p w14:paraId="3D93A650" w14:textId="77777777" w:rsidR="006D3AD5" w:rsidRPr="00874BFF" w:rsidRDefault="006D3AD5" w:rsidP="00443B8F">
            <w:pPr>
              <w:jc w:val="center"/>
              <w:rPr>
                <w:b/>
                <w:color w:val="FFFFFF"/>
                <w:sz w:val="20"/>
              </w:rPr>
            </w:pPr>
            <w:r w:rsidRPr="00874BFF">
              <w:rPr>
                <w:b/>
                <w:color w:val="FFFFFF"/>
                <w:sz w:val="20"/>
              </w:rPr>
              <w:t>Necessity of pre-financing – ex post payment</w:t>
            </w:r>
          </w:p>
        </w:tc>
      </w:tr>
      <w:tr w:rsidR="006D3AD5" w:rsidRPr="00874BFF" w14:paraId="089CD94C" w14:textId="77777777" w:rsidTr="00443B8F">
        <w:tblPrEx>
          <w:tblCellMar>
            <w:left w:w="108" w:type="dxa"/>
            <w:right w:w="108" w:type="dxa"/>
          </w:tblCellMar>
        </w:tblPrEx>
        <w:trPr>
          <w:trHeight w:val="456"/>
        </w:trPr>
        <w:tc>
          <w:tcPr>
            <w:tcW w:w="960" w:type="dxa"/>
            <w:vMerge/>
            <w:shd w:val="clear" w:color="auto" w:fill="FF0000"/>
          </w:tcPr>
          <w:p w14:paraId="57ED3E28"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437670A7" w14:textId="77777777" w:rsidR="006D3AD5" w:rsidRPr="00874BFF" w:rsidRDefault="006D3AD5" w:rsidP="00443B8F">
            <w:pPr>
              <w:jc w:val="center"/>
              <w:rPr>
                <w:b/>
                <w:bCs/>
                <w:color w:val="000000"/>
                <w:sz w:val="24"/>
                <w:szCs w:val="24"/>
              </w:rPr>
            </w:pPr>
          </w:p>
        </w:tc>
        <w:tc>
          <w:tcPr>
            <w:tcW w:w="2414" w:type="dxa"/>
            <w:shd w:val="clear" w:color="auto" w:fill="FF0000"/>
          </w:tcPr>
          <w:p w14:paraId="31CC94A1" w14:textId="77777777" w:rsidR="006D3AD5" w:rsidRPr="00874BFF" w:rsidRDefault="006D3AD5" w:rsidP="00443B8F">
            <w:pPr>
              <w:jc w:val="center"/>
              <w:rPr>
                <w:b/>
                <w:color w:val="FFFFFF"/>
                <w:sz w:val="20"/>
              </w:rPr>
            </w:pPr>
          </w:p>
        </w:tc>
        <w:tc>
          <w:tcPr>
            <w:tcW w:w="2330" w:type="dxa"/>
            <w:shd w:val="clear" w:color="auto" w:fill="FF0000"/>
          </w:tcPr>
          <w:p w14:paraId="106EB5CA" w14:textId="77777777" w:rsidR="006D3AD5" w:rsidRPr="00874BFF" w:rsidRDefault="006D3AD5" w:rsidP="00443B8F">
            <w:pPr>
              <w:jc w:val="center"/>
              <w:rPr>
                <w:b/>
                <w:color w:val="FFFFFF"/>
                <w:sz w:val="20"/>
              </w:rPr>
            </w:pPr>
            <w:r w:rsidRPr="00874BFF">
              <w:rPr>
                <w:b/>
                <w:color w:val="FFFFFF"/>
                <w:sz w:val="20"/>
              </w:rPr>
              <w:t>Necessity of providing a guarantee</w:t>
            </w:r>
          </w:p>
        </w:tc>
        <w:tc>
          <w:tcPr>
            <w:tcW w:w="2330" w:type="dxa"/>
            <w:shd w:val="clear" w:color="auto" w:fill="FF0000"/>
          </w:tcPr>
          <w:p w14:paraId="0240BCEF" w14:textId="77777777" w:rsidR="006D3AD5" w:rsidRPr="00874BFF" w:rsidRDefault="006D3AD5" w:rsidP="00443B8F">
            <w:pPr>
              <w:jc w:val="center"/>
              <w:rPr>
                <w:b/>
                <w:color w:val="FFFFFF"/>
                <w:sz w:val="20"/>
              </w:rPr>
            </w:pPr>
            <w:r w:rsidRPr="00874BFF">
              <w:rPr>
                <w:b/>
                <w:color w:val="FFFFFF"/>
                <w:sz w:val="20"/>
              </w:rPr>
              <w:t>Risk of subsequent  withdrawal of subsidy due to mistakes in the project and failure to meet the criteria.</w:t>
            </w:r>
          </w:p>
        </w:tc>
      </w:tr>
      <w:tr w:rsidR="006D3AD5" w:rsidRPr="00874BFF" w14:paraId="51F3FAE5" w14:textId="77777777" w:rsidTr="00443B8F">
        <w:tblPrEx>
          <w:tblCellMar>
            <w:left w:w="108" w:type="dxa"/>
            <w:right w:w="108" w:type="dxa"/>
          </w:tblCellMar>
        </w:tblPrEx>
        <w:trPr>
          <w:trHeight w:val="735"/>
        </w:trPr>
        <w:tc>
          <w:tcPr>
            <w:tcW w:w="960" w:type="dxa"/>
            <w:vMerge/>
            <w:shd w:val="clear" w:color="auto" w:fill="FF0000"/>
          </w:tcPr>
          <w:p w14:paraId="0448DC22"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tcPr>
          <w:p w14:paraId="7A31AC33" w14:textId="77777777" w:rsidR="006D3AD5" w:rsidRPr="00874BFF" w:rsidRDefault="006D3AD5" w:rsidP="00443B8F">
            <w:pPr>
              <w:jc w:val="center"/>
              <w:rPr>
                <w:b/>
                <w:bCs/>
                <w:color w:val="000000"/>
                <w:sz w:val="24"/>
                <w:szCs w:val="24"/>
              </w:rPr>
            </w:pPr>
          </w:p>
        </w:tc>
        <w:tc>
          <w:tcPr>
            <w:tcW w:w="2414" w:type="dxa"/>
            <w:shd w:val="clear" w:color="auto" w:fill="FF0000"/>
          </w:tcPr>
          <w:p w14:paraId="5EA829BF" w14:textId="77777777" w:rsidR="006D3AD5" w:rsidRPr="00874BFF" w:rsidRDefault="006D3AD5" w:rsidP="00443B8F">
            <w:pPr>
              <w:jc w:val="center"/>
              <w:rPr>
                <w:b/>
                <w:color w:val="FFFFFF"/>
                <w:sz w:val="20"/>
              </w:rPr>
            </w:pPr>
          </w:p>
        </w:tc>
        <w:tc>
          <w:tcPr>
            <w:tcW w:w="2330" w:type="dxa"/>
            <w:shd w:val="clear" w:color="auto" w:fill="FF0000"/>
          </w:tcPr>
          <w:p w14:paraId="74567C0B" w14:textId="77777777" w:rsidR="006D3AD5" w:rsidRPr="00874BFF" w:rsidRDefault="006D3AD5" w:rsidP="00443B8F">
            <w:pPr>
              <w:jc w:val="center"/>
              <w:rPr>
                <w:b/>
                <w:color w:val="FFFFFF"/>
                <w:sz w:val="20"/>
              </w:rPr>
            </w:pPr>
          </w:p>
        </w:tc>
        <w:tc>
          <w:tcPr>
            <w:tcW w:w="2330" w:type="dxa"/>
            <w:shd w:val="clear" w:color="auto" w:fill="FF0000"/>
          </w:tcPr>
          <w:p w14:paraId="34E1B545" w14:textId="77777777" w:rsidR="006D3AD5" w:rsidRPr="00874BFF" w:rsidRDefault="006D3AD5" w:rsidP="00443B8F">
            <w:pPr>
              <w:jc w:val="center"/>
              <w:rPr>
                <w:b/>
                <w:color w:val="FFFFFF"/>
                <w:sz w:val="20"/>
              </w:rPr>
            </w:pPr>
            <w:r w:rsidRPr="00874BFF">
              <w:rPr>
                <w:b/>
                <w:color w:val="FFFFFF"/>
                <w:sz w:val="20"/>
              </w:rPr>
              <w:t>Regulation of tendering procedures</w:t>
            </w:r>
          </w:p>
        </w:tc>
      </w:tr>
      <w:tr w:rsidR="006D3AD5" w:rsidRPr="00874BFF" w14:paraId="20743A70" w14:textId="77777777" w:rsidTr="00443B8F">
        <w:tblPrEx>
          <w:tblCellMar>
            <w:left w:w="108" w:type="dxa"/>
            <w:right w:w="108" w:type="dxa"/>
          </w:tblCellMar>
        </w:tblPrEx>
        <w:trPr>
          <w:trHeight w:val="735"/>
        </w:trPr>
        <w:tc>
          <w:tcPr>
            <w:tcW w:w="960" w:type="dxa"/>
            <w:vMerge/>
            <w:shd w:val="clear" w:color="auto" w:fill="FF0000"/>
          </w:tcPr>
          <w:p w14:paraId="17ED1370" w14:textId="77777777" w:rsidR="006D3AD5" w:rsidRPr="00874BFF" w:rsidRDefault="006D3AD5" w:rsidP="00443B8F">
            <w:pPr>
              <w:jc w:val="left"/>
              <w:rPr>
                <w:b/>
                <w:bCs/>
                <w:color w:val="000000"/>
                <w:sz w:val="24"/>
                <w:szCs w:val="24"/>
              </w:rPr>
            </w:pPr>
          </w:p>
        </w:tc>
        <w:tc>
          <w:tcPr>
            <w:tcW w:w="960" w:type="dxa"/>
            <w:vMerge w:val="restart"/>
            <w:shd w:val="clear" w:color="auto" w:fill="FF0000"/>
            <w:noWrap/>
            <w:textDirection w:val="btLr"/>
          </w:tcPr>
          <w:p w14:paraId="7D0F66E8"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FF0000"/>
          </w:tcPr>
          <w:p w14:paraId="52EBCD76" w14:textId="77777777" w:rsidR="006D3AD5" w:rsidRPr="00874BFF" w:rsidRDefault="006D3AD5" w:rsidP="00443B8F">
            <w:pPr>
              <w:jc w:val="center"/>
              <w:rPr>
                <w:b/>
                <w:color w:val="FFFFFF"/>
                <w:sz w:val="20"/>
              </w:rPr>
            </w:pPr>
            <w:r w:rsidRPr="00874BFF">
              <w:rPr>
                <w:b/>
                <w:color w:val="FFFFFF"/>
                <w:sz w:val="20"/>
              </w:rPr>
              <w:t>High demands on professional management</w:t>
            </w:r>
          </w:p>
        </w:tc>
        <w:tc>
          <w:tcPr>
            <w:tcW w:w="2330" w:type="dxa"/>
            <w:shd w:val="clear" w:color="auto" w:fill="FF0000"/>
          </w:tcPr>
          <w:p w14:paraId="3B361962" w14:textId="77777777" w:rsidR="006D3AD5" w:rsidRPr="00874BFF" w:rsidRDefault="006D3AD5" w:rsidP="00443B8F">
            <w:pPr>
              <w:jc w:val="center"/>
              <w:rPr>
                <w:b/>
                <w:color w:val="FFFFFF"/>
                <w:sz w:val="20"/>
              </w:rPr>
            </w:pPr>
            <w:r w:rsidRPr="00874BFF">
              <w:rPr>
                <w:b/>
                <w:color w:val="FFFFFF"/>
                <w:sz w:val="20"/>
              </w:rPr>
              <w:t>Zero effect on the PE market activation – rather crowding out</w:t>
            </w:r>
          </w:p>
        </w:tc>
        <w:tc>
          <w:tcPr>
            <w:tcW w:w="2330" w:type="dxa"/>
            <w:shd w:val="clear" w:color="auto" w:fill="FF0000"/>
          </w:tcPr>
          <w:p w14:paraId="2578A590" w14:textId="77777777" w:rsidR="006D3AD5" w:rsidRPr="00874BFF" w:rsidRDefault="006D3AD5" w:rsidP="00443B8F">
            <w:pPr>
              <w:jc w:val="center"/>
              <w:rPr>
                <w:b/>
                <w:color w:val="FFFFFF"/>
                <w:sz w:val="20"/>
              </w:rPr>
            </w:pPr>
            <w:r w:rsidRPr="00874BFF">
              <w:rPr>
                <w:b/>
                <w:color w:val="FFFFFF"/>
                <w:sz w:val="20"/>
              </w:rPr>
              <w:t>Non-repayable costs</w:t>
            </w:r>
          </w:p>
        </w:tc>
      </w:tr>
      <w:tr w:rsidR="006D3AD5" w:rsidRPr="00874BFF" w14:paraId="520B375F" w14:textId="77777777" w:rsidTr="00443B8F">
        <w:tblPrEx>
          <w:tblCellMar>
            <w:left w:w="108" w:type="dxa"/>
            <w:right w:w="108" w:type="dxa"/>
          </w:tblCellMar>
        </w:tblPrEx>
        <w:trPr>
          <w:trHeight w:val="566"/>
        </w:trPr>
        <w:tc>
          <w:tcPr>
            <w:tcW w:w="960" w:type="dxa"/>
            <w:vMerge/>
          </w:tcPr>
          <w:p w14:paraId="25F2AC36" w14:textId="77777777" w:rsidR="006D3AD5" w:rsidRPr="00874BFF" w:rsidRDefault="006D3AD5" w:rsidP="00443B8F">
            <w:pPr>
              <w:jc w:val="left"/>
              <w:rPr>
                <w:b/>
                <w:bCs/>
                <w:color w:val="000000"/>
                <w:sz w:val="18"/>
                <w:szCs w:val="18"/>
              </w:rPr>
            </w:pPr>
          </w:p>
        </w:tc>
        <w:tc>
          <w:tcPr>
            <w:tcW w:w="960" w:type="dxa"/>
            <w:vMerge/>
            <w:noWrap/>
            <w:textDirection w:val="btLr"/>
          </w:tcPr>
          <w:p w14:paraId="69C55F11" w14:textId="77777777" w:rsidR="006D3AD5" w:rsidRPr="00874BFF" w:rsidRDefault="006D3AD5" w:rsidP="00443B8F">
            <w:pPr>
              <w:jc w:val="center"/>
              <w:rPr>
                <w:b/>
                <w:bCs/>
                <w:color w:val="000000"/>
                <w:sz w:val="18"/>
                <w:szCs w:val="18"/>
              </w:rPr>
            </w:pPr>
          </w:p>
        </w:tc>
        <w:tc>
          <w:tcPr>
            <w:tcW w:w="2414" w:type="dxa"/>
            <w:shd w:val="clear" w:color="auto" w:fill="FF0000"/>
          </w:tcPr>
          <w:p w14:paraId="53DD0C01" w14:textId="77777777" w:rsidR="006D3AD5" w:rsidRPr="00874BFF" w:rsidRDefault="006D3AD5" w:rsidP="00443B8F">
            <w:pPr>
              <w:jc w:val="center"/>
              <w:rPr>
                <w:b/>
                <w:color w:val="FFFFFF"/>
                <w:sz w:val="20"/>
              </w:rPr>
            </w:pPr>
            <w:r w:rsidRPr="00874BFF">
              <w:rPr>
                <w:b/>
                <w:color w:val="FFFFFF"/>
                <w:sz w:val="20"/>
              </w:rPr>
              <w:t>Highly insecure revolving potential</w:t>
            </w:r>
          </w:p>
        </w:tc>
        <w:tc>
          <w:tcPr>
            <w:tcW w:w="2330" w:type="dxa"/>
            <w:shd w:val="clear" w:color="auto" w:fill="FF0000"/>
          </w:tcPr>
          <w:p w14:paraId="622273BA" w14:textId="77777777" w:rsidR="006D3AD5" w:rsidRPr="00874BFF" w:rsidRDefault="006D3AD5" w:rsidP="00443B8F">
            <w:pPr>
              <w:jc w:val="center"/>
              <w:rPr>
                <w:b/>
                <w:color w:val="FFFFFF"/>
                <w:sz w:val="20"/>
              </w:rPr>
            </w:pPr>
            <w:r w:rsidRPr="00874BFF">
              <w:rPr>
                <w:b/>
                <w:color w:val="FFFFFF"/>
                <w:sz w:val="20"/>
              </w:rPr>
              <w:t>Low revolving</w:t>
            </w:r>
          </w:p>
        </w:tc>
        <w:tc>
          <w:tcPr>
            <w:tcW w:w="2330" w:type="dxa"/>
            <w:shd w:val="clear" w:color="auto" w:fill="FF0000"/>
          </w:tcPr>
          <w:p w14:paraId="5EBE9FF4" w14:textId="77777777" w:rsidR="006D3AD5" w:rsidRPr="00874BFF" w:rsidRDefault="006D3AD5" w:rsidP="00443B8F">
            <w:pPr>
              <w:jc w:val="center"/>
              <w:rPr>
                <w:b/>
                <w:color w:val="FFFFFF"/>
                <w:sz w:val="20"/>
              </w:rPr>
            </w:pPr>
            <w:r w:rsidRPr="00874BFF">
              <w:rPr>
                <w:b/>
                <w:color w:val="FFFFFF"/>
                <w:sz w:val="20"/>
              </w:rPr>
              <w:t>Lower number of supported projects</w:t>
            </w:r>
          </w:p>
        </w:tc>
      </w:tr>
      <w:tr w:rsidR="006D3AD5" w:rsidRPr="00874BFF" w14:paraId="5F787DCB" w14:textId="77777777" w:rsidTr="00443B8F">
        <w:tblPrEx>
          <w:tblCellMar>
            <w:left w:w="108" w:type="dxa"/>
            <w:right w:w="108" w:type="dxa"/>
          </w:tblCellMar>
        </w:tblPrEx>
        <w:trPr>
          <w:trHeight w:val="264"/>
        </w:trPr>
        <w:tc>
          <w:tcPr>
            <w:tcW w:w="960" w:type="dxa"/>
            <w:vMerge/>
            <w:shd w:val="clear" w:color="auto" w:fill="FF0000"/>
          </w:tcPr>
          <w:p w14:paraId="1358084A" w14:textId="77777777" w:rsidR="006D3AD5" w:rsidRPr="00874BFF" w:rsidRDefault="006D3AD5" w:rsidP="00443B8F">
            <w:pPr>
              <w:jc w:val="left"/>
              <w:rPr>
                <w:b/>
                <w:bCs/>
                <w:color w:val="000000"/>
                <w:sz w:val="18"/>
                <w:szCs w:val="18"/>
              </w:rPr>
            </w:pPr>
          </w:p>
        </w:tc>
        <w:tc>
          <w:tcPr>
            <w:tcW w:w="960" w:type="dxa"/>
            <w:vMerge/>
            <w:shd w:val="clear" w:color="auto" w:fill="FF0000"/>
            <w:noWrap/>
            <w:textDirection w:val="btLr"/>
          </w:tcPr>
          <w:p w14:paraId="3342AB04" w14:textId="77777777" w:rsidR="006D3AD5" w:rsidRPr="00874BFF" w:rsidRDefault="006D3AD5" w:rsidP="00443B8F">
            <w:pPr>
              <w:jc w:val="center"/>
              <w:rPr>
                <w:b/>
                <w:bCs/>
                <w:color w:val="000000"/>
                <w:sz w:val="18"/>
                <w:szCs w:val="18"/>
              </w:rPr>
            </w:pPr>
          </w:p>
        </w:tc>
        <w:tc>
          <w:tcPr>
            <w:tcW w:w="2414" w:type="dxa"/>
            <w:shd w:val="clear" w:color="auto" w:fill="FF0000"/>
          </w:tcPr>
          <w:p w14:paraId="1FA791C5" w14:textId="77777777" w:rsidR="006D3AD5" w:rsidRPr="00874BFF" w:rsidRDefault="006D3AD5" w:rsidP="00443B8F">
            <w:pPr>
              <w:jc w:val="center"/>
              <w:rPr>
                <w:b/>
                <w:color w:val="FFFFFF"/>
                <w:sz w:val="20"/>
              </w:rPr>
            </w:pPr>
            <w:r w:rsidRPr="00874BFF">
              <w:rPr>
                <w:b/>
                <w:color w:val="FFFFFF"/>
                <w:sz w:val="20"/>
              </w:rPr>
              <w:t>Longer time needed for preparation, implementation and administrative costs</w:t>
            </w:r>
          </w:p>
        </w:tc>
        <w:tc>
          <w:tcPr>
            <w:tcW w:w="2330" w:type="dxa"/>
            <w:shd w:val="clear" w:color="auto" w:fill="FF0000"/>
          </w:tcPr>
          <w:p w14:paraId="7A8FF9D2"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shd w:val="clear" w:color="auto" w:fill="FF0000"/>
            <w:vAlign w:val="center"/>
          </w:tcPr>
          <w:p w14:paraId="006FE388" w14:textId="77777777" w:rsidR="006D3AD5" w:rsidRPr="00874BFF" w:rsidRDefault="006D3AD5" w:rsidP="00443B8F">
            <w:pPr>
              <w:keepNext/>
              <w:jc w:val="center"/>
              <w:rPr>
                <w:b/>
                <w:color w:val="FFFFFF"/>
                <w:sz w:val="20"/>
              </w:rPr>
            </w:pPr>
            <w:r w:rsidRPr="00874BFF">
              <w:rPr>
                <w:b/>
                <w:color w:val="FFFFFF"/>
                <w:sz w:val="20"/>
              </w:rPr>
              <w:t>Zero effect on the PE market activation – rather crowding out</w:t>
            </w:r>
          </w:p>
        </w:tc>
      </w:tr>
      <w:tr w:rsidR="006D3AD5" w:rsidRPr="00874BFF" w14:paraId="478DEBBC" w14:textId="77777777" w:rsidTr="00443B8F">
        <w:tblPrEx>
          <w:tblCellMar>
            <w:left w:w="108" w:type="dxa"/>
            <w:right w:w="108" w:type="dxa"/>
          </w:tblCellMar>
        </w:tblPrEx>
        <w:trPr>
          <w:trHeight w:val="264"/>
        </w:trPr>
        <w:tc>
          <w:tcPr>
            <w:tcW w:w="960" w:type="dxa"/>
            <w:vMerge/>
          </w:tcPr>
          <w:p w14:paraId="2C7EC717" w14:textId="77777777" w:rsidR="006D3AD5" w:rsidRPr="00874BFF" w:rsidRDefault="006D3AD5" w:rsidP="00443B8F">
            <w:pPr>
              <w:jc w:val="left"/>
              <w:rPr>
                <w:b/>
                <w:bCs/>
                <w:color w:val="000000"/>
                <w:sz w:val="18"/>
                <w:szCs w:val="18"/>
              </w:rPr>
            </w:pPr>
          </w:p>
        </w:tc>
        <w:tc>
          <w:tcPr>
            <w:tcW w:w="960" w:type="dxa"/>
            <w:vMerge/>
            <w:noWrap/>
            <w:textDirection w:val="btLr"/>
          </w:tcPr>
          <w:p w14:paraId="16A88357" w14:textId="77777777" w:rsidR="006D3AD5" w:rsidRPr="00874BFF" w:rsidRDefault="006D3AD5" w:rsidP="00443B8F">
            <w:pPr>
              <w:jc w:val="center"/>
              <w:rPr>
                <w:b/>
                <w:bCs/>
                <w:color w:val="000000"/>
                <w:sz w:val="18"/>
                <w:szCs w:val="18"/>
              </w:rPr>
            </w:pPr>
          </w:p>
        </w:tc>
        <w:tc>
          <w:tcPr>
            <w:tcW w:w="2414" w:type="dxa"/>
            <w:shd w:val="clear" w:color="auto" w:fill="FF0000"/>
          </w:tcPr>
          <w:p w14:paraId="59C36D1B" w14:textId="77777777" w:rsidR="006D3AD5" w:rsidRPr="00874BFF" w:rsidRDefault="006D3AD5" w:rsidP="00443B8F">
            <w:pPr>
              <w:jc w:val="center"/>
              <w:rPr>
                <w:b/>
                <w:color w:val="FFFFFF"/>
                <w:sz w:val="20"/>
              </w:rPr>
            </w:pPr>
          </w:p>
        </w:tc>
        <w:tc>
          <w:tcPr>
            <w:tcW w:w="2330" w:type="dxa"/>
            <w:shd w:val="clear" w:color="auto" w:fill="FF0000"/>
          </w:tcPr>
          <w:p w14:paraId="393D901B" w14:textId="77777777" w:rsidR="006D3AD5" w:rsidRPr="00874BFF" w:rsidRDefault="006D3AD5" w:rsidP="00443B8F">
            <w:pPr>
              <w:jc w:val="center"/>
              <w:rPr>
                <w:b/>
                <w:color w:val="FFFFFF"/>
                <w:sz w:val="20"/>
              </w:rPr>
            </w:pPr>
          </w:p>
        </w:tc>
        <w:tc>
          <w:tcPr>
            <w:tcW w:w="2330" w:type="dxa"/>
            <w:shd w:val="clear" w:color="auto" w:fill="FF0000"/>
          </w:tcPr>
          <w:p w14:paraId="09CE39D9" w14:textId="77777777" w:rsidR="006D3AD5" w:rsidRPr="00874BFF" w:rsidRDefault="006D3AD5" w:rsidP="00443B8F">
            <w:pPr>
              <w:keepNext/>
              <w:jc w:val="center"/>
              <w:rPr>
                <w:b/>
                <w:color w:val="FFFFFF"/>
                <w:sz w:val="20"/>
              </w:rPr>
            </w:pPr>
            <w:r w:rsidRPr="00874BFF">
              <w:rPr>
                <w:b/>
                <w:color w:val="FFFFFF"/>
                <w:sz w:val="20"/>
              </w:rPr>
              <w:t>Slower absorption</w:t>
            </w:r>
          </w:p>
        </w:tc>
      </w:tr>
    </w:tbl>
    <w:p w14:paraId="2A996417" w14:textId="0508C64C" w:rsidR="006D3AD5" w:rsidRDefault="006D3AD5" w:rsidP="006D3AD5">
      <w:pPr>
        <w:pStyle w:val="Titulek"/>
      </w:pPr>
      <w:r w:rsidRPr="00874BFF">
        <w:t>Table 3</w:t>
      </w:r>
      <w:r w:rsidR="00035834">
        <w:t>9</w:t>
      </w:r>
      <w:r w:rsidRPr="00874BFF">
        <w:t xml:space="preserve">: Added value, disadvantages, problems and risks of public </w:t>
      </w:r>
      <w:r w:rsidR="008F5F02">
        <w:t>support for final recipients and MA</w:t>
      </w:r>
    </w:p>
    <w:p w14:paraId="77C56783" w14:textId="77777777" w:rsidR="00035834" w:rsidRPr="00685AEF" w:rsidRDefault="00035834" w:rsidP="00685AEF">
      <w:pPr>
        <w:rPr>
          <w:lang w:eastAsia="en-US"/>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729"/>
        <w:gridCol w:w="2694"/>
        <w:gridCol w:w="2268"/>
        <w:gridCol w:w="2268"/>
      </w:tblGrid>
      <w:tr w:rsidR="006D3AD5" w:rsidRPr="00874BFF" w14:paraId="1ED6A1B8" w14:textId="77777777" w:rsidTr="00443B8F">
        <w:tc>
          <w:tcPr>
            <w:tcW w:w="1729" w:type="dxa"/>
            <w:shd w:val="clear" w:color="auto" w:fill="548DD4"/>
            <w:vAlign w:val="center"/>
          </w:tcPr>
          <w:p w14:paraId="59A18332"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Market failure</w:t>
            </w:r>
          </w:p>
        </w:tc>
        <w:tc>
          <w:tcPr>
            <w:tcW w:w="2694" w:type="dxa"/>
            <w:shd w:val="clear" w:color="auto" w:fill="548DD4"/>
            <w:vAlign w:val="center"/>
          </w:tcPr>
          <w:p w14:paraId="243301E3"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Equity investments</w:t>
            </w:r>
          </w:p>
        </w:tc>
        <w:tc>
          <w:tcPr>
            <w:tcW w:w="2268" w:type="dxa"/>
            <w:shd w:val="clear" w:color="auto" w:fill="548DD4"/>
            <w:vAlign w:val="center"/>
          </w:tcPr>
          <w:p w14:paraId="53DC2A72"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Soft loan</w:t>
            </w:r>
          </w:p>
        </w:tc>
        <w:tc>
          <w:tcPr>
            <w:tcW w:w="2268" w:type="dxa"/>
            <w:shd w:val="clear" w:color="auto" w:fill="548DD4"/>
            <w:vAlign w:val="center"/>
          </w:tcPr>
          <w:p w14:paraId="40552E1B"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Subsidy</w:t>
            </w:r>
          </w:p>
        </w:tc>
      </w:tr>
      <w:tr w:rsidR="006D3AD5" w:rsidRPr="00874BFF" w14:paraId="240DE7F8" w14:textId="77777777" w:rsidTr="00443B8F">
        <w:trPr>
          <w:trHeight w:val="793"/>
        </w:trPr>
        <w:tc>
          <w:tcPr>
            <w:tcW w:w="1729" w:type="dxa"/>
            <w:shd w:val="clear" w:color="auto" w:fill="FFFFFF"/>
            <w:vAlign w:val="center"/>
          </w:tcPr>
          <w:p w14:paraId="2B06D681" w14:textId="77777777" w:rsidR="006D3AD5" w:rsidRPr="00874BFF" w:rsidRDefault="006D3AD5" w:rsidP="00443B8F">
            <w:pPr>
              <w:pStyle w:val="Highlight2"/>
              <w:jc w:val="left"/>
              <w:rPr>
                <w:rFonts w:ascii="Calibri" w:hAnsi="Calibri" w:cs="Calibri"/>
              </w:rPr>
            </w:pPr>
            <w:r w:rsidRPr="00874BFF">
              <w:rPr>
                <w:rFonts w:ascii="Calibri" w:hAnsi="Calibri"/>
                <w:color w:val="000000"/>
              </w:rPr>
              <w:t>Access to financing of innovative start-ups</w:t>
            </w:r>
          </w:p>
        </w:tc>
        <w:tc>
          <w:tcPr>
            <w:tcW w:w="2694" w:type="dxa"/>
            <w:shd w:val="clear" w:color="auto" w:fill="FFFFFF"/>
            <w:vAlign w:val="center"/>
          </w:tcPr>
          <w:p w14:paraId="405FD15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The equity investment of an investor brings flexible funds for  business development</w:t>
            </w:r>
          </w:p>
        </w:tc>
        <w:tc>
          <w:tcPr>
            <w:tcW w:w="2268" w:type="dxa"/>
            <w:shd w:val="clear" w:color="auto" w:fill="FFFFFF"/>
            <w:vAlign w:val="center"/>
          </w:tcPr>
          <w:p w14:paraId="36EF5644"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Making financing partially accessible, however, not for high-risk companies, the seed stage in general</w:t>
            </w:r>
          </w:p>
          <w:p w14:paraId="16CD501D"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t>Funds necessary to be repaid, reduction of interest costs</w:t>
            </w:r>
          </w:p>
        </w:tc>
        <w:tc>
          <w:tcPr>
            <w:tcW w:w="2268" w:type="dxa"/>
            <w:shd w:val="clear" w:color="auto" w:fill="FFFFFF"/>
            <w:vAlign w:val="center"/>
          </w:tcPr>
          <w:p w14:paraId="5D87211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Funds not to be repaid, however, subject to pre-financing and co-financing</w:t>
            </w:r>
          </w:p>
        </w:tc>
      </w:tr>
      <w:tr w:rsidR="006D3AD5" w:rsidRPr="00874BFF" w14:paraId="37D93F0B" w14:textId="77777777" w:rsidTr="00443B8F">
        <w:trPr>
          <w:trHeight w:val="1521"/>
        </w:trPr>
        <w:tc>
          <w:tcPr>
            <w:tcW w:w="1729" w:type="dxa"/>
            <w:shd w:val="clear" w:color="auto" w:fill="FFFFFF"/>
            <w:vAlign w:val="center"/>
          </w:tcPr>
          <w:p w14:paraId="4488E2CB"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Professional project management, know-how and contacts</w:t>
            </w:r>
          </w:p>
        </w:tc>
        <w:tc>
          <w:tcPr>
            <w:tcW w:w="2694" w:type="dxa"/>
            <w:shd w:val="clear" w:color="auto" w:fill="FFFFFF"/>
            <w:vAlign w:val="center"/>
          </w:tcPr>
          <w:p w14:paraId="52716D72"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Risk investments usually generate smart money – know-how of experienced businessmen and contacts. Possibility of a preferential approach to CI services</w:t>
            </w:r>
          </w:p>
        </w:tc>
        <w:tc>
          <w:tcPr>
            <w:tcW w:w="2268" w:type="dxa"/>
            <w:shd w:val="clear" w:color="auto" w:fill="FFFFFF"/>
            <w:vAlign w:val="center"/>
          </w:tcPr>
          <w:p w14:paraId="6480973D"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Banking companies are not involved in company development.</w:t>
            </w:r>
          </w:p>
        </w:tc>
        <w:tc>
          <w:tcPr>
            <w:tcW w:w="2268" w:type="dxa"/>
            <w:shd w:val="clear" w:color="auto" w:fill="FFFFFF"/>
            <w:vAlign w:val="center"/>
          </w:tcPr>
          <w:p w14:paraId="3436DD6C"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It does not have an impact on project management, exception is contribution for professional consultancy.</w:t>
            </w:r>
          </w:p>
        </w:tc>
      </w:tr>
      <w:tr w:rsidR="006D3AD5" w:rsidRPr="00874BFF" w14:paraId="3D8C0A27" w14:textId="77777777" w:rsidTr="00443B8F">
        <w:trPr>
          <w:trHeight w:val="1521"/>
        </w:trPr>
        <w:tc>
          <w:tcPr>
            <w:tcW w:w="1729" w:type="dxa"/>
            <w:shd w:val="clear" w:color="auto" w:fill="FFFFFF"/>
            <w:vAlign w:val="center"/>
          </w:tcPr>
          <w:p w14:paraId="2454556D"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Project risk</w:t>
            </w:r>
          </w:p>
        </w:tc>
        <w:tc>
          <w:tcPr>
            <w:tcW w:w="2694" w:type="dxa"/>
            <w:shd w:val="clear" w:color="auto" w:fill="FFFFFF"/>
            <w:vAlign w:val="center"/>
          </w:tcPr>
          <w:p w14:paraId="525DF490"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In selecting the investment, a high risk is taken into account, however, potential highly promising and viable projects are selected.</w:t>
            </w:r>
          </w:p>
          <w:p w14:paraId="797C1A77"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Public capital and preferential setting for a private co-investor enable reducing the investor's aversion to the risk.</w:t>
            </w:r>
          </w:p>
          <w:p w14:paraId="2910457D" w14:textId="77777777" w:rsidR="006D3AD5" w:rsidRPr="00874BFF" w:rsidRDefault="006D3AD5" w:rsidP="00443B8F">
            <w:pPr>
              <w:pStyle w:val="Highlight2"/>
              <w:jc w:val="center"/>
              <w:rPr>
                <w:rFonts w:ascii="Calibri" w:hAnsi="Calibri" w:cs="Calibri"/>
                <w:b w:val="0"/>
                <w:color w:val="000000"/>
              </w:rPr>
            </w:pPr>
          </w:p>
          <w:p w14:paraId="7046826E" w14:textId="77777777" w:rsidR="006D3AD5" w:rsidRPr="00874BFF" w:rsidRDefault="006D3AD5" w:rsidP="00443B8F">
            <w:pPr>
              <w:pStyle w:val="Highlight2"/>
              <w:jc w:val="center"/>
              <w:rPr>
                <w:rFonts w:ascii="Calibri" w:hAnsi="Calibri" w:cs="Calibri"/>
                <w:b w:val="0"/>
                <w:color w:val="000000"/>
              </w:rPr>
            </w:pPr>
          </w:p>
        </w:tc>
        <w:tc>
          <w:tcPr>
            <w:tcW w:w="2268" w:type="dxa"/>
            <w:shd w:val="clear" w:color="auto" w:fill="FFFFFF"/>
            <w:vAlign w:val="center"/>
          </w:tcPr>
          <w:p w14:paraId="5C06B4BD"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Due to the risk of the projects, creditworthiness is limited, it does not resolve the problem</w:t>
            </w:r>
          </w:p>
          <w:p w14:paraId="08509D64" w14:textId="77777777" w:rsidR="006D3AD5" w:rsidRPr="00874BFF" w:rsidRDefault="006D3AD5" w:rsidP="00443B8F">
            <w:pPr>
              <w:pStyle w:val="Highlight2"/>
              <w:jc w:val="center"/>
              <w:rPr>
                <w:rFonts w:ascii="Calibri" w:hAnsi="Calibri" w:cs="Calibri"/>
                <w:b w:val="0"/>
                <w:color w:val="000000"/>
              </w:rPr>
            </w:pPr>
          </w:p>
        </w:tc>
        <w:tc>
          <w:tcPr>
            <w:tcW w:w="2268" w:type="dxa"/>
            <w:shd w:val="clear" w:color="auto" w:fill="FFFFFF"/>
            <w:vAlign w:val="center"/>
          </w:tcPr>
          <w:p w14:paraId="17B2B9EE"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Improvement of economic parameters of the project reduces the risk of default. </w:t>
            </w:r>
          </w:p>
          <w:p w14:paraId="3E93A691" w14:textId="77777777" w:rsidR="006D3AD5" w:rsidRPr="00874BFF" w:rsidRDefault="006D3AD5" w:rsidP="00443B8F">
            <w:pPr>
              <w:pStyle w:val="Highlight2"/>
              <w:jc w:val="center"/>
              <w:rPr>
                <w:rFonts w:ascii="Calibri" w:hAnsi="Calibri" w:cs="Calibri"/>
                <w:b w:val="0"/>
                <w:color w:val="000000"/>
              </w:rPr>
            </w:pPr>
          </w:p>
          <w:p w14:paraId="4169F0FA" w14:textId="21B0F565"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The final recipient assumes the risk only</w:t>
            </w:r>
            <w:r w:rsidR="006D3AD5" w:rsidRPr="00874BFF">
              <w:rPr>
                <w:rFonts w:ascii="Calibri" w:hAnsi="Calibri"/>
                <w:b w:val="0"/>
                <w:color w:val="000000"/>
              </w:rPr>
              <w:t xml:space="preserve"> to the amount of co-financing of eligible and ineligible costs.</w:t>
            </w:r>
          </w:p>
          <w:p w14:paraId="184E7AAB" w14:textId="77777777" w:rsidR="006D3AD5" w:rsidRPr="00874BFF" w:rsidRDefault="006D3AD5" w:rsidP="00443B8F">
            <w:pPr>
              <w:pStyle w:val="Highlight2"/>
              <w:jc w:val="center"/>
              <w:rPr>
                <w:rFonts w:ascii="Calibri" w:hAnsi="Calibri" w:cs="Calibri"/>
                <w:b w:val="0"/>
                <w:color w:val="000000"/>
              </w:rPr>
            </w:pPr>
          </w:p>
          <w:p w14:paraId="15C4AF6A"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The effect is limited by the risk of subsidy withdrawal.</w:t>
            </w:r>
          </w:p>
          <w:p w14:paraId="358A3F50" w14:textId="77777777" w:rsidR="006D3AD5" w:rsidRPr="00874BFF" w:rsidRDefault="006D3AD5" w:rsidP="00443B8F">
            <w:pPr>
              <w:pStyle w:val="Highlight2"/>
              <w:jc w:val="center"/>
              <w:rPr>
                <w:rFonts w:ascii="Calibri" w:hAnsi="Calibri" w:cs="Calibri"/>
                <w:b w:val="0"/>
                <w:color w:val="000000"/>
              </w:rPr>
            </w:pPr>
          </w:p>
          <w:p w14:paraId="13ABB6AF"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 The MA has predefined losses up to the absolute amount of the subsidy.</w:t>
            </w:r>
          </w:p>
        </w:tc>
      </w:tr>
      <w:tr w:rsidR="006D3AD5" w:rsidRPr="00874BFF" w14:paraId="39357E89" w14:textId="77777777" w:rsidTr="00443B8F">
        <w:trPr>
          <w:trHeight w:val="1474"/>
        </w:trPr>
        <w:tc>
          <w:tcPr>
            <w:tcW w:w="1729" w:type="dxa"/>
            <w:shd w:val="clear" w:color="auto" w:fill="FFFFFF"/>
            <w:vAlign w:val="center"/>
          </w:tcPr>
          <w:p w14:paraId="406E44F2" w14:textId="77777777" w:rsidR="006D3AD5" w:rsidRPr="00874BFF" w:rsidRDefault="006D3AD5" w:rsidP="00443B8F">
            <w:pPr>
              <w:rPr>
                <w:sz w:val="19"/>
              </w:rPr>
            </w:pPr>
            <w:r w:rsidRPr="00874BFF">
              <w:rPr>
                <w:b/>
                <w:sz w:val="20"/>
              </w:rPr>
              <w:t>Overall effect on investment activity and absorption in SO</w:t>
            </w:r>
          </w:p>
        </w:tc>
        <w:tc>
          <w:tcPr>
            <w:tcW w:w="2694" w:type="dxa"/>
            <w:shd w:val="clear" w:color="auto" w:fill="FFFFFF"/>
            <w:vAlign w:val="center"/>
          </w:tcPr>
          <w:p w14:paraId="6157DC64"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Positive effect on accessibility of venture capital for promising companies</w:t>
            </w:r>
          </w:p>
          <w:p w14:paraId="02AED86D"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The form of support and the requirement to cooperate with private investors guarantees activation of private capital and effect on an increase in the number of qualified VC providers.</w:t>
            </w:r>
          </w:p>
          <w:p w14:paraId="08B176E3"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The major target effect is</w:t>
            </w:r>
          </w:p>
          <w:p w14:paraId="1B2A992B"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development of the entire VC market in the target segments and wider access to financing for start-ups</w:t>
            </w:r>
          </w:p>
        </w:tc>
        <w:tc>
          <w:tcPr>
            <w:tcW w:w="2268" w:type="dxa"/>
            <w:shd w:val="clear" w:color="auto" w:fill="FFFFFF"/>
            <w:vAlign w:val="center"/>
          </w:tcPr>
          <w:p w14:paraId="4C42C1A8" w14:textId="77777777" w:rsidR="006D3AD5" w:rsidRPr="00874BFF" w:rsidRDefault="006D3AD5" w:rsidP="00443B8F">
            <w:pPr>
              <w:rPr>
                <w:b/>
                <w:sz w:val="19"/>
              </w:rPr>
            </w:pPr>
            <w:r w:rsidRPr="00874BFF">
              <w:rPr>
                <w:sz w:val="20"/>
              </w:rPr>
              <w:t>Only a limited effect on effective approach of innovative start-ups to the necessary financing, low feasibility for projects at the early stage</w:t>
            </w:r>
          </w:p>
        </w:tc>
        <w:tc>
          <w:tcPr>
            <w:tcW w:w="2268" w:type="dxa"/>
            <w:shd w:val="clear" w:color="auto" w:fill="FFFFFF"/>
            <w:vAlign w:val="center"/>
          </w:tcPr>
          <w:p w14:paraId="380C19B8" w14:textId="77777777" w:rsidR="006D3AD5" w:rsidRPr="00874BFF" w:rsidRDefault="006D3AD5" w:rsidP="00443B8F">
            <w:pPr>
              <w:rPr>
                <w:color w:val="000000"/>
                <w:sz w:val="20"/>
              </w:rPr>
            </w:pPr>
            <w:r w:rsidRPr="00874BFF">
              <w:rPr>
                <w:color w:val="000000"/>
                <w:sz w:val="20"/>
              </w:rPr>
              <w:t>An ineffective type of support in terms of selection of sustainable projects and support of their competitiveness, low activation of the private sector, crowding out of private investments</w:t>
            </w:r>
          </w:p>
          <w:p w14:paraId="4343752B" w14:textId="77777777" w:rsidR="006D3AD5" w:rsidRPr="00874BFF" w:rsidRDefault="006D3AD5" w:rsidP="00443B8F">
            <w:pPr>
              <w:rPr>
                <w:color w:val="000000"/>
                <w:sz w:val="20"/>
              </w:rPr>
            </w:pPr>
          </w:p>
          <w:p w14:paraId="0DF2DDD9" w14:textId="77777777" w:rsidR="006D3AD5" w:rsidRPr="00874BFF" w:rsidRDefault="006D3AD5" w:rsidP="00443B8F">
            <w:pPr>
              <w:rPr>
                <w:b/>
                <w:color w:val="000000"/>
                <w:sz w:val="19"/>
              </w:rPr>
            </w:pPr>
          </w:p>
        </w:tc>
      </w:tr>
      <w:tr w:rsidR="006D3AD5" w:rsidRPr="00874BFF" w14:paraId="03772BBC" w14:textId="77777777" w:rsidTr="00443B8F">
        <w:tc>
          <w:tcPr>
            <w:tcW w:w="1729" w:type="dxa"/>
            <w:shd w:val="clear" w:color="auto" w:fill="FFFFFF"/>
            <w:vAlign w:val="center"/>
          </w:tcPr>
          <w:p w14:paraId="54442A28"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Effect on disruption of the market environment</w:t>
            </w:r>
          </w:p>
        </w:tc>
        <w:tc>
          <w:tcPr>
            <w:tcW w:w="2694" w:type="dxa"/>
            <w:shd w:val="clear" w:color="auto" w:fill="FFFFFF"/>
            <w:vAlign w:val="center"/>
          </w:tcPr>
          <w:p w14:paraId="561218F2"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When set properly, it promotes development of the PE market. There is a risk in unprofessional selection of projects and </w:t>
            </w:r>
            <w:r w:rsidRPr="00874BFF">
              <w:rPr>
                <w:rFonts w:ascii="Calibri" w:hAnsi="Calibri"/>
                <w:b w:val="0"/>
                <w:color w:val="000000"/>
              </w:rPr>
              <w:lastRenderedPageBreak/>
              <w:t>excessive allocation – the small market flooded by inexpert distribution of public capital, can have serious consequences for the market efficiency.</w:t>
            </w:r>
          </w:p>
        </w:tc>
        <w:tc>
          <w:tcPr>
            <w:tcW w:w="2268" w:type="dxa"/>
            <w:shd w:val="clear" w:color="auto" w:fill="FFFFFF"/>
            <w:vAlign w:val="center"/>
          </w:tcPr>
          <w:p w14:paraId="0F53E2A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lastRenderedPageBreak/>
              <w:t xml:space="preserve">Little effect on the market environment, repayable support encourages stakeholders to act </w:t>
            </w:r>
            <w:r w:rsidRPr="00874BFF">
              <w:rPr>
                <w:rFonts w:ascii="Calibri" w:hAnsi="Calibri"/>
                <w:b w:val="0"/>
                <w:color w:val="000000"/>
              </w:rPr>
              <w:lastRenderedPageBreak/>
              <w:t>economically and efficiently.</w:t>
            </w:r>
          </w:p>
          <w:p w14:paraId="202A888B"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Supplement to the private financial market.</w:t>
            </w:r>
          </w:p>
        </w:tc>
        <w:tc>
          <w:tcPr>
            <w:tcW w:w="2268" w:type="dxa"/>
            <w:shd w:val="clear" w:color="auto" w:fill="FFFFFF"/>
            <w:vAlign w:val="center"/>
          </w:tcPr>
          <w:p w14:paraId="1AC5039B"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lastRenderedPageBreak/>
              <w:t xml:space="preserve">It violates the market environment by inadequate support and by </w:t>
            </w:r>
            <w:r w:rsidRPr="00874BFF">
              <w:rPr>
                <w:rFonts w:ascii="Calibri" w:hAnsi="Calibri"/>
                <w:b w:val="0"/>
                <w:color w:val="000000"/>
              </w:rPr>
              <w:lastRenderedPageBreak/>
              <w:t>crowding out private funding.</w:t>
            </w:r>
          </w:p>
          <w:p w14:paraId="13281340"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Supporting even projects of inferior quality without potential of sustainability and profitability – limitation of market efficiency.</w:t>
            </w:r>
          </w:p>
        </w:tc>
      </w:tr>
    </w:tbl>
    <w:p w14:paraId="0DD58897" w14:textId="0D7FFD0F" w:rsidR="006D3AD5" w:rsidRPr="00874BFF" w:rsidRDefault="006D3AD5" w:rsidP="006D3AD5">
      <w:pPr>
        <w:pStyle w:val="Titulek"/>
      </w:pPr>
      <w:r w:rsidRPr="00874BFF">
        <w:lastRenderedPageBreak/>
        <w:t xml:space="preserve">Table </w:t>
      </w:r>
      <w:r w:rsidR="00035834">
        <w:t>40</w:t>
      </w:r>
      <w:r w:rsidRPr="00874BFF">
        <w:t xml:space="preserve"> – Added value of support for the objectives of SO 2.1 (start-up innovative SMEs), OP EIC, and impact on the market environment</w:t>
      </w:r>
    </w:p>
    <w:p w14:paraId="53E5D2A9" w14:textId="77777777" w:rsidR="006D3AD5" w:rsidRPr="00874BFF" w:rsidRDefault="006D3AD5" w:rsidP="006D3AD5">
      <w:pPr>
        <w:pStyle w:val="Neslovannadpisy"/>
      </w:pPr>
    </w:p>
    <w:p w14:paraId="32CF7403" w14:textId="77777777" w:rsidR="006D3AD5" w:rsidRPr="00874BFF" w:rsidRDefault="006D3AD5" w:rsidP="006D3AD5">
      <w:pPr>
        <w:rPr>
          <w:b/>
        </w:rPr>
      </w:pPr>
      <w:r w:rsidRPr="00874BFF">
        <w:t>To support development of innovative companies at the early stage, equity investments are the most efficient instrument in terms of project success potential  and development of the entire sector of their financing. The risk is particularly the necessity of professional management of the instrument or potential negative consequences for the market environment in case of its absence and disproportionate allocation.</w:t>
      </w:r>
    </w:p>
    <w:p w14:paraId="5BA27007" w14:textId="77777777" w:rsidR="006D3AD5" w:rsidRPr="00874BFF" w:rsidDel="00364968" w:rsidRDefault="006D3AD5" w:rsidP="006D3AD5"/>
    <w:p w14:paraId="01B0ADB0" w14:textId="77777777" w:rsidR="006D3AD5" w:rsidRPr="00874BFF" w:rsidRDefault="006D3AD5" w:rsidP="006D3AD5">
      <w:pPr>
        <w:pStyle w:val="Nadpis4"/>
        <w:rPr>
          <w:rFonts w:ascii="Calibri" w:hAnsi="Calibri"/>
        </w:rPr>
      </w:pPr>
      <w:r w:rsidRPr="00874BFF">
        <w:rPr>
          <w:rFonts w:ascii="Calibri" w:hAnsi="Calibri"/>
        </w:rPr>
        <w:t>Compliance with other forms of public interventions</w:t>
      </w:r>
    </w:p>
    <w:p w14:paraId="7203F70D" w14:textId="77777777" w:rsidR="006D3AD5" w:rsidRPr="00874BFF" w:rsidRDefault="006D3AD5" w:rsidP="006D3AD5">
      <w:r w:rsidRPr="00874BFF">
        <w:t>The support by equity investments of venture capital needs to be perceived in a wider context of development requirements in an innovative company. The support is thus primarily a follow-up of the proof-of-concept support, but also a support of specialised consultancy services that, along with funding from investors, will help companies advance to the next business stage  (OP EIC programmes Infrastructure Services, Consulting and Marketing).</w:t>
      </w:r>
    </w:p>
    <w:p w14:paraId="1D299DD2" w14:textId="77777777" w:rsidR="006D3AD5" w:rsidRPr="00874BFF" w:rsidRDefault="006D3AD5" w:rsidP="006D3AD5"/>
    <w:p w14:paraId="609841A7" w14:textId="77777777" w:rsidR="006D3AD5" w:rsidRPr="00874BFF" w:rsidRDefault="006D3AD5" w:rsidP="006D3AD5">
      <w:pPr>
        <w:rPr>
          <w:bCs/>
        </w:rPr>
      </w:pPr>
      <w:r w:rsidRPr="00874BFF">
        <w:t>The key complementarity is then the linkage with the support of equity investments provided by the Prague City Hall via the OP PPG. With regard to the limited size of the Czech market, it is essential to incorporate the support from the capital city of Prague as well; however, due to the limits of the OP EIC it can be implemented only via cooperation of both programmes. Therefore, definite recommendation of the ex ante evaluation of the FIs of the OP EIC is to create a single system of support of equity investments which will be usable for companies and investors from the whole Czech Republic.</w:t>
      </w:r>
    </w:p>
    <w:p w14:paraId="4C1B7EA1" w14:textId="77777777" w:rsidR="006D3AD5" w:rsidRPr="00874BFF" w:rsidRDefault="006D3AD5" w:rsidP="006D3AD5">
      <w:pPr>
        <w:rPr>
          <w:bCs/>
        </w:rPr>
      </w:pPr>
    </w:p>
    <w:p w14:paraId="55D5D3F5" w14:textId="77777777" w:rsidR="006D3AD5" w:rsidRPr="00874BFF" w:rsidRDefault="006D3AD5" w:rsidP="006D3AD5">
      <w:pPr>
        <w:rPr>
          <w:bCs/>
        </w:rPr>
      </w:pPr>
      <w:r w:rsidRPr="00874BFF">
        <w:t>We can also take in the complementarity with the planned Central European Fund of Funds of the EIF which would enable companies at subsequent stages (later and growth stages) to raise funds for further development, while talks are being held to include, next to the Czech Republic, also Slovakia, Hungary, Austria and Slovenia.</w:t>
      </w:r>
    </w:p>
    <w:p w14:paraId="0731464F" w14:textId="77777777" w:rsidR="006D3AD5" w:rsidRPr="00874BFF" w:rsidRDefault="006D3AD5" w:rsidP="006D3AD5">
      <w:pPr>
        <w:rPr>
          <w:bCs/>
        </w:rPr>
      </w:pPr>
    </w:p>
    <w:p w14:paraId="0862F22F" w14:textId="77777777" w:rsidR="006D3AD5" w:rsidRPr="00874BFF" w:rsidRDefault="006D3AD5" w:rsidP="006D3AD5">
      <w:r w:rsidRPr="00874BFF">
        <w:t>An important complementarity is also the possibility to employ the Investment Plan for Europe and the European Fund for Strategic Investments.</w:t>
      </w:r>
    </w:p>
    <w:p w14:paraId="56F1B25D" w14:textId="77777777" w:rsidR="006D3AD5" w:rsidRPr="00874BFF" w:rsidRDefault="006D3AD5" w:rsidP="006D3AD5">
      <w:pPr>
        <w:pStyle w:val="Nadpis4"/>
        <w:rPr>
          <w:rFonts w:ascii="Calibri" w:hAnsi="Calibri"/>
        </w:rPr>
      </w:pPr>
      <w:r w:rsidRPr="00874BFF">
        <w:rPr>
          <w:rFonts w:ascii="Calibri" w:hAnsi="Calibri"/>
        </w:rPr>
        <w:t>Possible solution for public support</w:t>
      </w:r>
    </w:p>
    <w:p w14:paraId="115489F5" w14:textId="77777777" w:rsidR="006D3AD5" w:rsidRPr="00874BFF" w:rsidRDefault="006D3AD5" w:rsidP="006D3AD5">
      <w:r w:rsidRPr="00874BFF">
        <w:t>With regard to loans and guarantees, public support is expected only at the level of final recipients. For financial instruments of soft loans and guarantees of investments, public support can be solved by application of the de minimis rule or the provisions of the General Regulation No 651/2014 on block exemptions.</w:t>
      </w:r>
    </w:p>
    <w:p w14:paraId="733D2C41" w14:textId="77777777" w:rsidR="006D3AD5" w:rsidRPr="00874BFF" w:rsidRDefault="006D3AD5" w:rsidP="006D3AD5"/>
    <w:p w14:paraId="0CD7B8EB" w14:textId="77777777" w:rsidR="006D3AD5" w:rsidRPr="00874BFF" w:rsidRDefault="006D3AD5" w:rsidP="006D3AD5">
      <w:r w:rsidRPr="00874BFF">
        <w:t>Public support for venture capital is expected to be at the level of final recipients and private investors. For the financial instrument of equity investments, public support can be solved by application of the provisions of the General Regulation No 651/2014 on block exemptions. Public support for private investors is expected to be in the form of preferential remuneration (disproportionate distribution of profit), also according to the General regulation on block exemptions.</w:t>
      </w:r>
    </w:p>
    <w:p w14:paraId="4ADDDA39" w14:textId="77777777" w:rsidR="006D3AD5" w:rsidRPr="00874BFF" w:rsidDel="00364968" w:rsidRDefault="006D3AD5" w:rsidP="006D3AD5"/>
    <w:p w14:paraId="3C09A828" w14:textId="77777777" w:rsidR="006D3AD5" w:rsidRPr="00874BFF" w:rsidRDefault="006D3AD5" w:rsidP="006D3AD5">
      <w:pPr>
        <w:pStyle w:val="Nadpis3"/>
        <w:rPr>
          <w:rFonts w:ascii="Calibri" w:hAnsi="Calibri"/>
        </w:rPr>
      </w:pPr>
      <w:bookmarkStart w:id="826" w:name="_Toc422312111"/>
      <w:r w:rsidRPr="00874BFF">
        <w:rPr>
          <w:rFonts w:ascii="Calibri" w:hAnsi="Calibri"/>
        </w:rPr>
        <w:t>Estimate of additional public and private resources</w:t>
      </w:r>
      <w:bookmarkEnd w:id="826"/>
    </w:p>
    <w:p w14:paraId="5984CC23" w14:textId="77777777" w:rsidR="006D3AD5" w:rsidRPr="00874BFF" w:rsidRDefault="006D3AD5" w:rsidP="006D3AD5">
      <w:pPr>
        <w:pStyle w:val="Nadpis4"/>
        <w:rPr>
          <w:rFonts w:ascii="Calibri" w:hAnsi="Calibri"/>
        </w:rPr>
      </w:pPr>
      <w:r w:rsidRPr="00874BFF">
        <w:rPr>
          <w:rFonts w:ascii="Calibri" w:hAnsi="Calibri"/>
        </w:rPr>
        <w:t>Co-financing from private sources down to the level of final recipient</w:t>
      </w:r>
    </w:p>
    <w:p w14:paraId="5698511A" w14:textId="77777777" w:rsidR="006D3AD5" w:rsidRPr="00874BFF" w:rsidRDefault="006D3AD5" w:rsidP="006D3AD5">
      <w:r w:rsidRPr="00874BFF">
        <w:t>The guarantee instrument assumes private funding to be employed in the form of guaranteed commercial loans.</w:t>
      </w:r>
    </w:p>
    <w:p w14:paraId="2C6C2BFC" w14:textId="77777777" w:rsidR="006D3AD5" w:rsidRPr="00874BFF" w:rsidRDefault="006D3AD5" w:rsidP="006D3AD5"/>
    <w:p w14:paraId="4CE03EB5" w14:textId="77777777" w:rsidR="006D3AD5" w:rsidRPr="00874BFF" w:rsidRDefault="006D3AD5" w:rsidP="006D3AD5">
      <w:r w:rsidRPr="00874BFF">
        <w:t>The soft loan instrument assumes co-financing by a commercial loan which will be a prerequisite for granting the soft loan. Depending on the setting of the instrument and the share of own funding, the share of private bank resource in the project financing may range from 20 % to 80 % of the project costs. In order to maintain a sufficient level of preference by a reduced compound interest rate, the recommended maximum share of the commercial loan to the soft loan of the FI is 1:1. In the model example, at the commercial bank rate of 3.5 % and the FI rate of 0.5 %, the resulting rate will be at the level of 2 %.</w:t>
      </w:r>
    </w:p>
    <w:p w14:paraId="51D28FA0" w14:textId="77777777" w:rsidR="006D3AD5" w:rsidRPr="00874BFF" w:rsidRDefault="006D3AD5" w:rsidP="006D3AD5"/>
    <w:p w14:paraId="15DCE038" w14:textId="77777777" w:rsidR="006D3AD5" w:rsidRPr="00874BFF" w:rsidRDefault="006D3AD5" w:rsidP="006D3AD5">
      <w:r w:rsidRPr="00874BFF">
        <w:t>Measures in venture financing consisting in equity or quasi-equity investments or loans for eligible companies have to, according to the Block Exemption Regulation</w:t>
      </w:r>
      <w:r w:rsidRPr="00874BFF">
        <w:rPr>
          <w:rStyle w:val="Znakapoznpodarou"/>
          <w:rFonts w:ascii="Calibri" w:hAnsi="Calibri"/>
        </w:rPr>
        <w:footnoteReference w:id="28"/>
      </w:r>
      <w:r w:rsidRPr="00874BFF">
        <w:t xml:space="preserve">, activate sufficient sources of funding at the level of financial intermediaries or eligible company from independent private investors, so that the total share of the private participation could reach the minimum thresholds: </w:t>
      </w:r>
    </w:p>
    <w:p w14:paraId="559277D2" w14:textId="77777777" w:rsidR="006D3AD5" w:rsidRPr="00874BFF" w:rsidRDefault="006D3AD5" w:rsidP="006D3AD5"/>
    <w:p w14:paraId="6F0B84F5" w14:textId="77777777" w:rsidR="006D3AD5" w:rsidRPr="00874BFF" w:rsidRDefault="006D3AD5" w:rsidP="006D3AD5">
      <w:pPr>
        <w:pStyle w:val="Odstavecseseznamem1"/>
        <w:numPr>
          <w:ilvl w:val="2"/>
          <w:numId w:val="38"/>
        </w:numPr>
      </w:pPr>
      <w:r w:rsidRPr="00874BFF">
        <w:t xml:space="preserve">10 % of the risk finance provided to the eligible enterprises prior to their first commercial sale on the market; </w:t>
      </w:r>
    </w:p>
    <w:p w14:paraId="27F8AAC2" w14:textId="77777777" w:rsidR="006D3AD5" w:rsidRPr="00874BFF" w:rsidRDefault="006D3AD5" w:rsidP="006D3AD5">
      <w:pPr>
        <w:pStyle w:val="Odstavecseseznamem1"/>
        <w:numPr>
          <w:ilvl w:val="2"/>
          <w:numId w:val="38"/>
        </w:numPr>
      </w:pPr>
      <w:r w:rsidRPr="00874BFF">
        <w:t>40 % of the risk finance provided to the eligible enterprises that operate in the market for fewer than seven years from their first commercial sale;</w:t>
      </w:r>
    </w:p>
    <w:p w14:paraId="09BBA2C8" w14:textId="77777777" w:rsidR="006D3AD5" w:rsidRPr="00874BFF" w:rsidRDefault="006D3AD5" w:rsidP="006D3AD5">
      <w:pPr>
        <w:pStyle w:val="Odstavecseseznamem1"/>
        <w:numPr>
          <w:ilvl w:val="2"/>
          <w:numId w:val="38"/>
        </w:numPr>
      </w:pPr>
      <w:r w:rsidRPr="00874BFF">
        <w:t>60 % of the risk finance for investments that are made in older eligible enterprises that need an initial investment of the risk finance that based on the business plan prepared for the entry on a new product or geographic market exceeds 50 % of their annual turnover for the preceding five years and in case of subsequent investments in eligible enterprises after a lapse of seven years see ii).</w:t>
      </w:r>
    </w:p>
    <w:p w14:paraId="7E607F03" w14:textId="77777777" w:rsidR="006D3AD5" w:rsidRPr="00874BFF" w:rsidRDefault="006D3AD5" w:rsidP="006D3AD5">
      <w:pPr>
        <w:pStyle w:val="Odstavecseseznamem1"/>
        <w:ind w:left="2160"/>
      </w:pPr>
    </w:p>
    <w:p w14:paraId="56F5844F" w14:textId="701EEC75" w:rsidR="006D3AD5" w:rsidRPr="00874BFF" w:rsidRDefault="006D3AD5" w:rsidP="006D3AD5">
      <w:r w:rsidRPr="00874BFF">
        <w:t xml:space="preserve">A prerequisite for utilisation of all the proposed financial instruments in SO 2.1 is to maintain the share of </w:t>
      </w:r>
      <w:r w:rsidR="00CF3F95">
        <w:t xml:space="preserve">final recipient’s own funding </w:t>
      </w:r>
      <w:r w:rsidRPr="00874BFF">
        <w:t>which may oscillate depending on the financial strategy and the company's requirements. Own funding will be used both for co-funding eligible costs and primarily for funding ineligible costs of projects.</w:t>
      </w:r>
    </w:p>
    <w:p w14:paraId="23E1AC08" w14:textId="77777777" w:rsidR="006D3AD5" w:rsidRPr="00874BFF" w:rsidRDefault="006D3AD5" w:rsidP="006D3AD5"/>
    <w:p w14:paraId="239186E0" w14:textId="0EE6E328" w:rsidR="006D3AD5" w:rsidRPr="00874BFF" w:rsidRDefault="006D3AD5" w:rsidP="006D3AD5">
      <w:r w:rsidRPr="00874BFF">
        <w:t xml:space="preserve">Based on experience of the </w:t>
      </w:r>
      <w:r w:rsidR="00D86C14">
        <w:t>CMGDB</w:t>
      </w:r>
      <w:r w:rsidRPr="00874BFF">
        <w:t xml:space="preserve"> Bank, we estimate applicants' own resources related to loans to be at the lev</w:t>
      </w:r>
      <w:r w:rsidR="008A6F19">
        <w:t>el of 10–30 % of project costs.</w:t>
      </w:r>
    </w:p>
    <w:p w14:paraId="20EFFC4B" w14:textId="77777777" w:rsidR="006D3AD5" w:rsidRPr="00874BFF" w:rsidRDefault="006D3AD5" w:rsidP="006D3AD5"/>
    <w:p w14:paraId="31AE9693" w14:textId="77777777" w:rsidR="006D3AD5" w:rsidRPr="00874BFF" w:rsidRDefault="006D3AD5" w:rsidP="006D3AD5">
      <w:r w:rsidRPr="00874BFF">
        <w:t>In case of venture capital, the necessity to invest own resources results from the definition of investments in already existing enterprises.</w:t>
      </w:r>
    </w:p>
    <w:p w14:paraId="11D34A44" w14:textId="77777777" w:rsidR="006D3AD5" w:rsidRPr="00874BFF" w:rsidRDefault="006D3AD5" w:rsidP="006D3AD5">
      <w:pPr>
        <w:pStyle w:val="Nadpis4"/>
        <w:rPr>
          <w:rFonts w:ascii="Calibri" w:hAnsi="Calibri"/>
        </w:rPr>
      </w:pPr>
      <w:r w:rsidRPr="00874BFF">
        <w:rPr>
          <w:rFonts w:ascii="Calibri" w:hAnsi="Calibri"/>
        </w:rPr>
        <w:t>Identification of key players</w:t>
      </w:r>
    </w:p>
    <w:p w14:paraId="71D4C367" w14:textId="77777777" w:rsidR="006D3AD5" w:rsidRPr="00874BFF" w:rsidRDefault="006D3AD5" w:rsidP="006D3AD5"/>
    <w:p w14:paraId="0A59492C" w14:textId="77777777" w:rsidR="006D3AD5" w:rsidRPr="00874BFF" w:rsidRDefault="006D3AD5" w:rsidP="006D3AD5">
      <w:r w:rsidRPr="00874BFF">
        <w:t>The key private players for bank instruments (soft loans and guarantees) are lending institutions – commercial banks. The FI will be implemented through a guarantee, or loan fund with a selected manager.</w:t>
      </w:r>
    </w:p>
    <w:p w14:paraId="1E58CF1D" w14:textId="77777777" w:rsidR="006D3AD5" w:rsidRPr="00874BFF" w:rsidRDefault="006D3AD5" w:rsidP="006D3AD5"/>
    <w:p w14:paraId="500E52DE" w14:textId="77777777" w:rsidR="006D3AD5" w:rsidRPr="00874BFF" w:rsidRDefault="006D3AD5" w:rsidP="006D3AD5">
      <w:r w:rsidRPr="00874BFF">
        <w:lastRenderedPageBreak/>
        <w:t>The key private stakeholders in venture capital are institutional investors – PE funds. In case of a co-investment strategy of a financial instrument, involvement of business angels, qualified private investors acting as natural persons,  can be also considered.</w:t>
      </w:r>
    </w:p>
    <w:p w14:paraId="508DE57D" w14:textId="77777777" w:rsidR="006D3AD5" w:rsidRPr="00874BFF" w:rsidRDefault="006D3AD5" w:rsidP="006D3AD5">
      <w:pPr>
        <w:pStyle w:val="Nadpis4"/>
        <w:rPr>
          <w:rFonts w:ascii="Calibri" w:hAnsi="Calibri"/>
        </w:rPr>
      </w:pPr>
      <w:r w:rsidRPr="00874BFF">
        <w:rPr>
          <w:rFonts w:ascii="Calibri" w:hAnsi="Calibri"/>
        </w:rPr>
        <w:t>Estimate of additional resources that the financial instrument will potentially attract – expected leverage effect</w:t>
      </w:r>
    </w:p>
    <w:p w14:paraId="6EA9DA41" w14:textId="77777777" w:rsidR="006D3AD5" w:rsidRPr="00874BFF" w:rsidRDefault="006D3AD5" w:rsidP="006D3AD5">
      <w:pPr>
        <w:pStyle w:val="BodyText1"/>
        <w:rPr>
          <w:rFonts w:ascii="Calibri" w:hAnsi="Calibri"/>
        </w:rPr>
      </w:pPr>
    </w:p>
    <w:p w14:paraId="0526D465" w14:textId="77777777" w:rsidR="006D3AD5" w:rsidRPr="00874BFF" w:rsidRDefault="006D3AD5" w:rsidP="006D3AD5">
      <w:r w:rsidRPr="00874BFF">
        <w:t>Additional resources activated by the financial instrument and thus the resulting leverage effect as well always depend on the specific setting of the investment strategy in terms of required private co-financing.</w:t>
      </w:r>
    </w:p>
    <w:p w14:paraId="3DAEE602" w14:textId="77777777" w:rsidR="006D3AD5" w:rsidRPr="00874BFF" w:rsidRDefault="006D3AD5" w:rsidP="006D3AD5"/>
    <w:p w14:paraId="79BAA0DB" w14:textId="77777777" w:rsidR="006D3AD5" w:rsidRPr="00874BFF" w:rsidRDefault="006D3AD5" w:rsidP="006D3AD5">
      <w:r w:rsidRPr="00874BFF">
        <w:t>The leverage effect of the loan instrument is directly proportional to involvement of private bank co-financing which will result from a specific setting by the MA and by agreement with private lending institutions. It is useful to leave these parameters open to flexible adjustments reflecting the results of the instrument.</w:t>
      </w:r>
    </w:p>
    <w:p w14:paraId="07B9F25D" w14:textId="77777777" w:rsidR="006D3AD5" w:rsidRPr="00874BFF" w:rsidRDefault="006D3AD5" w:rsidP="006D3AD5">
      <w:pPr>
        <w:rPr>
          <w:b/>
        </w:rPr>
      </w:pPr>
      <w:r w:rsidRPr="00874BFF">
        <w:t xml:space="preserve">Based on the above-mentioned range of co-financing and limit thresholds, the leverage effect for soft loans can be in the range of 1.125–9 (without the applicant's own resources and revolving effect). If the loan instrument is to be sufficiently advantageous and justified for the final recipient, </w:t>
      </w:r>
      <w:r w:rsidRPr="00874BFF">
        <w:rPr>
          <w:b/>
        </w:rPr>
        <w:t>we cannot expect that the value of the leverage effect will exceed  two (i.e. the ratio of the FI and private loan 1:1)</w:t>
      </w:r>
      <w:r w:rsidRPr="00874BFF">
        <w:t>.</w:t>
      </w:r>
    </w:p>
    <w:p w14:paraId="0393968E" w14:textId="77777777" w:rsidR="006D3AD5" w:rsidRPr="00874BFF" w:rsidRDefault="006D3AD5" w:rsidP="006D3AD5"/>
    <w:p w14:paraId="500384FA" w14:textId="77777777" w:rsidR="006D3AD5" w:rsidRPr="00874BFF" w:rsidRDefault="006D3AD5" w:rsidP="006D3AD5">
      <w:r w:rsidRPr="00874BFF">
        <w:t xml:space="preserve">The leverage effect of the guarantee instrument is achieved by reducing the risk of lending institutions and making their loans accessible to the segment of SMEs that shows a relatively increased risk. The resulting leverage effect depends on the risk of the portfolio, the degree of guarantees provided and intermediated payment of losses by the financial instrument. It will thus be changing depending on the specific setting by the MA which is good to keep open for flexible modifications reflecting results of the instrument. </w:t>
      </w:r>
    </w:p>
    <w:p w14:paraId="321137EC" w14:textId="77777777" w:rsidR="006D3AD5" w:rsidRPr="00874BFF" w:rsidRDefault="006D3AD5" w:rsidP="006D3AD5"/>
    <w:p w14:paraId="599B2F0D" w14:textId="5A9C6E8A" w:rsidR="006D3AD5" w:rsidRPr="00874BFF" w:rsidRDefault="006D3AD5" w:rsidP="006D3AD5">
      <w:r w:rsidRPr="00874BFF">
        <w:t xml:space="preserve">The general access to financing  for SMEs in the Czech Republic is relatively good. The FI should thus be targeted </w:t>
      </w:r>
      <w:r w:rsidRPr="00874BFF">
        <w:rPr>
          <w:b/>
        </w:rPr>
        <w:t>specifically at a higher risk portfolio of viable SMEs</w:t>
      </w:r>
      <w:r w:rsidRPr="00874BFF">
        <w:t xml:space="preserve"> that shows a market failure. For this purpose, customisation is required in the risk management strategy and </w:t>
      </w:r>
      <w:r w:rsidRPr="00874BFF">
        <w:rPr>
          <w:b/>
        </w:rPr>
        <w:t>the leverage effect up to level 10.</w:t>
      </w:r>
      <w:r w:rsidRPr="00874BFF">
        <w:t xml:space="preserve"> Generally, it is also possible to utilise experience from guarantee programmes of the OPEI and the Guarantee NP which were identical in their focus. At setting the support effectively, </w:t>
      </w:r>
      <w:r w:rsidRPr="00874BFF">
        <w:rPr>
          <w:b/>
        </w:rPr>
        <w:t xml:space="preserve">the spread of the leverage effect can be expected in the interval of 6.7–10. </w:t>
      </w:r>
      <w:r w:rsidRPr="00874BFF">
        <w:t xml:space="preserve">The FI should provide the </w:t>
      </w:r>
      <w:r w:rsidR="003213A1">
        <w:t>recipient</w:t>
      </w:r>
      <w:r w:rsidRPr="00874BFF">
        <w:t xml:space="preserve"> (FI manager) payment of losses of 10-15 % of the guaranteed portfolio.</w:t>
      </w:r>
    </w:p>
    <w:p w14:paraId="3168E927" w14:textId="77777777" w:rsidR="006D3AD5" w:rsidRPr="00874BFF" w:rsidRDefault="006D3AD5" w:rsidP="006D3AD5"/>
    <w:p w14:paraId="20C5586F" w14:textId="77777777" w:rsidR="006D3AD5" w:rsidRPr="00874BFF" w:rsidRDefault="006D3AD5" w:rsidP="006D3AD5">
      <w:r w:rsidRPr="00874BFF">
        <w:t>The leverage effect of the equity investments instrument depends on the degree of co-financing by private investors, when the limit thresholds for each type of investments are mentioned above. The minimum value of the leverage effect is</w:t>
      </w:r>
    </w:p>
    <w:p w14:paraId="4DDE56F1" w14:textId="77777777" w:rsidR="006D3AD5" w:rsidRPr="00874BFF" w:rsidRDefault="006D3AD5" w:rsidP="006D3AD5">
      <w:pPr>
        <w:pStyle w:val="Odstavecseseznamem1"/>
        <w:numPr>
          <w:ilvl w:val="0"/>
          <w:numId w:val="39"/>
        </w:numPr>
      </w:pPr>
      <w:r w:rsidRPr="00874BFF">
        <w:t xml:space="preserve">1.1 for eligible enterprises at the stage before their first commercial sale; </w:t>
      </w:r>
    </w:p>
    <w:p w14:paraId="65BA335D" w14:textId="77777777" w:rsidR="006D3AD5" w:rsidRPr="00874BFF" w:rsidRDefault="006D3AD5" w:rsidP="006D3AD5">
      <w:pPr>
        <w:pStyle w:val="Odstavecseseznamem1"/>
        <w:numPr>
          <w:ilvl w:val="0"/>
          <w:numId w:val="39"/>
        </w:numPr>
      </w:pPr>
      <w:r w:rsidRPr="00874BFF">
        <w:t>1.7 for eligible enterprises that operate in the market for fewer than seven years from their first commercial sale;</w:t>
      </w:r>
    </w:p>
    <w:p w14:paraId="3351727E" w14:textId="77777777" w:rsidR="006D3AD5" w:rsidRPr="00874BFF" w:rsidRDefault="006D3AD5" w:rsidP="006D3AD5">
      <w:pPr>
        <w:pStyle w:val="Odstavecseseznamem1"/>
        <w:numPr>
          <w:ilvl w:val="0"/>
          <w:numId w:val="39"/>
        </w:numPr>
      </w:pPr>
      <w:r w:rsidRPr="00874BFF">
        <w:t>2.5  for investments that are made in older eligible enterprises that need an initial investment of the risk finance that based on the business plan prepared for the entry on a new product or geographic market exceeds 50○ % of their annual turnover for the preceding five years and in case of subsequent investments in eligible enterprises after a lapse of seven years see ii).</w:t>
      </w:r>
    </w:p>
    <w:p w14:paraId="56A22157" w14:textId="77777777" w:rsidR="006D3AD5" w:rsidRPr="00874BFF" w:rsidRDefault="006D3AD5" w:rsidP="006D3AD5"/>
    <w:p w14:paraId="24E5F115" w14:textId="77777777" w:rsidR="006D3AD5" w:rsidRPr="00874BFF" w:rsidRDefault="006D3AD5" w:rsidP="006D3AD5">
      <w:r w:rsidRPr="00874BFF">
        <w:t>The leverage effect for the target segment of enterprises at the early stage can thus be expected in the interval of 1.1–2.5. The resulting leverage effect will depend on a particular setting of conditions and investors' interest which is good to be encouraged by preferential conditions of common investing.</w:t>
      </w:r>
    </w:p>
    <w:p w14:paraId="245E6A61" w14:textId="77777777" w:rsidR="006D3AD5" w:rsidRPr="00874BFF" w:rsidRDefault="006D3AD5" w:rsidP="006D3AD5"/>
    <w:p w14:paraId="5523C41C" w14:textId="77777777" w:rsidR="006D3AD5" w:rsidRPr="00874BFF" w:rsidRDefault="006D3AD5" w:rsidP="006D3AD5">
      <w:pPr>
        <w:pStyle w:val="Nadpis4"/>
        <w:rPr>
          <w:rFonts w:ascii="Calibri" w:hAnsi="Calibri"/>
        </w:rPr>
      </w:pPr>
      <w:r w:rsidRPr="00874BFF">
        <w:rPr>
          <w:rFonts w:ascii="Calibri" w:hAnsi="Calibri"/>
        </w:rPr>
        <w:t>Evaluating the need for and level of preferential remuneration</w:t>
      </w:r>
    </w:p>
    <w:p w14:paraId="58273AD7" w14:textId="77777777" w:rsidR="006D3AD5" w:rsidRPr="00874BFF" w:rsidRDefault="006D3AD5" w:rsidP="006D3AD5">
      <w:r w:rsidRPr="00874BFF">
        <w:t>To motivate for a sufficient leverage effect and to involve private bank resources in supported projects, we propose for soft loans of the FIs to set longer maturity and collateral security for the pledged assets. This method will significantly increase further creditworthiness of supported stakeholders, the risk of private banks at provision of additional private loan is reduced and private equity is not crowded out by the financial instrument. Within the guarantee instrument, private lending institutions are motivated by a reduced risk of the guaranteed loans, which enables them to expand their lending activities with a reasonable risk. In case of debt instruments, it is not a preferential remuneration of lending institutions; the effects of the instrument should be fully transferred to the final recipient. Preferential remuneration is not proposed.</w:t>
      </w:r>
    </w:p>
    <w:p w14:paraId="74092DAF" w14:textId="77777777" w:rsidR="006D3AD5" w:rsidRPr="00874BFF" w:rsidRDefault="006D3AD5" w:rsidP="006D3AD5"/>
    <w:p w14:paraId="1F2A7BC7" w14:textId="77777777" w:rsidR="006D3AD5" w:rsidRPr="00874BFF" w:rsidRDefault="006D3AD5" w:rsidP="006D3AD5">
      <w:r w:rsidRPr="00874BFF">
        <w:t xml:space="preserve">In case of venture capital, the participation of private investors at the level of co-investments, or fund, is partially motivated by the relative dilution of the risk thanks to participation of multiple investing parties and an increase of the equity pool. However, if private investors  are to be motivated to invest even to projects outside their current investment criteria (with a higher risk, from different sectors, etc.) and apply restrictions given by the FI investment strategy, </w:t>
      </w:r>
      <w:r w:rsidRPr="00874BFF">
        <w:rPr>
          <w:b/>
        </w:rPr>
        <w:t>it is needed to motivate them by preferential remuneration.</w:t>
      </w:r>
    </w:p>
    <w:p w14:paraId="3BDB35AB" w14:textId="77777777" w:rsidR="006D3AD5" w:rsidRPr="00874BFF" w:rsidRDefault="006D3AD5" w:rsidP="006D3AD5"/>
    <w:p w14:paraId="63A6B9AF" w14:textId="563014CF" w:rsidR="006D3AD5" w:rsidRPr="00874BFF" w:rsidRDefault="006D3AD5" w:rsidP="006D3AD5">
      <w:r w:rsidRPr="00874BFF">
        <w:t xml:space="preserve">As the most suitable alternative we propose the </w:t>
      </w:r>
      <w:r w:rsidRPr="00874BFF">
        <w:rPr>
          <w:b/>
        </w:rPr>
        <w:t>preferential distribution of profit towards a private investor</w:t>
      </w:r>
      <w:r w:rsidRPr="00874BFF">
        <w:t xml:space="preserve"> – on condition that the profit of the successful project exceeds the defined basic limit</w:t>
      </w:r>
      <w:r w:rsidR="0078319F">
        <w:t xml:space="preserve"> (</w:t>
      </w:r>
      <w:r w:rsidR="0078319F" w:rsidRPr="00685AEF">
        <w:rPr>
          <w:b/>
        </w:rPr>
        <w:t>hurdle rate</w:t>
      </w:r>
      <w:r w:rsidR="0078319F">
        <w:t>)</w:t>
      </w:r>
      <w:r w:rsidRPr="00874BFF">
        <w:t xml:space="preserve">. </w:t>
      </w:r>
      <w:r w:rsidRPr="00874BFF">
        <w:rPr>
          <w:b/>
        </w:rPr>
        <w:t>The applicable alternative is the preferential setting via an option</w:t>
      </w:r>
      <w:r w:rsidRPr="00874BFF">
        <w:t xml:space="preserve"> – co-investor would gain the right to buy a share of ownership in the target company from the financial instrument for a predetermined price, regardless the current value of the share. The profit of the financial instrument from the investment would not then exceed the rate of return implied in the exercise price of the option. We consider options to the suitable form of incentive. The implied rate of return contained in the exercise price of the option should</w:t>
      </w:r>
      <w:r w:rsidR="00284AD9">
        <w:t xml:space="preserve"> not</w:t>
      </w:r>
      <w:r w:rsidRPr="00874BFF">
        <w:t xml:space="preserve"> decrease below 7.5 % – 10 % (annual).</w:t>
      </w:r>
    </w:p>
    <w:p w14:paraId="0E2E633E" w14:textId="77777777" w:rsidR="006D3AD5" w:rsidRPr="00874BFF" w:rsidRDefault="006D3AD5" w:rsidP="006D3AD5"/>
    <w:p w14:paraId="24A1EDE2" w14:textId="77777777" w:rsidR="006D3AD5" w:rsidRPr="00874BFF" w:rsidRDefault="006D3AD5" w:rsidP="006D3AD5">
      <w:pPr>
        <w:pStyle w:val="Nadpis2"/>
        <w:rPr>
          <w:rFonts w:ascii="Calibri" w:hAnsi="Calibri"/>
        </w:rPr>
      </w:pPr>
      <w:bookmarkStart w:id="827" w:name="_Toc417544615"/>
      <w:bookmarkStart w:id="828" w:name="_Toc417544616"/>
      <w:bookmarkStart w:id="829" w:name="_Toc416800442"/>
      <w:bookmarkStart w:id="830" w:name="_Toc422312112"/>
      <w:bookmarkEnd w:id="827"/>
      <w:bookmarkEnd w:id="828"/>
      <w:r w:rsidRPr="00874BFF">
        <w:rPr>
          <w:rFonts w:ascii="Calibri" w:hAnsi="Calibri"/>
        </w:rPr>
        <w:t>Specific objective 2.3 – Increasing business usability of the infrastructure</w:t>
      </w:r>
      <w:bookmarkEnd w:id="829"/>
      <w:bookmarkEnd w:id="830"/>
    </w:p>
    <w:p w14:paraId="732FBEF4" w14:textId="77777777" w:rsidR="006D3AD5" w:rsidRPr="00874BFF" w:rsidRDefault="006D3AD5" w:rsidP="006D3AD5">
      <w:pPr>
        <w:pStyle w:val="Nadpis3"/>
        <w:rPr>
          <w:rFonts w:ascii="Calibri" w:hAnsi="Calibri"/>
        </w:rPr>
      </w:pPr>
      <w:bookmarkStart w:id="831" w:name="_Toc422312113"/>
      <w:r w:rsidRPr="00874BFF">
        <w:rPr>
          <w:rFonts w:ascii="Calibri" w:hAnsi="Calibri"/>
        </w:rPr>
        <w:t>Focus of the specific objective</w:t>
      </w:r>
      <w:bookmarkEnd w:id="831"/>
    </w:p>
    <w:p w14:paraId="09BD9E44" w14:textId="77777777" w:rsidR="006D3AD5" w:rsidRPr="00874BFF" w:rsidRDefault="006D3AD5" w:rsidP="006D3AD5">
      <w:pPr>
        <w:pStyle w:val="Neslovannadpisy"/>
      </w:pPr>
      <w:r w:rsidRPr="00874BFF">
        <w:t>Supported activities:</w:t>
      </w:r>
    </w:p>
    <w:p w14:paraId="4A6D417D" w14:textId="77777777" w:rsidR="006D3AD5" w:rsidRPr="00874BFF" w:rsidRDefault="006D3AD5" w:rsidP="006D3AD5">
      <w:pPr>
        <w:pStyle w:val="Odstavecseseznamem1"/>
        <w:numPr>
          <w:ilvl w:val="0"/>
          <w:numId w:val="8"/>
        </w:numPr>
      </w:pPr>
      <w:r w:rsidRPr="00874BFF">
        <w:t>Technical and building development of brownfields (without costs of elimination of risks of environmental burdens) and their conversion into modern business premises and establishment of newly restored business areas,</w:t>
      </w:r>
    </w:p>
    <w:p w14:paraId="5C762762" w14:textId="4AA52C3B" w:rsidR="006D3AD5" w:rsidRPr="00874BFF" w:rsidRDefault="006D3AD5" w:rsidP="006D3AD5">
      <w:pPr>
        <w:pStyle w:val="Odstavecseseznamem1"/>
        <w:numPr>
          <w:ilvl w:val="0"/>
          <w:numId w:val="8"/>
        </w:numPr>
      </w:pPr>
      <w:r w:rsidRPr="00874BFF">
        <w:t>implementation of comprehensive construction and technical measures leading to development of technically unsatisfactory business real estates or brownfields into business premises and establishment of newly developed business area.</w:t>
      </w:r>
    </w:p>
    <w:p w14:paraId="3BD1C5AD" w14:textId="77777777" w:rsidR="006D3AD5" w:rsidRPr="00874BFF" w:rsidRDefault="006D3AD5" w:rsidP="006D3AD5">
      <w:pPr>
        <w:pStyle w:val="Odstavecseseznamem1"/>
      </w:pPr>
    </w:p>
    <w:p w14:paraId="799946F9" w14:textId="77777777" w:rsidR="006D3AD5" w:rsidRPr="00874BFF" w:rsidRDefault="006D3AD5" w:rsidP="006D3AD5">
      <w:pPr>
        <w:pStyle w:val="Neslovannadpisy"/>
      </w:pPr>
      <w:r w:rsidRPr="00874BFF">
        <w:t xml:space="preserve">Main target group: </w:t>
      </w:r>
    </w:p>
    <w:p w14:paraId="0844C974" w14:textId="77777777" w:rsidR="006D3AD5" w:rsidRPr="00874BFF" w:rsidRDefault="006D3AD5" w:rsidP="006D3AD5">
      <w:r w:rsidRPr="00874BFF">
        <w:t>Companies (small, medium), municipalities</w:t>
      </w:r>
    </w:p>
    <w:p w14:paraId="51F11885" w14:textId="77777777" w:rsidR="006D3AD5" w:rsidRPr="00874BFF" w:rsidRDefault="006D3AD5" w:rsidP="006D3AD5"/>
    <w:p w14:paraId="294674B1" w14:textId="77777777" w:rsidR="006D3AD5" w:rsidRPr="00874BFF" w:rsidRDefault="006D3AD5" w:rsidP="006D3AD5">
      <w:pPr>
        <w:pStyle w:val="Neslovannadpisy"/>
      </w:pPr>
      <w:r w:rsidRPr="00874BFF">
        <w:t>Target area:</w:t>
      </w:r>
    </w:p>
    <w:p w14:paraId="0EF783FE" w14:textId="77777777" w:rsidR="006D3AD5" w:rsidRPr="00874BFF" w:rsidRDefault="006D3AD5" w:rsidP="006D3AD5">
      <w:r w:rsidRPr="00874BFF">
        <w:t>All the regions of CZ except for the capital city of Prague, focus on urban territory</w:t>
      </w:r>
    </w:p>
    <w:p w14:paraId="488F6B02" w14:textId="77777777" w:rsidR="006D3AD5" w:rsidRPr="00874BFF" w:rsidRDefault="006D3AD5" w:rsidP="006D3AD5">
      <w:pPr>
        <w:pStyle w:val="Neslovannadpisy"/>
      </w:pPr>
    </w:p>
    <w:p w14:paraId="41090D5C" w14:textId="77777777" w:rsidR="006D3AD5" w:rsidRPr="00874BFF" w:rsidRDefault="006D3AD5" w:rsidP="006D3AD5">
      <w:pPr>
        <w:pStyle w:val="Neslovannadpisy"/>
      </w:pPr>
      <w:r w:rsidRPr="00874BFF">
        <w:t>Selection of activities for evaluating appropriateness of the financial instrument</w:t>
      </w:r>
    </w:p>
    <w:p w14:paraId="13524FE7" w14:textId="77777777" w:rsidR="006D3AD5" w:rsidRPr="00874BFF" w:rsidRDefault="006D3AD5" w:rsidP="006D3AD5">
      <w:r w:rsidRPr="00874BFF">
        <w:lastRenderedPageBreak/>
        <w:t>For closer review, the entire objective of SO 2.3 has been selected. In most cases, business premises for manufacturing purposes of SMEs are of the payback profit potential and are thus also potentially suitable for utilisation of repayable form of support.</w:t>
      </w:r>
    </w:p>
    <w:p w14:paraId="57CFFD59" w14:textId="77777777" w:rsidR="006D3AD5" w:rsidRPr="00874BFF" w:rsidRDefault="006D3AD5" w:rsidP="006D3AD5">
      <w:pPr>
        <w:rPr>
          <w:b/>
        </w:rPr>
      </w:pPr>
    </w:p>
    <w:p w14:paraId="61373485" w14:textId="77777777" w:rsidR="006D3AD5" w:rsidRPr="00874BFF" w:rsidRDefault="006D3AD5" w:rsidP="006D3AD5">
      <w:r w:rsidRPr="00874BFF">
        <w:t>Development of new and innovative business activities of SMEs is limited by unsuitable parameters of obsolete business infrastructure the operation of which moreover requires high overhead costs. At the same time, the regions of the Czech Republic contain many brownfield (BF) localities that can be regenerated and reused for SMEs' economic activities. The specific objective is, therefore, to improve quality and increase usability of brownfield business infrastructure and enable thus SMEs to carry out their development business plans which may result not only in expansion of production, but also in transfer of companies upwards in the value chain.</w:t>
      </w:r>
    </w:p>
    <w:p w14:paraId="1DE6AF74" w14:textId="77777777" w:rsidR="006D3AD5" w:rsidRPr="00874BFF" w:rsidRDefault="006D3AD5" w:rsidP="006D3AD5"/>
    <w:p w14:paraId="35E5C684" w14:textId="77777777" w:rsidR="006D3AD5" w:rsidRPr="00874BFF" w:rsidRDefault="006D3AD5" w:rsidP="006D3AD5">
      <w:r w:rsidRPr="00874BFF">
        <w:t xml:space="preserve">Specification of target localities in SO 2.3 is relatively wide and includes a spectrum of types of premises and areas at various levels of disrepair and utilisation. Similarly wide is the definition of the BF in the 2008 National Strategy of Brownfield Regeneration which defines a BF as </w:t>
      </w:r>
      <w:r w:rsidRPr="00874BFF">
        <w:rPr>
          <w:b/>
        </w:rPr>
        <w:t>"a real estate (land, building, premises) which is underutilised, neglected and can be even contaminated. It originates from the remains of industrial, agricultural, residential, military or other activities. A BF cannot be appropriately and effectively used unless the process of its regeneration takes place."</w:t>
      </w:r>
      <w:r w:rsidRPr="00874BFF">
        <w:t xml:space="preserve"> The essential common denominator of supported projects is thus the current unsatisfactory condition of business real estates and their transfer into a modern business infrastructure of SMEs.</w:t>
      </w:r>
    </w:p>
    <w:p w14:paraId="4AFD7378" w14:textId="77777777" w:rsidR="006D3AD5" w:rsidRPr="00874BFF" w:rsidRDefault="006D3AD5" w:rsidP="006D3AD5">
      <w:pPr>
        <w:pStyle w:val="Nadpis3"/>
        <w:rPr>
          <w:rFonts w:ascii="Calibri" w:hAnsi="Calibri"/>
        </w:rPr>
      </w:pPr>
      <w:bookmarkStart w:id="832" w:name="_Toc422312114"/>
      <w:r w:rsidRPr="00874BFF">
        <w:rPr>
          <w:rFonts w:ascii="Calibri" w:hAnsi="Calibri"/>
        </w:rPr>
        <w:t>Analysis of market failures</w:t>
      </w:r>
      <w:bookmarkEnd w:id="832"/>
    </w:p>
    <w:p w14:paraId="7843A14D" w14:textId="77777777" w:rsidR="006D3AD5" w:rsidRPr="00874BFF" w:rsidRDefault="006D3AD5" w:rsidP="006D3AD5">
      <w:pPr>
        <w:pStyle w:val="Nadpis4"/>
        <w:rPr>
          <w:rFonts w:ascii="Calibri" w:hAnsi="Calibri"/>
        </w:rPr>
      </w:pPr>
      <w:bookmarkStart w:id="833" w:name="_Toc416800444"/>
      <w:r w:rsidRPr="00874BFF">
        <w:rPr>
          <w:rFonts w:ascii="Calibri" w:hAnsi="Calibri"/>
        </w:rPr>
        <w:t>Market analysis</w:t>
      </w:r>
    </w:p>
    <w:p w14:paraId="558FF797" w14:textId="77777777" w:rsidR="006D3AD5" w:rsidRPr="00874BFF" w:rsidRDefault="006D3AD5" w:rsidP="006D3AD5">
      <w:pPr>
        <w:pStyle w:val="Neslovannadpisy"/>
      </w:pPr>
    </w:p>
    <w:bookmarkEnd w:id="833"/>
    <w:p w14:paraId="0F1A35FF" w14:textId="77777777" w:rsidR="006D3AD5" w:rsidRPr="00874BFF" w:rsidRDefault="006D3AD5" w:rsidP="006D3AD5">
      <w:pPr>
        <w:pStyle w:val="Neslovannadpisy"/>
      </w:pPr>
      <w:r w:rsidRPr="00874BFF">
        <w:t>BF localities and their offer</w:t>
      </w:r>
    </w:p>
    <w:p w14:paraId="7B963ED1" w14:textId="77777777" w:rsidR="006D3AD5" w:rsidRPr="00874BFF" w:rsidRDefault="006D3AD5" w:rsidP="006D3AD5">
      <w:pPr>
        <w:rPr>
          <w:b/>
          <w:bCs/>
          <w:i/>
          <w:color w:val="17365D"/>
          <w:sz w:val="16"/>
        </w:rPr>
      </w:pPr>
      <w:r w:rsidRPr="00874BFF">
        <w:t xml:space="preserve">The basic information on brownfields is available in the document of CzechInvest (CI) Agency National Strategy of Brownfield Regeneration from 2008 which is currently being updated. The first BF strategy ever, drawn up from 2003 till 2004, supplied new information on a probable size and nature of BFs in the Czech Republic. </w:t>
      </w:r>
      <w:r w:rsidRPr="00874BFF">
        <w:rPr>
          <w:b/>
        </w:rPr>
        <w:t xml:space="preserve">In 2007, 2,355 localities were mapped. Their total approximate number, depending on various estimates, may be in the range of 8–12,000 localities with areas exceeding 25,000 ha. </w:t>
      </w:r>
      <w:r w:rsidRPr="00874BFF">
        <w:t>The study focused only on  localities with an area larger than 1 ha and a built-up area of more than 500 m</w:t>
      </w:r>
      <w:r w:rsidRPr="00874BFF">
        <w:rPr>
          <w:vertAlign w:val="superscript"/>
        </w:rPr>
        <w:t>2</w:t>
      </w:r>
      <w:r w:rsidRPr="00874BFF">
        <w:t>.</w:t>
      </w:r>
    </w:p>
    <w:tbl>
      <w:tblPr>
        <w:tblW w:w="6765" w:type="dxa"/>
        <w:jc w:val="center"/>
        <w:tblBorders>
          <w:bottom w:val="single" w:sz="4" w:space="0" w:color="00A1DE"/>
          <w:insideH w:val="single" w:sz="4" w:space="0" w:color="00A1DE"/>
        </w:tblBorders>
        <w:tblLayout w:type="fixed"/>
        <w:tblCellMar>
          <w:left w:w="0" w:type="dxa"/>
          <w:right w:w="0" w:type="dxa"/>
        </w:tblCellMar>
        <w:tblLook w:val="00A0" w:firstRow="1" w:lastRow="0" w:firstColumn="1" w:lastColumn="0" w:noHBand="0" w:noVBand="0"/>
      </w:tblPr>
      <w:tblGrid>
        <w:gridCol w:w="1815"/>
        <w:gridCol w:w="737"/>
        <w:gridCol w:w="1152"/>
        <w:gridCol w:w="1417"/>
        <w:gridCol w:w="1644"/>
      </w:tblGrid>
      <w:tr w:rsidR="006D3AD5" w:rsidRPr="00874BFF" w14:paraId="3B880E12" w14:textId="77777777" w:rsidTr="00443B8F">
        <w:trPr>
          <w:trHeight w:val="20"/>
          <w:jc w:val="center"/>
        </w:trPr>
        <w:tc>
          <w:tcPr>
            <w:tcW w:w="1814" w:type="dxa"/>
            <w:tcBorders>
              <w:top w:val="nil"/>
              <w:left w:val="nil"/>
              <w:right w:val="nil"/>
            </w:tcBorders>
            <w:shd w:val="clear" w:color="auto" w:fill="00A1DE"/>
            <w:noWrap/>
          </w:tcPr>
          <w:p w14:paraId="4DF4C732" w14:textId="77777777" w:rsidR="006D3AD5" w:rsidRPr="00874BFF" w:rsidRDefault="006D3AD5" w:rsidP="00443B8F">
            <w:pPr>
              <w:keepNext/>
              <w:rPr>
                <w:rFonts w:cs="Arial"/>
                <w:b/>
                <w:color w:val="FFFFFF"/>
                <w:sz w:val="18"/>
                <w:szCs w:val="18"/>
              </w:rPr>
            </w:pPr>
            <w:r w:rsidRPr="00874BFF">
              <w:rPr>
                <w:b/>
                <w:color w:val="FFFFFF"/>
                <w:sz w:val="18"/>
              </w:rPr>
              <w:t>Previous use of the locality</w:t>
            </w:r>
          </w:p>
        </w:tc>
        <w:tc>
          <w:tcPr>
            <w:tcW w:w="737" w:type="dxa"/>
            <w:tcBorders>
              <w:top w:val="nil"/>
              <w:left w:val="nil"/>
              <w:right w:val="nil"/>
            </w:tcBorders>
            <w:shd w:val="clear" w:color="auto" w:fill="00A1DE"/>
            <w:noWrap/>
          </w:tcPr>
          <w:p w14:paraId="428A98F6" w14:textId="77777777" w:rsidR="006D3AD5" w:rsidRPr="00874BFF" w:rsidRDefault="006D3AD5" w:rsidP="00443B8F">
            <w:pPr>
              <w:keepNext/>
              <w:rPr>
                <w:rFonts w:cs="Arial"/>
                <w:b/>
                <w:color w:val="FFFFFF"/>
                <w:sz w:val="18"/>
                <w:szCs w:val="18"/>
              </w:rPr>
            </w:pPr>
            <w:r w:rsidRPr="00874BFF">
              <w:rPr>
                <w:b/>
                <w:color w:val="FFFFFF"/>
                <w:sz w:val="18"/>
              </w:rPr>
              <w:t>Frequency</w:t>
            </w:r>
          </w:p>
        </w:tc>
        <w:tc>
          <w:tcPr>
            <w:tcW w:w="1152" w:type="dxa"/>
            <w:tcBorders>
              <w:top w:val="nil"/>
              <w:left w:val="nil"/>
              <w:right w:val="nil"/>
            </w:tcBorders>
            <w:shd w:val="clear" w:color="auto" w:fill="00A1DE"/>
            <w:noWrap/>
          </w:tcPr>
          <w:p w14:paraId="5A1B005D" w14:textId="77777777" w:rsidR="006D3AD5" w:rsidRPr="00874BFF" w:rsidRDefault="006D3AD5" w:rsidP="00443B8F">
            <w:pPr>
              <w:keepNext/>
              <w:rPr>
                <w:rFonts w:cs="Arial"/>
                <w:b/>
                <w:color w:val="FFFFFF"/>
                <w:sz w:val="18"/>
                <w:szCs w:val="18"/>
              </w:rPr>
            </w:pPr>
            <w:r w:rsidRPr="00874BFF">
              <w:rPr>
                <w:b/>
                <w:color w:val="FFFFFF"/>
                <w:sz w:val="18"/>
              </w:rPr>
              <w:t>Share in %</w:t>
            </w:r>
          </w:p>
        </w:tc>
        <w:tc>
          <w:tcPr>
            <w:tcW w:w="1417" w:type="dxa"/>
            <w:tcBorders>
              <w:top w:val="nil"/>
              <w:left w:val="nil"/>
              <w:right w:val="nil"/>
            </w:tcBorders>
            <w:shd w:val="clear" w:color="auto" w:fill="00A1DE"/>
            <w:noWrap/>
          </w:tcPr>
          <w:p w14:paraId="58E9D84F" w14:textId="77777777" w:rsidR="006D3AD5" w:rsidRPr="00874BFF" w:rsidRDefault="006D3AD5" w:rsidP="00443B8F">
            <w:pPr>
              <w:keepNext/>
              <w:rPr>
                <w:rFonts w:cs="Arial"/>
                <w:b/>
                <w:color w:val="FFFFFF"/>
                <w:sz w:val="18"/>
                <w:szCs w:val="18"/>
              </w:rPr>
            </w:pPr>
            <w:r w:rsidRPr="00874BFF">
              <w:rPr>
                <w:b/>
                <w:color w:val="FFFFFF"/>
                <w:sz w:val="18"/>
              </w:rPr>
              <w:t>Total area of the localities (ha)</w:t>
            </w:r>
          </w:p>
        </w:tc>
        <w:tc>
          <w:tcPr>
            <w:tcW w:w="1644" w:type="dxa"/>
            <w:tcBorders>
              <w:top w:val="nil"/>
              <w:left w:val="nil"/>
              <w:right w:val="nil"/>
            </w:tcBorders>
            <w:shd w:val="clear" w:color="auto" w:fill="00A1DE"/>
            <w:noWrap/>
          </w:tcPr>
          <w:p w14:paraId="1E1C3774" w14:textId="77777777" w:rsidR="006D3AD5" w:rsidRPr="00874BFF" w:rsidRDefault="006D3AD5" w:rsidP="00443B8F">
            <w:pPr>
              <w:keepNext/>
              <w:rPr>
                <w:rFonts w:cs="Arial"/>
                <w:b/>
                <w:color w:val="FFFFFF"/>
                <w:sz w:val="18"/>
                <w:szCs w:val="18"/>
              </w:rPr>
            </w:pPr>
            <w:r w:rsidRPr="00874BFF">
              <w:rPr>
                <w:b/>
                <w:color w:val="FFFFFF"/>
                <w:sz w:val="18"/>
              </w:rPr>
              <w:t>Average area of one locality (ha)</w:t>
            </w:r>
          </w:p>
        </w:tc>
      </w:tr>
      <w:tr w:rsidR="006D3AD5" w:rsidRPr="00874BFF" w14:paraId="3E43925E" w14:textId="77777777" w:rsidTr="00443B8F">
        <w:trPr>
          <w:trHeight w:val="20"/>
          <w:jc w:val="center"/>
        </w:trPr>
        <w:tc>
          <w:tcPr>
            <w:tcW w:w="1814" w:type="dxa"/>
            <w:tcBorders>
              <w:left w:val="nil"/>
              <w:right w:val="nil"/>
            </w:tcBorders>
            <w:shd w:val="clear" w:color="auto" w:fill="FFFFFF"/>
            <w:noWrap/>
          </w:tcPr>
          <w:p w14:paraId="6D909377" w14:textId="77777777" w:rsidR="006D3AD5" w:rsidRPr="00874BFF" w:rsidRDefault="006D3AD5" w:rsidP="00443B8F">
            <w:pPr>
              <w:keepNext/>
              <w:rPr>
                <w:rFonts w:cs="Arial"/>
                <w:sz w:val="18"/>
                <w:szCs w:val="18"/>
              </w:rPr>
            </w:pPr>
            <w:r w:rsidRPr="00874BFF">
              <w:rPr>
                <w:sz w:val="18"/>
              </w:rPr>
              <w:t>Agriculture</w:t>
            </w:r>
          </w:p>
        </w:tc>
        <w:tc>
          <w:tcPr>
            <w:tcW w:w="737" w:type="dxa"/>
            <w:tcBorders>
              <w:left w:val="nil"/>
              <w:right w:val="nil"/>
            </w:tcBorders>
            <w:shd w:val="clear" w:color="auto" w:fill="FFFFFF"/>
            <w:noWrap/>
          </w:tcPr>
          <w:p w14:paraId="5E762EA5" w14:textId="77777777" w:rsidR="006D3AD5" w:rsidRPr="00874BFF" w:rsidRDefault="006D3AD5" w:rsidP="00443B8F">
            <w:pPr>
              <w:keepNext/>
              <w:jc w:val="right"/>
              <w:rPr>
                <w:rFonts w:cs="Arial"/>
                <w:sz w:val="18"/>
                <w:szCs w:val="18"/>
              </w:rPr>
            </w:pPr>
            <w:r w:rsidRPr="00874BFF">
              <w:rPr>
                <w:sz w:val="18"/>
              </w:rPr>
              <w:t>821</w:t>
            </w:r>
          </w:p>
        </w:tc>
        <w:tc>
          <w:tcPr>
            <w:tcW w:w="1152" w:type="dxa"/>
            <w:tcBorders>
              <w:left w:val="nil"/>
              <w:right w:val="nil"/>
            </w:tcBorders>
            <w:shd w:val="clear" w:color="auto" w:fill="FFFFFF"/>
            <w:noWrap/>
          </w:tcPr>
          <w:p w14:paraId="76E857DD" w14:textId="77777777" w:rsidR="006D3AD5" w:rsidRPr="00874BFF" w:rsidRDefault="006D3AD5" w:rsidP="00443B8F">
            <w:pPr>
              <w:keepNext/>
              <w:jc w:val="right"/>
              <w:rPr>
                <w:rFonts w:cs="Arial"/>
                <w:sz w:val="18"/>
                <w:szCs w:val="18"/>
              </w:rPr>
            </w:pPr>
            <w:r w:rsidRPr="00874BFF">
              <w:rPr>
                <w:sz w:val="18"/>
              </w:rPr>
              <w:t>34.9%</w:t>
            </w:r>
          </w:p>
        </w:tc>
        <w:tc>
          <w:tcPr>
            <w:tcW w:w="1417" w:type="dxa"/>
            <w:tcBorders>
              <w:left w:val="nil"/>
              <w:right w:val="nil"/>
            </w:tcBorders>
            <w:shd w:val="clear" w:color="auto" w:fill="FFFFFF"/>
            <w:noWrap/>
          </w:tcPr>
          <w:p w14:paraId="4A7FB704" w14:textId="77777777" w:rsidR="006D3AD5" w:rsidRPr="00874BFF" w:rsidRDefault="006D3AD5" w:rsidP="00443B8F">
            <w:pPr>
              <w:keepNext/>
              <w:jc w:val="right"/>
              <w:rPr>
                <w:rFonts w:cs="Arial"/>
                <w:sz w:val="18"/>
                <w:szCs w:val="18"/>
              </w:rPr>
            </w:pPr>
            <w:r w:rsidRPr="00874BFF">
              <w:rPr>
                <w:sz w:val="18"/>
              </w:rPr>
              <w:t>1,840.4</w:t>
            </w:r>
          </w:p>
        </w:tc>
        <w:tc>
          <w:tcPr>
            <w:tcW w:w="1644" w:type="dxa"/>
            <w:tcBorders>
              <w:left w:val="nil"/>
              <w:right w:val="nil"/>
            </w:tcBorders>
            <w:shd w:val="clear" w:color="auto" w:fill="FFFFFF"/>
            <w:noWrap/>
          </w:tcPr>
          <w:p w14:paraId="209CE680" w14:textId="77777777" w:rsidR="006D3AD5" w:rsidRPr="00874BFF" w:rsidRDefault="006D3AD5" w:rsidP="00443B8F">
            <w:pPr>
              <w:keepNext/>
              <w:jc w:val="right"/>
              <w:rPr>
                <w:rFonts w:cs="Arial"/>
                <w:sz w:val="18"/>
                <w:szCs w:val="18"/>
              </w:rPr>
            </w:pPr>
            <w:r w:rsidRPr="00874BFF">
              <w:rPr>
                <w:sz w:val="18"/>
              </w:rPr>
              <w:t>2.2</w:t>
            </w:r>
          </w:p>
        </w:tc>
      </w:tr>
      <w:tr w:rsidR="006D3AD5" w:rsidRPr="00874BFF" w14:paraId="1E7A9E8F" w14:textId="77777777" w:rsidTr="00443B8F">
        <w:trPr>
          <w:trHeight w:val="20"/>
          <w:jc w:val="center"/>
        </w:trPr>
        <w:tc>
          <w:tcPr>
            <w:tcW w:w="1814" w:type="dxa"/>
            <w:tcBorders>
              <w:left w:val="nil"/>
              <w:right w:val="nil"/>
            </w:tcBorders>
            <w:shd w:val="clear" w:color="auto" w:fill="FFFFFF"/>
            <w:noWrap/>
          </w:tcPr>
          <w:p w14:paraId="41530022" w14:textId="77777777" w:rsidR="006D3AD5" w:rsidRPr="00874BFF" w:rsidRDefault="006D3AD5" w:rsidP="00443B8F">
            <w:pPr>
              <w:keepNext/>
              <w:rPr>
                <w:rFonts w:cs="Arial"/>
                <w:sz w:val="18"/>
                <w:szCs w:val="18"/>
              </w:rPr>
            </w:pPr>
            <w:r w:rsidRPr="00874BFF">
              <w:rPr>
                <w:sz w:val="18"/>
              </w:rPr>
              <w:t>Industry</w:t>
            </w:r>
          </w:p>
        </w:tc>
        <w:tc>
          <w:tcPr>
            <w:tcW w:w="737" w:type="dxa"/>
            <w:tcBorders>
              <w:left w:val="nil"/>
              <w:right w:val="nil"/>
            </w:tcBorders>
            <w:shd w:val="clear" w:color="auto" w:fill="FFFFFF"/>
            <w:noWrap/>
          </w:tcPr>
          <w:p w14:paraId="2838E5FB" w14:textId="77777777" w:rsidR="006D3AD5" w:rsidRPr="00874BFF" w:rsidRDefault="006D3AD5" w:rsidP="00443B8F">
            <w:pPr>
              <w:keepNext/>
              <w:jc w:val="right"/>
              <w:rPr>
                <w:rFonts w:cs="Arial"/>
                <w:sz w:val="18"/>
                <w:szCs w:val="18"/>
              </w:rPr>
            </w:pPr>
            <w:r w:rsidRPr="00874BFF">
              <w:rPr>
                <w:sz w:val="18"/>
              </w:rPr>
              <w:t>785</w:t>
            </w:r>
          </w:p>
        </w:tc>
        <w:tc>
          <w:tcPr>
            <w:tcW w:w="1152" w:type="dxa"/>
            <w:tcBorders>
              <w:left w:val="nil"/>
              <w:right w:val="nil"/>
            </w:tcBorders>
            <w:shd w:val="clear" w:color="auto" w:fill="FFFFFF"/>
            <w:noWrap/>
          </w:tcPr>
          <w:p w14:paraId="29DB888E" w14:textId="77777777" w:rsidR="006D3AD5" w:rsidRPr="00874BFF" w:rsidRDefault="006D3AD5" w:rsidP="00443B8F">
            <w:pPr>
              <w:keepNext/>
              <w:jc w:val="right"/>
              <w:rPr>
                <w:rFonts w:cs="Arial"/>
                <w:sz w:val="18"/>
                <w:szCs w:val="18"/>
              </w:rPr>
            </w:pPr>
            <w:r w:rsidRPr="00874BFF">
              <w:rPr>
                <w:sz w:val="18"/>
              </w:rPr>
              <w:t>33.3%</w:t>
            </w:r>
          </w:p>
        </w:tc>
        <w:tc>
          <w:tcPr>
            <w:tcW w:w="1417" w:type="dxa"/>
            <w:tcBorders>
              <w:left w:val="nil"/>
              <w:right w:val="nil"/>
            </w:tcBorders>
            <w:shd w:val="clear" w:color="auto" w:fill="FFFFFF"/>
            <w:noWrap/>
          </w:tcPr>
          <w:p w14:paraId="6612762B" w14:textId="77777777" w:rsidR="006D3AD5" w:rsidRPr="00874BFF" w:rsidRDefault="006D3AD5" w:rsidP="00443B8F">
            <w:pPr>
              <w:keepNext/>
              <w:jc w:val="right"/>
              <w:rPr>
                <w:rFonts w:cs="Arial"/>
                <w:sz w:val="18"/>
                <w:szCs w:val="18"/>
              </w:rPr>
            </w:pPr>
            <w:r w:rsidRPr="00874BFF">
              <w:rPr>
                <w:sz w:val="18"/>
              </w:rPr>
              <w:t>4,423.2</w:t>
            </w:r>
          </w:p>
        </w:tc>
        <w:tc>
          <w:tcPr>
            <w:tcW w:w="1644" w:type="dxa"/>
            <w:tcBorders>
              <w:left w:val="nil"/>
              <w:right w:val="nil"/>
            </w:tcBorders>
            <w:shd w:val="clear" w:color="auto" w:fill="FFFFFF"/>
            <w:noWrap/>
          </w:tcPr>
          <w:p w14:paraId="6D4C2D81" w14:textId="77777777" w:rsidR="006D3AD5" w:rsidRPr="00874BFF" w:rsidRDefault="006D3AD5" w:rsidP="00443B8F">
            <w:pPr>
              <w:keepNext/>
              <w:jc w:val="right"/>
              <w:rPr>
                <w:rFonts w:cs="Arial"/>
                <w:sz w:val="18"/>
                <w:szCs w:val="18"/>
              </w:rPr>
            </w:pPr>
            <w:r w:rsidRPr="00874BFF">
              <w:rPr>
                <w:sz w:val="18"/>
              </w:rPr>
              <w:t>5.6</w:t>
            </w:r>
          </w:p>
        </w:tc>
      </w:tr>
      <w:tr w:rsidR="006D3AD5" w:rsidRPr="00874BFF" w14:paraId="484977EF" w14:textId="77777777" w:rsidTr="00443B8F">
        <w:trPr>
          <w:trHeight w:val="20"/>
          <w:jc w:val="center"/>
        </w:trPr>
        <w:tc>
          <w:tcPr>
            <w:tcW w:w="1814" w:type="dxa"/>
            <w:tcBorders>
              <w:left w:val="nil"/>
              <w:right w:val="nil"/>
            </w:tcBorders>
            <w:shd w:val="clear" w:color="auto" w:fill="FFFFFF"/>
            <w:noWrap/>
          </w:tcPr>
          <w:p w14:paraId="61218E9E" w14:textId="77777777" w:rsidR="006D3AD5" w:rsidRPr="00874BFF" w:rsidRDefault="006D3AD5" w:rsidP="00443B8F">
            <w:pPr>
              <w:keepNext/>
              <w:rPr>
                <w:rFonts w:cs="Arial"/>
                <w:sz w:val="18"/>
                <w:szCs w:val="18"/>
              </w:rPr>
            </w:pPr>
            <w:r w:rsidRPr="00874BFF">
              <w:rPr>
                <w:sz w:val="18"/>
              </w:rPr>
              <w:t>Civic amenities</w:t>
            </w:r>
          </w:p>
        </w:tc>
        <w:tc>
          <w:tcPr>
            <w:tcW w:w="737" w:type="dxa"/>
            <w:tcBorders>
              <w:left w:val="nil"/>
              <w:right w:val="nil"/>
            </w:tcBorders>
            <w:shd w:val="clear" w:color="auto" w:fill="FFFFFF"/>
            <w:noWrap/>
          </w:tcPr>
          <w:p w14:paraId="5F6925DA" w14:textId="77777777" w:rsidR="006D3AD5" w:rsidRPr="00874BFF" w:rsidRDefault="006D3AD5" w:rsidP="00443B8F">
            <w:pPr>
              <w:keepNext/>
              <w:jc w:val="right"/>
              <w:rPr>
                <w:rFonts w:cs="Arial"/>
                <w:sz w:val="18"/>
                <w:szCs w:val="18"/>
              </w:rPr>
            </w:pPr>
            <w:r w:rsidRPr="00874BFF">
              <w:rPr>
                <w:sz w:val="18"/>
              </w:rPr>
              <w:t>304</w:t>
            </w:r>
          </w:p>
        </w:tc>
        <w:tc>
          <w:tcPr>
            <w:tcW w:w="1152" w:type="dxa"/>
            <w:tcBorders>
              <w:left w:val="nil"/>
              <w:right w:val="nil"/>
            </w:tcBorders>
            <w:shd w:val="clear" w:color="auto" w:fill="FFFFFF"/>
            <w:noWrap/>
          </w:tcPr>
          <w:p w14:paraId="5FDE0FF5" w14:textId="77777777" w:rsidR="006D3AD5" w:rsidRPr="00874BFF" w:rsidRDefault="006D3AD5" w:rsidP="00443B8F">
            <w:pPr>
              <w:keepNext/>
              <w:jc w:val="right"/>
              <w:rPr>
                <w:rFonts w:cs="Arial"/>
                <w:sz w:val="18"/>
                <w:szCs w:val="18"/>
              </w:rPr>
            </w:pPr>
            <w:r w:rsidRPr="00874BFF">
              <w:rPr>
                <w:sz w:val="18"/>
              </w:rPr>
              <w:t>12.9%</w:t>
            </w:r>
          </w:p>
        </w:tc>
        <w:tc>
          <w:tcPr>
            <w:tcW w:w="1417" w:type="dxa"/>
            <w:tcBorders>
              <w:left w:val="nil"/>
              <w:right w:val="nil"/>
            </w:tcBorders>
            <w:shd w:val="clear" w:color="auto" w:fill="FFFFFF"/>
            <w:noWrap/>
          </w:tcPr>
          <w:p w14:paraId="65171C31" w14:textId="77777777" w:rsidR="006D3AD5" w:rsidRPr="00874BFF" w:rsidRDefault="006D3AD5" w:rsidP="00443B8F">
            <w:pPr>
              <w:keepNext/>
              <w:jc w:val="right"/>
              <w:rPr>
                <w:rFonts w:cs="Arial"/>
                <w:sz w:val="18"/>
                <w:szCs w:val="18"/>
              </w:rPr>
            </w:pPr>
            <w:r w:rsidRPr="00874BFF">
              <w:rPr>
                <w:sz w:val="18"/>
              </w:rPr>
              <w:t>413.3</w:t>
            </w:r>
          </w:p>
        </w:tc>
        <w:tc>
          <w:tcPr>
            <w:tcW w:w="1644" w:type="dxa"/>
            <w:tcBorders>
              <w:left w:val="nil"/>
              <w:right w:val="nil"/>
            </w:tcBorders>
            <w:shd w:val="clear" w:color="auto" w:fill="FFFFFF"/>
            <w:noWrap/>
          </w:tcPr>
          <w:p w14:paraId="42A17D1C" w14:textId="77777777" w:rsidR="006D3AD5" w:rsidRPr="00874BFF" w:rsidRDefault="006D3AD5" w:rsidP="00443B8F">
            <w:pPr>
              <w:keepNext/>
              <w:jc w:val="right"/>
              <w:rPr>
                <w:rFonts w:cs="Arial"/>
                <w:sz w:val="18"/>
                <w:szCs w:val="18"/>
              </w:rPr>
            </w:pPr>
            <w:r w:rsidRPr="00874BFF">
              <w:rPr>
                <w:sz w:val="18"/>
              </w:rPr>
              <w:t>1.4</w:t>
            </w:r>
          </w:p>
        </w:tc>
      </w:tr>
      <w:tr w:rsidR="006D3AD5" w:rsidRPr="00874BFF" w14:paraId="47109574" w14:textId="77777777" w:rsidTr="00443B8F">
        <w:trPr>
          <w:trHeight w:val="20"/>
          <w:jc w:val="center"/>
        </w:trPr>
        <w:tc>
          <w:tcPr>
            <w:tcW w:w="1814" w:type="dxa"/>
            <w:tcBorders>
              <w:left w:val="nil"/>
              <w:right w:val="nil"/>
            </w:tcBorders>
            <w:shd w:val="clear" w:color="auto" w:fill="FFFFFF"/>
            <w:noWrap/>
          </w:tcPr>
          <w:p w14:paraId="458AE0B8" w14:textId="77777777" w:rsidR="006D3AD5" w:rsidRPr="00874BFF" w:rsidRDefault="006D3AD5" w:rsidP="00443B8F">
            <w:pPr>
              <w:keepNext/>
              <w:rPr>
                <w:rFonts w:cs="Arial"/>
                <w:sz w:val="18"/>
                <w:szCs w:val="18"/>
              </w:rPr>
            </w:pPr>
            <w:r w:rsidRPr="00874BFF">
              <w:rPr>
                <w:sz w:val="18"/>
              </w:rPr>
              <w:t>Army</w:t>
            </w:r>
          </w:p>
        </w:tc>
        <w:tc>
          <w:tcPr>
            <w:tcW w:w="737" w:type="dxa"/>
            <w:tcBorders>
              <w:left w:val="nil"/>
              <w:right w:val="nil"/>
            </w:tcBorders>
            <w:shd w:val="clear" w:color="auto" w:fill="FFFFFF"/>
            <w:noWrap/>
          </w:tcPr>
          <w:p w14:paraId="7BDBC4F6" w14:textId="77777777" w:rsidR="006D3AD5" w:rsidRPr="00874BFF" w:rsidRDefault="006D3AD5" w:rsidP="00443B8F">
            <w:pPr>
              <w:keepNext/>
              <w:jc w:val="right"/>
              <w:rPr>
                <w:rFonts w:cs="Arial"/>
                <w:sz w:val="18"/>
                <w:szCs w:val="18"/>
              </w:rPr>
            </w:pPr>
            <w:r w:rsidRPr="00874BFF">
              <w:rPr>
                <w:sz w:val="18"/>
              </w:rPr>
              <w:t>151</w:t>
            </w:r>
          </w:p>
        </w:tc>
        <w:tc>
          <w:tcPr>
            <w:tcW w:w="1152" w:type="dxa"/>
            <w:tcBorders>
              <w:left w:val="nil"/>
              <w:right w:val="nil"/>
            </w:tcBorders>
            <w:shd w:val="clear" w:color="auto" w:fill="FFFFFF"/>
            <w:noWrap/>
          </w:tcPr>
          <w:p w14:paraId="39201491" w14:textId="77777777" w:rsidR="006D3AD5" w:rsidRPr="00874BFF" w:rsidRDefault="006D3AD5" w:rsidP="00443B8F">
            <w:pPr>
              <w:keepNext/>
              <w:jc w:val="right"/>
              <w:rPr>
                <w:rFonts w:cs="Arial"/>
                <w:sz w:val="18"/>
                <w:szCs w:val="18"/>
              </w:rPr>
            </w:pPr>
            <w:r w:rsidRPr="00874BFF">
              <w:rPr>
                <w:sz w:val="18"/>
              </w:rPr>
              <w:t>6.4%</w:t>
            </w:r>
          </w:p>
        </w:tc>
        <w:tc>
          <w:tcPr>
            <w:tcW w:w="1417" w:type="dxa"/>
            <w:tcBorders>
              <w:left w:val="nil"/>
              <w:right w:val="nil"/>
            </w:tcBorders>
            <w:shd w:val="clear" w:color="auto" w:fill="FFFFFF"/>
            <w:noWrap/>
          </w:tcPr>
          <w:p w14:paraId="1EC1DA9D" w14:textId="77777777" w:rsidR="006D3AD5" w:rsidRPr="00874BFF" w:rsidRDefault="006D3AD5" w:rsidP="00443B8F">
            <w:pPr>
              <w:keepNext/>
              <w:jc w:val="right"/>
              <w:rPr>
                <w:rFonts w:cs="Arial"/>
                <w:sz w:val="18"/>
                <w:szCs w:val="18"/>
              </w:rPr>
            </w:pPr>
            <w:r w:rsidRPr="00874BFF">
              <w:rPr>
                <w:sz w:val="18"/>
              </w:rPr>
              <w:t>2,394.1</w:t>
            </w:r>
          </w:p>
        </w:tc>
        <w:tc>
          <w:tcPr>
            <w:tcW w:w="1644" w:type="dxa"/>
            <w:tcBorders>
              <w:left w:val="nil"/>
              <w:right w:val="nil"/>
            </w:tcBorders>
            <w:shd w:val="clear" w:color="auto" w:fill="FFFFFF"/>
            <w:noWrap/>
          </w:tcPr>
          <w:p w14:paraId="0DEC8E02" w14:textId="77777777" w:rsidR="006D3AD5" w:rsidRPr="00874BFF" w:rsidRDefault="006D3AD5" w:rsidP="00443B8F">
            <w:pPr>
              <w:keepNext/>
              <w:jc w:val="right"/>
              <w:rPr>
                <w:rFonts w:cs="Arial"/>
                <w:sz w:val="18"/>
                <w:szCs w:val="18"/>
              </w:rPr>
            </w:pPr>
            <w:r w:rsidRPr="00874BFF">
              <w:rPr>
                <w:sz w:val="18"/>
              </w:rPr>
              <w:t>15.9</w:t>
            </w:r>
          </w:p>
        </w:tc>
      </w:tr>
      <w:tr w:rsidR="006D3AD5" w:rsidRPr="00874BFF" w14:paraId="40B071C8" w14:textId="77777777" w:rsidTr="00443B8F">
        <w:trPr>
          <w:trHeight w:val="20"/>
          <w:jc w:val="center"/>
        </w:trPr>
        <w:tc>
          <w:tcPr>
            <w:tcW w:w="1814" w:type="dxa"/>
            <w:tcBorders>
              <w:left w:val="nil"/>
              <w:right w:val="nil"/>
            </w:tcBorders>
            <w:shd w:val="clear" w:color="auto" w:fill="FFFFFF"/>
            <w:noWrap/>
          </w:tcPr>
          <w:p w14:paraId="62425BDB" w14:textId="77777777" w:rsidR="006D3AD5" w:rsidRPr="00874BFF" w:rsidRDefault="006D3AD5" w:rsidP="00443B8F">
            <w:pPr>
              <w:keepNext/>
              <w:rPr>
                <w:rFonts w:cs="Arial"/>
                <w:sz w:val="18"/>
                <w:szCs w:val="18"/>
              </w:rPr>
            </w:pPr>
            <w:r w:rsidRPr="00874BFF">
              <w:rPr>
                <w:sz w:val="18"/>
              </w:rPr>
              <w:t>Housing</w:t>
            </w:r>
          </w:p>
        </w:tc>
        <w:tc>
          <w:tcPr>
            <w:tcW w:w="737" w:type="dxa"/>
            <w:tcBorders>
              <w:left w:val="nil"/>
              <w:right w:val="nil"/>
            </w:tcBorders>
            <w:shd w:val="clear" w:color="auto" w:fill="FFFFFF"/>
            <w:noWrap/>
          </w:tcPr>
          <w:p w14:paraId="26CABCCC" w14:textId="77777777" w:rsidR="006D3AD5" w:rsidRPr="00874BFF" w:rsidRDefault="006D3AD5" w:rsidP="00443B8F">
            <w:pPr>
              <w:keepNext/>
              <w:jc w:val="right"/>
              <w:rPr>
                <w:rFonts w:cs="Arial"/>
                <w:sz w:val="18"/>
                <w:szCs w:val="18"/>
              </w:rPr>
            </w:pPr>
            <w:r w:rsidRPr="00874BFF">
              <w:rPr>
                <w:sz w:val="18"/>
              </w:rPr>
              <w:t>95</w:t>
            </w:r>
          </w:p>
        </w:tc>
        <w:tc>
          <w:tcPr>
            <w:tcW w:w="1152" w:type="dxa"/>
            <w:tcBorders>
              <w:left w:val="nil"/>
              <w:right w:val="nil"/>
            </w:tcBorders>
            <w:shd w:val="clear" w:color="auto" w:fill="FFFFFF"/>
            <w:noWrap/>
          </w:tcPr>
          <w:p w14:paraId="4AB9A896" w14:textId="77777777" w:rsidR="006D3AD5" w:rsidRPr="00874BFF" w:rsidRDefault="006D3AD5" w:rsidP="00443B8F">
            <w:pPr>
              <w:keepNext/>
              <w:jc w:val="right"/>
              <w:rPr>
                <w:rFonts w:cs="Arial"/>
                <w:sz w:val="18"/>
                <w:szCs w:val="18"/>
              </w:rPr>
            </w:pPr>
            <w:r w:rsidRPr="00874BFF">
              <w:rPr>
                <w:sz w:val="18"/>
              </w:rPr>
              <w:t>4.0%</w:t>
            </w:r>
          </w:p>
        </w:tc>
        <w:tc>
          <w:tcPr>
            <w:tcW w:w="1417" w:type="dxa"/>
            <w:tcBorders>
              <w:left w:val="nil"/>
              <w:right w:val="nil"/>
            </w:tcBorders>
            <w:shd w:val="clear" w:color="auto" w:fill="FFFFFF"/>
            <w:noWrap/>
          </w:tcPr>
          <w:p w14:paraId="4F857176" w14:textId="77777777" w:rsidR="006D3AD5" w:rsidRPr="00874BFF" w:rsidRDefault="006D3AD5" w:rsidP="00443B8F">
            <w:pPr>
              <w:keepNext/>
              <w:jc w:val="right"/>
              <w:rPr>
                <w:rFonts w:cs="Arial"/>
                <w:sz w:val="18"/>
                <w:szCs w:val="18"/>
              </w:rPr>
            </w:pPr>
            <w:r w:rsidRPr="00874BFF">
              <w:rPr>
                <w:sz w:val="18"/>
              </w:rPr>
              <w:t>88.3</w:t>
            </w:r>
          </w:p>
        </w:tc>
        <w:tc>
          <w:tcPr>
            <w:tcW w:w="1644" w:type="dxa"/>
            <w:tcBorders>
              <w:left w:val="nil"/>
              <w:right w:val="nil"/>
            </w:tcBorders>
            <w:shd w:val="clear" w:color="auto" w:fill="FFFFFF"/>
            <w:noWrap/>
          </w:tcPr>
          <w:p w14:paraId="4D5E9615" w14:textId="77777777" w:rsidR="006D3AD5" w:rsidRPr="00874BFF" w:rsidRDefault="006D3AD5" w:rsidP="00443B8F">
            <w:pPr>
              <w:keepNext/>
              <w:jc w:val="right"/>
              <w:rPr>
                <w:rFonts w:cs="Arial"/>
                <w:sz w:val="18"/>
                <w:szCs w:val="18"/>
              </w:rPr>
            </w:pPr>
            <w:r w:rsidRPr="00874BFF">
              <w:rPr>
                <w:sz w:val="18"/>
              </w:rPr>
              <w:t>0.9</w:t>
            </w:r>
          </w:p>
        </w:tc>
      </w:tr>
      <w:tr w:rsidR="006D3AD5" w:rsidRPr="00874BFF" w14:paraId="31B3C7E0" w14:textId="77777777" w:rsidTr="00443B8F">
        <w:trPr>
          <w:trHeight w:val="20"/>
          <w:jc w:val="center"/>
        </w:trPr>
        <w:tc>
          <w:tcPr>
            <w:tcW w:w="1814" w:type="dxa"/>
            <w:tcBorders>
              <w:left w:val="nil"/>
              <w:right w:val="nil"/>
            </w:tcBorders>
            <w:shd w:val="clear" w:color="auto" w:fill="FFFFFF"/>
            <w:noWrap/>
          </w:tcPr>
          <w:p w14:paraId="4C09CA71" w14:textId="77777777" w:rsidR="006D3AD5" w:rsidRPr="00874BFF" w:rsidRDefault="006D3AD5" w:rsidP="00443B8F">
            <w:pPr>
              <w:keepNext/>
              <w:rPr>
                <w:rFonts w:cs="Arial"/>
                <w:sz w:val="18"/>
                <w:szCs w:val="18"/>
              </w:rPr>
            </w:pPr>
            <w:r w:rsidRPr="00874BFF">
              <w:rPr>
                <w:sz w:val="18"/>
              </w:rPr>
              <w:t>Tourism</w:t>
            </w:r>
          </w:p>
        </w:tc>
        <w:tc>
          <w:tcPr>
            <w:tcW w:w="737" w:type="dxa"/>
            <w:tcBorders>
              <w:left w:val="nil"/>
              <w:right w:val="nil"/>
            </w:tcBorders>
            <w:shd w:val="clear" w:color="auto" w:fill="FFFFFF"/>
            <w:noWrap/>
          </w:tcPr>
          <w:p w14:paraId="2EA82127" w14:textId="77777777" w:rsidR="006D3AD5" w:rsidRPr="00874BFF" w:rsidRDefault="006D3AD5" w:rsidP="00443B8F">
            <w:pPr>
              <w:keepNext/>
              <w:jc w:val="right"/>
              <w:rPr>
                <w:rFonts w:cs="Arial"/>
                <w:sz w:val="18"/>
                <w:szCs w:val="18"/>
              </w:rPr>
            </w:pPr>
            <w:r w:rsidRPr="00874BFF">
              <w:rPr>
                <w:sz w:val="18"/>
              </w:rPr>
              <w:t>22</w:t>
            </w:r>
          </w:p>
        </w:tc>
        <w:tc>
          <w:tcPr>
            <w:tcW w:w="1152" w:type="dxa"/>
            <w:tcBorders>
              <w:left w:val="nil"/>
              <w:right w:val="nil"/>
            </w:tcBorders>
            <w:shd w:val="clear" w:color="auto" w:fill="FFFFFF"/>
            <w:noWrap/>
          </w:tcPr>
          <w:p w14:paraId="030C8F51" w14:textId="77777777" w:rsidR="006D3AD5" w:rsidRPr="00874BFF" w:rsidRDefault="006D3AD5" w:rsidP="00443B8F">
            <w:pPr>
              <w:keepNext/>
              <w:jc w:val="right"/>
              <w:rPr>
                <w:rFonts w:cs="Arial"/>
                <w:sz w:val="18"/>
                <w:szCs w:val="18"/>
              </w:rPr>
            </w:pPr>
            <w:r w:rsidRPr="00874BFF">
              <w:rPr>
                <w:sz w:val="18"/>
              </w:rPr>
              <w:t>0.9%</w:t>
            </w:r>
          </w:p>
        </w:tc>
        <w:tc>
          <w:tcPr>
            <w:tcW w:w="1417" w:type="dxa"/>
            <w:tcBorders>
              <w:left w:val="nil"/>
              <w:right w:val="nil"/>
            </w:tcBorders>
            <w:shd w:val="clear" w:color="auto" w:fill="FFFFFF"/>
            <w:noWrap/>
          </w:tcPr>
          <w:p w14:paraId="13E2C81B" w14:textId="77777777" w:rsidR="006D3AD5" w:rsidRPr="00874BFF" w:rsidRDefault="006D3AD5" w:rsidP="00443B8F">
            <w:pPr>
              <w:keepNext/>
              <w:jc w:val="right"/>
              <w:rPr>
                <w:rFonts w:cs="Arial"/>
                <w:sz w:val="18"/>
                <w:szCs w:val="18"/>
              </w:rPr>
            </w:pPr>
            <w:r w:rsidRPr="00874BFF">
              <w:rPr>
                <w:sz w:val="18"/>
              </w:rPr>
              <w:t>22.4</w:t>
            </w:r>
          </w:p>
        </w:tc>
        <w:tc>
          <w:tcPr>
            <w:tcW w:w="1644" w:type="dxa"/>
            <w:tcBorders>
              <w:left w:val="nil"/>
              <w:right w:val="nil"/>
            </w:tcBorders>
            <w:shd w:val="clear" w:color="auto" w:fill="FFFFFF"/>
            <w:noWrap/>
          </w:tcPr>
          <w:p w14:paraId="7E2377B1" w14:textId="77777777" w:rsidR="006D3AD5" w:rsidRPr="00874BFF" w:rsidRDefault="006D3AD5" w:rsidP="00443B8F">
            <w:pPr>
              <w:keepNext/>
              <w:jc w:val="right"/>
              <w:rPr>
                <w:rFonts w:cs="Arial"/>
                <w:sz w:val="18"/>
                <w:szCs w:val="18"/>
              </w:rPr>
            </w:pPr>
            <w:r w:rsidRPr="00874BFF">
              <w:rPr>
                <w:sz w:val="18"/>
              </w:rPr>
              <w:t>1.0</w:t>
            </w:r>
          </w:p>
        </w:tc>
      </w:tr>
      <w:tr w:rsidR="006D3AD5" w:rsidRPr="00874BFF" w14:paraId="45828AF9" w14:textId="77777777" w:rsidTr="00443B8F">
        <w:trPr>
          <w:trHeight w:val="20"/>
          <w:jc w:val="center"/>
        </w:trPr>
        <w:tc>
          <w:tcPr>
            <w:tcW w:w="1814" w:type="dxa"/>
            <w:tcBorders>
              <w:left w:val="nil"/>
              <w:right w:val="nil"/>
            </w:tcBorders>
            <w:shd w:val="clear" w:color="auto" w:fill="FFFFFF"/>
            <w:noWrap/>
          </w:tcPr>
          <w:p w14:paraId="5907988B" w14:textId="77777777" w:rsidR="006D3AD5" w:rsidRPr="00874BFF" w:rsidRDefault="006D3AD5" w:rsidP="00443B8F">
            <w:pPr>
              <w:keepNext/>
              <w:rPr>
                <w:rFonts w:cs="Arial"/>
                <w:sz w:val="18"/>
                <w:szCs w:val="18"/>
              </w:rPr>
            </w:pPr>
            <w:r w:rsidRPr="00874BFF">
              <w:rPr>
                <w:sz w:val="18"/>
              </w:rPr>
              <w:t>Other</w:t>
            </w:r>
          </w:p>
        </w:tc>
        <w:tc>
          <w:tcPr>
            <w:tcW w:w="737" w:type="dxa"/>
            <w:tcBorders>
              <w:left w:val="nil"/>
              <w:right w:val="nil"/>
            </w:tcBorders>
            <w:shd w:val="clear" w:color="auto" w:fill="FFFFFF"/>
            <w:noWrap/>
          </w:tcPr>
          <w:p w14:paraId="1373E0DE" w14:textId="77777777" w:rsidR="006D3AD5" w:rsidRPr="00874BFF" w:rsidRDefault="006D3AD5" w:rsidP="00443B8F">
            <w:pPr>
              <w:keepNext/>
              <w:jc w:val="right"/>
              <w:rPr>
                <w:rFonts w:cs="Arial"/>
                <w:sz w:val="18"/>
                <w:szCs w:val="18"/>
              </w:rPr>
            </w:pPr>
            <w:r w:rsidRPr="00874BFF">
              <w:rPr>
                <w:sz w:val="18"/>
              </w:rPr>
              <w:t>177</w:t>
            </w:r>
          </w:p>
        </w:tc>
        <w:tc>
          <w:tcPr>
            <w:tcW w:w="1152" w:type="dxa"/>
            <w:tcBorders>
              <w:left w:val="nil"/>
              <w:right w:val="nil"/>
            </w:tcBorders>
            <w:shd w:val="clear" w:color="auto" w:fill="FFFFFF"/>
            <w:noWrap/>
          </w:tcPr>
          <w:p w14:paraId="5F866C5A" w14:textId="77777777" w:rsidR="006D3AD5" w:rsidRPr="00874BFF" w:rsidRDefault="006D3AD5" w:rsidP="00443B8F">
            <w:pPr>
              <w:keepNext/>
              <w:jc w:val="right"/>
              <w:rPr>
                <w:rFonts w:cs="Arial"/>
                <w:sz w:val="18"/>
                <w:szCs w:val="18"/>
              </w:rPr>
            </w:pPr>
            <w:r w:rsidRPr="00874BFF">
              <w:rPr>
                <w:sz w:val="18"/>
              </w:rPr>
              <w:t>7.5%</w:t>
            </w:r>
          </w:p>
        </w:tc>
        <w:tc>
          <w:tcPr>
            <w:tcW w:w="1417" w:type="dxa"/>
            <w:tcBorders>
              <w:left w:val="nil"/>
              <w:right w:val="nil"/>
            </w:tcBorders>
            <w:shd w:val="clear" w:color="auto" w:fill="FFFFFF"/>
            <w:noWrap/>
          </w:tcPr>
          <w:p w14:paraId="42F7B261" w14:textId="77777777" w:rsidR="006D3AD5" w:rsidRPr="00874BFF" w:rsidRDefault="006D3AD5" w:rsidP="00443B8F">
            <w:pPr>
              <w:keepNext/>
              <w:jc w:val="right"/>
              <w:rPr>
                <w:rFonts w:cs="Arial"/>
                <w:sz w:val="18"/>
                <w:szCs w:val="18"/>
              </w:rPr>
            </w:pPr>
            <w:r w:rsidRPr="00874BFF">
              <w:rPr>
                <w:sz w:val="18"/>
              </w:rPr>
              <w:t>1,144.3</w:t>
            </w:r>
          </w:p>
        </w:tc>
        <w:tc>
          <w:tcPr>
            <w:tcW w:w="1644" w:type="dxa"/>
            <w:tcBorders>
              <w:left w:val="nil"/>
              <w:right w:val="nil"/>
            </w:tcBorders>
            <w:shd w:val="clear" w:color="auto" w:fill="FFFFFF"/>
            <w:noWrap/>
          </w:tcPr>
          <w:p w14:paraId="33830C7B" w14:textId="77777777" w:rsidR="006D3AD5" w:rsidRPr="00874BFF" w:rsidRDefault="006D3AD5" w:rsidP="00443B8F">
            <w:pPr>
              <w:keepNext/>
              <w:jc w:val="right"/>
              <w:rPr>
                <w:rFonts w:cs="Arial"/>
                <w:sz w:val="18"/>
                <w:szCs w:val="18"/>
              </w:rPr>
            </w:pPr>
            <w:r w:rsidRPr="00874BFF">
              <w:rPr>
                <w:sz w:val="18"/>
              </w:rPr>
              <w:t>6.5</w:t>
            </w:r>
          </w:p>
        </w:tc>
      </w:tr>
      <w:tr w:rsidR="006D3AD5" w:rsidRPr="00874BFF" w14:paraId="6A3C04BC" w14:textId="77777777" w:rsidTr="00443B8F">
        <w:trPr>
          <w:trHeight w:val="20"/>
          <w:jc w:val="center"/>
        </w:trPr>
        <w:tc>
          <w:tcPr>
            <w:tcW w:w="1814" w:type="dxa"/>
            <w:tcBorders>
              <w:left w:val="nil"/>
              <w:right w:val="nil"/>
            </w:tcBorders>
            <w:shd w:val="clear" w:color="auto" w:fill="9BBB59"/>
            <w:noWrap/>
          </w:tcPr>
          <w:p w14:paraId="3C1A4674" w14:textId="77777777" w:rsidR="006D3AD5" w:rsidRPr="00874BFF" w:rsidRDefault="006D3AD5" w:rsidP="00443B8F">
            <w:pPr>
              <w:keepNext/>
              <w:rPr>
                <w:rFonts w:cs="Arial"/>
                <w:b/>
                <w:bCs/>
                <w:sz w:val="18"/>
                <w:szCs w:val="18"/>
              </w:rPr>
            </w:pPr>
            <w:r w:rsidRPr="00874BFF">
              <w:rPr>
                <w:b/>
                <w:sz w:val="18"/>
              </w:rPr>
              <w:t>Total</w:t>
            </w:r>
          </w:p>
        </w:tc>
        <w:tc>
          <w:tcPr>
            <w:tcW w:w="737" w:type="dxa"/>
            <w:tcBorders>
              <w:left w:val="nil"/>
              <w:right w:val="nil"/>
            </w:tcBorders>
            <w:shd w:val="clear" w:color="auto" w:fill="9BBB59"/>
            <w:noWrap/>
          </w:tcPr>
          <w:p w14:paraId="570D9B5E" w14:textId="77777777" w:rsidR="006D3AD5" w:rsidRPr="00874BFF" w:rsidRDefault="006D3AD5" w:rsidP="00443B8F">
            <w:pPr>
              <w:keepNext/>
              <w:jc w:val="right"/>
              <w:rPr>
                <w:rFonts w:cs="Arial"/>
                <w:b/>
                <w:bCs/>
                <w:sz w:val="18"/>
                <w:szCs w:val="18"/>
              </w:rPr>
            </w:pPr>
            <w:r w:rsidRPr="00874BFF">
              <w:rPr>
                <w:b/>
                <w:sz w:val="18"/>
              </w:rPr>
              <w:t>2,355</w:t>
            </w:r>
          </w:p>
        </w:tc>
        <w:tc>
          <w:tcPr>
            <w:tcW w:w="1152" w:type="dxa"/>
            <w:tcBorders>
              <w:left w:val="nil"/>
              <w:right w:val="nil"/>
            </w:tcBorders>
            <w:shd w:val="clear" w:color="auto" w:fill="9BBB59"/>
            <w:noWrap/>
          </w:tcPr>
          <w:p w14:paraId="400E4D13" w14:textId="77777777" w:rsidR="006D3AD5" w:rsidRPr="00874BFF" w:rsidRDefault="006D3AD5" w:rsidP="00443B8F">
            <w:pPr>
              <w:keepNext/>
              <w:jc w:val="right"/>
              <w:rPr>
                <w:rFonts w:cs="Arial"/>
                <w:b/>
                <w:bCs/>
                <w:sz w:val="18"/>
                <w:szCs w:val="18"/>
              </w:rPr>
            </w:pPr>
            <w:r w:rsidRPr="00874BFF">
              <w:rPr>
                <w:b/>
                <w:sz w:val="18"/>
              </w:rPr>
              <w:t>100.0%</w:t>
            </w:r>
          </w:p>
        </w:tc>
        <w:tc>
          <w:tcPr>
            <w:tcW w:w="1417" w:type="dxa"/>
            <w:tcBorders>
              <w:left w:val="nil"/>
              <w:right w:val="nil"/>
            </w:tcBorders>
            <w:shd w:val="clear" w:color="auto" w:fill="9BBB59"/>
            <w:noWrap/>
          </w:tcPr>
          <w:p w14:paraId="7FAFA944" w14:textId="77777777" w:rsidR="006D3AD5" w:rsidRPr="00874BFF" w:rsidRDefault="006D3AD5" w:rsidP="00443B8F">
            <w:pPr>
              <w:keepNext/>
              <w:jc w:val="right"/>
              <w:rPr>
                <w:rFonts w:cs="Arial"/>
                <w:b/>
                <w:bCs/>
                <w:sz w:val="18"/>
                <w:szCs w:val="18"/>
              </w:rPr>
            </w:pPr>
            <w:r w:rsidRPr="00874BFF">
              <w:rPr>
                <w:b/>
                <w:sz w:val="18"/>
              </w:rPr>
              <w:t>10,326</w:t>
            </w:r>
          </w:p>
        </w:tc>
        <w:tc>
          <w:tcPr>
            <w:tcW w:w="1644" w:type="dxa"/>
            <w:tcBorders>
              <w:left w:val="nil"/>
              <w:right w:val="nil"/>
            </w:tcBorders>
            <w:shd w:val="clear" w:color="auto" w:fill="9BBB59"/>
            <w:noWrap/>
          </w:tcPr>
          <w:p w14:paraId="10FD8DF7" w14:textId="77777777" w:rsidR="006D3AD5" w:rsidRPr="00874BFF" w:rsidRDefault="006D3AD5" w:rsidP="00443B8F">
            <w:pPr>
              <w:keepNext/>
              <w:jc w:val="right"/>
              <w:rPr>
                <w:rFonts w:cs="Arial"/>
                <w:b/>
                <w:bCs/>
                <w:sz w:val="18"/>
                <w:szCs w:val="18"/>
              </w:rPr>
            </w:pPr>
            <w:r w:rsidRPr="00874BFF">
              <w:rPr>
                <w:b/>
                <w:sz w:val="18"/>
              </w:rPr>
              <w:t>4.4</w:t>
            </w:r>
          </w:p>
        </w:tc>
      </w:tr>
    </w:tbl>
    <w:p w14:paraId="1B8E8F7E" w14:textId="021BF1CF" w:rsidR="006D3AD5" w:rsidRPr="00874BFF" w:rsidRDefault="006D3AD5" w:rsidP="006D3AD5">
      <w:pPr>
        <w:pStyle w:val="Titulek"/>
        <w:jc w:val="center"/>
      </w:pPr>
      <w:r w:rsidRPr="00874BFF">
        <w:t xml:space="preserve">Table </w:t>
      </w:r>
      <w:r w:rsidR="00035834">
        <w:t>41</w:t>
      </w:r>
      <w:r w:rsidRPr="00874BFF">
        <w:t>: Categorisation of BFs by previous utilisation</w:t>
      </w:r>
    </w:p>
    <w:p w14:paraId="47239D87" w14:textId="77777777" w:rsidR="006D3AD5" w:rsidRPr="00874BFF" w:rsidRDefault="006D3AD5" w:rsidP="006D3AD5">
      <w:pPr>
        <w:pStyle w:val="Titulek"/>
        <w:jc w:val="center"/>
      </w:pPr>
      <w:r w:rsidRPr="00874BFF">
        <w:t xml:space="preserve">Source: Urbanism and landscape development (specialised magazine, in Czech: Urbanismus a územní rozvoj) </w:t>
      </w:r>
    </w:p>
    <w:p w14:paraId="3C5F2C32" w14:textId="77777777" w:rsidR="006D3AD5" w:rsidRPr="00874BFF" w:rsidRDefault="006D3AD5" w:rsidP="006D3AD5"/>
    <w:p w14:paraId="2A2F4013" w14:textId="77777777" w:rsidR="006D3AD5" w:rsidRPr="00874BFF" w:rsidRDefault="006D3AD5" w:rsidP="006D3AD5"/>
    <w:p w14:paraId="71B9DE6F" w14:textId="77777777" w:rsidR="006D3AD5" w:rsidRPr="00874BFF" w:rsidRDefault="006D3AD5" w:rsidP="006D3AD5"/>
    <w:p w14:paraId="029737BF" w14:textId="77777777" w:rsidR="006D3AD5" w:rsidRPr="00874BFF" w:rsidRDefault="006D3AD5" w:rsidP="006D3AD5"/>
    <w:p w14:paraId="7E4251C1" w14:textId="2993D369" w:rsidR="006D3AD5" w:rsidRPr="00874BFF" w:rsidRDefault="00AE6275" w:rsidP="006D3AD5">
      <w:r w:rsidRPr="00874BFF">
        <w:rPr>
          <w:noProof/>
        </w:rPr>
        <w:lastRenderedPageBreak/>
        <w:drawing>
          <wp:anchor distT="0" distB="0" distL="114300" distR="114300" simplePos="0" relativeHeight="251659776" behindDoc="0" locked="0" layoutInCell="1" allowOverlap="1" wp14:anchorId="55567DB8" wp14:editId="5D39242B">
            <wp:simplePos x="0" y="0"/>
            <wp:positionH relativeFrom="margin">
              <wp:posOffset>2929638</wp:posOffset>
            </wp:positionH>
            <wp:positionV relativeFrom="margin">
              <wp:align>top</wp:align>
            </wp:positionV>
            <wp:extent cx="2732405" cy="2498725"/>
            <wp:effectExtent l="0" t="0" r="0" b="0"/>
            <wp:wrapSquare wrapText="bothSides"/>
            <wp:docPr id="84" name="Obrázek 57" descr="tab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descr="tabul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2405"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D5" w:rsidRPr="00874BFF">
        <w:rPr>
          <w:noProof/>
        </w:rPr>
        <w:drawing>
          <wp:anchor distT="0" distB="0" distL="114300" distR="114300" simplePos="0" relativeHeight="251689472" behindDoc="0" locked="0" layoutInCell="1" allowOverlap="1" wp14:anchorId="0CCAFB8B" wp14:editId="73E2DCC0">
            <wp:simplePos x="0" y="0"/>
            <wp:positionH relativeFrom="column">
              <wp:posOffset>-3175</wp:posOffset>
            </wp:positionH>
            <wp:positionV relativeFrom="paragraph">
              <wp:posOffset>0</wp:posOffset>
            </wp:positionV>
            <wp:extent cx="2917825" cy="2512695"/>
            <wp:effectExtent l="0" t="0" r="0" b="1905"/>
            <wp:wrapSquare wrapText="bothSides"/>
            <wp:docPr id="22"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7825" cy="2512695"/>
                    </a:xfrm>
                    <a:prstGeom prst="rect">
                      <a:avLst/>
                    </a:prstGeom>
                    <a:noFill/>
                    <a:ln>
                      <a:noFill/>
                    </a:ln>
                  </pic:spPr>
                </pic:pic>
              </a:graphicData>
            </a:graphic>
          </wp:anchor>
        </w:drawing>
      </w:r>
    </w:p>
    <w:p w14:paraId="5147623C" w14:textId="0E35FB09" w:rsidR="006D3AD5" w:rsidRPr="00874BFF" w:rsidRDefault="00AE6275" w:rsidP="006D3AD5">
      <w:pPr>
        <w:pStyle w:val="Titulek"/>
      </w:pPr>
      <w:r>
        <w:t>Figure</w:t>
      </w:r>
      <w:r w:rsidRPr="00874BFF">
        <w:t xml:space="preserve"> </w:t>
      </w:r>
      <w:r>
        <w:t>21</w:t>
      </w:r>
      <w:r w:rsidR="006D3AD5" w:rsidRPr="00874BFF">
        <w:t>: Expected methods of BF locality use</w:t>
      </w:r>
    </w:p>
    <w:p w14:paraId="3A9071C9" w14:textId="55137917" w:rsidR="006D3AD5" w:rsidRPr="00874BFF" w:rsidRDefault="006D3AD5" w:rsidP="006D3AD5">
      <w:pPr>
        <w:pStyle w:val="Titulek"/>
      </w:pPr>
      <w:r w:rsidRPr="00874BFF">
        <w:t>Source: CI</w:t>
      </w:r>
    </w:p>
    <w:p w14:paraId="526A0BA1" w14:textId="783F43E3" w:rsidR="006D3AD5" w:rsidRPr="00874BFF" w:rsidRDefault="006D3AD5" w:rsidP="006D3AD5"/>
    <w:p w14:paraId="494CF0A3" w14:textId="6C62487D" w:rsidR="006D3AD5" w:rsidRPr="00874BFF" w:rsidRDefault="006D3AD5" w:rsidP="006D3AD5">
      <w:pPr>
        <w:rPr>
          <w:b/>
        </w:rPr>
      </w:pPr>
      <w:r w:rsidRPr="00874BFF">
        <w:t>The table shows that the most numerous BF localities are former agricultural cooperatives in rather small villages. The second largest occurrence turned out to be next to industrial premises that account for the largest area of the concerned localities and this very aspect predetermines them to use of funding from the OP EIC (or the OPEI). The highest values, as far as the size of one unit is concerned, can be seen in military localities regeneration of which is largely under the management of the MoRD (special subsidy programme for unused military real estates). Table 9 shows an expected utilisation of BFs according to the CI's analysis.</w:t>
      </w:r>
    </w:p>
    <w:p w14:paraId="27B86C31" w14:textId="77777777" w:rsidR="006D3AD5" w:rsidRPr="00874BFF" w:rsidRDefault="006D3AD5" w:rsidP="006D3AD5">
      <w:pPr>
        <w:pStyle w:val="Neslovannadpisy"/>
        <w:rPr>
          <w:b w:val="0"/>
        </w:rPr>
      </w:pPr>
    </w:p>
    <w:p w14:paraId="691B5882" w14:textId="77777777" w:rsidR="006D3AD5" w:rsidRPr="00874BFF" w:rsidRDefault="006D3AD5" w:rsidP="006D3AD5">
      <w:pPr>
        <w:rPr>
          <w:b/>
        </w:rPr>
      </w:pPr>
      <w:r w:rsidRPr="00874BFF">
        <w:t>As of 2 April 2015, the national database of brownfields, which represents public records of registered localities, offered 528 BF localities. Of that number, 40 localities were larger than 10 ha. The database includes more than 3,000 BFs with the area of 15,000 ha (some of them in the non-public mode).</w:t>
      </w:r>
    </w:p>
    <w:p w14:paraId="591F62B8" w14:textId="17F5A47E" w:rsidR="006D3AD5" w:rsidRPr="00874BFF" w:rsidRDefault="006D3AD5" w:rsidP="006D3AD5">
      <w:pPr>
        <w:pStyle w:val="Neslovannadpisy"/>
      </w:pPr>
    </w:p>
    <w:p w14:paraId="241B1179" w14:textId="77777777" w:rsidR="006D3AD5" w:rsidRPr="00874BFF" w:rsidRDefault="006D3AD5" w:rsidP="006D3AD5">
      <w:pPr>
        <w:pStyle w:val="Neslovannadpisy"/>
      </w:pPr>
      <w:r w:rsidRPr="00874BFF">
        <w:t>Demand for BFs and their development</w:t>
      </w:r>
    </w:p>
    <w:p w14:paraId="3D7A26A0" w14:textId="77777777" w:rsidR="006D3AD5" w:rsidRPr="00874BFF" w:rsidRDefault="006D3AD5" w:rsidP="006D3AD5">
      <w:r w:rsidRPr="00874BFF">
        <w:t xml:space="preserve">According to preliminary analyses for the updated national strategy of brownfields, the expert estimate of the CI  states that </w:t>
      </w:r>
      <w:r w:rsidRPr="00874BFF">
        <w:rPr>
          <w:b/>
        </w:rPr>
        <w:t>in 2007–2013 more than 15 % of the estimated total number of BFs were regenerated. The estimated number of BFs from 2007 can be thus reduced proportionally.</w:t>
      </w:r>
      <w:r w:rsidRPr="00874BFF">
        <w:t xml:space="preserve"> A much higher number of BFs is regenerated in towns, unlike the small number of them in the country, which is also caused by the simple higher frequency in towns.  In the officially registered areas we can see an increase in the number of BFs, but a decrease in their total area. </w:t>
      </w:r>
      <w:r w:rsidRPr="00874BFF">
        <w:rPr>
          <w:b/>
        </w:rPr>
        <w:t>However, problems persist with comprehensive regeneration of large areas of more than 10 ha and the market activity in this segment is reduced to individual lucrative localities.</w:t>
      </w:r>
    </w:p>
    <w:p w14:paraId="12288F89" w14:textId="77777777" w:rsidR="006D3AD5" w:rsidRPr="00874BFF" w:rsidRDefault="006D3AD5" w:rsidP="006D3AD5"/>
    <w:p w14:paraId="39173238" w14:textId="77777777" w:rsidR="006D3AD5" w:rsidRPr="00874BFF" w:rsidRDefault="006D3AD5" w:rsidP="006D3AD5">
      <w:r w:rsidRPr="00874BFF">
        <w:t>It follows from the CI data that in the past a large part of BFs was regenerated without a state support, on the market principle. According to the CI's estimate,  regeneration funded from the OPEI was carried out in approx. 3 % of the estimated 15 % of BFs. It is necessary to add other operational programmes that concerned the BFs (see public sources of funding), despite that, the private market activity was significant.</w:t>
      </w:r>
    </w:p>
    <w:p w14:paraId="49EE51B4" w14:textId="77777777" w:rsidR="006D3AD5" w:rsidRPr="00874BFF" w:rsidRDefault="006D3AD5" w:rsidP="006D3AD5"/>
    <w:p w14:paraId="56C14B8B" w14:textId="77777777" w:rsidR="006D3AD5" w:rsidRPr="00874BFF" w:rsidRDefault="006D3AD5" w:rsidP="006D3AD5">
      <w:r w:rsidRPr="00874BFF">
        <w:t>Nevertheless, it is necessary to add that</w:t>
      </w:r>
      <w:r w:rsidRPr="00874BFF">
        <w:rPr>
          <w:b/>
        </w:rPr>
        <w:t xml:space="preserve"> the commercially regenerated BFs in the past were typically the A-category areas, i.e. the easiest and the most moneymaking BFs,</w:t>
      </w:r>
      <w:r w:rsidRPr="00874BFF">
        <w:t xml:space="preserve"> often in lucrative urban areas, or with good transport services and a smaller area. Therefore, it can be envisaged that for the current programming period the number of these potentially easier regenerable BFs will be lower, on the </w:t>
      </w:r>
      <w:r w:rsidRPr="00874BFF">
        <w:lastRenderedPageBreak/>
        <w:t>contrary, the more difficult projects in need of support remain. Many neglected real estates experience zero demand and it is possible that if  their vicinity does not include any expanding company and transport infrastructure is poor, their status will change to the land stated for remediation and reclamation.</w:t>
      </w:r>
    </w:p>
    <w:p w14:paraId="507BF594" w14:textId="77777777" w:rsidR="006D3AD5" w:rsidRPr="00874BFF" w:rsidRDefault="006D3AD5" w:rsidP="006D3AD5"/>
    <w:p w14:paraId="3E88FFB0" w14:textId="77777777" w:rsidR="006D3AD5" w:rsidRPr="00874BFF" w:rsidRDefault="006D3AD5" w:rsidP="006D3AD5">
      <w:r w:rsidRPr="00874BFF">
        <w:rPr>
          <w:b/>
        </w:rPr>
        <w:t>The issues of investments in regeneration, development or revitalization of BFs  shows a significantly lower dynamics in terms of annually generated investments when compared, for example, with construction of greenfield projects.</w:t>
      </w:r>
      <w:r w:rsidRPr="00874BFF">
        <w:t xml:space="preserve"> The major part of supply of business real estates is in greenfields (GFs). The major market players are companies such as CTPark, ProLogis, Panattoni or VGP. </w:t>
      </w:r>
      <w:r w:rsidRPr="00874BFF">
        <w:rPr>
          <w:b/>
        </w:rPr>
        <w:t>One of the negative effects of this trend is a substantial decrease of arable land which is converted to GFs.</w:t>
      </w:r>
      <w:r w:rsidRPr="00874BFF">
        <w:t xml:space="preserve"> According to an analysis of available information and interviews with representatives of the public and private sectors, the crucial aspect in decision making on investments in BFs is the availability of a subsidy scheme and the amount of support.</w:t>
      </w:r>
    </w:p>
    <w:p w14:paraId="28C5E35F" w14:textId="77777777" w:rsidR="006D3AD5" w:rsidRPr="00874BFF" w:rsidRDefault="006D3AD5" w:rsidP="006D3AD5"/>
    <w:p w14:paraId="4AB08495" w14:textId="77777777" w:rsidR="006D3AD5" w:rsidRPr="00874BFF" w:rsidRDefault="006D3AD5" w:rsidP="006D3AD5">
      <w:pPr>
        <w:keepNext/>
        <w:jc w:val="center"/>
      </w:pPr>
      <w:r w:rsidRPr="00874BFF">
        <w:rPr>
          <w:rFonts w:cs="Arial"/>
          <w:noProof/>
          <w:color w:val="1F497D"/>
          <w:sz w:val="24"/>
          <w:szCs w:val="24"/>
        </w:rPr>
        <w:drawing>
          <wp:inline distT="0" distB="0" distL="0" distR="0" wp14:anchorId="6B326875" wp14:editId="07DE4D6A">
            <wp:extent cx="2170430" cy="1510665"/>
            <wp:effectExtent l="0" t="0" r="1270" b="0"/>
            <wp:docPr id="2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0">
                      <a:extLst>
                        <a:ext uri="{28A0092B-C50C-407E-A947-70E740481C1C}">
                          <a14:useLocalDpi xmlns:a14="http://schemas.microsoft.com/office/drawing/2010/main" val="0"/>
                        </a:ext>
                      </a:extLst>
                    </a:blip>
                    <a:srcRect l="2582"/>
                    <a:stretch>
                      <a:fillRect/>
                    </a:stretch>
                  </pic:blipFill>
                  <pic:spPr bwMode="auto">
                    <a:xfrm>
                      <a:off x="0" y="0"/>
                      <a:ext cx="2170430" cy="1510665"/>
                    </a:xfrm>
                    <a:prstGeom prst="rect">
                      <a:avLst/>
                    </a:prstGeom>
                    <a:noFill/>
                    <a:ln>
                      <a:noFill/>
                    </a:ln>
                  </pic:spPr>
                </pic:pic>
              </a:graphicData>
            </a:graphic>
          </wp:inline>
        </w:drawing>
      </w:r>
    </w:p>
    <w:p w14:paraId="70DB367F" w14:textId="77777777" w:rsidR="006D3AD5" w:rsidRPr="00874BFF" w:rsidRDefault="006D3AD5" w:rsidP="006D3AD5">
      <w:pPr>
        <w:pStyle w:val="Titulek"/>
        <w:jc w:val="center"/>
      </w:pPr>
      <w:r w:rsidRPr="00874BFF">
        <w:rPr>
          <w:noProof/>
          <w:color w:val="1F497D"/>
          <w:sz w:val="24"/>
          <w:szCs w:val="24"/>
          <w:lang w:eastAsia="cs-CZ"/>
        </w:rPr>
        <w:drawing>
          <wp:inline distT="0" distB="0" distL="0" distR="0" wp14:anchorId="764C8730" wp14:editId="70EB38AA">
            <wp:extent cx="3729355" cy="182880"/>
            <wp:effectExtent l="0" t="0" r="4445" b="7620"/>
            <wp:docPr id="2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9355" cy="182880"/>
                    </a:xfrm>
                    <a:prstGeom prst="rect">
                      <a:avLst/>
                    </a:prstGeom>
                    <a:noFill/>
                    <a:ln>
                      <a:noFill/>
                    </a:ln>
                  </pic:spPr>
                </pic:pic>
              </a:graphicData>
            </a:graphic>
          </wp:inline>
        </w:drawing>
      </w:r>
    </w:p>
    <w:p w14:paraId="24C69555" w14:textId="4D96FA41" w:rsidR="006D3AD5" w:rsidRPr="00874BFF" w:rsidRDefault="005905FF" w:rsidP="006D3AD5">
      <w:pPr>
        <w:pStyle w:val="Titulek"/>
        <w:jc w:val="left"/>
      </w:pPr>
      <w:r>
        <w:t>Figure</w:t>
      </w:r>
      <w:r w:rsidRPr="00874BFF">
        <w:t> </w:t>
      </w:r>
      <w:r>
        <w:t>22</w:t>
      </w:r>
      <w:r w:rsidR="006D3AD5" w:rsidRPr="00874BFF">
        <w:t xml:space="preserve">:  Spread of demand for real estates in the first half of 2014 </w:t>
      </w:r>
    </w:p>
    <w:p w14:paraId="715BA6A2" w14:textId="77777777" w:rsidR="006D3AD5" w:rsidRPr="00874BFF" w:rsidRDefault="006D3AD5" w:rsidP="006D3AD5">
      <w:pPr>
        <w:pStyle w:val="Titulek"/>
        <w:jc w:val="left"/>
      </w:pPr>
      <w:r w:rsidRPr="00874BFF">
        <w:t>Source: CI 2014</w:t>
      </w:r>
    </w:p>
    <w:p w14:paraId="64147D00" w14:textId="77777777" w:rsidR="006D3AD5" w:rsidRPr="00874BFF" w:rsidRDefault="006D3AD5" w:rsidP="006D3AD5">
      <w:pPr>
        <w:rPr>
          <w:b/>
          <w:bCs/>
        </w:rPr>
      </w:pPr>
    </w:p>
    <w:p w14:paraId="010C556D" w14:textId="77777777" w:rsidR="006D3AD5" w:rsidRPr="00874BFF" w:rsidRDefault="006D3AD5" w:rsidP="006D3AD5">
      <w:r w:rsidRPr="00874BFF">
        <w:rPr>
          <w:b/>
        </w:rPr>
        <w:t>The specific demand for BFs is directly proportional to the demand for real estates</w:t>
      </w:r>
      <w:r w:rsidRPr="00874BFF">
        <w:t>; with a growth of the real estate market, the BF market grows as well. After the crisis, the market activity in 2014 started growing again (see the table below). The share of BFs of the total demand for real estates is relatively stabilised, at 20 % (see Chart 11).</w:t>
      </w:r>
    </w:p>
    <w:p w14:paraId="5135E3B4" w14:textId="77777777" w:rsidR="006D3AD5" w:rsidRPr="00874BFF" w:rsidRDefault="006D3AD5" w:rsidP="006D3AD5"/>
    <w:tbl>
      <w:tblPr>
        <w:tblW w:w="787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037"/>
        <w:gridCol w:w="1722"/>
        <w:gridCol w:w="1134"/>
        <w:gridCol w:w="1559"/>
        <w:gridCol w:w="1418"/>
      </w:tblGrid>
      <w:tr w:rsidR="006D3AD5" w:rsidRPr="00874BFF" w14:paraId="40623E6E" w14:textId="77777777" w:rsidTr="00443B8F">
        <w:trPr>
          <w:trHeight w:val="300"/>
        </w:trPr>
        <w:tc>
          <w:tcPr>
            <w:tcW w:w="2037" w:type="dxa"/>
            <w:tcBorders>
              <w:top w:val="single" w:sz="8" w:space="0" w:color="4F81BD"/>
            </w:tcBorders>
            <w:shd w:val="clear" w:color="auto" w:fill="4F81BD"/>
            <w:noWrap/>
          </w:tcPr>
          <w:p w14:paraId="1B6D5792" w14:textId="77777777" w:rsidR="006D3AD5" w:rsidRPr="00874BFF" w:rsidRDefault="006D3AD5" w:rsidP="00443B8F">
            <w:pPr>
              <w:rPr>
                <w:b/>
                <w:bCs/>
                <w:color w:val="FFFFFF"/>
              </w:rPr>
            </w:pPr>
            <w:r w:rsidRPr="00874BFF">
              <w:t>Region</w:t>
            </w:r>
          </w:p>
        </w:tc>
        <w:tc>
          <w:tcPr>
            <w:tcW w:w="1722" w:type="dxa"/>
            <w:tcBorders>
              <w:top w:val="single" w:sz="8" w:space="0" w:color="4F81BD"/>
              <w:left w:val="single" w:sz="8" w:space="0" w:color="4F81BD"/>
              <w:right w:val="single" w:sz="8" w:space="0" w:color="4F81BD"/>
            </w:tcBorders>
            <w:shd w:val="clear" w:color="auto" w:fill="4F81BD"/>
            <w:noWrap/>
          </w:tcPr>
          <w:p w14:paraId="4CC53F8D" w14:textId="77777777" w:rsidR="006D3AD5" w:rsidRPr="00874BFF" w:rsidRDefault="006D3AD5" w:rsidP="00443B8F">
            <w:pPr>
              <w:jc w:val="right"/>
              <w:rPr>
                <w:b/>
                <w:bCs/>
                <w:color w:val="FFFFFF"/>
              </w:rPr>
            </w:pPr>
            <w:r w:rsidRPr="00874BFF">
              <w:t>Number 2013</w:t>
            </w:r>
          </w:p>
        </w:tc>
        <w:tc>
          <w:tcPr>
            <w:tcW w:w="1134" w:type="dxa"/>
            <w:tcBorders>
              <w:top w:val="single" w:sz="8" w:space="0" w:color="4F81BD"/>
            </w:tcBorders>
            <w:shd w:val="clear" w:color="auto" w:fill="4F81BD"/>
            <w:noWrap/>
          </w:tcPr>
          <w:p w14:paraId="4623D0F3" w14:textId="77777777" w:rsidR="006D3AD5" w:rsidRPr="00874BFF" w:rsidRDefault="006D3AD5" w:rsidP="00443B8F">
            <w:pPr>
              <w:jc w:val="right"/>
              <w:rPr>
                <w:b/>
                <w:bCs/>
                <w:color w:val="FFFFFF"/>
              </w:rPr>
            </w:pPr>
            <w:r w:rsidRPr="00874BFF">
              <w:t>Share</w:t>
            </w:r>
          </w:p>
        </w:tc>
        <w:tc>
          <w:tcPr>
            <w:tcW w:w="1559" w:type="dxa"/>
            <w:tcBorders>
              <w:top w:val="single" w:sz="8" w:space="0" w:color="4F81BD"/>
              <w:left w:val="single" w:sz="8" w:space="0" w:color="4F81BD"/>
              <w:right w:val="single" w:sz="8" w:space="0" w:color="4F81BD"/>
            </w:tcBorders>
            <w:shd w:val="clear" w:color="auto" w:fill="4F81BD"/>
          </w:tcPr>
          <w:p w14:paraId="6713D41D" w14:textId="77777777" w:rsidR="006D3AD5" w:rsidRPr="00874BFF" w:rsidRDefault="006D3AD5" w:rsidP="00443B8F">
            <w:pPr>
              <w:jc w:val="right"/>
              <w:rPr>
                <w:b/>
                <w:bCs/>
                <w:color w:val="FFFFFF"/>
              </w:rPr>
            </w:pPr>
            <w:r w:rsidRPr="00874BFF">
              <w:t>Number 2014</w:t>
            </w:r>
          </w:p>
        </w:tc>
        <w:tc>
          <w:tcPr>
            <w:tcW w:w="1418" w:type="dxa"/>
            <w:tcBorders>
              <w:top w:val="single" w:sz="8" w:space="0" w:color="4F81BD"/>
            </w:tcBorders>
            <w:shd w:val="clear" w:color="auto" w:fill="4F81BD"/>
          </w:tcPr>
          <w:p w14:paraId="7EBD5491" w14:textId="77777777" w:rsidR="006D3AD5" w:rsidRPr="00874BFF" w:rsidRDefault="006D3AD5" w:rsidP="00443B8F">
            <w:pPr>
              <w:jc w:val="right"/>
              <w:rPr>
                <w:b/>
                <w:bCs/>
                <w:color w:val="FFFFFF"/>
              </w:rPr>
            </w:pPr>
            <w:r w:rsidRPr="00874BFF">
              <w:t>Share</w:t>
            </w:r>
          </w:p>
        </w:tc>
      </w:tr>
      <w:tr w:rsidR="006D3AD5" w:rsidRPr="00874BFF" w14:paraId="2550BE46"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1401D044" w14:textId="77777777" w:rsidR="006D3AD5" w:rsidRPr="00874BFF" w:rsidRDefault="006D3AD5" w:rsidP="00443B8F">
            <w:pPr>
              <w:rPr>
                <w:rFonts w:cs="Calibri"/>
                <w:b/>
                <w:bCs/>
                <w:color w:val="000000"/>
                <w:szCs w:val="22"/>
              </w:rPr>
            </w:pPr>
            <w:r w:rsidRPr="00874BFF">
              <w:rPr>
                <w:color w:val="000000"/>
              </w:rPr>
              <w:t>Czech Republic</w:t>
            </w:r>
          </w:p>
        </w:tc>
        <w:tc>
          <w:tcPr>
            <w:tcW w:w="1722" w:type="dxa"/>
            <w:noWrap/>
          </w:tcPr>
          <w:p w14:paraId="249F6D10" w14:textId="77777777" w:rsidR="006D3AD5" w:rsidRPr="00874BFF" w:rsidRDefault="006D3AD5" w:rsidP="00443B8F">
            <w:pPr>
              <w:jc w:val="right"/>
              <w:rPr>
                <w:rFonts w:cs="Calibri"/>
                <w:b/>
                <w:bCs/>
                <w:color w:val="000000"/>
                <w:szCs w:val="22"/>
              </w:rPr>
            </w:pPr>
            <w:r w:rsidRPr="00874BFF">
              <w:rPr>
                <w:b/>
                <w:color w:val="000000"/>
              </w:rPr>
              <w:t>28</w:t>
            </w:r>
          </w:p>
        </w:tc>
        <w:tc>
          <w:tcPr>
            <w:tcW w:w="1134" w:type="dxa"/>
            <w:noWrap/>
          </w:tcPr>
          <w:p w14:paraId="1327C6AC" w14:textId="77777777" w:rsidR="006D3AD5" w:rsidRPr="00874BFF" w:rsidRDefault="006D3AD5" w:rsidP="00443B8F">
            <w:pPr>
              <w:jc w:val="right"/>
              <w:rPr>
                <w:rFonts w:cs="Calibri"/>
                <w:color w:val="000000"/>
                <w:szCs w:val="22"/>
              </w:rPr>
            </w:pPr>
            <w:r w:rsidRPr="00874BFF">
              <w:rPr>
                <w:color w:val="000000"/>
              </w:rPr>
              <w:t>100%</w:t>
            </w:r>
          </w:p>
        </w:tc>
        <w:tc>
          <w:tcPr>
            <w:tcW w:w="1559" w:type="dxa"/>
          </w:tcPr>
          <w:p w14:paraId="77FD6F60" w14:textId="77777777" w:rsidR="006D3AD5" w:rsidRPr="00874BFF" w:rsidRDefault="006D3AD5" w:rsidP="00443B8F">
            <w:pPr>
              <w:jc w:val="right"/>
              <w:rPr>
                <w:color w:val="000000"/>
              </w:rPr>
            </w:pPr>
            <w:r w:rsidRPr="00874BFF">
              <w:rPr>
                <w:color w:val="000000"/>
              </w:rPr>
              <w:t>34</w:t>
            </w:r>
          </w:p>
        </w:tc>
        <w:tc>
          <w:tcPr>
            <w:tcW w:w="1418" w:type="dxa"/>
          </w:tcPr>
          <w:p w14:paraId="50A6AD3C" w14:textId="77777777" w:rsidR="006D3AD5" w:rsidRPr="00874BFF" w:rsidRDefault="006D3AD5" w:rsidP="00443B8F">
            <w:pPr>
              <w:jc w:val="right"/>
              <w:rPr>
                <w:color w:val="000000"/>
              </w:rPr>
            </w:pPr>
            <w:r w:rsidRPr="00874BFF">
              <w:rPr>
                <w:color w:val="000000"/>
              </w:rPr>
              <w:t>100%</w:t>
            </w:r>
          </w:p>
        </w:tc>
      </w:tr>
      <w:tr w:rsidR="006D3AD5" w:rsidRPr="00874BFF" w14:paraId="09A85447"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25A0575A" w14:textId="77777777" w:rsidR="006D3AD5" w:rsidRPr="00874BFF" w:rsidRDefault="006D3AD5" w:rsidP="00443B8F">
            <w:pPr>
              <w:rPr>
                <w:rFonts w:cs="Calibri"/>
                <w:b/>
                <w:bCs/>
                <w:color w:val="000000"/>
                <w:szCs w:val="22"/>
              </w:rPr>
            </w:pPr>
            <w:r w:rsidRPr="00874BFF">
              <w:rPr>
                <w:b/>
                <w:color w:val="000000"/>
              </w:rPr>
              <w:t>Moravia-Silesia</w:t>
            </w:r>
          </w:p>
        </w:tc>
        <w:tc>
          <w:tcPr>
            <w:tcW w:w="1722" w:type="dxa"/>
            <w:noWrap/>
          </w:tcPr>
          <w:p w14:paraId="1343DBF5" w14:textId="77777777" w:rsidR="006D3AD5" w:rsidRPr="00874BFF" w:rsidRDefault="006D3AD5" w:rsidP="00443B8F">
            <w:pPr>
              <w:jc w:val="right"/>
              <w:rPr>
                <w:rFonts w:cs="Calibri"/>
                <w:color w:val="000000"/>
                <w:szCs w:val="22"/>
              </w:rPr>
            </w:pPr>
            <w:r w:rsidRPr="00874BFF">
              <w:rPr>
                <w:color w:val="000000"/>
              </w:rPr>
              <w:t>6</w:t>
            </w:r>
          </w:p>
        </w:tc>
        <w:tc>
          <w:tcPr>
            <w:tcW w:w="1134" w:type="dxa"/>
            <w:noWrap/>
          </w:tcPr>
          <w:p w14:paraId="2D5A0BB0" w14:textId="77777777" w:rsidR="006D3AD5" w:rsidRPr="00874BFF" w:rsidRDefault="006D3AD5" w:rsidP="00443B8F">
            <w:pPr>
              <w:jc w:val="right"/>
              <w:rPr>
                <w:rFonts w:cs="Calibri"/>
                <w:color w:val="000000"/>
                <w:szCs w:val="22"/>
              </w:rPr>
            </w:pPr>
            <w:r w:rsidRPr="00874BFF">
              <w:rPr>
                <w:color w:val="000000"/>
              </w:rPr>
              <w:t>21.4%</w:t>
            </w:r>
          </w:p>
        </w:tc>
        <w:tc>
          <w:tcPr>
            <w:tcW w:w="1559" w:type="dxa"/>
          </w:tcPr>
          <w:p w14:paraId="727F35ED" w14:textId="77777777" w:rsidR="006D3AD5" w:rsidRPr="00874BFF" w:rsidRDefault="006D3AD5" w:rsidP="00443B8F">
            <w:pPr>
              <w:jc w:val="right"/>
              <w:rPr>
                <w:color w:val="000000"/>
              </w:rPr>
            </w:pPr>
            <w:r w:rsidRPr="00874BFF">
              <w:rPr>
                <w:color w:val="000000"/>
              </w:rPr>
              <w:t>2</w:t>
            </w:r>
          </w:p>
        </w:tc>
        <w:tc>
          <w:tcPr>
            <w:tcW w:w="1418" w:type="dxa"/>
          </w:tcPr>
          <w:p w14:paraId="1544C0E2" w14:textId="77777777" w:rsidR="006D3AD5" w:rsidRPr="00874BFF" w:rsidRDefault="006D3AD5" w:rsidP="00443B8F">
            <w:pPr>
              <w:jc w:val="right"/>
              <w:rPr>
                <w:color w:val="000000"/>
              </w:rPr>
            </w:pPr>
            <w:r w:rsidRPr="00874BFF">
              <w:rPr>
                <w:color w:val="000000"/>
              </w:rPr>
              <w:t>5.9%</w:t>
            </w:r>
          </w:p>
        </w:tc>
      </w:tr>
      <w:tr w:rsidR="006D3AD5" w:rsidRPr="00874BFF" w14:paraId="005A4543"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19B5E7C9" w14:textId="77777777" w:rsidR="006D3AD5" w:rsidRPr="00874BFF" w:rsidRDefault="006D3AD5" w:rsidP="00443B8F">
            <w:pPr>
              <w:rPr>
                <w:rFonts w:cs="Calibri"/>
                <w:b/>
                <w:bCs/>
                <w:color w:val="000000"/>
                <w:szCs w:val="22"/>
              </w:rPr>
            </w:pPr>
            <w:r w:rsidRPr="00874BFF">
              <w:rPr>
                <w:b/>
                <w:color w:val="000000"/>
              </w:rPr>
              <w:t>Central Bohemia</w:t>
            </w:r>
          </w:p>
        </w:tc>
        <w:tc>
          <w:tcPr>
            <w:tcW w:w="1722" w:type="dxa"/>
            <w:noWrap/>
          </w:tcPr>
          <w:p w14:paraId="7289C223" w14:textId="77777777" w:rsidR="006D3AD5" w:rsidRPr="00874BFF" w:rsidRDefault="006D3AD5" w:rsidP="00443B8F">
            <w:pPr>
              <w:jc w:val="right"/>
              <w:rPr>
                <w:rFonts w:cs="Calibri"/>
                <w:color w:val="000000"/>
                <w:szCs w:val="22"/>
              </w:rPr>
            </w:pPr>
            <w:r w:rsidRPr="00874BFF">
              <w:rPr>
                <w:color w:val="000000"/>
              </w:rPr>
              <w:t>3</w:t>
            </w:r>
          </w:p>
        </w:tc>
        <w:tc>
          <w:tcPr>
            <w:tcW w:w="1134" w:type="dxa"/>
            <w:noWrap/>
          </w:tcPr>
          <w:p w14:paraId="29E9BACB" w14:textId="77777777" w:rsidR="006D3AD5" w:rsidRPr="00874BFF" w:rsidRDefault="006D3AD5" w:rsidP="00443B8F">
            <w:pPr>
              <w:jc w:val="right"/>
              <w:rPr>
                <w:rFonts w:cs="Calibri"/>
                <w:color w:val="000000"/>
                <w:szCs w:val="22"/>
              </w:rPr>
            </w:pPr>
            <w:r w:rsidRPr="00874BFF">
              <w:rPr>
                <w:color w:val="000000"/>
              </w:rPr>
              <w:t>10.7%</w:t>
            </w:r>
          </w:p>
        </w:tc>
        <w:tc>
          <w:tcPr>
            <w:tcW w:w="1559" w:type="dxa"/>
          </w:tcPr>
          <w:p w14:paraId="06AFBDD0" w14:textId="77777777" w:rsidR="006D3AD5" w:rsidRPr="00874BFF" w:rsidRDefault="006D3AD5" w:rsidP="00443B8F">
            <w:pPr>
              <w:jc w:val="right"/>
              <w:rPr>
                <w:color w:val="000000"/>
              </w:rPr>
            </w:pPr>
            <w:r w:rsidRPr="00874BFF">
              <w:rPr>
                <w:color w:val="000000"/>
              </w:rPr>
              <w:t>9</w:t>
            </w:r>
          </w:p>
        </w:tc>
        <w:tc>
          <w:tcPr>
            <w:tcW w:w="1418" w:type="dxa"/>
          </w:tcPr>
          <w:p w14:paraId="1F1193A8" w14:textId="77777777" w:rsidR="006D3AD5" w:rsidRPr="00874BFF" w:rsidRDefault="006D3AD5" w:rsidP="00443B8F">
            <w:pPr>
              <w:jc w:val="right"/>
              <w:rPr>
                <w:color w:val="000000"/>
              </w:rPr>
            </w:pPr>
            <w:r w:rsidRPr="00874BFF">
              <w:rPr>
                <w:color w:val="000000"/>
              </w:rPr>
              <w:t>26.5%</w:t>
            </w:r>
          </w:p>
        </w:tc>
      </w:tr>
      <w:tr w:rsidR="006D3AD5" w:rsidRPr="00874BFF" w14:paraId="5A15463D"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221FDBC8" w14:textId="77777777" w:rsidR="006D3AD5" w:rsidRPr="00874BFF" w:rsidRDefault="006D3AD5" w:rsidP="00443B8F">
            <w:pPr>
              <w:rPr>
                <w:rFonts w:cs="Calibri"/>
                <w:b/>
                <w:bCs/>
                <w:color w:val="000000"/>
                <w:szCs w:val="22"/>
              </w:rPr>
            </w:pPr>
            <w:r w:rsidRPr="00874BFF">
              <w:rPr>
                <w:b/>
                <w:color w:val="000000"/>
              </w:rPr>
              <w:t>South Moravia</w:t>
            </w:r>
          </w:p>
        </w:tc>
        <w:tc>
          <w:tcPr>
            <w:tcW w:w="1722" w:type="dxa"/>
            <w:noWrap/>
          </w:tcPr>
          <w:p w14:paraId="3B3F433A" w14:textId="77777777" w:rsidR="006D3AD5" w:rsidRPr="00874BFF" w:rsidRDefault="006D3AD5" w:rsidP="00443B8F">
            <w:pPr>
              <w:jc w:val="right"/>
              <w:rPr>
                <w:rFonts w:cs="Calibri"/>
                <w:color w:val="000000"/>
                <w:szCs w:val="22"/>
              </w:rPr>
            </w:pPr>
            <w:r w:rsidRPr="00874BFF">
              <w:rPr>
                <w:color w:val="000000"/>
              </w:rPr>
              <w:t>4</w:t>
            </w:r>
          </w:p>
        </w:tc>
        <w:tc>
          <w:tcPr>
            <w:tcW w:w="1134" w:type="dxa"/>
            <w:noWrap/>
          </w:tcPr>
          <w:p w14:paraId="0502D972" w14:textId="77777777" w:rsidR="006D3AD5" w:rsidRPr="00874BFF" w:rsidRDefault="006D3AD5" w:rsidP="00443B8F">
            <w:pPr>
              <w:jc w:val="right"/>
              <w:rPr>
                <w:rFonts w:cs="Calibri"/>
                <w:color w:val="000000"/>
                <w:szCs w:val="22"/>
              </w:rPr>
            </w:pPr>
            <w:r w:rsidRPr="00874BFF">
              <w:rPr>
                <w:color w:val="000000"/>
              </w:rPr>
              <w:t>14.3%</w:t>
            </w:r>
          </w:p>
        </w:tc>
        <w:tc>
          <w:tcPr>
            <w:tcW w:w="1559" w:type="dxa"/>
          </w:tcPr>
          <w:p w14:paraId="595CA7EE" w14:textId="77777777" w:rsidR="006D3AD5" w:rsidRPr="00874BFF" w:rsidRDefault="006D3AD5" w:rsidP="00443B8F">
            <w:pPr>
              <w:jc w:val="right"/>
              <w:rPr>
                <w:color w:val="000000"/>
              </w:rPr>
            </w:pPr>
            <w:r w:rsidRPr="00874BFF">
              <w:rPr>
                <w:color w:val="000000"/>
              </w:rPr>
              <w:t>5</w:t>
            </w:r>
          </w:p>
        </w:tc>
        <w:tc>
          <w:tcPr>
            <w:tcW w:w="1418" w:type="dxa"/>
          </w:tcPr>
          <w:p w14:paraId="52A3342B" w14:textId="77777777" w:rsidR="006D3AD5" w:rsidRPr="00874BFF" w:rsidRDefault="006D3AD5" w:rsidP="00443B8F">
            <w:pPr>
              <w:jc w:val="right"/>
              <w:rPr>
                <w:color w:val="000000"/>
              </w:rPr>
            </w:pPr>
            <w:r w:rsidRPr="00874BFF">
              <w:rPr>
                <w:color w:val="000000"/>
              </w:rPr>
              <w:t>14.7%</w:t>
            </w:r>
          </w:p>
        </w:tc>
      </w:tr>
      <w:tr w:rsidR="006D3AD5" w:rsidRPr="00874BFF" w14:paraId="0AB309EE"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7D346C38" w14:textId="77777777" w:rsidR="006D3AD5" w:rsidRPr="00874BFF" w:rsidRDefault="006D3AD5" w:rsidP="00443B8F">
            <w:pPr>
              <w:rPr>
                <w:rFonts w:cs="Calibri"/>
                <w:b/>
                <w:bCs/>
                <w:color w:val="000000"/>
                <w:szCs w:val="22"/>
              </w:rPr>
            </w:pPr>
            <w:r w:rsidRPr="00874BFF">
              <w:rPr>
                <w:b/>
                <w:color w:val="000000"/>
              </w:rPr>
              <w:t>Pilsen</w:t>
            </w:r>
          </w:p>
        </w:tc>
        <w:tc>
          <w:tcPr>
            <w:tcW w:w="1722" w:type="dxa"/>
            <w:noWrap/>
          </w:tcPr>
          <w:p w14:paraId="5F28AD48" w14:textId="77777777" w:rsidR="006D3AD5" w:rsidRPr="00874BFF" w:rsidRDefault="006D3AD5" w:rsidP="00443B8F">
            <w:pPr>
              <w:jc w:val="right"/>
              <w:rPr>
                <w:rFonts w:cs="Calibri"/>
                <w:color w:val="000000"/>
                <w:szCs w:val="22"/>
              </w:rPr>
            </w:pPr>
            <w:r w:rsidRPr="00874BFF">
              <w:rPr>
                <w:color w:val="000000"/>
              </w:rPr>
              <w:t>2</w:t>
            </w:r>
          </w:p>
        </w:tc>
        <w:tc>
          <w:tcPr>
            <w:tcW w:w="1134" w:type="dxa"/>
            <w:noWrap/>
          </w:tcPr>
          <w:p w14:paraId="368C969F" w14:textId="77777777" w:rsidR="006D3AD5" w:rsidRPr="00874BFF" w:rsidRDefault="006D3AD5" w:rsidP="00443B8F">
            <w:pPr>
              <w:jc w:val="right"/>
              <w:rPr>
                <w:rFonts w:cs="Calibri"/>
                <w:color w:val="000000"/>
                <w:szCs w:val="22"/>
              </w:rPr>
            </w:pPr>
            <w:r w:rsidRPr="00874BFF">
              <w:rPr>
                <w:color w:val="000000"/>
              </w:rPr>
              <w:t>7.1%</w:t>
            </w:r>
          </w:p>
        </w:tc>
        <w:tc>
          <w:tcPr>
            <w:tcW w:w="1559" w:type="dxa"/>
          </w:tcPr>
          <w:p w14:paraId="4A7B2814" w14:textId="77777777" w:rsidR="006D3AD5" w:rsidRPr="00874BFF" w:rsidRDefault="006D3AD5" w:rsidP="00443B8F">
            <w:pPr>
              <w:jc w:val="right"/>
              <w:rPr>
                <w:color w:val="000000"/>
              </w:rPr>
            </w:pPr>
            <w:r w:rsidRPr="00874BFF">
              <w:rPr>
                <w:color w:val="000000"/>
              </w:rPr>
              <w:t>2</w:t>
            </w:r>
          </w:p>
        </w:tc>
        <w:tc>
          <w:tcPr>
            <w:tcW w:w="1418" w:type="dxa"/>
          </w:tcPr>
          <w:p w14:paraId="71BD6AB1" w14:textId="77777777" w:rsidR="006D3AD5" w:rsidRPr="00874BFF" w:rsidRDefault="006D3AD5" w:rsidP="00443B8F">
            <w:pPr>
              <w:jc w:val="right"/>
              <w:rPr>
                <w:color w:val="000000"/>
              </w:rPr>
            </w:pPr>
            <w:r w:rsidRPr="00874BFF">
              <w:rPr>
                <w:color w:val="000000"/>
              </w:rPr>
              <w:t>5.9%</w:t>
            </w:r>
          </w:p>
        </w:tc>
      </w:tr>
      <w:tr w:rsidR="006D3AD5" w:rsidRPr="00874BFF" w14:paraId="06D9DF7C"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1190AC3B" w14:textId="77777777" w:rsidR="006D3AD5" w:rsidRPr="00874BFF" w:rsidRDefault="006D3AD5" w:rsidP="00443B8F">
            <w:pPr>
              <w:rPr>
                <w:rFonts w:cs="Calibri"/>
                <w:b/>
                <w:bCs/>
                <w:color w:val="000000"/>
                <w:szCs w:val="22"/>
              </w:rPr>
            </w:pPr>
            <w:r w:rsidRPr="00874BFF">
              <w:rPr>
                <w:b/>
                <w:color w:val="000000"/>
              </w:rPr>
              <w:t>Ústí nad Labem</w:t>
            </w:r>
          </w:p>
        </w:tc>
        <w:tc>
          <w:tcPr>
            <w:tcW w:w="1722" w:type="dxa"/>
            <w:noWrap/>
          </w:tcPr>
          <w:p w14:paraId="762C12D2" w14:textId="77777777" w:rsidR="006D3AD5" w:rsidRPr="00874BFF" w:rsidRDefault="006D3AD5" w:rsidP="00443B8F">
            <w:pPr>
              <w:jc w:val="right"/>
              <w:rPr>
                <w:rFonts w:cs="Calibri"/>
                <w:color w:val="000000"/>
                <w:szCs w:val="22"/>
              </w:rPr>
            </w:pPr>
            <w:r w:rsidRPr="00874BFF">
              <w:rPr>
                <w:color w:val="000000"/>
              </w:rPr>
              <w:t>1</w:t>
            </w:r>
          </w:p>
        </w:tc>
        <w:tc>
          <w:tcPr>
            <w:tcW w:w="1134" w:type="dxa"/>
            <w:noWrap/>
          </w:tcPr>
          <w:p w14:paraId="13DAF5C2" w14:textId="77777777" w:rsidR="006D3AD5" w:rsidRPr="00874BFF" w:rsidRDefault="006D3AD5" w:rsidP="00443B8F">
            <w:pPr>
              <w:jc w:val="right"/>
              <w:rPr>
                <w:rFonts w:cs="Calibri"/>
                <w:color w:val="000000"/>
                <w:szCs w:val="22"/>
              </w:rPr>
            </w:pPr>
            <w:r w:rsidRPr="00874BFF">
              <w:rPr>
                <w:color w:val="000000"/>
              </w:rPr>
              <w:t>3.6%</w:t>
            </w:r>
          </w:p>
        </w:tc>
        <w:tc>
          <w:tcPr>
            <w:tcW w:w="1559" w:type="dxa"/>
          </w:tcPr>
          <w:p w14:paraId="5212C381" w14:textId="77777777" w:rsidR="006D3AD5" w:rsidRPr="00874BFF" w:rsidRDefault="006D3AD5" w:rsidP="00443B8F">
            <w:pPr>
              <w:jc w:val="right"/>
              <w:rPr>
                <w:color w:val="000000"/>
              </w:rPr>
            </w:pPr>
            <w:r w:rsidRPr="00874BFF">
              <w:rPr>
                <w:color w:val="000000"/>
              </w:rPr>
              <w:t>2</w:t>
            </w:r>
          </w:p>
        </w:tc>
        <w:tc>
          <w:tcPr>
            <w:tcW w:w="1418" w:type="dxa"/>
          </w:tcPr>
          <w:p w14:paraId="34E31643" w14:textId="77777777" w:rsidR="006D3AD5" w:rsidRPr="00874BFF" w:rsidRDefault="006D3AD5" w:rsidP="00443B8F">
            <w:pPr>
              <w:jc w:val="right"/>
              <w:rPr>
                <w:color w:val="000000"/>
              </w:rPr>
            </w:pPr>
            <w:r w:rsidRPr="00874BFF">
              <w:rPr>
                <w:color w:val="000000"/>
              </w:rPr>
              <w:t>5.9%</w:t>
            </w:r>
          </w:p>
        </w:tc>
      </w:tr>
      <w:tr w:rsidR="006D3AD5" w:rsidRPr="00874BFF" w14:paraId="3D26C961"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6F5F5509" w14:textId="77777777" w:rsidR="006D3AD5" w:rsidRPr="00874BFF" w:rsidRDefault="006D3AD5" w:rsidP="00443B8F">
            <w:pPr>
              <w:rPr>
                <w:rFonts w:cs="Calibri"/>
                <w:b/>
                <w:bCs/>
                <w:color w:val="000000"/>
                <w:szCs w:val="22"/>
              </w:rPr>
            </w:pPr>
            <w:r w:rsidRPr="00874BFF">
              <w:rPr>
                <w:b/>
                <w:color w:val="000000"/>
              </w:rPr>
              <w:t>Karlovy Vary</w:t>
            </w:r>
          </w:p>
        </w:tc>
        <w:tc>
          <w:tcPr>
            <w:tcW w:w="1722" w:type="dxa"/>
            <w:noWrap/>
          </w:tcPr>
          <w:p w14:paraId="374E34EE" w14:textId="77777777" w:rsidR="006D3AD5" w:rsidRPr="00874BFF" w:rsidRDefault="006D3AD5" w:rsidP="00443B8F">
            <w:pPr>
              <w:jc w:val="right"/>
              <w:rPr>
                <w:rFonts w:cs="Calibri"/>
                <w:color w:val="000000"/>
                <w:szCs w:val="22"/>
              </w:rPr>
            </w:pPr>
            <w:r w:rsidRPr="00874BFF">
              <w:rPr>
                <w:color w:val="000000"/>
              </w:rPr>
              <w:t>0</w:t>
            </w:r>
          </w:p>
        </w:tc>
        <w:tc>
          <w:tcPr>
            <w:tcW w:w="1134" w:type="dxa"/>
            <w:noWrap/>
          </w:tcPr>
          <w:p w14:paraId="4E514F46" w14:textId="77777777" w:rsidR="006D3AD5" w:rsidRPr="00874BFF" w:rsidRDefault="006D3AD5" w:rsidP="00443B8F">
            <w:pPr>
              <w:jc w:val="right"/>
              <w:rPr>
                <w:rFonts w:cs="Calibri"/>
                <w:color w:val="000000"/>
                <w:szCs w:val="22"/>
              </w:rPr>
            </w:pPr>
            <w:r w:rsidRPr="00874BFF">
              <w:rPr>
                <w:color w:val="000000"/>
              </w:rPr>
              <w:t>0.0%</w:t>
            </w:r>
          </w:p>
        </w:tc>
        <w:tc>
          <w:tcPr>
            <w:tcW w:w="1559" w:type="dxa"/>
          </w:tcPr>
          <w:p w14:paraId="205B0ED7" w14:textId="77777777" w:rsidR="006D3AD5" w:rsidRPr="00874BFF" w:rsidRDefault="006D3AD5" w:rsidP="00443B8F">
            <w:pPr>
              <w:jc w:val="right"/>
              <w:rPr>
                <w:color w:val="000000"/>
              </w:rPr>
            </w:pPr>
            <w:r w:rsidRPr="00874BFF">
              <w:rPr>
                <w:color w:val="000000"/>
              </w:rPr>
              <w:t>4</w:t>
            </w:r>
          </w:p>
        </w:tc>
        <w:tc>
          <w:tcPr>
            <w:tcW w:w="1418" w:type="dxa"/>
          </w:tcPr>
          <w:p w14:paraId="605522D9" w14:textId="77777777" w:rsidR="006D3AD5" w:rsidRPr="00874BFF" w:rsidRDefault="006D3AD5" w:rsidP="00443B8F">
            <w:pPr>
              <w:jc w:val="right"/>
              <w:rPr>
                <w:color w:val="000000"/>
              </w:rPr>
            </w:pPr>
            <w:r w:rsidRPr="00874BFF">
              <w:rPr>
                <w:color w:val="000000"/>
              </w:rPr>
              <w:t>11.8%</w:t>
            </w:r>
          </w:p>
        </w:tc>
      </w:tr>
      <w:tr w:rsidR="006D3AD5" w:rsidRPr="00874BFF" w14:paraId="531BF34D"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14087352" w14:textId="77777777" w:rsidR="006D3AD5" w:rsidRPr="00874BFF" w:rsidRDefault="006D3AD5" w:rsidP="00443B8F">
            <w:pPr>
              <w:rPr>
                <w:rFonts w:cs="Calibri"/>
                <w:b/>
                <w:bCs/>
                <w:color w:val="000000"/>
                <w:szCs w:val="22"/>
              </w:rPr>
            </w:pPr>
            <w:r w:rsidRPr="00874BFF">
              <w:rPr>
                <w:b/>
                <w:color w:val="000000"/>
              </w:rPr>
              <w:t>Hradec Králové</w:t>
            </w:r>
          </w:p>
        </w:tc>
        <w:tc>
          <w:tcPr>
            <w:tcW w:w="1722" w:type="dxa"/>
            <w:noWrap/>
          </w:tcPr>
          <w:p w14:paraId="233CC58A" w14:textId="77777777" w:rsidR="006D3AD5" w:rsidRPr="00874BFF" w:rsidRDefault="006D3AD5" w:rsidP="00443B8F">
            <w:pPr>
              <w:jc w:val="right"/>
              <w:rPr>
                <w:rFonts w:cs="Calibri"/>
                <w:color w:val="000000"/>
                <w:szCs w:val="22"/>
              </w:rPr>
            </w:pPr>
            <w:r w:rsidRPr="00874BFF">
              <w:rPr>
                <w:color w:val="000000"/>
              </w:rPr>
              <w:t>3</w:t>
            </w:r>
          </w:p>
        </w:tc>
        <w:tc>
          <w:tcPr>
            <w:tcW w:w="1134" w:type="dxa"/>
            <w:noWrap/>
          </w:tcPr>
          <w:p w14:paraId="6D73142D" w14:textId="77777777" w:rsidR="006D3AD5" w:rsidRPr="00874BFF" w:rsidRDefault="006D3AD5" w:rsidP="00443B8F">
            <w:pPr>
              <w:jc w:val="right"/>
              <w:rPr>
                <w:rFonts w:cs="Calibri"/>
                <w:color w:val="000000"/>
                <w:szCs w:val="22"/>
              </w:rPr>
            </w:pPr>
            <w:r w:rsidRPr="00874BFF">
              <w:rPr>
                <w:color w:val="000000"/>
              </w:rPr>
              <w:t>10.7%</w:t>
            </w:r>
          </w:p>
        </w:tc>
        <w:tc>
          <w:tcPr>
            <w:tcW w:w="1559" w:type="dxa"/>
          </w:tcPr>
          <w:p w14:paraId="72D9E267" w14:textId="77777777" w:rsidR="006D3AD5" w:rsidRPr="00874BFF" w:rsidRDefault="006D3AD5" w:rsidP="00443B8F">
            <w:pPr>
              <w:jc w:val="right"/>
              <w:rPr>
                <w:color w:val="000000"/>
              </w:rPr>
            </w:pPr>
            <w:r w:rsidRPr="00874BFF">
              <w:rPr>
                <w:color w:val="000000"/>
              </w:rPr>
              <w:t>1</w:t>
            </w:r>
          </w:p>
        </w:tc>
        <w:tc>
          <w:tcPr>
            <w:tcW w:w="1418" w:type="dxa"/>
          </w:tcPr>
          <w:p w14:paraId="2BCF8487" w14:textId="77777777" w:rsidR="006D3AD5" w:rsidRPr="00874BFF" w:rsidRDefault="006D3AD5" w:rsidP="00443B8F">
            <w:pPr>
              <w:jc w:val="right"/>
              <w:rPr>
                <w:color w:val="000000"/>
              </w:rPr>
            </w:pPr>
            <w:r w:rsidRPr="00874BFF">
              <w:rPr>
                <w:color w:val="000000"/>
              </w:rPr>
              <w:t>2.9%</w:t>
            </w:r>
          </w:p>
        </w:tc>
      </w:tr>
      <w:tr w:rsidR="006D3AD5" w:rsidRPr="00874BFF" w14:paraId="5225AA09"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7251BD04" w14:textId="77777777" w:rsidR="006D3AD5" w:rsidRPr="00874BFF" w:rsidRDefault="006D3AD5" w:rsidP="00443B8F">
            <w:pPr>
              <w:rPr>
                <w:rFonts w:cs="Calibri"/>
                <w:b/>
                <w:bCs/>
                <w:color w:val="000000"/>
                <w:szCs w:val="22"/>
              </w:rPr>
            </w:pPr>
            <w:r w:rsidRPr="00874BFF">
              <w:rPr>
                <w:b/>
                <w:color w:val="000000"/>
              </w:rPr>
              <w:t>Zlín</w:t>
            </w:r>
          </w:p>
        </w:tc>
        <w:tc>
          <w:tcPr>
            <w:tcW w:w="1722" w:type="dxa"/>
            <w:noWrap/>
          </w:tcPr>
          <w:p w14:paraId="44CD3FCF" w14:textId="77777777" w:rsidR="006D3AD5" w:rsidRPr="00874BFF" w:rsidRDefault="006D3AD5" w:rsidP="00443B8F">
            <w:pPr>
              <w:jc w:val="right"/>
              <w:rPr>
                <w:rFonts w:cs="Calibri"/>
                <w:color w:val="000000"/>
                <w:szCs w:val="22"/>
              </w:rPr>
            </w:pPr>
            <w:r w:rsidRPr="00874BFF">
              <w:rPr>
                <w:color w:val="000000"/>
              </w:rPr>
              <w:t>1</w:t>
            </w:r>
          </w:p>
        </w:tc>
        <w:tc>
          <w:tcPr>
            <w:tcW w:w="1134" w:type="dxa"/>
            <w:noWrap/>
          </w:tcPr>
          <w:p w14:paraId="1115BDB2" w14:textId="77777777" w:rsidR="006D3AD5" w:rsidRPr="00874BFF" w:rsidRDefault="006D3AD5" w:rsidP="00443B8F">
            <w:pPr>
              <w:jc w:val="right"/>
              <w:rPr>
                <w:rFonts w:cs="Calibri"/>
                <w:color w:val="000000"/>
                <w:szCs w:val="22"/>
              </w:rPr>
            </w:pPr>
            <w:r w:rsidRPr="00874BFF">
              <w:rPr>
                <w:color w:val="000000"/>
              </w:rPr>
              <w:t>3.6%</w:t>
            </w:r>
          </w:p>
        </w:tc>
        <w:tc>
          <w:tcPr>
            <w:tcW w:w="1559" w:type="dxa"/>
          </w:tcPr>
          <w:p w14:paraId="0A1B12CF" w14:textId="77777777" w:rsidR="006D3AD5" w:rsidRPr="00874BFF" w:rsidRDefault="006D3AD5" w:rsidP="00443B8F">
            <w:pPr>
              <w:jc w:val="right"/>
              <w:rPr>
                <w:color w:val="000000"/>
              </w:rPr>
            </w:pPr>
            <w:r w:rsidRPr="00874BFF">
              <w:rPr>
                <w:color w:val="000000"/>
              </w:rPr>
              <w:t>4</w:t>
            </w:r>
          </w:p>
        </w:tc>
        <w:tc>
          <w:tcPr>
            <w:tcW w:w="1418" w:type="dxa"/>
          </w:tcPr>
          <w:p w14:paraId="4BAD4B11" w14:textId="77777777" w:rsidR="006D3AD5" w:rsidRPr="00874BFF" w:rsidRDefault="006D3AD5" w:rsidP="00443B8F">
            <w:pPr>
              <w:jc w:val="right"/>
              <w:rPr>
                <w:color w:val="000000"/>
              </w:rPr>
            </w:pPr>
            <w:r w:rsidRPr="00874BFF">
              <w:rPr>
                <w:color w:val="000000"/>
              </w:rPr>
              <w:t>11.8%</w:t>
            </w:r>
          </w:p>
        </w:tc>
      </w:tr>
      <w:tr w:rsidR="006D3AD5" w:rsidRPr="00874BFF" w14:paraId="6915AFFC"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09F8F377" w14:textId="77777777" w:rsidR="006D3AD5" w:rsidRPr="00874BFF" w:rsidRDefault="006D3AD5" w:rsidP="00443B8F">
            <w:pPr>
              <w:rPr>
                <w:rFonts w:cs="Calibri"/>
                <w:b/>
                <w:bCs/>
                <w:color w:val="000000"/>
                <w:szCs w:val="22"/>
              </w:rPr>
            </w:pPr>
            <w:r w:rsidRPr="00874BFF">
              <w:rPr>
                <w:b/>
                <w:color w:val="000000"/>
              </w:rPr>
              <w:t>Olomouc</w:t>
            </w:r>
          </w:p>
        </w:tc>
        <w:tc>
          <w:tcPr>
            <w:tcW w:w="1722" w:type="dxa"/>
            <w:noWrap/>
          </w:tcPr>
          <w:p w14:paraId="2EA0C7B1" w14:textId="77777777" w:rsidR="006D3AD5" w:rsidRPr="00874BFF" w:rsidRDefault="006D3AD5" w:rsidP="00443B8F">
            <w:pPr>
              <w:jc w:val="right"/>
              <w:rPr>
                <w:rFonts w:cs="Calibri"/>
                <w:color w:val="000000"/>
                <w:szCs w:val="22"/>
              </w:rPr>
            </w:pPr>
            <w:r w:rsidRPr="00874BFF">
              <w:rPr>
                <w:color w:val="000000"/>
              </w:rPr>
              <w:t>1</w:t>
            </w:r>
          </w:p>
        </w:tc>
        <w:tc>
          <w:tcPr>
            <w:tcW w:w="1134" w:type="dxa"/>
            <w:noWrap/>
          </w:tcPr>
          <w:p w14:paraId="69199243" w14:textId="77777777" w:rsidR="006D3AD5" w:rsidRPr="00874BFF" w:rsidRDefault="006D3AD5" w:rsidP="00443B8F">
            <w:pPr>
              <w:jc w:val="right"/>
              <w:rPr>
                <w:rFonts w:cs="Calibri"/>
                <w:color w:val="000000"/>
                <w:szCs w:val="22"/>
              </w:rPr>
            </w:pPr>
            <w:r w:rsidRPr="00874BFF">
              <w:rPr>
                <w:color w:val="000000"/>
              </w:rPr>
              <w:t>3.6%</w:t>
            </w:r>
          </w:p>
        </w:tc>
        <w:tc>
          <w:tcPr>
            <w:tcW w:w="1559" w:type="dxa"/>
          </w:tcPr>
          <w:p w14:paraId="150D00B0" w14:textId="77777777" w:rsidR="006D3AD5" w:rsidRPr="00874BFF" w:rsidRDefault="006D3AD5" w:rsidP="00443B8F">
            <w:pPr>
              <w:jc w:val="right"/>
              <w:rPr>
                <w:color w:val="000000"/>
              </w:rPr>
            </w:pPr>
            <w:r w:rsidRPr="00874BFF">
              <w:rPr>
                <w:color w:val="000000"/>
              </w:rPr>
              <w:t>2</w:t>
            </w:r>
          </w:p>
        </w:tc>
        <w:tc>
          <w:tcPr>
            <w:tcW w:w="1418" w:type="dxa"/>
          </w:tcPr>
          <w:p w14:paraId="2EE02C71" w14:textId="77777777" w:rsidR="006D3AD5" w:rsidRPr="00874BFF" w:rsidRDefault="006D3AD5" w:rsidP="00443B8F">
            <w:pPr>
              <w:jc w:val="right"/>
              <w:rPr>
                <w:color w:val="000000"/>
              </w:rPr>
            </w:pPr>
            <w:r w:rsidRPr="00874BFF">
              <w:rPr>
                <w:color w:val="000000"/>
              </w:rPr>
              <w:t>5.9%</w:t>
            </w:r>
          </w:p>
        </w:tc>
      </w:tr>
      <w:tr w:rsidR="006D3AD5" w:rsidRPr="00874BFF" w14:paraId="77634205"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000D3496" w14:textId="77777777" w:rsidR="006D3AD5" w:rsidRPr="00874BFF" w:rsidRDefault="006D3AD5" w:rsidP="00443B8F">
            <w:pPr>
              <w:rPr>
                <w:rFonts w:cs="Calibri"/>
                <w:b/>
                <w:bCs/>
                <w:color w:val="000000"/>
                <w:szCs w:val="22"/>
              </w:rPr>
            </w:pPr>
            <w:r w:rsidRPr="00874BFF">
              <w:rPr>
                <w:b/>
                <w:color w:val="000000"/>
              </w:rPr>
              <w:t>Liberec</w:t>
            </w:r>
          </w:p>
        </w:tc>
        <w:tc>
          <w:tcPr>
            <w:tcW w:w="1722" w:type="dxa"/>
            <w:noWrap/>
          </w:tcPr>
          <w:p w14:paraId="15A71066" w14:textId="77777777" w:rsidR="006D3AD5" w:rsidRPr="00874BFF" w:rsidRDefault="006D3AD5" w:rsidP="00443B8F">
            <w:pPr>
              <w:jc w:val="right"/>
              <w:rPr>
                <w:rFonts w:cs="Calibri"/>
                <w:color w:val="000000"/>
                <w:szCs w:val="22"/>
              </w:rPr>
            </w:pPr>
            <w:r w:rsidRPr="00874BFF">
              <w:rPr>
                <w:color w:val="000000"/>
              </w:rPr>
              <w:t>0</w:t>
            </w:r>
          </w:p>
        </w:tc>
        <w:tc>
          <w:tcPr>
            <w:tcW w:w="1134" w:type="dxa"/>
            <w:noWrap/>
          </w:tcPr>
          <w:p w14:paraId="452CCB7C" w14:textId="77777777" w:rsidR="006D3AD5" w:rsidRPr="00874BFF" w:rsidRDefault="006D3AD5" w:rsidP="00443B8F">
            <w:pPr>
              <w:jc w:val="right"/>
              <w:rPr>
                <w:rFonts w:cs="Calibri"/>
                <w:color w:val="000000"/>
                <w:szCs w:val="22"/>
              </w:rPr>
            </w:pPr>
            <w:r w:rsidRPr="00874BFF">
              <w:rPr>
                <w:color w:val="000000"/>
              </w:rPr>
              <w:t>0.0%</w:t>
            </w:r>
          </w:p>
        </w:tc>
        <w:tc>
          <w:tcPr>
            <w:tcW w:w="1559" w:type="dxa"/>
          </w:tcPr>
          <w:p w14:paraId="62871E8B" w14:textId="77777777" w:rsidR="006D3AD5" w:rsidRPr="00874BFF" w:rsidRDefault="006D3AD5" w:rsidP="00443B8F">
            <w:pPr>
              <w:jc w:val="right"/>
              <w:rPr>
                <w:color w:val="000000"/>
              </w:rPr>
            </w:pPr>
            <w:r w:rsidRPr="00874BFF">
              <w:rPr>
                <w:color w:val="000000"/>
              </w:rPr>
              <w:t>2</w:t>
            </w:r>
          </w:p>
        </w:tc>
        <w:tc>
          <w:tcPr>
            <w:tcW w:w="1418" w:type="dxa"/>
          </w:tcPr>
          <w:p w14:paraId="74ABA198" w14:textId="77777777" w:rsidR="006D3AD5" w:rsidRPr="00874BFF" w:rsidRDefault="006D3AD5" w:rsidP="00443B8F">
            <w:pPr>
              <w:jc w:val="right"/>
              <w:rPr>
                <w:color w:val="000000"/>
              </w:rPr>
            </w:pPr>
            <w:r w:rsidRPr="00874BFF">
              <w:rPr>
                <w:color w:val="000000"/>
              </w:rPr>
              <w:t>5.9%</w:t>
            </w:r>
          </w:p>
        </w:tc>
      </w:tr>
      <w:tr w:rsidR="006D3AD5" w:rsidRPr="00874BFF" w14:paraId="04A78C21"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35E8B91F" w14:textId="77777777" w:rsidR="006D3AD5" w:rsidRPr="00874BFF" w:rsidRDefault="006D3AD5" w:rsidP="00443B8F">
            <w:pPr>
              <w:rPr>
                <w:rFonts w:cs="Calibri"/>
                <w:b/>
                <w:bCs/>
                <w:color w:val="000000"/>
                <w:szCs w:val="22"/>
              </w:rPr>
            </w:pPr>
            <w:r w:rsidRPr="00874BFF">
              <w:rPr>
                <w:b/>
                <w:color w:val="000000"/>
              </w:rPr>
              <w:t>Pardubice</w:t>
            </w:r>
          </w:p>
        </w:tc>
        <w:tc>
          <w:tcPr>
            <w:tcW w:w="1722" w:type="dxa"/>
            <w:noWrap/>
          </w:tcPr>
          <w:p w14:paraId="3C12A51E" w14:textId="77777777" w:rsidR="006D3AD5" w:rsidRPr="00874BFF" w:rsidRDefault="006D3AD5" w:rsidP="00443B8F">
            <w:pPr>
              <w:jc w:val="right"/>
              <w:rPr>
                <w:rFonts w:cs="Calibri"/>
                <w:color w:val="000000"/>
                <w:szCs w:val="22"/>
              </w:rPr>
            </w:pPr>
            <w:r w:rsidRPr="00874BFF">
              <w:rPr>
                <w:color w:val="000000"/>
              </w:rPr>
              <w:t>6</w:t>
            </w:r>
          </w:p>
        </w:tc>
        <w:tc>
          <w:tcPr>
            <w:tcW w:w="1134" w:type="dxa"/>
            <w:noWrap/>
          </w:tcPr>
          <w:p w14:paraId="325534FC" w14:textId="77777777" w:rsidR="006D3AD5" w:rsidRPr="00874BFF" w:rsidRDefault="006D3AD5" w:rsidP="00443B8F">
            <w:pPr>
              <w:jc w:val="right"/>
              <w:rPr>
                <w:rFonts w:cs="Calibri"/>
                <w:color w:val="000000"/>
                <w:szCs w:val="22"/>
              </w:rPr>
            </w:pPr>
            <w:r w:rsidRPr="00874BFF">
              <w:rPr>
                <w:color w:val="000000"/>
              </w:rPr>
              <w:t>21.4%</w:t>
            </w:r>
          </w:p>
        </w:tc>
        <w:tc>
          <w:tcPr>
            <w:tcW w:w="1559" w:type="dxa"/>
          </w:tcPr>
          <w:p w14:paraId="09DE6D29" w14:textId="77777777" w:rsidR="006D3AD5" w:rsidRPr="00874BFF" w:rsidRDefault="006D3AD5" w:rsidP="00443B8F">
            <w:pPr>
              <w:jc w:val="right"/>
              <w:rPr>
                <w:color w:val="000000"/>
              </w:rPr>
            </w:pPr>
            <w:r w:rsidRPr="00874BFF">
              <w:rPr>
                <w:color w:val="000000"/>
              </w:rPr>
              <w:t>0</w:t>
            </w:r>
          </w:p>
        </w:tc>
        <w:tc>
          <w:tcPr>
            <w:tcW w:w="1418" w:type="dxa"/>
          </w:tcPr>
          <w:p w14:paraId="350E678E" w14:textId="77777777" w:rsidR="006D3AD5" w:rsidRPr="00874BFF" w:rsidRDefault="006D3AD5" w:rsidP="00443B8F">
            <w:pPr>
              <w:jc w:val="right"/>
              <w:rPr>
                <w:color w:val="000000"/>
              </w:rPr>
            </w:pPr>
            <w:r w:rsidRPr="00874BFF">
              <w:rPr>
                <w:color w:val="000000"/>
              </w:rPr>
              <w:t>0%</w:t>
            </w:r>
          </w:p>
        </w:tc>
      </w:tr>
      <w:tr w:rsidR="006D3AD5" w:rsidRPr="00874BFF" w14:paraId="26964E46"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2AB783CA" w14:textId="77777777" w:rsidR="006D3AD5" w:rsidRPr="00874BFF" w:rsidRDefault="006D3AD5" w:rsidP="00443B8F">
            <w:pPr>
              <w:rPr>
                <w:rFonts w:cs="Calibri"/>
                <w:b/>
                <w:bCs/>
                <w:color w:val="000000"/>
                <w:szCs w:val="22"/>
              </w:rPr>
            </w:pPr>
            <w:r w:rsidRPr="00874BFF">
              <w:rPr>
                <w:b/>
                <w:color w:val="000000"/>
              </w:rPr>
              <w:t>Southern Bohemia</w:t>
            </w:r>
          </w:p>
        </w:tc>
        <w:tc>
          <w:tcPr>
            <w:tcW w:w="1722" w:type="dxa"/>
            <w:noWrap/>
          </w:tcPr>
          <w:p w14:paraId="5D479FE4" w14:textId="77777777" w:rsidR="006D3AD5" w:rsidRPr="00874BFF" w:rsidRDefault="006D3AD5" w:rsidP="00443B8F">
            <w:pPr>
              <w:jc w:val="right"/>
              <w:rPr>
                <w:rFonts w:cs="Calibri"/>
                <w:color w:val="000000"/>
                <w:szCs w:val="22"/>
              </w:rPr>
            </w:pPr>
            <w:r w:rsidRPr="00874BFF">
              <w:rPr>
                <w:color w:val="000000"/>
              </w:rPr>
              <w:t>0</w:t>
            </w:r>
          </w:p>
        </w:tc>
        <w:tc>
          <w:tcPr>
            <w:tcW w:w="1134" w:type="dxa"/>
            <w:noWrap/>
          </w:tcPr>
          <w:p w14:paraId="1FCDE0EC" w14:textId="77777777" w:rsidR="006D3AD5" w:rsidRPr="00874BFF" w:rsidRDefault="006D3AD5" w:rsidP="00443B8F">
            <w:pPr>
              <w:jc w:val="right"/>
              <w:rPr>
                <w:rFonts w:cs="Calibri"/>
                <w:color w:val="000000"/>
                <w:szCs w:val="22"/>
              </w:rPr>
            </w:pPr>
            <w:r w:rsidRPr="00874BFF">
              <w:rPr>
                <w:color w:val="000000"/>
              </w:rPr>
              <w:t>0.0%</w:t>
            </w:r>
          </w:p>
        </w:tc>
        <w:tc>
          <w:tcPr>
            <w:tcW w:w="1559" w:type="dxa"/>
          </w:tcPr>
          <w:p w14:paraId="383A7136" w14:textId="77777777" w:rsidR="006D3AD5" w:rsidRPr="00874BFF" w:rsidRDefault="006D3AD5" w:rsidP="00443B8F">
            <w:pPr>
              <w:jc w:val="right"/>
              <w:rPr>
                <w:color w:val="000000"/>
              </w:rPr>
            </w:pPr>
            <w:r w:rsidRPr="00874BFF">
              <w:rPr>
                <w:color w:val="000000"/>
              </w:rPr>
              <w:t>1</w:t>
            </w:r>
          </w:p>
        </w:tc>
        <w:tc>
          <w:tcPr>
            <w:tcW w:w="1418" w:type="dxa"/>
          </w:tcPr>
          <w:p w14:paraId="3515F64A" w14:textId="77777777" w:rsidR="006D3AD5" w:rsidRPr="00874BFF" w:rsidRDefault="006D3AD5" w:rsidP="00443B8F">
            <w:pPr>
              <w:jc w:val="right"/>
              <w:rPr>
                <w:color w:val="000000"/>
              </w:rPr>
            </w:pPr>
            <w:r w:rsidRPr="00874BFF">
              <w:rPr>
                <w:color w:val="000000"/>
              </w:rPr>
              <w:t>2.9%</w:t>
            </w:r>
          </w:p>
        </w:tc>
      </w:tr>
      <w:tr w:rsidR="006D3AD5" w:rsidRPr="00874BFF" w14:paraId="03699769"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6F45A1A7" w14:textId="77777777" w:rsidR="006D3AD5" w:rsidRPr="00874BFF" w:rsidRDefault="006D3AD5" w:rsidP="00443B8F">
            <w:pPr>
              <w:rPr>
                <w:rFonts w:cs="Calibri"/>
                <w:b/>
                <w:bCs/>
                <w:color w:val="000000"/>
                <w:szCs w:val="22"/>
              </w:rPr>
            </w:pPr>
            <w:r w:rsidRPr="00874BFF">
              <w:rPr>
                <w:b/>
                <w:color w:val="000000"/>
              </w:rPr>
              <w:t>Vysočina</w:t>
            </w:r>
          </w:p>
        </w:tc>
        <w:tc>
          <w:tcPr>
            <w:tcW w:w="1722" w:type="dxa"/>
            <w:noWrap/>
          </w:tcPr>
          <w:p w14:paraId="5D5775C8" w14:textId="77777777" w:rsidR="006D3AD5" w:rsidRPr="00874BFF" w:rsidRDefault="006D3AD5" w:rsidP="00443B8F">
            <w:pPr>
              <w:jc w:val="right"/>
              <w:rPr>
                <w:rFonts w:cs="Calibri"/>
                <w:color w:val="000000"/>
                <w:szCs w:val="22"/>
              </w:rPr>
            </w:pPr>
            <w:r w:rsidRPr="00874BFF">
              <w:rPr>
                <w:color w:val="000000"/>
              </w:rPr>
              <w:t>0</w:t>
            </w:r>
          </w:p>
        </w:tc>
        <w:tc>
          <w:tcPr>
            <w:tcW w:w="1134" w:type="dxa"/>
            <w:noWrap/>
          </w:tcPr>
          <w:p w14:paraId="7F4E6C11" w14:textId="77777777" w:rsidR="006D3AD5" w:rsidRPr="00874BFF" w:rsidRDefault="006D3AD5" w:rsidP="00443B8F">
            <w:pPr>
              <w:jc w:val="right"/>
              <w:rPr>
                <w:rFonts w:cs="Calibri"/>
                <w:color w:val="000000"/>
                <w:szCs w:val="22"/>
              </w:rPr>
            </w:pPr>
            <w:r w:rsidRPr="00874BFF">
              <w:rPr>
                <w:color w:val="000000"/>
              </w:rPr>
              <w:t>0.0%</w:t>
            </w:r>
          </w:p>
        </w:tc>
        <w:tc>
          <w:tcPr>
            <w:tcW w:w="1559" w:type="dxa"/>
          </w:tcPr>
          <w:p w14:paraId="7E94D663" w14:textId="77777777" w:rsidR="006D3AD5" w:rsidRPr="00874BFF" w:rsidRDefault="006D3AD5" w:rsidP="00443B8F">
            <w:pPr>
              <w:jc w:val="right"/>
              <w:rPr>
                <w:color w:val="000000"/>
              </w:rPr>
            </w:pPr>
            <w:r w:rsidRPr="00874BFF">
              <w:rPr>
                <w:color w:val="000000"/>
              </w:rPr>
              <w:t>0</w:t>
            </w:r>
          </w:p>
        </w:tc>
        <w:tc>
          <w:tcPr>
            <w:tcW w:w="1418" w:type="dxa"/>
          </w:tcPr>
          <w:p w14:paraId="2EF18AE1" w14:textId="77777777" w:rsidR="006D3AD5" w:rsidRPr="00874BFF" w:rsidRDefault="006D3AD5" w:rsidP="00443B8F">
            <w:pPr>
              <w:jc w:val="right"/>
              <w:rPr>
                <w:color w:val="000000"/>
              </w:rPr>
            </w:pPr>
            <w:r w:rsidRPr="00874BFF">
              <w:rPr>
                <w:color w:val="000000"/>
              </w:rPr>
              <w:t>0%</w:t>
            </w:r>
          </w:p>
        </w:tc>
      </w:tr>
      <w:tr w:rsidR="006D3AD5" w:rsidRPr="00874BFF" w14:paraId="5877979F" w14:textId="77777777" w:rsidTr="00443B8F">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14:paraId="04E23711" w14:textId="77777777" w:rsidR="006D3AD5" w:rsidRPr="00874BFF" w:rsidRDefault="006D3AD5" w:rsidP="00443B8F">
            <w:pPr>
              <w:rPr>
                <w:rFonts w:cs="Calibri"/>
                <w:b/>
                <w:bCs/>
                <w:color w:val="000000"/>
                <w:szCs w:val="22"/>
              </w:rPr>
            </w:pPr>
            <w:r w:rsidRPr="00874BFF">
              <w:rPr>
                <w:b/>
                <w:color w:val="000000"/>
              </w:rPr>
              <w:t>Prague</w:t>
            </w:r>
          </w:p>
        </w:tc>
        <w:tc>
          <w:tcPr>
            <w:tcW w:w="1722" w:type="dxa"/>
            <w:noWrap/>
          </w:tcPr>
          <w:p w14:paraId="7567492F" w14:textId="77777777" w:rsidR="006D3AD5" w:rsidRPr="00874BFF" w:rsidRDefault="006D3AD5" w:rsidP="00443B8F">
            <w:pPr>
              <w:jc w:val="right"/>
              <w:rPr>
                <w:rFonts w:cs="Calibri"/>
                <w:color w:val="000000"/>
                <w:szCs w:val="22"/>
              </w:rPr>
            </w:pPr>
            <w:r w:rsidRPr="00874BFF">
              <w:rPr>
                <w:color w:val="000000"/>
              </w:rPr>
              <w:t>1</w:t>
            </w:r>
          </w:p>
        </w:tc>
        <w:tc>
          <w:tcPr>
            <w:tcW w:w="1134" w:type="dxa"/>
            <w:noWrap/>
          </w:tcPr>
          <w:p w14:paraId="166F9141" w14:textId="77777777" w:rsidR="006D3AD5" w:rsidRPr="00874BFF" w:rsidRDefault="006D3AD5" w:rsidP="00443B8F">
            <w:pPr>
              <w:jc w:val="right"/>
              <w:rPr>
                <w:rFonts w:cs="Calibri"/>
                <w:color w:val="000000"/>
                <w:szCs w:val="22"/>
              </w:rPr>
            </w:pPr>
            <w:r w:rsidRPr="00874BFF">
              <w:rPr>
                <w:color w:val="000000"/>
              </w:rPr>
              <w:t>3.6%</w:t>
            </w:r>
          </w:p>
        </w:tc>
        <w:tc>
          <w:tcPr>
            <w:tcW w:w="1559" w:type="dxa"/>
          </w:tcPr>
          <w:p w14:paraId="512423C8" w14:textId="77777777" w:rsidR="006D3AD5" w:rsidRPr="00874BFF" w:rsidRDefault="006D3AD5" w:rsidP="00443B8F">
            <w:pPr>
              <w:jc w:val="right"/>
              <w:rPr>
                <w:color w:val="000000"/>
              </w:rPr>
            </w:pPr>
            <w:r w:rsidRPr="00874BFF">
              <w:rPr>
                <w:color w:val="000000"/>
              </w:rPr>
              <w:t>0</w:t>
            </w:r>
          </w:p>
        </w:tc>
        <w:tc>
          <w:tcPr>
            <w:tcW w:w="1418" w:type="dxa"/>
          </w:tcPr>
          <w:p w14:paraId="727DA032" w14:textId="77777777" w:rsidR="006D3AD5" w:rsidRPr="00874BFF" w:rsidRDefault="006D3AD5" w:rsidP="00443B8F">
            <w:pPr>
              <w:keepNext/>
              <w:jc w:val="right"/>
              <w:rPr>
                <w:color w:val="000000"/>
              </w:rPr>
            </w:pPr>
            <w:r w:rsidRPr="00874BFF">
              <w:rPr>
                <w:color w:val="000000"/>
              </w:rPr>
              <w:t>0%</w:t>
            </w:r>
          </w:p>
        </w:tc>
      </w:tr>
    </w:tbl>
    <w:p w14:paraId="7F009988" w14:textId="340B7751" w:rsidR="006D3AD5" w:rsidRPr="00874BFF" w:rsidRDefault="006D3AD5" w:rsidP="006D3AD5">
      <w:pPr>
        <w:pStyle w:val="Titulek"/>
      </w:pPr>
      <w:r w:rsidRPr="00874BFF">
        <w:t xml:space="preserve">Table </w:t>
      </w:r>
      <w:r w:rsidR="00035834">
        <w:t>42</w:t>
      </w:r>
      <w:r w:rsidRPr="00874BFF">
        <w:t>: Offer of brownfields in the Czech real estate market</w:t>
      </w:r>
    </w:p>
    <w:p w14:paraId="550EF063" w14:textId="77777777" w:rsidR="006D3AD5" w:rsidRPr="00874BFF" w:rsidRDefault="006D3AD5" w:rsidP="006D3AD5">
      <w:pPr>
        <w:pStyle w:val="Titulek"/>
      </w:pPr>
      <w:r w:rsidRPr="00874BFF">
        <w:t>Source: CI 2015</w:t>
      </w:r>
    </w:p>
    <w:p w14:paraId="3928FB14" w14:textId="77777777" w:rsidR="006D3AD5" w:rsidRPr="00874BFF" w:rsidRDefault="006D3AD5" w:rsidP="006D3AD5"/>
    <w:p w14:paraId="7435046E" w14:textId="77777777" w:rsidR="006D3AD5" w:rsidRPr="00874BFF" w:rsidRDefault="006D3AD5" w:rsidP="006D3AD5">
      <w:r w:rsidRPr="00874BFF">
        <w:t xml:space="preserve">The growth in the business real estate market is currently backed up by the growth of corporate economic activities  as well as by the increasing GDP, nevertheless, the outlook for the next years points out a risk of potential decrease. </w:t>
      </w:r>
      <w:r w:rsidRPr="00874BFF">
        <w:rPr>
          <w:b/>
        </w:rPr>
        <w:t>The market of industrial real estates in the Central Europe is growing, with a tenfold increase in the last decade.</w:t>
      </w:r>
      <w:r w:rsidRPr="00874BFF">
        <w:t xml:space="preserve"> Currently, it relates to 4.88 square metres of areas in the Czech Republic. The demand for business real estates is pulled by the interest of industrial exporters e.g. from the automotive industry. In absolute majority, these companies require real estates of high quality. Each year approx.  1.2 million square metres of business premises in the Czech Republic become occupied.</w:t>
      </w:r>
    </w:p>
    <w:p w14:paraId="30F7EBD2" w14:textId="77777777" w:rsidR="006D3AD5" w:rsidRPr="00874BFF" w:rsidRDefault="006D3AD5" w:rsidP="006D3AD5"/>
    <w:p w14:paraId="321E9482" w14:textId="77777777" w:rsidR="006D3AD5" w:rsidRPr="00874BFF" w:rsidRDefault="006D3AD5" w:rsidP="006D3AD5">
      <w:pPr>
        <w:pStyle w:val="Neslovannadpisy"/>
      </w:pPr>
      <w:r w:rsidRPr="00874BFF">
        <w:t>Sources of funding</w:t>
      </w:r>
    </w:p>
    <w:p w14:paraId="5A340210" w14:textId="36ED20E3" w:rsidR="006D3AD5" w:rsidRPr="00874BFF" w:rsidRDefault="006D3AD5" w:rsidP="006D3AD5">
      <w:r w:rsidRPr="00874BFF">
        <w:t>A great number of real estates is directly owned and regenerated by developers who subsequently offer them in the market to sell them to companies. Typically, reconstructions at the SMEs' own expense are largely financed by their own funds and bank loans. However, subsidies from public support also played an important role in recent years.</w:t>
      </w:r>
    </w:p>
    <w:p w14:paraId="183FFA8E" w14:textId="77777777" w:rsidR="006D3AD5" w:rsidRPr="00874BFF" w:rsidRDefault="006D3AD5" w:rsidP="006D3AD5"/>
    <w:p w14:paraId="697BCBC9" w14:textId="77777777" w:rsidR="006D3AD5" w:rsidRPr="00874BFF" w:rsidRDefault="006D3AD5" w:rsidP="006D3AD5">
      <w:r w:rsidRPr="00874BFF">
        <w:t>In the last seven years in the Czech Republic, the allocation for support of BF investments from the OPEI (SO 3.1, 5.1, 5.2 and 5.3) from public foreign sources was a total of CZK 37.5 bn (41.8 % of total allocation in the OPEI)</w:t>
      </w:r>
      <w:r w:rsidRPr="00874BFF">
        <w:rPr>
          <w:rStyle w:val="Znakapoznpodarou"/>
          <w:rFonts w:ascii="Calibri" w:hAnsi="Calibri"/>
        </w:rPr>
        <w:footnoteReference w:id="29"/>
      </w:r>
      <w:r w:rsidRPr="00874BFF">
        <w:t>. The highest contribution to BF regeneration was logically from the Real Estate programme, however, certain overlaps were also from other programmes under the OPEI. According to the CI's analysis, a large part of the allocated resources were used to support SMEs  – reconstruction of manufacturing areas (63 %) and the remaining 37 % were investments in regeneration of typical BFs.</w:t>
      </w:r>
    </w:p>
    <w:tbl>
      <w:tblPr>
        <w:tblW w:w="8245" w:type="dxa"/>
        <w:tblInd w:w="836" w:type="dxa"/>
        <w:tblBorders>
          <w:bottom w:val="single" w:sz="4" w:space="0" w:color="00A1DE"/>
          <w:insideH w:val="single" w:sz="4" w:space="0" w:color="00A1DE"/>
        </w:tblBorders>
        <w:tblCellMar>
          <w:left w:w="0" w:type="dxa"/>
          <w:right w:w="0" w:type="dxa"/>
        </w:tblCellMar>
        <w:tblLook w:val="00A0" w:firstRow="1" w:lastRow="0" w:firstColumn="1" w:lastColumn="0" w:noHBand="0" w:noVBand="0"/>
      </w:tblPr>
      <w:tblGrid>
        <w:gridCol w:w="2570"/>
        <w:gridCol w:w="1913"/>
        <w:gridCol w:w="1913"/>
        <w:gridCol w:w="1913"/>
      </w:tblGrid>
      <w:tr w:rsidR="006D3AD5" w:rsidRPr="00874BFF" w14:paraId="11A61B69" w14:textId="77777777" w:rsidTr="00443B8F">
        <w:trPr>
          <w:trHeight w:val="20"/>
        </w:trPr>
        <w:tc>
          <w:tcPr>
            <w:tcW w:w="2554" w:type="dxa"/>
            <w:tcBorders>
              <w:top w:val="nil"/>
              <w:left w:val="nil"/>
              <w:right w:val="nil"/>
            </w:tcBorders>
            <w:shd w:val="clear" w:color="auto" w:fill="00A1DE"/>
          </w:tcPr>
          <w:p w14:paraId="4D45D2AF" w14:textId="77777777" w:rsidR="006D3AD5" w:rsidRPr="00874BFF" w:rsidRDefault="006D3AD5" w:rsidP="00443B8F">
            <w:pPr>
              <w:jc w:val="center"/>
              <w:rPr>
                <w:rFonts w:cs="Arial"/>
                <w:b/>
                <w:color w:val="000000"/>
                <w:sz w:val="18"/>
                <w:szCs w:val="18"/>
              </w:rPr>
            </w:pPr>
            <w:r w:rsidRPr="00874BFF">
              <w:rPr>
                <w:b/>
                <w:color w:val="000000"/>
                <w:sz w:val="18"/>
              </w:rPr>
              <w:t>Programme</w:t>
            </w:r>
          </w:p>
        </w:tc>
        <w:tc>
          <w:tcPr>
            <w:tcW w:w="1897" w:type="dxa"/>
            <w:tcBorders>
              <w:top w:val="nil"/>
              <w:left w:val="nil"/>
              <w:right w:val="nil"/>
            </w:tcBorders>
            <w:shd w:val="clear" w:color="auto" w:fill="00A1DE"/>
          </w:tcPr>
          <w:p w14:paraId="0AB0564C" w14:textId="77777777" w:rsidR="006D3AD5" w:rsidRPr="00874BFF" w:rsidRDefault="006D3AD5" w:rsidP="00443B8F">
            <w:pPr>
              <w:jc w:val="center"/>
              <w:rPr>
                <w:rFonts w:cs="Arial"/>
                <w:b/>
                <w:color w:val="000000"/>
                <w:sz w:val="18"/>
                <w:szCs w:val="18"/>
              </w:rPr>
            </w:pPr>
            <w:r w:rsidRPr="00874BFF">
              <w:rPr>
                <w:b/>
                <w:color w:val="000000"/>
                <w:sz w:val="18"/>
              </w:rPr>
              <w:t xml:space="preserve"> The sum of requested subsidy </w:t>
            </w:r>
          </w:p>
        </w:tc>
        <w:tc>
          <w:tcPr>
            <w:tcW w:w="1897" w:type="dxa"/>
            <w:tcBorders>
              <w:top w:val="nil"/>
              <w:left w:val="nil"/>
              <w:right w:val="nil"/>
            </w:tcBorders>
            <w:shd w:val="clear" w:color="auto" w:fill="00A1DE"/>
          </w:tcPr>
          <w:p w14:paraId="29EB6978" w14:textId="77777777" w:rsidR="006D3AD5" w:rsidRPr="00874BFF" w:rsidRDefault="006D3AD5" w:rsidP="00443B8F">
            <w:pPr>
              <w:jc w:val="center"/>
              <w:rPr>
                <w:rFonts w:cs="Arial"/>
                <w:b/>
                <w:color w:val="000000"/>
                <w:sz w:val="18"/>
                <w:szCs w:val="18"/>
              </w:rPr>
            </w:pPr>
            <w:r w:rsidRPr="00874BFF">
              <w:rPr>
                <w:b/>
                <w:color w:val="000000"/>
                <w:sz w:val="18"/>
              </w:rPr>
              <w:t xml:space="preserve">  BFs  Requested subsidies </w:t>
            </w:r>
          </w:p>
        </w:tc>
        <w:tc>
          <w:tcPr>
            <w:tcW w:w="1897" w:type="dxa"/>
            <w:tcBorders>
              <w:top w:val="nil"/>
              <w:left w:val="nil"/>
              <w:right w:val="nil"/>
            </w:tcBorders>
            <w:shd w:val="clear" w:color="auto" w:fill="00A1DE"/>
          </w:tcPr>
          <w:p w14:paraId="4739DB7D" w14:textId="77777777" w:rsidR="006D3AD5" w:rsidRPr="00874BFF" w:rsidRDefault="006D3AD5" w:rsidP="00443B8F">
            <w:pPr>
              <w:jc w:val="center"/>
              <w:rPr>
                <w:rFonts w:cs="Arial"/>
                <w:b/>
                <w:color w:val="000000"/>
                <w:sz w:val="18"/>
                <w:szCs w:val="18"/>
              </w:rPr>
            </w:pPr>
            <w:r w:rsidRPr="00874BFF">
              <w:rPr>
                <w:b/>
                <w:color w:val="000000"/>
                <w:sz w:val="18"/>
              </w:rPr>
              <w:t xml:space="preserve">  BFs Successful applicants </w:t>
            </w:r>
          </w:p>
        </w:tc>
      </w:tr>
      <w:tr w:rsidR="006D3AD5" w:rsidRPr="00874BFF" w14:paraId="3B27AD4C" w14:textId="77777777" w:rsidTr="00443B8F">
        <w:trPr>
          <w:trHeight w:val="20"/>
        </w:trPr>
        <w:tc>
          <w:tcPr>
            <w:tcW w:w="2554" w:type="dxa"/>
            <w:tcBorders>
              <w:left w:val="nil"/>
              <w:right w:val="nil"/>
            </w:tcBorders>
            <w:shd w:val="clear" w:color="auto" w:fill="FFFFFF"/>
            <w:noWrap/>
            <w:vAlign w:val="center"/>
          </w:tcPr>
          <w:p w14:paraId="2C764C2F" w14:textId="77777777" w:rsidR="006D3AD5" w:rsidRPr="00874BFF" w:rsidRDefault="006D3AD5" w:rsidP="00443B8F">
            <w:pPr>
              <w:jc w:val="left"/>
              <w:rPr>
                <w:rFonts w:cs="Arial"/>
                <w:color w:val="000000"/>
                <w:sz w:val="18"/>
                <w:szCs w:val="18"/>
              </w:rPr>
            </w:pPr>
            <w:r w:rsidRPr="00874BFF">
              <w:rPr>
                <w:color w:val="000000"/>
                <w:sz w:val="18"/>
              </w:rPr>
              <w:t>Eco-energy Call I</w:t>
            </w:r>
          </w:p>
        </w:tc>
        <w:tc>
          <w:tcPr>
            <w:tcW w:w="1897" w:type="dxa"/>
            <w:tcBorders>
              <w:left w:val="nil"/>
              <w:right w:val="nil"/>
            </w:tcBorders>
            <w:shd w:val="clear" w:color="auto" w:fill="FFFFFF"/>
            <w:noWrap/>
            <w:vAlign w:val="center"/>
          </w:tcPr>
          <w:p w14:paraId="51557406" w14:textId="77777777" w:rsidR="006D3AD5" w:rsidRPr="00874BFF" w:rsidRDefault="006D3AD5" w:rsidP="00443B8F">
            <w:pPr>
              <w:jc w:val="right"/>
              <w:rPr>
                <w:rFonts w:cs="Arial"/>
                <w:color w:val="000000"/>
                <w:sz w:val="18"/>
                <w:szCs w:val="18"/>
              </w:rPr>
            </w:pPr>
            <w:r w:rsidRPr="00874BFF">
              <w:rPr>
                <w:color w:val="000000"/>
                <w:sz w:val="18"/>
              </w:rPr>
              <w:t xml:space="preserve">        1,069,470,000    </w:t>
            </w:r>
          </w:p>
        </w:tc>
        <w:tc>
          <w:tcPr>
            <w:tcW w:w="1897" w:type="dxa"/>
            <w:tcBorders>
              <w:left w:val="nil"/>
              <w:right w:val="nil"/>
            </w:tcBorders>
            <w:shd w:val="clear" w:color="auto" w:fill="FFFFFF"/>
            <w:noWrap/>
            <w:vAlign w:val="center"/>
          </w:tcPr>
          <w:p w14:paraId="5650F8EC" w14:textId="77777777" w:rsidR="006D3AD5" w:rsidRPr="00874BFF" w:rsidRDefault="006D3AD5" w:rsidP="00443B8F">
            <w:pPr>
              <w:jc w:val="right"/>
              <w:rPr>
                <w:rFonts w:cs="Arial"/>
                <w:color w:val="000000"/>
                <w:sz w:val="18"/>
                <w:szCs w:val="18"/>
              </w:rPr>
            </w:pPr>
            <w:r w:rsidRPr="00874BFF">
              <w:rPr>
                <w:color w:val="000000"/>
                <w:sz w:val="18"/>
              </w:rPr>
              <w:t xml:space="preserve">              67,558,000    </w:t>
            </w:r>
          </w:p>
        </w:tc>
        <w:tc>
          <w:tcPr>
            <w:tcW w:w="1897" w:type="dxa"/>
            <w:tcBorders>
              <w:left w:val="nil"/>
              <w:right w:val="nil"/>
            </w:tcBorders>
            <w:shd w:val="clear" w:color="auto" w:fill="FFFFFF"/>
            <w:noWrap/>
            <w:vAlign w:val="center"/>
          </w:tcPr>
          <w:p w14:paraId="7B6A6167" w14:textId="77777777" w:rsidR="006D3AD5" w:rsidRPr="00874BFF" w:rsidRDefault="006D3AD5" w:rsidP="00443B8F">
            <w:pPr>
              <w:jc w:val="right"/>
              <w:rPr>
                <w:rFonts w:cs="Arial"/>
                <w:color w:val="000000"/>
                <w:sz w:val="18"/>
                <w:szCs w:val="18"/>
              </w:rPr>
            </w:pPr>
            <w:r w:rsidRPr="00874BFF">
              <w:rPr>
                <w:color w:val="000000"/>
                <w:sz w:val="18"/>
              </w:rPr>
              <w:t xml:space="preserve">              18,630,000    </w:t>
            </w:r>
          </w:p>
        </w:tc>
      </w:tr>
      <w:tr w:rsidR="006D3AD5" w:rsidRPr="00874BFF" w14:paraId="5F12B624" w14:textId="77777777" w:rsidTr="00443B8F">
        <w:trPr>
          <w:trHeight w:val="20"/>
        </w:trPr>
        <w:tc>
          <w:tcPr>
            <w:tcW w:w="2554" w:type="dxa"/>
            <w:tcBorders>
              <w:left w:val="nil"/>
              <w:right w:val="nil"/>
            </w:tcBorders>
            <w:shd w:val="clear" w:color="auto" w:fill="FFFFFF"/>
            <w:noWrap/>
            <w:vAlign w:val="center"/>
          </w:tcPr>
          <w:p w14:paraId="7C300044" w14:textId="77777777" w:rsidR="006D3AD5" w:rsidRPr="00874BFF" w:rsidRDefault="006D3AD5" w:rsidP="00443B8F">
            <w:pPr>
              <w:jc w:val="left"/>
              <w:rPr>
                <w:rFonts w:cs="Arial"/>
                <w:color w:val="000000"/>
                <w:sz w:val="18"/>
                <w:szCs w:val="18"/>
              </w:rPr>
            </w:pPr>
            <w:r w:rsidRPr="00874BFF">
              <w:rPr>
                <w:color w:val="000000"/>
                <w:sz w:val="18"/>
              </w:rPr>
              <w:t>Eco-energy - Call II</w:t>
            </w:r>
          </w:p>
        </w:tc>
        <w:tc>
          <w:tcPr>
            <w:tcW w:w="1897" w:type="dxa"/>
            <w:tcBorders>
              <w:left w:val="nil"/>
              <w:right w:val="nil"/>
            </w:tcBorders>
            <w:shd w:val="clear" w:color="auto" w:fill="FFFFFF"/>
            <w:noWrap/>
            <w:vAlign w:val="center"/>
          </w:tcPr>
          <w:p w14:paraId="588731BA" w14:textId="77777777" w:rsidR="006D3AD5" w:rsidRPr="00874BFF" w:rsidRDefault="006D3AD5" w:rsidP="00443B8F">
            <w:pPr>
              <w:jc w:val="right"/>
              <w:rPr>
                <w:rFonts w:cs="Arial"/>
                <w:color w:val="000000"/>
                <w:sz w:val="18"/>
                <w:szCs w:val="18"/>
              </w:rPr>
            </w:pPr>
            <w:r w:rsidRPr="00874BFF">
              <w:rPr>
                <w:color w:val="000000"/>
                <w:sz w:val="18"/>
              </w:rPr>
              <w:t xml:space="preserve">      10,190,861,000    </w:t>
            </w:r>
          </w:p>
        </w:tc>
        <w:tc>
          <w:tcPr>
            <w:tcW w:w="1897" w:type="dxa"/>
            <w:tcBorders>
              <w:left w:val="nil"/>
              <w:right w:val="nil"/>
            </w:tcBorders>
            <w:shd w:val="clear" w:color="auto" w:fill="FFFFFF"/>
            <w:noWrap/>
            <w:vAlign w:val="center"/>
          </w:tcPr>
          <w:p w14:paraId="558BA4AE" w14:textId="77777777" w:rsidR="006D3AD5" w:rsidRPr="00874BFF" w:rsidRDefault="006D3AD5" w:rsidP="00443B8F">
            <w:pPr>
              <w:jc w:val="right"/>
              <w:rPr>
                <w:rFonts w:cs="Arial"/>
                <w:color w:val="000000"/>
                <w:sz w:val="18"/>
                <w:szCs w:val="18"/>
              </w:rPr>
            </w:pPr>
            <w:r w:rsidRPr="00874BFF">
              <w:rPr>
                <w:color w:val="000000"/>
                <w:sz w:val="18"/>
              </w:rPr>
              <w:t xml:space="preserve">        1,262,260,000    </w:t>
            </w:r>
          </w:p>
        </w:tc>
        <w:tc>
          <w:tcPr>
            <w:tcW w:w="1897" w:type="dxa"/>
            <w:tcBorders>
              <w:left w:val="nil"/>
              <w:right w:val="nil"/>
            </w:tcBorders>
            <w:shd w:val="clear" w:color="auto" w:fill="FFFFFF"/>
            <w:noWrap/>
            <w:vAlign w:val="center"/>
          </w:tcPr>
          <w:p w14:paraId="69398791" w14:textId="77777777" w:rsidR="006D3AD5" w:rsidRPr="00874BFF" w:rsidRDefault="006D3AD5" w:rsidP="00443B8F">
            <w:pPr>
              <w:jc w:val="right"/>
              <w:rPr>
                <w:rFonts w:cs="Arial"/>
                <w:color w:val="000000"/>
                <w:sz w:val="18"/>
                <w:szCs w:val="18"/>
              </w:rPr>
            </w:pPr>
            <w:r w:rsidRPr="00874BFF">
              <w:rPr>
                <w:color w:val="000000"/>
                <w:sz w:val="18"/>
              </w:rPr>
              <w:t xml:space="preserve">            390,868,000    </w:t>
            </w:r>
          </w:p>
        </w:tc>
      </w:tr>
      <w:tr w:rsidR="006D3AD5" w:rsidRPr="00874BFF" w14:paraId="555FE9D8" w14:textId="77777777" w:rsidTr="00443B8F">
        <w:trPr>
          <w:trHeight w:val="20"/>
        </w:trPr>
        <w:tc>
          <w:tcPr>
            <w:tcW w:w="2554" w:type="dxa"/>
            <w:tcBorders>
              <w:left w:val="nil"/>
              <w:right w:val="nil"/>
            </w:tcBorders>
            <w:shd w:val="clear" w:color="auto" w:fill="FFFFFF"/>
            <w:noWrap/>
            <w:vAlign w:val="center"/>
          </w:tcPr>
          <w:p w14:paraId="6BE27591" w14:textId="77777777" w:rsidR="006D3AD5" w:rsidRPr="00874BFF" w:rsidRDefault="006D3AD5" w:rsidP="00443B8F">
            <w:pPr>
              <w:jc w:val="left"/>
              <w:rPr>
                <w:rFonts w:cs="Arial"/>
                <w:color w:val="000000"/>
                <w:sz w:val="18"/>
                <w:szCs w:val="18"/>
              </w:rPr>
            </w:pPr>
            <w:r w:rsidRPr="00874BFF">
              <w:rPr>
                <w:color w:val="000000"/>
                <w:sz w:val="18"/>
              </w:rPr>
              <w:t>Eco-energy - Call III</w:t>
            </w:r>
          </w:p>
        </w:tc>
        <w:tc>
          <w:tcPr>
            <w:tcW w:w="1897" w:type="dxa"/>
            <w:tcBorders>
              <w:left w:val="nil"/>
              <w:right w:val="nil"/>
            </w:tcBorders>
            <w:shd w:val="clear" w:color="auto" w:fill="FFFFFF"/>
            <w:noWrap/>
            <w:vAlign w:val="center"/>
          </w:tcPr>
          <w:p w14:paraId="69C52A7E" w14:textId="77777777" w:rsidR="006D3AD5" w:rsidRPr="00874BFF" w:rsidRDefault="006D3AD5" w:rsidP="00443B8F">
            <w:pPr>
              <w:jc w:val="right"/>
              <w:rPr>
                <w:rFonts w:cs="Arial"/>
                <w:color w:val="000000"/>
                <w:sz w:val="18"/>
                <w:szCs w:val="18"/>
              </w:rPr>
            </w:pPr>
            <w:r w:rsidRPr="00874BFF">
              <w:rPr>
                <w:color w:val="000000"/>
                <w:sz w:val="18"/>
              </w:rPr>
              <w:t xml:space="preserve">      14,285,261,000    </w:t>
            </w:r>
          </w:p>
        </w:tc>
        <w:tc>
          <w:tcPr>
            <w:tcW w:w="1897" w:type="dxa"/>
            <w:tcBorders>
              <w:left w:val="nil"/>
              <w:right w:val="nil"/>
            </w:tcBorders>
            <w:shd w:val="clear" w:color="auto" w:fill="FFFFFF"/>
            <w:noWrap/>
            <w:vAlign w:val="center"/>
          </w:tcPr>
          <w:p w14:paraId="4BFC167D" w14:textId="77777777" w:rsidR="006D3AD5" w:rsidRPr="00874BFF" w:rsidRDefault="006D3AD5" w:rsidP="00443B8F">
            <w:pPr>
              <w:jc w:val="right"/>
              <w:rPr>
                <w:rFonts w:cs="Arial"/>
                <w:color w:val="000000"/>
                <w:sz w:val="18"/>
                <w:szCs w:val="18"/>
              </w:rPr>
            </w:pPr>
            <w:r w:rsidRPr="00874BFF">
              <w:rPr>
                <w:color w:val="000000"/>
                <w:sz w:val="18"/>
              </w:rPr>
              <w:t xml:space="preserve">        1,395,522,000    </w:t>
            </w:r>
          </w:p>
        </w:tc>
        <w:tc>
          <w:tcPr>
            <w:tcW w:w="1897" w:type="dxa"/>
            <w:tcBorders>
              <w:left w:val="nil"/>
              <w:right w:val="nil"/>
            </w:tcBorders>
            <w:shd w:val="clear" w:color="auto" w:fill="FFFFFF"/>
            <w:noWrap/>
            <w:vAlign w:val="center"/>
          </w:tcPr>
          <w:p w14:paraId="20F796C6" w14:textId="77777777" w:rsidR="006D3AD5" w:rsidRPr="00874BFF" w:rsidRDefault="006D3AD5" w:rsidP="00443B8F">
            <w:pPr>
              <w:jc w:val="right"/>
              <w:rPr>
                <w:rFonts w:cs="Arial"/>
                <w:color w:val="000000"/>
                <w:sz w:val="18"/>
                <w:szCs w:val="18"/>
              </w:rPr>
            </w:pPr>
            <w:r w:rsidRPr="00874BFF">
              <w:rPr>
                <w:color w:val="000000"/>
                <w:sz w:val="18"/>
              </w:rPr>
              <w:t xml:space="preserve">            238,428,000    </w:t>
            </w:r>
          </w:p>
        </w:tc>
      </w:tr>
      <w:tr w:rsidR="006D3AD5" w:rsidRPr="00874BFF" w14:paraId="24B3B0C2" w14:textId="77777777" w:rsidTr="00443B8F">
        <w:trPr>
          <w:trHeight w:val="20"/>
        </w:trPr>
        <w:tc>
          <w:tcPr>
            <w:tcW w:w="2554" w:type="dxa"/>
            <w:tcBorders>
              <w:left w:val="nil"/>
              <w:right w:val="nil"/>
            </w:tcBorders>
            <w:shd w:val="clear" w:color="auto" w:fill="FFFFFF"/>
            <w:noWrap/>
            <w:vAlign w:val="center"/>
          </w:tcPr>
          <w:p w14:paraId="5B9ADAFC" w14:textId="77777777" w:rsidR="006D3AD5" w:rsidRPr="00874BFF" w:rsidRDefault="006D3AD5" w:rsidP="00443B8F">
            <w:pPr>
              <w:jc w:val="left"/>
              <w:rPr>
                <w:rFonts w:cs="Arial"/>
                <w:color w:val="000000"/>
                <w:sz w:val="18"/>
                <w:szCs w:val="18"/>
              </w:rPr>
            </w:pPr>
            <w:r w:rsidRPr="00874BFF">
              <w:rPr>
                <w:color w:val="000000"/>
                <w:sz w:val="18"/>
              </w:rPr>
              <w:t>Real estates  – Call I</w:t>
            </w:r>
          </w:p>
        </w:tc>
        <w:tc>
          <w:tcPr>
            <w:tcW w:w="1897" w:type="dxa"/>
            <w:tcBorders>
              <w:left w:val="nil"/>
              <w:right w:val="nil"/>
            </w:tcBorders>
            <w:shd w:val="clear" w:color="auto" w:fill="FFFFFF"/>
            <w:noWrap/>
            <w:vAlign w:val="center"/>
          </w:tcPr>
          <w:p w14:paraId="5ECFD561" w14:textId="77777777" w:rsidR="006D3AD5" w:rsidRPr="00874BFF" w:rsidRDefault="006D3AD5" w:rsidP="00443B8F">
            <w:pPr>
              <w:jc w:val="right"/>
              <w:rPr>
                <w:rFonts w:cs="Arial"/>
                <w:color w:val="000000"/>
                <w:sz w:val="18"/>
                <w:szCs w:val="18"/>
              </w:rPr>
            </w:pPr>
            <w:r w:rsidRPr="00874BFF">
              <w:rPr>
                <w:color w:val="000000"/>
                <w:sz w:val="18"/>
              </w:rPr>
              <w:t xml:space="preserve">        9,794,544,000    </w:t>
            </w:r>
          </w:p>
        </w:tc>
        <w:tc>
          <w:tcPr>
            <w:tcW w:w="1897" w:type="dxa"/>
            <w:tcBorders>
              <w:left w:val="nil"/>
              <w:right w:val="nil"/>
            </w:tcBorders>
            <w:shd w:val="clear" w:color="auto" w:fill="FFFFFF"/>
            <w:noWrap/>
            <w:vAlign w:val="center"/>
          </w:tcPr>
          <w:p w14:paraId="6639D04A" w14:textId="77777777" w:rsidR="006D3AD5" w:rsidRPr="00874BFF" w:rsidRDefault="006D3AD5" w:rsidP="00443B8F">
            <w:pPr>
              <w:jc w:val="right"/>
              <w:rPr>
                <w:rFonts w:cs="Arial"/>
                <w:color w:val="000000"/>
                <w:sz w:val="18"/>
                <w:szCs w:val="18"/>
              </w:rPr>
            </w:pPr>
            <w:r w:rsidRPr="00874BFF">
              <w:rPr>
                <w:color w:val="000000"/>
                <w:sz w:val="18"/>
              </w:rPr>
              <w:t xml:space="preserve">        6,211,932,000    </w:t>
            </w:r>
          </w:p>
        </w:tc>
        <w:tc>
          <w:tcPr>
            <w:tcW w:w="1897" w:type="dxa"/>
            <w:tcBorders>
              <w:left w:val="nil"/>
              <w:right w:val="nil"/>
            </w:tcBorders>
            <w:shd w:val="clear" w:color="auto" w:fill="FFFFFF"/>
            <w:noWrap/>
            <w:vAlign w:val="center"/>
          </w:tcPr>
          <w:p w14:paraId="52F88FDB" w14:textId="77777777" w:rsidR="006D3AD5" w:rsidRPr="00874BFF" w:rsidRDefault="006D3AD5" w:rsidP="00443B8F">
            <w:pPr>
              <w:jc w:val="right"/>
              <w:rPr>
                <w:rFonts w:cs="Arial"/>
                <w:color w:val="000000"/>
                <w:sz w:val="18"/>
                <w:szCs w:val="18"/>
              </w:rPr>
            </w:pPr>
            <w:r w:rsidRPr="00874BFF">
              <w:rPr>
                <w:color w:val="000000"/>
                <w:sz w:val="18"/>
              </w:rPr>
              <w:t xml:space="preserve">        2,279,287,000    </w:t>
            </w:r>
          </w:p>
        </w:tc>
      </w:tr>
      <w:tr w:rsidR="006D3AD5" w:rsidRPr="00874BFF" w14:paraId="192D6963" w14:textId="77777777" w:rsidTr="00443B8F">
        <w:trPr>
          <w:trHeight w:val="20"/>
        </w:trPr>
        <w:tc>
          <w:tcPr>
            <w:tcW w:w="2554" w:type="dxa"/>
            <w:tcBorders>
              <w:left w:val="nil"/>
              <w:right w:val="nil"/>
            </w:tcBorders>
            <w:shd w:val="clear" w:color="auto" w:fill="FFFFFF"/>
            <w:noWrap/>
            <w:vAlign w:val="center"/>
          </w:tcPr>
          <w:p w14:paraId="1C90C10B" w14:textId="77777777" w:rsidR="006D3AD5" w:rsidRPr="00874BFF" w:rsidRDefault="006D3AD5" w:rsidP="00443B8F">
            <w:pPr>
              <w:jc w:val="left"/>
              <w:rPr>
                <w:rFonts w:cs="Arial"/>
                <w:color w:val="000000"/>
                <w:sz w:val="18"/>
                <w:szCs w:val="18"/>
              </w:rPr>
            </w:pPr>
            <w:r w:rsidRPr="00874BFF">
              <w:rPr>
                <w:color w:val="000000"/>
                <w:sz w:val="18"/>
              </w:rPr>
              <w:t>Real estates – Call II</w:t>
            </w:r>
          </w:p>
        </w:tc>
        <w:tc>
          <w:tcPr>
            <w:tcW w:w="1897" w:type="dxa"/>
            <w:tcBorders>
              <w:left w:val="nil"/>
              <w:right w:val="nil"/>
            </w:tcBorders>
            <w:shd w:val="clear" w:color="auto" w:fill="FFFFFF"/>
            <w:noWrap/>
            <w:vAlign w:val="center"/>
          </w:tcPr>
          <w:p w14:paraId="784A902B" w14:textId="77777777" w:rsidR="006D3AD5" w:rsidRPr="00874BFF" w:rsidRDefault="006D3AD5" w:rsidP="00443B8F">
            <w:pPr>
              <w:jc w:val="right"/>
              <w:rPr>
                <w:rFonts w:cs="Arial"/>
                <w:color w:val="000000"/>
                <w:sz w:val="18"/>
                <w:szCs w:val="18"/>
              </w:rPr>
            </w:pPr>
            <w:r w:rsidRPr="00874BFF">
              <w:rPr>
                <w:color w:val="000000"/>
                <w:sz w:val="18"/>
              </w:rPr>
              <w:t xml:space="preserve">      18,579,748,000    </w:t>
            </w:r>
          </w:p>
        </w:tc>
        <w:tc>
          <w:tcPr>
            <w:tcW w:w="1897" w:type="dxa"/>
            <w:tcBorders>
              <w:left w:val="nil"/>
              <w:right w:val="nil"/>
            </w:tcBorders>
            <w:shd w:val="clear" w:color="auto" w:fill="FFFFFF"/>
            <w:noWrap/>
            <w:vAlign w:val="center"/>
          </w:tcPr>
          <w:p w14:paraId="5F89C545" w14:textId="77777777" w:rsidR="006D3AD5" w:rsidRPr="00874BFF" w:rsidRDefault="006D3AD5" w:rsidP="00443B8F">
            <w:pPr>
              <w:jc w:val="right"/>
              <w:rPr>
                <w:rFonts w:cs="Arial"/>
                <w:color w:val="000000"/>
                <w:sz w:val="18"/>
                <w:szCs w:val="18"/>
              </w:rPr>
            </w:pPr>
            <w:r w:rsidRPr="00874BFF">
              <w:rPr>
                <w:color w:val="000000"/>
                <w:sz w:val="18"/>
              </w:rPr>
              <w:t xml:space="preserve">      10,909,026,000    </w:t>
            </w:r>
          </w:p>
        </w:tc>
        <w:tc>
          <w:tcPr>
            <w:tcW w:w="1897" w:type="dxa"/>
            <w:tcBorders>
              <w:left w:val="nil"/>
              <w:right w:val="nil"/>
            </w:tcBorders>
            <w:shd w:val="clear" w:color="auto" w:fill="FFFFFF"/>
            <w:noWrap/>
            <w:vAlign w:val="center"/>
          </w:tcPr>
          <w:p w14:paraId="4361C773" w14:textId="77777777" w:rsidR="006D3AD5" w:rsidRPr="00874BFF" w:rsidRDefault="006D3AD5" w:rsidP="00443B8F">
            <w:pPr>
              <w:jc w:val="right"/>
              <w:rPr>
                <w:rFonts w:cs="Arial"/>
                <w:color w:val="000000"/>
                <w:sz w:val="18"/>
                <w:szCs w:val="18"/>
              </w:rPr>
            </w:pPr>
            <w:r w:rsidRPr="00874BFF">
              <w:rPr>
                <w:color w:val="000000"/>
                <w:sz w:val="18"/>
              </w:rPr>
              <w:t xml:space="preserve">        5,445,034,000    </w:t>
            </w:r>
          </w:p>
        </w:tc>
      </w:tr>
      <w:tr w:rsidR="006D3AD5" w:rsidRPr="00874BFF" w14:paraId="3BFFD71D" w14:textId="77777777" w:rsidTr="00443B8F">
        <w:trPr>
          <w:trHeight w:val="20"/>
        </w:trPr>
        <w:tc>
          <w:tcPr>
            <w:tcW w:w="2554" w:type="dxa"/>
            <w:tcBorders>
              <w:left w:val="nil"/>
              <w:right w:val="nil"/>
            </w:tcBorders>
            <w:shd w:val="clear" w:color="auto" w:fill="FFFFFF"/>
            <w:noWrap/>
            <w:vAlign w:val="center"/>
          </w:tcPr>
          <w:p w14:paraId="7E30AFF0" w14:textId="77777777" w:rsidR="006D3AD5" w:rsidRPr="00874BFF" w:rsidRDefault="006D3AD5" w:rsidP="00443B8F">
            <w:pPr>
              <w:jc w:val="left"/>
              <w:rPr>
                <w:rFonts w:cs="Arial"/>
                <w:color w:val="000000"/>
                <w:sz w:val="18"/>
                <w:szCs w:val="18"/>
              </w:rPr>
            </w:pPr>
            <w:r w:rsidRPr="00874BFF">
              <w:rPr>
                <w:color w:val="000000"/>
                <w:sz w:val="18"/>
              </w:rPr>
              <w:t>Prosperity - Call I</w:t>
            </w:r>
          </w:p>
        </w:tc>
        <w:tc>
          <w:tcPr>
            <w:tcW w:w="1897" w:type="dxa"/>
            <w:tcBorders>
              <w:left w:val="nil"/>
              <w:right w:val="nil"/>
            </w:tcBorders>
            <w:shd w:val="clear" w:color="auto" w:fill="FFFFFF"/>
            <w:noWrap/>
            <w:vAlign w:val="center"/>
          </w:tcPr>
          <w:p w14:paraId="2CDA7423" w14:textId="77777777" w:rsidR="006D3AD5" w:rsidRPr="00874BFF" w:rsidRDefault="006D3AD5" w:rsidP="00443B8F">
            <w:pPr>
              <w:jc w:val="right"/>
              <w:rPr>
                <w:rFonts w:cs="Arial"/>
                <w:color w:val="000000"/>
                <w:sz w:val="18"/>
                <w:szCs w:val="18"/>
              </w:rPr>
            </w:pPr>
            <w:r w:rsidRPr="00874BFF">
              <w:rPr>
                <w:color w:val="000000"/>
                <w:sz w:val="18"/>
              </w:rPr>
              <w:t xml:space="preserve">        3,657,562,000    </w:t>
            </w:r>
          </w:p>
        </w:tc>
        <w:tc>
          <w:tcPr>
            <w:tcW w:w="1897" w:type="dxa"/>
            <w:tcBorders>
              <w:left w:val="nil"/>
              <w:right w:val="nil"/>
            </w:tcBorders>
            <w:shd w:val="clear" w:color="auto" w:fill="FFFFFF"/>
            <w:noWrap/>
            <w:vAlign w:val="center"/>
          </w:tcPr>
          <w:p w14:paraId="53A6368F" w14:textId="77777777" w:rsidR="006D3AD5" w:rsidRPr="00874BFF" w:rsidRDefault="006D3AD5" w:rsidP="00443B8F">
            <w:pPr>
              <w:jc w:val="right"/>
              <w:rPr>
                <w:rFonts w:cs="Arial"/>
                <w:color w:val="000000"/>
                <w:sz w:val="18"/>
                <w:szCs w:val="18"/>
              </w:rPr>
            </w:pPr>
            <w:r w:rsidRPr="00874BFF">
              <w:rPr>
                <w:color w:val="000000"/>
                <w:sz w:val="18"/>
              </w:rPr>
              <w:t xml:space="preserve">        1,087,806,000    </w:t>
            </w:r>
          </w:p>
        </w:tc>
        <w:tc>
          <w:tcPr>
            <w:tcW w:w="1897" w:type="dxa"/>
            <w:tcBorders>
              <w:left w:val="nil"/>
              <w:right w:val="nil"/>
            </w:tcBorders>
            <w:shd w:val="clear" w:color="auto" w:fill="FFFFFF"/>
            <w:noWrap/>
            <w:vAlign w:val="center"/>
          </w:tcPr>
          <w:p w14:paraId="2A87EF9B" w14:textId="77777777" w:rsidR="006D3AD5" w:rsidRPr="00874BFF" w:rsidRDefault="006D3AD5" w:rsidP="00443B8F">
            <w:pPr>
              <w:jc w:val="right"/>
              <w:rPr>
                <w:rFonts w:cs="Arial"/>
                <w:color w:val="000000"/>
                <w:sz w:val="18"/>
                <w:szCs w:val="18"/>
              </w:rPr>
            </w:pPr>
            <w:r w:rsidRPr="00874BFF">
              <w:rPr>
                <w:color w:val="000000"/>
                <w:sz w:val="18"/>
              </w:rPr>
              <w:t xml:space="preserve">            333,663,000    </w:t>
            </w:r>
          </w:p>
        </w:tc>
      </w:tr>
      <w:tr w:rsidR="006D3AD5" w:rsidRPr="00874BFF" w14:paraId="135CED49" w14:textId="77777777" w:rsidTr="00443B8F">
        <w:trPr>
          <w:trHeight w:val="20"/>
        </w:trPr>
        <w:tc>
          <w:tcPr>
            <w:tcW w:w="2554" w:type="dxa"/>
            <w:tcBorders>
              <w:left w:val="nil"/>
              <w:right w:val="nil"/>
            </w:tcBorders>
            <w:shd w:val="clear" w:color="auto" w:fill="FFFFFF"/>
            <w:noWrap/>
            <w:vAlign w:val="center"/>
          </w:tcPr>
          <w:p w14:paraId="60EC4A27" w14:textId="77777777" w:rsidR="006D3AD5" w:rsidRPr="00874BFF" w:rsidRDefault="006D3AD5" w:rsidP="00443B8F">
            <w:pPr>
              <w:jc w:val="left"/>
              <w:rPr>
                <w:rFonts w:cs="Arial"/>
                <w:color w:val="000000"/>
                <w:sz w:val="18"/>
                <w:szCs w:val="18"/>
              </w:rPr>
            </w:pPr>
            <w:r w:rsidRPr="00874BFF">
              <w:rPr>
                <w:color w:val="000000"/>
                <w:sz w:val="18"/>
              </w:rPr>
              <w:t>Prosperity - Call II</w:t>
            </w:r>
          </w:p>
        </w:tc>
        <w:tc>
          <w:tcPr>
            <w:tcW w:w="1897" w:type="dxa"/>
            <w:tcBorders>
              <w:left w:val="nil"/>
              <w:right w:val="nil"/>
            </w:tcBorders>
            <w:shd w:val="clear" w:color="auto" w:fill="FFFFFF"/>
            <w:noWrap/>
            <w:vAlign w:val="center"/>
          </w:tcPr>
          <w:p w14:paraId="63E5931B" w14:textId="77777777" w:rsidR="006D3AD5" w:rsidRPr="00874BFF" w:rsidRDefault="006D3AD5" w:rsidP="00443B8F">
            <w:pPr>
              <w:jc w:val="right"/>
              <w:rPr>
                <w:rFonts w:cs="Arial"/>
                <w:color w:val="000000"/>
                <w:sz w:val="18"/>
                <w:szCs w:val="18"/>
              </w:rPr>
            </w:pPr>
            <w:r w:rsidRPr="00874BFF">
              <w:rPr>
                <w:color w:val="000000"/>
                <w:sz w:val="18"/>
              </w:rPr>
              <w:t xml:space="preserve">        2,296,854,000    </w:t>
            </w:r>
          </w:p>
        </w:tc>
        <w:tc>
          <w:tcPr>
            <w:tcW w:w="1897" w:type="dxa"/>
            <w:tcBorders>
              <w:left w:val="nil"/>
              <w:right w:val="nil"/>
            </w:tcBorders>
            <w:shd w:val="clear" w:color="auto" w:fill="FFFFFF"/>
            <w:noWrap/>
            <w:vAlign w:val="center"/>
          </w:tcPr>
          <w:p w14:paraId="794963F2" w14:textId="77777777" w:rsidR="006D3AD5" w:rsidRPr="00874BFF" w:rsidRDefault="006D3AD5" w:rsidP="00443B8F">
            <w:pPr>
              <w:jc w:val="right"/>
              <w:rPr>
                <w:rFonts w:cs="Arial"/>
                <w:color w:val="000000"/>
                <w:sz w:val="18"/>
                <w:szCs w:val="18"/>
              </w:rPr>
            </w:pPr>
            <w:r w:rsidRPr="00874BFF">
              <w:rPr>
                <w:color w:val="000000"/>
                <w:sz w:val="18"/>
              </w:rPr>
              <w:t xml:space="preserve">            851,119,000    </w:t>
            </w:r>
          </w:p>
        </w:tc>
        <w:tc>
          <w:tcPr>
            <w:tcW w:w="1897" w:type="dxa"/>
            <w:tcBorders>
              <w:left w:val="nil"/>
              <w:right w:val="nil"/>
            </w:tcBorders>
            <w:shd w:val="clear" w:color="auto" w:fill="FFFFFF"/>
            <w:noWrap/>
            <w:vAlign w:val="center"/>
          </w:tcPr>
          <w:p w14:paraId="0F8C45C2" w14:textId="77777777" w:rsidR="006D3AD5" w:rsidRPr="00874BFF" w:rsidRDefault="006D3AD5" w:rsidP="00443B8F">
            <w:pPr>
              <w:jc w:val="right"/>
              <w:rPr>
                <w:rFonts w:cs="Arial"/>
                <w:color w:val="000000"/>
                <w:sz w:val="18"/>
                <w:szCs w:val="18"/>
              </w:rPr>
            </w:pPr>
            <w:r w:rsidRPr="00874BFF">
              <w:rPr>
                <w:color w:val="000000"/>
                <w:sz w:val="18"/>
              </w:rPr>
              <w:t xml:space="preserve">            123,768,000    </w:t>
            </w:r>
          </w:p>
        </w:tc>
      </w:tr>
      <w:tr w:rsidR="006D3AD5" w:rsidRPr="00874BFF" w14:paraId="3B5270E8" w14:textId="77777777" w:rsidTr="00443B8F">
        <w:trPr>
          <w:trHeight w:val="20"/>
        </w:trPr>
        <w:tc>
          <w:tcPr>
            <w:tcW w:w="2554" w:type="dxa"/>
            <w:tcBorders>
              <w:left w:val="nil"/>
              <w:right w:val="nil"/>
            </w:tcBorders>
            <w:shd w:val="clear" w:color="auto" w:fill="FFFFFF"/>
            <w:noWrap/>
            <w:vAlign w:val="center"/>
          </w:tcPr>
          <w:p w14:paraId="6F07B9C5" w14:textId="77777777" w:rsidR="006D3AD5" w:rsidRPr="00874BFF" w:rsidRDefault="006D3AD5" w:rsidP="00443B8F">
            <w:pPr>
              <w:jc w:val="left"/>
              <w:rPr>
                <w:rFonts w:cs="Arial"/>
                <w:color w:val="000000"/>
                <w:sz w:val="18"/>
                <w:szCs w:val="18"/>
              </w:rPr>
            </w:pPr>
            <w:r w:rsidRPr="00874BFF">
              <w:rPr>
                <w:color w:val="000000"/>
                <w:sz w:val="18"/>
              </w:rPr>
              <w:t>Prosperity - Call III</w:t>
            </w:r>
          </w:p>
        </w:tc>
        <w:tc>
          <w:tcPr>
            <w:tcW w:w="1897" w:type="dxa"/>
            <w:tcBorders>
              <w:left w:val="nil"/>
              <w:right w:val="nil"/>
            </w:tcBorders>
            <w:shd w:val="clear" w:color="auto" w:fill="FFFFFF"/>
            <w:noWrap/>
            <w:vAlign w:val="center"/>
          </w:tcPr>
          <w:p w14:paraId="166EB9DF" w14:textId="77777777" w:rsidR="006D3AD5" w:rsidRPr="00874BFF" w:rsidRDefault="006D3AD5" w:rsidP="00443B8F">
            <w:pPr>
              <w:jc w:val="right"/>
              <w:rPr>
                <w:rFonts w:cs="Arial"/>
                <w:color w:val="000000"/>
                <w:sz w:val="18"/>
                <w:szCs w:val="18"/>
              </w:rPr>
            </w:pPr>
            <w:r w:rsidRPr="00874BFF">
              <w:rPr>
                <w:color w:val="000000"/>
                <w:sz w:val="18"/>
              </w:rPr>
              <w:t xml:space="preserve">      13,404,255,000    </w:t>
            </w:r>
          </w:p>
        </w:tc>
        <w:tc>
          <w:tcPr>
            <w:tcW w:w="1897" w:type="dxa"/>
            <w:tcBorders>
              <w:left w:val="nil"/>
              <w:right w:val="nil"/>
            </w:tcBorders>
            <w:shd w:val="clear" w:color="auto" w:fill="FFFFFF"/>
            <w:noWrap/>
            <w:vAlign w:val="center"/>
          </w:tcPr>
          <w:p w14:paraId="30DD6ADE" w14:textId="77777777" w:rsidR="006D3AD5" w:rsidRPr="00874BFF" w:rsidRDefault="006D3AD5" w:rsidP="00443B8F">
            <w:pPr>
              <w:jc w:val="right"/>
              <w:rPr>
                <w:rFonts w:cs="Arial"/>
                <w:color w:val="000000"/>
                <w:sz w:val="18"/>
                <w:szCs w:val="18"/>
              </w:rPr>
            </w:pPr>
            <w:r w:rsidRPr="00874BFF">
              <w:rPr>
                <w:color w:val="000000"/>
                <w:sz w:val="18"/>
              </w:rPr>
              <w:t xml:space="preserve">        5,316,309,000    </w:t>
            </w:r>
          </w:p>
        </w:tc>
        <w:tc>
          <w:tcPr>
            <w:tcW w:w="1897" w:type="dxa"/>
            <w:tcBorders>
              <w:left w:val="nil"/>
              <w:right w:val="nil"/>
            </w:tcBorders>
            <w:shd w:val="clear" w:color="auto" w:fill="FFFFFF"/>
            <w:noWrap/>
            <w:vAlign w:val="center"/>
          </w:tcPr>
          <w:p w14:paraId="39598BBC" w14:textId="77777777" w:rsidR="006D3AD5" w:rsidRPr="00874BFF" w:rsidRDefault="006D3AD5" w:rsidP="00443B8F">
            <w:pPr>
              <w:jc w:val="right"/>
              <w:rPr>
                <w:rFonts w:cs="Arial"/>
                <w:color w:val="000000"/>
                <w:sz w:val="18"/>
                <w:szCs w:val="18"/>
              </w:rPr>
            </w:pPr>
            <w:r w:rsidRPr="00874BFF">
              <w:rPr>
                <w:color w:val="000000"/>
                <w:sz w:val="18"/>
              </w:rPr>
              <w:t xml:space="preserve">            489,561,000    </w:t>
            </w:r>
          </w:p>
        </w:tc>
      </w:tr>
      <w:tr w:rsidR="006D3AD5" w:rsidRPr="00874BFF" w14:paraId="677659AA" w14:textId="77777777" w:rsidTr="00443B8F">
        <w:trPr>
          <w:trHeight w:val="20"/>
        </w:trPr>
        <w:tc>
          <w:tcPr>
            <w:tcW w:w="2554" w:type="dxa"/>
            <w:tcBorders>
              <w:left w:val="nil"/>
              <w:right w:val="nil"/>
            </w:tcBorders>
            <w:shd w:val="clear" w:color="auto" w:fill="FFFFFF"/>
            <w:noWrap/>
            <w:vAlign w:val="center"/>
          </w:tcPr>
          <w:p w14:paraId="64C2444E" w14:textId="77777777" w:rsidR="006D3AD5" w:rsidRPr="00874BFF" w:rsidRDefault="006D3AD5" w:rsidP="00443B8F">
            <w:pPr>
              <w:jc w:val="left"/>
              <w:rPr>
                <w:rFonts w:cs="Arial"/>
                <w:color w:val="000000"/>
                <w:sz w:val="18"/>
                <w:szCs w:val="18"/>
              </w:rPr>
            </w:pPr>
            <w:r w:rsidRPr="00874BFF">
              <w:rPr>
                <w:color w:val="000000"/>
                <w:sz w:val="18"/>
              </w:rPr>
              <w:t>Prosperity - Call IV</w:t>
            </w:r>
          </w:p>
        </w:tc>
        <w:tc>
          <w:tcPr>
            <w:tcW w:w="1897" w:type="dxa"/>
            <w:tcBorders>
              <w:left w:val="nil"/>
              <w:right w:val="nil"/>
            </w:tcBorders>
            <w:shd w:val="clear" w:color="auto" w:fill="FFFFFF"/>
            <w:noWrap/>
            <w:vAlign w:val="center"/>
          </w:tcPr>
          <w:p w14:paraId="0BC33DE1" w14:textId="77777777" w:rsidR="006D3AD5" w:rsidRPr="00874BFF" w:rsidRDefault="006D3AD5" w:rsidP="00443B8F">
            <w:pPr>
              <w:jc w:val="right"/>
              <w:rPr>
                <w:rFonts w:cs="Arial"/>
                <w:color w:val="000000"/>
                <w:sz w:val="18"/>
                <w:szCs w:val="18"/>
              </w:rPr>
            </w:pPr>
            <w:r w:rsidRPr="00874BFF">
              <w:rPr>
                <w:color w:val="000000"/>
                <w:sz w:val="18"/>
              </w:rPr>
              <w:t xml:space="preserve">        7,508,918,000    </w:t>
            </w:r>
          </w:p>
        </w:tc>
        <w:tc>
          <w:tcPr>
            <w:tcW w:w="1897" w:type="dxa"/>
            <w:tcBorders>
              <w:left w:val="nil"/>
              <w:right w:val="nil"/>
            </w:tcBorders>
            <w:shd w:val="clear" w:color="auto" w:fill="FFFFFF"/>
            <w:noWrap/>
            <w:vAlign w:val="center"/>
          </w:tcPr>
          <w:p w14:paraId="5C299689" w14:textId="77777777" w:rsidR="006D3AD5" w:rsidRPr="00874BFF" w:rsidRDefault="006D3AD5" w:rsidP="00443B8F">
            <w:pPr>
              <w:jc w:val="right"/>
              <w:rPr>
                <w:rFonts w:cs="Arial"/>
                <w:color w:val="000000"/>
                <w:sz w:val="18"/>
                <w:szCs w:val="18"/>
              </w:rPr>
            </w:pPr>
            <w:r w:rsidRPr="00874BFF">
              <w:rPr>
                <w:color w:val="000000"/>
                <w:sz w:val="18"/>
              </w:rPr>
              <w:t xml:space="preserve">        2,409,241,000    </w:t>
            </w:r>
          </w:p>
        </w:tc>
        <w:tc>
          <w:tcPr>
            <w:tcW w:w="1897" w:type="dxa"/>
            <w:tcBorders>
              <w:left w:val="nil"/>
              <w:right w:val="nil"/>
            </w:tcBorders>
            <w:shd w:val="clear" w:color="auto" w:fill="FFFFFF"/>
            <w:noWrap/>
            <w:vAlign w:val="center"/>
          </w:tcPr>
          <w:p w14:paraId="4280EFA5" w14:textId="77777777" w:rsidR="006D3AD5" w:rsidRPr="00874BFF" w:rsidRDefault="006D3AD5" w:rsidP="00443B8F">
            <w:pPr>
              <w:jc w:val="right"/>
              <w:rPr>
                <w:rFonts w:cs="Arial"/>
                <w:color w:val="000000"/>
                <w:sz w:val="18"/>
                <w:szCs w:val="18"/>
              </w:rPr>
            </w:pPr>
            <w:r w:rsidRPr="00874BFF">
              <w:rPr>
                <w:color w:val="000000"/>
                <w:sz w:val="18"/>
              </w:rPr>
              <w:t xml:space="preserve">            642,915,000    </w:t>
            </w:r>
          </w:p>
        </w:tc>
      </w:tr>
      <w:tr w:rsidR="006D3AD5" w:rsidRPr="00874BFF" w14:paraId="3F7C3F89" w14:textId="77777777" w:rsidTr="00443B8F">
        <w:trPr>
          <w:trHeight w:val="20"/>
        </w:trPr>
        <w:tc>
          <w:tcPr>
            <w:tcW w:w="2554" w:type="dxa"/>
            <w:tcBorders>
              <w:left w:val="nil"/>
              <w:right w:val="nil"/>
            </w:tcBorders>
            <w:shd w:val="clear" w:color="auto" w:fill="FFFFFF"/>
            <w:noWrap/>
            <w:vAlign w:val="center"/>
          </w:tcPr>
          <w:p w14:paraId="425ACEF6" w14:textId="77777777" w:rsidR="006D3AD5" w:rsidRPr="00874BFF" w:rsidRDefault="006D3AD5" w:rsidP="00443B8F">
            <w:pPr>
              <w:jc w:val="left"/>
              <w:rPr>
                <w:rFonts w:cs="Arial"/>
                <w:color w:val="000000"/>
                <w:sz w:val="18"/>
                <w:szCs w:val="18"/>
              </w:rPr>
            </w:pPr>
            <w:r w:rsidRPr="00874BFF">
              <w:rPr>
                <w:color w:val="000000"/>
                <w:sz w:val="18"/>
              </w:rPr>
              <w:t>Training centres - Call I</w:t>
            </w:r>
          </w:p>
        </w:tc>
        <w:tc>
          <w:tcPr>
            <w:tcW w:w="1897" w:type="dxa"/>
            <w:tcBorders>
              <w:left w:val="nil"/>
              <w:right w:val="nil"/>
            </w:tcBorders>
            <w:shd w:val="clear" w:color="auto" w:fill="FFFFFF"/>
            <w:noWrap/>
            <w:vAlign w:val="center"/>
          </w:tcPr>
          <w:p w14:paraId="30C2850A" w14:textId="77777777" w:rsidR="006D3AD5" w:rsidRPr="00874BFF" w:rsidRDefault="006D3AD5" w:rsidP="00443B8F">
            <w:pPr>
              <w:jc w:val="right"/>
              <w:rPr>
                <w:rFonts w:cs="Arial"/>
                <w:color w:val="000000"/>
                <w:sz w:val="18"/>
                <w:szCs w:val="18"/>
              </w:rPr>
            </w:pPr>
            <w:r w:rsidRPr="00874BFF">
              <w:rPr>
                <w:color w:val="000000"/>
                <w:sz w:val="18"/>
              </w:rPr>
              <w:t xml:space="preserve">        3,161,428,000    </w:t>
            </w:r>
          </w:p>
        </w:tc>
        <w:tc>
          <w:tcPr>
            <w:tcW w:w="1897" w:type="dxa"/>
            <w:tcBorders>
              <w:left w:val="nil"/>
              <w:right w:val="nil"/>
            </w:tcBorders>
            <w:shd w:val="clear" w:color="auto" w:fill="FFFFFF"/>
            <w:noWrap/>
            <w:vAlign w:val="center"/>
          </w:tcPr>
          <w:p w14:paraId="3176AA06" w14:textId="77777777" w:rsidR="006D3AD5" w:rsidRPr="00874BFF" w:rsidRDefault="006D3AD5" w:rsidP="00443B8F">
            <w:pPr>
              <w:jc w:val="right"/>
              <w:rPr>
                <w:rFonts w:cs="Arial"/>
                <w:color w:val="000000"/>
                <w:sz w:val="18"/>
                <w:szCs w:val="18"/>
              </w:rPr>
            </w:pPr>
            <w:r w:rsidRPr="00874BFF">
              <w:rPr>
                <w:color w:val="000000"/>
                <w:sz w:val="18"/>
              </w:rPr>
              <w:t xml:space="preserve">            601,519,000    </w:t>
            </w:r>
          </w:p>
        </w:tc>
        <w:tc>
          <w:tcPr>
            <w:tcW w:w="1897" w:type="dxa"/>
            <w:tcBorders>
              <w:left w:val="nil"/>
              <w:right w:val="nil"/>
            </w:tcBorders>
            <w:shd w:val="clear" w:color="auto" w:fill="FFFFFF"/>
            <w:noWrap/>
            <w:vAlign w:val="center"/>
          </w:tcPr>
          <w:p w14:paraId="30657668" w14:textId="77777777" w:rsidR="006D3AD5" w:rsidRPr="00874BFF" w:rsidRDefault="006D3AD5" w:rsidP="00443B8F">
            <w:pPr>
              <w:jc w:val="right"/>
              <w:rPr>
                <w:rFonts w:cs="Arial"/>
                <w:color w:val="000000"/>
                <w:sz w:val="18"/>
                <w:szCs w:val="18"/>
              </w:rPr>
            </w:pPr>
            <w:r w:rsidRPr="00874BFF">
              <w:rPr>
                <w:color w:val="000000"/>
                <w:sz w:val="18"/>
              </w:rPr>
              <w:t xml:space="preserve">            242,439,000    </w:t>
            </w:r>
          </w:p>
        </w:tc>
      </w:tr>
      <w:tr w:rsidR="006D3AD5" w:rsidRPr="00874BFF" w14:paraId="626972CB" w14:textId="77777777" w:rsidTr="00443B8F">
        <w:trPr>
          <w:trHeight w:val="20"/>
        </w:trPr>
        <w:tc>
          <w:tcPr>
            <w:tcW w:w="2554" w:type="dxa"/>
            <w:tcBorders>
              <w:left w:val="nil"/>
              <w:right w:val="nil"/>
            </w:tcBorders>
            <w:shd w:val="clear" w:color="auto" w:fill="FFFFFF"/>
            <w:noWrap/>
            <w:vAlign w:val="center"/>
          </w:tcPr>
          <w:p w14:paraId="1C9E36C0" w14:textId="77777777" w:rsidR="006D3AD5" w:rsidRPr="00874BFF" w:rsidRDefault="006D3AD5" w:rsidP="00443B8F">
            <w:pPr>
              <w:jc w:val="left"/>
              <w:rPr>
                <w:rFonts w:cs="Arial"/>
                <w:color w:val="000000"/>
                <w:sz w:val="18"/>
                <w:szCs w:val="18"/>
              </w:rPr>
            </w:pPr>
            <w:r w:rsidRPr="00874BFF">
              <w:rPr>
                <w:color w:val="000000"/>
                <w:sz w:val="18"/>
              </w:rPr>
              <w:t>Training centres - Call II</w:t>
            </w:r>
          </w:p>
        </w:tc>
        <w:tc>
          <w:tcPr>
            <w:tcW w:w="1897" w:type="dxa"/>
            <w:tcBorders>
              <w:left w:val="nil"/>
              <w:right w:val="nil"/>
            </w:tcBorders>
            <w:shd w:val="clear" w:color="auto" w:fill="FFFFFF"/>
            <w:noWrap/>
            <w:vAlign w:val="center"/>
          </w:tcPr>
          <w:p w14:paraId="7CA71E44" w14:textId="77777777" w:rsidR="006D3AD5" w:rsidRPr="00874BFF" w:rsidRDefault="006D3AD5" w:rsidP="00443B8F">
            <w:pPr>
              <w:jc w:val="right"/>
              <w:rPr>
                <w:rFonts w:cs="Arial"/>
                <w:color w:val="000000"/>
                <w:sz w:val="18"/>
                <w:szCs w:val="18"/>
              </w:rPr>
            </w:pPr>
            <w:r w:rsidRPr="00874BFF">
              <w:rPr>
                <w:color w:val="000000"/>
                <w:sz w:val="18"/>
              </w:rPr>
              <w:t xml:space="preserve">        8,394,963,000    </w:t>
            </w:r>
          </w:p>
        </w:tc>
        <w:tc>
          <w:tcPr>
            <w:tcW w:w="1897" w:type="dxa"/>
            <w:tcBorders>
              <w:left w:val="nil"/>
              <w:right w:val="nil"/>
            </w:tcBorders>
            <w:shd w:val="clear" w:color="auto" w:fill="FFFFFF"/>
            <w:noWrap/>
            <w:vAlign w:val="center"/>
          </w:tcPr>
          <w:p w14:paraId="32411196" w14:textId="77777777" w:rsidR="006D3AD5" w:rsidRPr="00874BFF" w:rsidRDefault="006D3AD5" w:rsidP="00443B8F">
            <w:pPr>
              <w:jc w:val="right"/>
              <w:rPr>
                <w:rFonts w:cs="Arial"/>
                <w:color w:val="000000"/>
                <w:sz w:val="18"/>
                <w:szCs w:val="18"/>
              </w:rPr>
            </w:pPr>
            <w:r w:rsidRPr="00874BFF">
              <w:rPr>
                <w:color w:val="000000"/>
                <w:sz w:val="18"/>
              </w:rPr>
              <w:t xml:space="preserve">        1,909,783,000    </w:t>
            </w:r>
          </w:p>
        </w:tc>
        <w:tc>
          <w:tcPr>
            <w:tcW w:w="1897" w:type="dxa"/>
            <w:tcBorders>
              <w:left w:val="nil"/>
              <w:right w:val="nil"/>
            </w:tcBorders>
            <w:shd w:val="clear" w:color="auto" w:fill="FFFFFF"/>
            <w:noWrap/>
            <w:vAlign w:val="center"/>
          </w:tcPr>
          <w:p w14:paraId="054C7D24" w14:textId="77777777" w:rsidR="006D3AD5" w:rsidRPr="00874BFF" w:rsidRDefault="006D3AD5" w:rsidP="00443B8F">
            <w:pPr>
              <w:jc w:val="right"/>
              <w:rPr>
                <w:rFonts w:cs="Arial"/>
                <w:color w:val="000000"/>
                <w:sz w:val="18"/>
                <w:szCs w:val="18"/>
              </w:rPr>
            </w:pPr>
            <w:r w:rsidRPr="00874BFF">
              <w:rPr>
                <w:color w:val="000000"/>
                <w:sz w:val="18"/>
              </w:rPr>
              <w:t xml:space="preserve">            472,775,000    </w:t>
            </w:r>
          </w:p>
        </w:tc>
      </w:tr>
      <w:tr w:rsidR="006D3AD5" w:rsidRPr="00874BFF" w14:paraId="5D722931" w14:textId="77777777" w:rsidTr="00443B8F">
        <w:trPr>
          <w:trHeight w:val="20"/>
        </w:trPr>
        <w:tc>
          <w:tcPr>
            <w:tcW w:w="2554" w:type="dxa"/>
            <w:tcBorders>
              <w:left w:val="nil"/>
              <w:right w:val="nil"/>
            </w:tcBorders>
            <w:shd w:val="clear" w:color="auto" w:fill="92D050"/>
            <w:noWrap/>
            <w:vAlign w:val="center"/>
          </w:tcPr>
          <w:p w14:paraId="0265AFBD" w14:textId="77777777" w:rsidR="006D3AD5" w:rsidRPr="00874BFF" w:rsidRDefault="006D3AD5" w:rsidP="00443B8F">
            <w:pPr>
              <w:jc w:val="left"/>
              <w:rPr>
                <w:rFonts w:cs="Arial"/>
                <w:b/>
                <w:color w:val="000000"/>
                <w:sz w:val="18"/>
                <w:szCs w:val="18"/>
              </w:rPr>
            </w:pPr>
            <w:r w:rsidRPr="00874BFF">
              <w:rPr>
                <w:b/>
                <w:color w:val="000000"/>
                <w:sz w:val="18"/>
              </w:rPr>
              <w:t>Total</w:t>
            </w:r>
          </w:p>
        </w:tc>
        <w:tc>
          <w:tcPr>
            <w:tcW w:w="1897" w:type="dxa"/>
            <w:tcBorders>
              <w:left w:val="nil"/>
              <w:right w:val="nil"/>
            </w:tcBorders>
            <w:shd w:val="clear" w:color="auto" w:fill="92D050"/>
            <w:noWrap/>
            <w:vAlign w:val="center"/>
          </w:tcPr>
          <w:p w14:paraId="12139EE9" w14:textId="77777777" w:rsidR="006D3AD5" w:rsidRPr="00874BFF" w:rsidRDefault="006D3AD5" w:rsidP="00443B8F">
            <w:pPr>
              <w:jc w:val="right"/>
              <w:rPr>
                <w:rFonts w:cs="Arial"/>
                <w:b/>
                <w:bCs/>
                <w:color w:val="000000"/>
                <w:sz w:val="18"/>
                <w:szCs w:val="18"/>
              </w:rPr>
            </w:pPr>
            <w:r w:rsidRPr="00874BFF">
              <w:rPr>
                <w:b/>
                <w:color w:val="000000"/>
                <w:sz w:val="18"/>
              </w:rPr>
              <w:t xml:space="preserve">      92,343,864,000    </w:t>
            </w:r>
          </w:p>
        </w:tc>
        <w:tc>
          <w:tcPr>
            <w:tcW w:w="1897" w:type="dxa"/>
            <w:tcBorders>
              <w:left w:val="nil"/>
              <w:right w:val="nil"/>
            </w:tcBorders>
            <w:shd w:val="clear" w:color="auto" w:fill="92D050"/>
            <w:noWrap/>
            <w:vAlign w:val="center"/>
          </w:tcPr>
          <w:p w14:paraId="15C3FB6F" w14:textId="77777777" w:rsidR="006D3AD5" w:rsidRPr="00874BFF" w:rsidRDefault="006D3AD5" w:rsidP="00443B8F">
            <w:pPr>
              <w:jc w:val="right"/>
              <w:rPr>
                <w:rFonts w:cs="Arial"/>
                <w:b/>
                <w:bCs/>
                <w:color w:val="000000"/>
                <w:sz w:val="18"/>
                <w:szCs w:val="18"/>
              </w:rPr>
            </w:pPr>
            <w:r w:rsidRPr="00874BFF">
              <w:rPr>
                <w:b/>
                <w:color w:val="000000"/>
                <w:sz w:val="18"/>
              </w:rPr>
              <w:t xml:space="preserve">      32,022,075,000    </w:t>
            </w:r>
          </w:p>
        </w:tc>
        <w:tc>
          <w:tcPr>
            <w:tcW w:w="1897" w:type="dxa"/>
            <w:tcBorders>
              <w:left w:val="nil"/>
              <w:right w:val="nil"/>
            </w:tcBorders>
            <w:shd w:val="clear" w:color="auto" w:fill="92D050"/>
            <w:noWrap/>
            <w:vAlign w:val="center"/>
          </w:tcPr>
          <w:p w14:paraId="1A9190F1" w14:textId="77777777" w:rsidR="006D3AD5" w:rsidRPr="00874BFF" w:rsidRDefault="006D3AD5" w:rsidP="00443B8F">
            <w:pPr>
              <w:jc w:val="right"/>
              <w:rPr>
                <w:rFonts w:cs="Arial"/>
                <w:b/>
                <w:bCs/>
                <w:color w:val="000000"/>
                <w:sz w:val="18"/>
                <w:szCs w:val="18"/>
              </w:rPr>
            </w:pPr>
            <w:r w:rsidRPr="00874BFF">
              <w:rPr>
                <w:b/>
                <w:color w:val="000000"/>
                <w:sz w:val="18"/>
              </w:rPr>
              <w:t xml:space="preserve">      10,677,368,000    </w:t>
            </w:r>
          </w:p>
        </w:tc>
      </w:tr>
    </w:tbl>
    <w:p w14:paraId="7FA32D1D" w14:textId="77777777" w:rsidR="006D3AD5" w:rsidRPr="00874BFF" w:rsidRDefault="006D3AD5" w:rsidP="006D3AD5"/>
    <w:p w14:paraId="3206BC74" w14:textId="421382BA" w:rsidR="006D3AD5" w:rsidRPr="00874BFF" w:rsidRDefault="006D3AD5" w:rsidP="006D3AD5">
      <w:pPr>
        <w:pStyle w:val="Titulek"/>
        <w:jc w:val="center"/>
      </w:pPr>
      <w:r w:rsidRPr="00874BFF">
        <w:t>Table 4</w:t>
      </w:r>
      <w:r w:rsidR="00035834">
        <w:t>3</w:t>
      </w:r>
      <w:r w:rsidRPr="00874BFF">
        <w:t xml:space="preserve">: Absorption for BF regeneration by programme </w:t>
      </w:r>
    </w:p>
    <w:p w14:paraId="47787EFD" w14:textId="77777777" w:rsidR="006D3AD5" w:rsidRPr="00874BFF" w:rsidRDefault="006D3AD5" w:rsidP="006D3AD5">
      <w:pPr>
        <w:pStyle w:val="Titulek"/>
        <w:jc w:val="center"/>
      </w:pPr>
      <w:r w:rsidRPr="00874BFF">
        <w:t>Source: CI 2014</w:t>
      </w:r>
    </w:p>
    <w:p w14:paraId="74AC895F" w14:textId="018AE062" w:rsidR="006D3AD5" w:rsidRPr="00874BFF" w:rsidRDefault="006D3AD5" w:rsidP="006D3AD5">
      <w:r w:rsidRPr="00874BFF">
        <w:t xml:space="preserve">The support for BF regeneration could be drawn for other purposes from other public sources and operational programmes as well. A detailed list is included in the section </w:t>
      </w:r>
      <w:r w:rsidR="005905FF">
        <w:t>Assessment</w:t>
      </w:r>
      <w:r w:rsidR="005905FF" w:rsidRPr="00874BFF">
        <w:t xml:space="preserve"> </w:t>
      </w:r>
      <w:r w:rsidRPr="00874BFF">
        <w:t>of experience gained in the past.</w:t>
      </w:r>
    </w:p>
    <w:p w14:paraId="1A1EFD12" w14:textId="77777777" w:rsidR="006D3AD5" w:rsidRPr="00874BFF" w:rsidRDefault="006D3AD5" w:rsidP="006D3AD5"/>
    <w:p w14:paraId="31DF633F" w14:textId="77777777" w:rsidR="006D3AD5" w:rsidRPr="00874BFF" w:rsidRDefault="006D3AD5" w:rsidP="006D3AD5">
      <w:pPr>
        <w:pStyle w:val="Odstavecseseznamem1"/>
      </w:pPr>
    </w:p>
    <w:p w14:paraId="61EF3B35" w14:textId="77777777" w:rsidR="006D3AD5" w:rsidRPr="00874BFF" w:rsidRDefault="006D3AD5" w:rsidP="006D3AD5">
      <w:pPr>
        <w:pStyle w:val="Nadpis4"/>
        <w:rPr>
          <w:rFonts w:ascii="Calibri" w:hAnsi="Calibri"/>
        </w:rPr>
      </w:pPr>
      <w:r w:rsidRPr="00874BFF">
        <w:rPr>
          <w:rFonts w:ascii="Calibri" w:hAnsi="Calibri"/>
        </w:rPr>
        <w:t>Questionnaire survey</w:t>
      </w:r>
    </w:p>
    <w:p w14:paraId="31BF397F" w14:textId="77777777" w:rsidR="006D3AD5" w:rsidRPr="00874BFF" w:rsidRDefault="006D3AD5" w:rsidP="006D3AD5"/>
    <w:p w14:paraId="100D7D6E" w14:textId="47CEB5AA" w:rsidR="006D3AD5" w:rsidRPr="00874BFF" w:rsidRDefault="006D3AD5" w:rsidP="006D3AD5">
      <w:pPr>
        <w:pStyle w:val="Titulek"/>
      </w:pPr>
      <w:r w:rsidRPr="00874BFF">
        <w:t>Table 4</w:t>
      </w:r>
      <w:r w:rsidR="00001EEF">
        <w:t>4</w:t>
      </w:r>
      <w:r w:rsidRPr="00874BFF">
        <w:t xml:space="preserve">: </w:t>
      </w:r>
      <w:r w:rsidR="00001EEF">
        <w:t>Typ of respondends</w:t>
      </w:r>
    </w:p>
    <w:tbl>
      <w:tblPr>
        <w:tblW w:w="3310" w:type="dxa"/>
        <w:tblInd w:w="55" w:type="dxa"/>
        <w:tblCellMar>
          <w:left w:w="70" w:type="dxa"/>
          <w:right w:w="70" w:type="dxa"/>
        </w:tblCellMar>
        <w:tblLook w:val="00A0" w:firstRow="1" w:lastRow="0" w:firstColumn="1" w:lastColumn="0" w:noHBand="0" w:noVBand="0"/>
      </w:tblPr>
      <w:tblGrid>
        <w:gridCol w:w="1387"/>
        <w:gridCol w:w="963"/>
        <w:gridCol w:w="960"/>
      </w:tblGrid>
      <w:tr w:rsidR="006D3AD5" w:rsidRPr="00874BFF" w14:paraId="2B2C45F9" w14:textId="77777777" w:rsidTr="00443B8F">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14:paraId="70919297"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 xml:space="preserve">Respondents' composition </w:t>
            </w:r>
            <w:r w:rsidRPr="00874BFF">
              <w:rPr>
                <w:b/>
                <w:sz w:val="20"/>
              </w:rPr>
              <w:lastRenderedPageBreak/>
              <w:t>by size of companies</w:t>
            </w:r>
          </w:p>
        </w:tc>
        <w:tc>
          <w:tcPr>
            <w:tcW w:w="963" w:type="dxa"/>
            <w:tcBorders>
              <w:top w:val="single" w:sz="4" w:space="0" w:color="auto"/>
              <w:left w:val="nil"/>
              <w:bottom w:val="single" w:sz="4" w:space="0" w:color="auto"/>
              <w:right w:val="single" w:sz="4" w:space="0" w:color="auto"/>
            </w:tcBorders>
            <w:noWrap/>
            <w:vAlign w:val="bottom"/>
          </w:tcPr>
          <w:p w14:paraId="1BB19C73" w14:textId="77777777" w:rsidR="006D3AD5" w:rsidRPr="00874BFF" w:rsidRDefault="006D3AD5" w:rsidP="00443B8F">
            <w:pPr>
              <w:overflowPunct/>
              <w:autoSpaceDE/>
              <w:autoSpaceDN/>
              <w:adjustRightInd/>
              <w:jc w:val="left"/>
              <w:textAlignment w:val="auto"/>
              <w:rPr>
                <w:rFonts w:cs="Arial"/>
                <w:sz w:val="20"/>
              </w:rPr>
            </w:pPr>
            <w:r w:rsidRPr="00874BFF">
              <w:rPr>
                <w:sz w:val="20"/>
              </w:rPr>
              <w:lastRenderedPageBreak/>
              <w:t>Number of responses</w:t>
            </w:r>
          </w:p>
        </w:tc>
        <w:tc>
          <w:tcPr>
            <w:tcW w:w="960" w:type="dxa"/>
            <w:tcBorders>
              <w:top w:val="single" w:sz="4" w:space="0" w:color="auto"/>
              <w:left w:val="nil"/>
              <w:bottom w:val="single" w:sz="4" w:space="0" w:color="auto"/>
              <w:right w:val="single" w:sz="4" w:space="0" w:color="auto"/>
            </w:tcBorders>
            <w:noWrap/>
            <w:vAlign w:val="bottom"/>
          </w:tcPr>
          <w:p w14:paraId="07CBA958"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4D258EAA"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5C85335A" w14:textId="77777777" w:rsidR="006D3AD5" w:rsidRPr="00874BFF" w:rsidRDefault="006D3AD5" w:rsidP="00443B8F">
            <w:pPr>
              <w:overflowPunct/>
              <w:autoSpaceDE/>
              <w:autoSpaceDN/>
              <w:adjustRightInd/>
              <w:jc w:val="left"/>
              <w:textAlignment w:val="auto"/>
              <w:rPr>
                <w:rFonts w:cs="Arial"/>
                <w:sz w:val="20"/>
              </w:rPr>
            </w:pPr>
            <w:r w:rsidRPr="00874BFF">
              <w:rPr>
                <w:sz w:val="20"/>
              </w:rPr>
              <w:lastRenderedPageBreak/>
              <w:t>Small enterprises</w:t>
            </w:r>
          </w:p>
        </w:tc>
        <w:tc>
          <w:tcPr>
            <w:tcW w:w="963" w:type="dxa"/>
            <w:tcBorders>
              <w:top w:val="nil"/>
              <w:left w:val="nil"/>
              <w:bottom w:val="single" w:sz="4" w:space="0" w:color="auto"/>
              <w:right w:val="single" w:sz="4" w:space="0" w:color="auto"/>
            </w:tcBorders>
            <w:noWrap/>
            <w:vAlign w:val="bottom"/>
          </w:tcPr>
          <w:p w14:paraId="7D0FF1FD" w14:textId="77777777" w:rsidR="006D3AD5" w:rsidRPr="00874BFF" w:rsidRDefault="006D3AD5" w:rsidP="00443B8F">
            <w:pPr>
              <w:overflowPunct/>
              <w:autoSpaceDE/>
              <w:autoSpaceDN/>
              <w:adjustRightInd/>
              <w:jc w:val="right"/>
              <w:textAlignment w:val="auto"/>
              <w:rPr>
                <w:rFonts w:cs="Arial"/>
                <w:sz w:val="20"/>
              </w:rPr>
            </w:pPr>
            <w:r w:rsidRPr="00874BFF">
              <w:rPr>
                <w:sz w:val="20"/>
              </w:rPr>
              <w:t>111</w:t>
            </w:r>
          </w:p>
        </w:tc>
        <w:tc>
          <w:tcPr>
            <w:tcW w:w="960" w:type="dxa"/>
            <w:tcBorders>
              <w:top w:val="nil"/>
              <w:left w:val="nil"/>
              <w:bottom w:val="single" w:sz="4" w:space="0" w:color="auto"/>
              <w:right w:val="single" w:sz="4" w:space="0" w:color="auto"/>
            </w:tcBorders>
            <w:noWrap/>
            <w:vAlign w:val="bottom"/>
          </w:tcPr>
          <w:p w14:paraId="67C35F22" w14:textId="77777777" w:rsidR="006D3AD5" w:rsidRPr="00874BFF" w:rsidRDefault="006D3AD5" w:rsidP="00443B8F">
            <w:pPr>
              <w:overflowPunct/>
              <w:autoSpaceDE/>
              <w:autoSpaceDN/>
              <w:adjustRightInd/>
              <w:jc w:val="right"/>
              <w:textAlignment w:val="auto"/>
              <w:rPr>
                <w:rFonts w:cs="Arial"/>
                <w:sz w:val="20"/>
              </w:rPr>
            </w:pPr>
            <w:r w:rsidRPr="00874BFF">
              <w:rPr>
                <w:sz w:val="20"/>
              </w:rPr>
              <w:t>47.2%</w:t>
            </w:r>
          </w:p>
        </w:tc>
      </w:tr>
      <w:tr w:rsidR="006D3AD5" w:rsidRPr="00874BFF" w14:paraId="524DBC29"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34DEFE81" w14:textId="77777777" w:rsidR="006D3AD5" w:rsidRPr="00874BFF" w:rsidRDefault="006D3AD5" w:rsidP="00443B8F">
            <w:pPr>
              <w:overflowPunct/>
              <w:autoSpaceDE/>
              <w:autoSpaceDN/>
              <w:adjustRightInd/>
              <w:jc w:val="left"/>
              <w:textAlignment w:val="auto"/>
              <w:rPr>
                <w:rFonts w:cs="Arial"/>
                <w:sz w:val="20"/>
              </w:rPr>
            </w:pPr>
            <w:r w:rsidRPr="00874BFF">
              <w:rPr>
                <w:sz w:val="20"/>
              </w:rPr>
              <w:t>Micro-enterprises</w:t>
            </w:r>
          </w:p>
        </w:tc>
        <w:tc>
          <w:tcPr>
            <w:tcW w:w="963" w:type="dxa"/>
            <w:tcBorders>
              <w:top w:val="nil"/>
              <w:left w:val="nil"/>
              <w:bottom w:val="single" w:sz="4" w:space="0" w:color="auto"/>
              <w:right w:val="single" w:sz="4" w:space="0" w:color="auto"/>
            </w:tcBorders>
            <w:noWrap/>
            <w:vAlign w:val="bottom"/>
          </w:tcPr>
          <w:p w14:paraId="69D6602B" w14:textId="77777777" w:rsidR="006D3AD5" w:rsidRPr="00874BFF" w:rsidRDefault="006D3AD5" w:rsidP="00443B8F">
            <w:pPr>
              <w:overflowPunct/>
              <w:autoSpaceDE/>
              <w:autoSpaceDN/>
              <w:adjustRightInd/>
              <w:jc w:val="right"/>
              <w:textAlignment w:val="auto"/>
              <w:rPr>
                <w:rFonts w:cs="Arial"/>
                <w:sz w:val="20"/>
              </w:rPr>
            </w:pPr>
            <w:r w:rsidRPr="00874BFF">
              <w:rPr>
                <w:sz w:val="20"/>
              </w:rPr>
              <w:t>46</w:t>
            </w:r>
          </w:p>
        </w:tc>
        <w:tc>
          <w:tcPr>
            <w:tcW w:w="960" w:type="dxa"/>
            <w:tcBorders>
              <w:top w:val="nil"/>
              <w:left w:val="nil"/>
              <w:bottom w:val="single" w:sz="4" w:space="0" w:color="auto"/>
              <w:right w:val="single" w:sz="4" w:space="0" w:color="auto"/>
            </w:tcBorders>
            <w:noWrap/>
            <w:vAlign w:val="bottom"/>
          </w:tcPr>
          <w:p w14:paraId="6034527F" w14:textId="77777777" w:rsidR="006D3AD5" w:rsidRPr="00874BFF" w:rsidRDefault="006D3AD5" w:rsidP="00443B8F">
            <w:pPr>
              <w:overflowPunct/>
              <w:autoSpaceDE/>
              <w:autoSpaceDN/>
              <w:adjustRightInd/>
              <w:jc w:val="right"/>
              <w:textAlignment w:val="auto"/>
              <w:rPr>
                <w:rFonts w:cs="Arial"/>
                <w:sz w:val="20"/>
              </w:rPr>
            </w:pPr>
            <w:r w:rsidRPr="00874BFF">
              <w:rPr>
                <w:sz w:val="20"/>
              </w:rPr>
              <w:t>19.6%</w:t>
            </w:r>
          </w:p>
        </w:tc>
      </w:tr>
      <w:tr w:rsidR="006D3AD5" w:rsidRPr="00874BFF" w14:paraId="15E50381"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0B384B90" w14:textId="77777777" w:rsidR="006D3AD5" w:rsidRPr="00874BFF" w:rsidRDefault="006D3AD5" w:rsidP="00443B8F">
            <w:pPr>
              <w:overflowPunct/>
              <w:autoSpaceDE/>
              <w:autoSpaceDN/>
              <w:adjustRightInd/>
              <w:jc w:val="left"/>
              <w:textAlignment w:val="auto"/>
              <w:rPr>
                <w:rFonts w:cs="Arial"/>
                <w:sz w:val="20"/>
              </w:rPr>
            </w:pPr>
            <w:r w:rsidRPr="00874BFF">
              <w:rPr>
                <w:sz w:val="20"/>
              </w:rPr>
              <w:t>Medium sized enterprises</w:t>
            </w:r>
          </w:p>
        </w:tc>
        <w:tc>
          <w:tcPr>
            <w:tcW w:w="963" w:type="dxa"/>
            <w:tcBorders>
              <w:top w:val="nil"/>
              <w:left w:val="nil"/>
              <w:bottom w:val="single" w:sz="4" w:space="0" w:color="auto"/>
              <w:right w:val="single" w:sz="4" w:space="0" w:color="auto"/>
            </w:tcBorders>
            <w:noWrap/>
            <w:vAlign w:val="bottom"/>
          </w:tcPr>
          <w:p w14:paraId="09B77E8D" w14:textId="77777777" w:rsidR="006D3AD5" w:rsidRPr="00874BFF" w:rsidRDefault="006D3AD5" w:rsidP="00443B8F">
            <w:pPr>
              <w:overflowPunct/>
              <w:autoSpaceDE/>
              <w:autoSpaceDN/>
              <w:adjustRightInd/>
              <w:jc w:val="right"/>
              <w:textAlignment w:val="auto"/>
              <w:rPr>
                <w:rFonts w:cs="Arial"/>
                <w:sz w:val="20"/>
              </w:rPr>
            </w:pPr>
            <w:r w:rsidRPr="00874BFF">
              <w:rPr>
                <w:sz w:val="20"/>
              </w:rPr>
              <w:t>78</w:t>
            </w:r>
          </w:p>
        </w:tc>
        <w:tc>
          <w:tcPr>
            <w:tcW w:w="960" w:type="dxa"/>
            <w:tcBorders>
              <w:top w:val="nil"/>
              <w:left w:val="nil"/>
              <w:bottom w:val="single" w:sz="4" w:space="0" w:color="auto"/>
              <w:right w:val="single" w:sz="4" w:space="0" w:color="auto"/>
            </w:tcBorders>
            <w:noWrap/>
            <w:vAlign w:val="bottom"/>
          </w:tcPr>
          <w:p w14:paraId="5F7E9347" w14:textId="77777777" w:rsidR="006D3AD5" w:rsidRPr="00874BFF" w:rsidRDefault="006D3AD5" w:rsidP="00443B8F">
            <w:pPr>
              <w:overflowPunct/>
              <w:autoSpaceDE/>
              <w:autoSpaceDN/>
              <w:adjustRightInd/>
              <w:jc w:val="right"/>
              <w:textAlignment w:val="auto"/>
              <w:rPr>
                <w:rFonts w:cs="Arial"/>
                <w:sz w:val="20"/>
              </w:rPr>
            </w:pPr>
            <w:r w:rsidRPr="00874BFF">
              <w:rPr>
                <w:sz w:val="20"/>
              </w:rPr>
              <w:t>33.2%</w:t>
            </w:r>
          </w:p>
        </w:tc>
      </w:tr>
      <w:tr w:rsidR="006D3AD5" w:rsidRPr="00874BFF" w14:paraId="584AC0FB" w14:textId="77777777" w:rsidTr="00443B8F">
        <w:trPr>
          <w:trHeight w:val="255"/>
        </w:trPr>
        <w:tc>
          <w:tcPr>
            <w:tcW w:w="1387" w:type="dxa"/>
            <w:tcBorders>
              <w:top w:val="nil"/>
              <w:left w:val="nil"/>
              <w:bottom w:val="nil"/>
              <w:right w:val="nil"/>
            </w:tcBorders>
            <w:noWrap/>
            <w:vAlign w:val="bottom"/>
          </w:tcPr>
          <w:p w14:paraId="0DC4373F"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3B881506" w14:textId="77777777" w:rsidR="006D3AD5" w:rsidRPr="00874BFF" w:rsidRDefault="006D3AD5" w:rsidP="00443B8F">
            <w:pPr>
              <w:overflowPunct/>
              <w:autoSpaceDE/>
              <w:autoSpaceDN/>
              <w:adjustRightInd/>
              <w:jc w:val="left"/>
              <w:textAlignment w:val="auto"/>
              <w:rPr>
                <w:rFonts w:cs="Arial"/>
                <w:sz w:val="20"/>
              </w:rPr>
            </w:pPr>
            <w:r w:rsidRPr="00874BFF">
              <w:rPr>
                <w:sz w:val="20"/>
              </w:rPr>
              <w:t>235</w:t>
            </w:r>
          </w:p>
        </w:tc>
        <w:tc>
          <w:tcPr>
            <w:tcW w:w="960" w:type="dxa"/>
            <w:tcBorders>
              <w:top w:val="nil"/>
              <w:left w:val="nil"/>
              <w:bottom w:val="nil"/>
              <w:right w:val="nil"/>
            </w:tcBorders>
            <w:noWrap/>
            <w:vAlign w:val="bottom"/>
          </w:tcPr>
          <w:p w14:paraId="6E9B564D" w14:textId="77777777" w:rsidR="006D3AD5" w:rsidRPr="00874BFF" w:rsidRDefault="006D3AD5" w:rsidP="00443B8F">
            <w:pPr>
              <w:overflowPunct/>
              <w:autoSpaceDE/>
              <w:autoSpaceDN/>
              <w:adjustRightInd/>
              <w:jc w:val="left"/>
              <w:textAlignment w:val="auto"/>
              <w:rPr>
                <w:rFonts w:cs="Arial"/>
                <w:sz w:val="20"/>
              </w:rPr>
            </w:pPr>
          </w:p>
        </w:tc>
      </w:tr>
    </w:tbl>
    <w:p w14:paraId="46DA4482" w14:textId="77777777" w:rsidR="006D3AD5" w:rsidRPr="00874BFF" w:rsidRDefault="006D3AD5" w:rsidP="006D3AD5"/>
    <w:p w14:paraId="3E831B93" w14:textId="77777777" w:rsidR="006D3AD5" w:rsidRPr="00874BFF" w:rsidRDefault="006D3AD5" w:rsidP="006D3AD5">
      <w:r w:rsidRPr="00874BFF">
        <w:t>More than 66 % of the respondents planning to invest in their own real estates were small companies and micro-companies.</w:t>
      </w:r>
    </w:p>
    <w:p w14:paraId="46C5A2E7" w14:textId="601C1F16" w:rsidR="006D3AD5" w:rsidRPr="00874BFF" w:rsidRDefault="006D3AD5" w:rsidP="006D3AD5">
      <w:pPr>
        <w:pStyle w:val="Titulek"/>
      </w:pPr>
      <w:r w:rsidRPr="00874BFF">
        <w:t>Table 4</w:t>
      </w:r>
      <w:r w:rsidR="00001EEF">
        <w:t>5</w:t>
      </w:r>
      <w:r w:rsidRPr="00874BFF">
        <w:t>: Business stages</w:t>
      </w:r>
    </w:p>
    <w:tbl>
      <w:tblPr>
        <w:tblW w:w="6021" w:type="dxa"/>
        <w:tblInd w:w="55" w:type="dxa"/>
        <w:tblCellMar>
          <w:left w:w="70" w:type="dxa"/>
          <w:right w:w="70" w:type="dxa"/>
        </w:tblCellMar>
        <w:tblLook w:val="00A0" w:firstRow="1" w:lastRow="0" w:firstColumn="1" w:lastColumn="0" w:noHBand="0" w:noVBand="0"/>
      </w:tblPr>
      <w:tblGrid>
        <w:gridCol w:w="4098"/>
        <w:gridCol w:w="963"/>
        <w:gridCol w:w="960"/>
      </w:tblGrid>
      <w:tr w:rsidR="006D3AD5" w:rsidRPr="00874BFF" w14:paraId="4C8C63A2" w14:textId="77777777" w:rsidTr="00443B8F">
        <w:trPr>
          <w:trHeight w:val="255"/>
        </w:trPr>
        <w:tc>
          <w:tcPr>
            <w:tcW w:w="4098" w:type="dxa"/>
            <w:tcBorders>
              <w:top w:val="single" w:sz="4" w:space="0" w:color="auto"/>
              <w:left w:val="single" w:sz="4" w:space="0" w:color="auto"/>
              <w:bottom w:val="single" w:sz="4" w:space="0" w:color="auto"/>
              <w:right w:val="single" w:sz="4" w:space="0" w:color="auto"/>
            </w:tcBorders>
            <w:noWrap/>
            <w:vAlign w:val="bottom"/>
          </w:tcPr>
          <w:p w14:paraId="27076338"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Business stages</w:t>
            </w:r>
          </w:p>
        </w:tc>
        <w:tc>
          <w:tcPr>
            <w:tcW w:w="963" w:type="dxa"/>
            <w:tcBorders>
              <w:top w:val="single" w:sz="4" w:space="0" w:color="auto"/>
              <w:left w:val="nil"/>
              <w:bottom w:val="single" w:sz="4" w:space="0" w:color="auto"/>
              <w:right w:val="single" w:sz="4" w:space="0" w:color="auto"/>
            </w:tcBorders>
            <w:noWrap/>
            <w:vAlign w:val="bottom"/>
          </w:tcPr>
          <w:p w14:paraId="61761304"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09C458B9"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14092368" w14:textId="77777777" w:rsidTr="00443B8F">
        <w:trPr>
          <w:trHeight w:val="255"/>
        </w:trPr>
        <w:tc>
          <w:tcPr>
            <w:tcW w:w="4098" w:type="dxa"/>
            <w:tcBorders>
              <w:top w:val="nil"/>
              <w:left w:val="single" w:sz="4" w:space="0" w:color="auto"/>
              <w:bottom w:val="single" w:sz="4" w:space="0" w:color="auto"/>
              <w:right w:val="single" w:sz="4" w:space="0" w:color="auto"/>
            </w:tcBorders>
            <w:noWrap/>
            <w:vAlign w:val="bottom"/>
          </w:tcPr>
          <w:p w14:paraId="40D7210F"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Initial stage: post-creation, seed, start-up</w:t>
            </w:r>
          </w:p>
        </w:tc>
        <w:tc>
          <w:tcPr>
            <w:tcW w:w="963" w:type="dxa"/>
            <w:tcBorders>
              <w:top w:val="nil"/>
              <w:left w:val="nil"/>
              <w:bottom w:val="single" w:sz="4" w:space="0" w:color="auto"/>
              <w:right w:val="single" w:sz="4" w:space="0" w:color="auto"/>
            </w:tcBorders>
            <w:noWrap/>
            <w:vAlign w:val="bottom"/>
          </w:tcPr>
          <w:p w14:paraId="181C02CF" w14:textId="77777777" w:rsidR="006D3AD5" w:rsidRPr="00874BFF" w:rsidRDefault="006D3AD5" w:rsidP="00443B8F">
            <w:pPr>
              <w:overflowPunct/>
              <w:autoSpaceDE/>
              <w:autoSpaceDN/>
              <w:adjustRightInd/>
              <w:jc w:val="right"/>
              <w:textAlignment w:val="auto"/>
              <w:rPr>
                <w:rFonts w:cs="Arial"/>
                <w:sz w:val="20"/>
              </w:rPr>
            </w:pPr>
            <w:r w:rsidRPr="00874BFF">
              <w:rPr>
                <w:sz w:val="20"/>
              </w:rPr>
              <w:t>9</w:t>
            </w:r>
          </w:p>
        </w:tc>
        <w:tc>
          <w:tcPr>
            <w:tcW w:w="960" w:type="dxa"/>
            <w:tcBorders>
              <w:top w:val="nil"/>
              <w:left w:val="nil"/>
              <w:bottom w:val="single" w:sz="4" w:space="0" w:color="auto"/>
              <w:right w:val="single" w:sz="4" w:space="0" w:color="auto"/>
            </w:tcBorders>
            <w:noWrap/>
            <w:vAlign w:val="bottom"/>
          </w:tcPr>
          <w:p w14:paraId="05A4882F" w14:textId="77777777" w:rsidR="006D3AD5" w:rsidRPr="00874BFF" w:rsidRDefault="006D3AD5" w:rsidP="00443B8F">
            <w:pPr>
              <w:overflowPunct/>
              <w:autoSpaceDE/>
              <w:autoSpaceDN/>
              <w:adjustRightInd/>
              <w:jc w:val="right"/>
              <w:textAlignment w:val="auto"/>
              <w:rPr>
                <w:rFonts w:cs="Arial"/>
                <w:sz w:val="20"/>
              </w:rPr>
            </w:pPr>
            <w:r w:rsidRPr="00874BFF">
              <w:rPr>
                <w:sz w:val="20"/>
              </w:rPr>
              <w:t>3.9%</w:t>
            </w:r>
          </w:p>
        </w:tc>
      </w:tr>
      <w:tr w:rsidR="006D3AD5" w:rsidRPr="00874BFF" w14:paraId="640C2D50" w14:textId="77777777" w:rsidTr="00443B8F">
        <w:trPr>
          <w:trHeight w:val="255"/>
        </w:trPr>
        <w:tc>
          <w:tcPr>
            <w:tcW w:w="4098" w:type="dxa"/>
            <w:tcBorders>
              <w:top w:val="nil"/>
              <w:left w:val="single" w:sz="4" w:space="0" w:color="auto"/>
              <w:bottom w:val="single" w:sz="4" w:space="0" w:color="auto"/>
              <w:right w:val="single" w:sz="4" w:space="0" w:color="auto"/>
            </w:tcBorders>
            <w:noWrap/>
            <w:vAlign w:val="bottom"/>
          </w:tcPr>
          <w:p w14:paraId="3DA00654" w14:textId="77777777" w:rsidR="006D3AD5" w:rsidRPr="00874BFF" w:rsidRDefault="006D3AD5" w:rsidP="00443B8F">
            <w:pPr>
              <w:overflowPunct/>
              <w:autoSpaceDE/>
              <w:autoSpaceDN/>
              <w:adjustRightInd/>
              <w:jc w:val="left"/>
              <w:textAlignment w:val="auto"/>
              <w:rPr>
                <w:rFonts w:cs="Arial"/>
                <w:sz w:val="20"/>
              </w:rPr>
            </w:pPr>
            <w:r w:rsidRPr="00874BFF">
              <w:rPr>
                <w:sz w:val="20"/>
              </w:rPr>
              <w:t>Growth stage (expansion)</w:t>
            </w:r>
          </w:p>
        </w:tc>
        <w:tc>
          <w:tcPr>
            <w:tcW w:w="963" w:type="dxa"/>
            <w:tcBorders>
              <w:top w:val="nil"/>
              <w:left w:val="nil"/>
              <w:bottom w:val="single" w:sz="4" w:space="0" w:color="auto"/>
              <w:right w:val="single" w:sz="4" w:space="0" w:color="auto"/>
            </w:tcBorders>
            <w:noWrap/>
            <w:vAlign w:val="bottom"/>
          </w:tcPr>
          <w:p w14:paraId="3F1F8B2C" w14:textId="77777777" w:rsidR="006D3AD5" w:rsidRPr="00874BFF" w:rsidRDefault="006D3AD5" w:rsidP="00443B8F">
            <w:pPr>
              <w:overflowPunct/>
              <w:autoSpaceDE/>
              <w:autoSpaceDN/>
              <w:adjustRightInd/>
              <w:jc w:val="right"/>
              <w:textAlignment w:val="auto"/>
              <w:rPr>
                <w:rFonts w:cs="Arial"/>
                <w:sz w:val="20"/>
              </w:rPr>
            </w:pPr>
            <w:r w:rsidRPr="00874BFF">
              <w:rPr>
                <w:sz w:val="20"/>
              </w:rPr>
              <w:t>171</w:t>
            </w:r>
          </w:p>
        </w:tc>
        <w:tc>
          <w:tcPr>
            <w:tcW w:w="960" w:type="dxa"/>
            <w:tcBorders>
              <w:top w:val="nil"/>
              <w:left w:val="nil"/>
              <w:bottom w:val="single" w:sz="4" w:space="0" w:color="auto"/>
              <w:right w:val="single" w:sz="4" w:space="0" w:color="auto"/>
            </w:tcBorders>
            <w:noWrap/>
            <w:vAlign w:val="bottom"/>
          </w:tcPr>
          <w:p w14:paraId="382AFBD7" w14:textId="77777777" w:rsidR="006D3AD5" w:rsidRPr="00874BFF" w:rsidRDefault="006D3AD5" w:rsidP="00443B8F">
            <w:pPr>
              <w:overflowPunct/>
              <w:autoSpaceDE/>
              <w:autoSpaceDN/>
              <w:adjustRightInd/>
              <w:jc w:val="right"/>
              <w:textAlignment w:val="auto"/>
              <w:rPr>
                <w:rFonts w:cs="Arial"/>
                <w:sz w:val="20"/>
              </w:rPr>
            </w:pPr>
            <w:r w:rsidRPr="00874BFF">
              <w:rPr>
                <w:sz w:val="20"/>
              </w:rPr>
              <w:t>73.7%</w:t>
            </w:r>
          </w:p>
        </w:tc>
      </w:tr>
      <w:tr w:rsidR="006D3AD5" w:rsidRPr="00874BFF" w14:paraId="3B1A4798" w14:textId="77777777" w:rsidTr="00443B8F">
        <w:trPr>
          <w:trHeight w:val="255"/>
        </w:trPr>
        <w:tc>
          <w:tcPr>
            <w:tcW w:w="4098" w:type="dxa"/>
            <w:tcBorders>
              <w:top w:val="nil"/>
              <w:left w:val="single" w:sz="4" w:space="0" w:color="auto"/>
              <w:bottom w:val="single" w:sz="4" w:space="0" w:color="auto"/>
              <w:right w:val="single" w:sz="4" w:space="0" w:color="auto"/>
            </w:tcBorders>
            <w:noWrap/>
            <w:vAlign w:val="bottom"/>
          </w:tcPr>
          <w:p w14:paraId="42333778" w14:textId="77777777" w:rsidR="006D3AD5" w:rsidRPr="00874BFF" w:rsidRDefault="006D3AD5" w:rsidP="00443B8F">
            <w:pPr>
              <w:overflowPunct/>
              <w:autoSpaceDE/>
              <w:autoSpaceDN/>
              <w:adjustRightInd/>
              <w:jc w:val="left"/>
              <w:textAlignment w:val="auto"/>
              <w:rPr>
                <w:rFonts w:cs="Arial"/>
                <w:sz w:val="20"/>
              </w:rPr>
            </w:pPr>
            <w:r w:rsidRPr="00874BFF">
              <w:rPr>
                <w:sz w:val="20"/>
              </w:rPr>
              <w:t>Stable stage: buyout or maturity</w:t>
            </w:r>
          </w:p>
        </w:tc>
        <w:tc>
          <w:tcPr>
            <w:tcW w:w="963" w:type="dxa"/>
            <w:tcBorders>
              <w:top w:val="nil"/>
              <w:left w:val="nil"/>
              <w:bottom w:val="single" w:sz="4" w:space="0" w:color="auto"/>
              <w:right w:val="single" w:sz="4" w:space="0" w:color="auto"/>
            </w:tcBorders>
            <w:noWrap/>
            <w:vAlign w:val="bottom"/>
          </w:tcPr>
          <w:p w14:paraId="41E3D587" w14:textId="77777777" w:rsidR="006D3AD5" w:rsidRPr="00874BFF" w:rsidRDefault="006D3AD5" w:rsidP="00443B8F">
            <w:pPr>
              <w:overflowPunct/>
              <w:autoSpaceDE/>
              <w:autoSpaceDN/>
              <w:adjustRightInd/>
              <w:jc w:val="right"/>
              <w:textAlignment w:val="auto"/>
              <w:rPr>
                <w:rFonts w:cs="Arial"/>
                <w:sz w:val="20"/>
              </w:rPr>
            </w:pPr>
            <w:r w:rsidRPr="00874BFF">
              <w:rPr>
                <w:sz w:val="20"/>
              </w:rPr>
              <w:t>34</w:t>
            </w:r>
          </w:p>
        </w:tc>
        <w:tc>
          <w:tcPr>
            <w:tcW w:w="960" w:type="dxa"/>
            <w:tcBorders>
              <w:top w:val="nil"/>
              <w:left w:val="nil"/>
              <w:bottom w:val="single" w:sz="4" w:space="0" w:color="auto"/>
              <w:right w:val="single" w:sz="4" w:space="0" w:color="auto"/>
            </w:tcBorders>
            <w:noWrap/>
            <w:vAlign w:val="bottom"/>
          </w:tcPr>
          <w:p w14:paraId="5C837B33" w14:textId="77777777" w:rsidR="006D3AD5" w:rsidRPr="00874BFF" w:rsidRDefault="006D3AD5" w:rsidP="00443B8F">
            <w:pPr>
              <w:overflowPunct/>
              <w:autoSpaceDE/>
              <w:autoSpaceDN/>
              <w:adjustRightInd/>
              <w:jc w:val="right"/>
              <w:textAlignment w:val="auto"/>
              <w:rPr>
                <w:rFonts w:cs="Arial"/>
                <w:sz w:val="20"/>
              </w:rPr>
            </w:pPr>
            <w:r w:rsidRPr="00874BFF">
              <w:rPr>
                <w:sz w:val="20"/>
              </w:rPr>
              <w:t>14.7%</w:t>
            </w:r>
          </w:p>
        </w:tc>
      </w:tr>
      <w:tr w:rsidR="006D3AD5" w:rsidRPr="00874BFF" w14:paraId="239D7D76" w14:textId="77777777" w:rsidTr="00443B8F">
        <w:trPr>
          <w:trHeight w:val="255"/>
        </w:trPr>
        <w:tc>
          <w:tcPr>
            <w:tcW w:w="4098" w:type="dxa"/>
            <w:tcBorders>
              <w:top w:val="nil"/>
              <w:left w:val="single" w:sz="4" w:space="0" w:color="auto"/>
              <w:bottom w:val="single" w:sz="4" w:space="0" w:color="auto"/>
              <w:right w:val="single" w:sz="4" w:space="0" w:color="auto"/>
            </w:tcBorders>
            <w:noWrap/>
            <w:vAlign w:val="bottom"/>
          </w:tcPr>
          <w:p w14:paraId="7A39538E" w14:textId="77777777" w:rsidR="006D3AD5" w:rsidRPr="00874BFF" w:rsidRDefault="006D3AD5" w:rsidP="00443B8F">
            <w:pPr>
              <w:overflowPunct/>
              <w:autoSpaceDE/>
              <w:autoSpaceDN/>
              <w:adjustRightInd/>
              <w:jc w:val="left"/>
              <w:textAlignment w:val="auto"/>
              <w:rPr>
                <w:rFonts w:cs="Arial"/>
                <w:sz w:val="20"/>
              </w:rPr>
            </w:pPr>
            <w:r w:rsidRPr="00874BFF">
              <w:rPr>
                <w:sz w:val="20"/>
              </w:rPr>
              <w:t>Renewal of activities (redeployment)</w:t>
            </w:r>
          </w:p>
        </w:tc>
        <w:tc>
          <w:tcPr>
            <w:tcW w:w="963" w:type="dxa"/>
            <w:tcBorders>
              <w:top w:val="nil"/>
              <w:left w:val="nil"/>
              <w:bottom w:val="single" w:sz="4" w:space="0" w:color="auto"/>
              <w:right w:val="single" w:sz="4" w:space="0" w:color="auto"/>
            </w:tcBorders>
            <w:noWrap/>
            <w:vAlign w:val="bottom"/>
          </w:tcPr>
          <w:p w14:paraId="0447576A" w14:textId="77777777" w:rsidR="006D3AD5" w:rsidRPr="00874BFF" w:rsidRDefault="006D3AD5" w:rsidP="00443B8F">
            <w:pPr>
              <w:overflowPunct/>
              <w:autoSpaceDE/>
              <w:autoSpaceDN/>
              <w:adjustRightInd/>
              <w:jc w:val="right"/>
              <w:textAlignment w:val="auto"/>
              <w:rPr>
                <w:rFonts w:cs="Arial"/>
                <w:sz w:val="20"/>
              </w:rPr>
            </w:pPr>
            <w:r w:rsidRPr="00874BFF">
              <w:rPr>
                <w:sz w:val="20"/>
              </w:rPr>
              <w:t>18</w:t>
            </w:r>
          </w:p>
        </w:tc>
        <w:tc>
          <w:tcPr>
            <w:tcW w:w="960" w:type="dxa"/>
            <w:tcBorders>
              <w:top w:val="nil"/>
              <w:left w:val="nil"/>
              <w:bottom w:val="single" w:sz="4" w:space="0" w:color="auto"/>
              <w:right w:val="single" w:sz="4" w:space="0" w:color="auto"/>
            </w:tcBorders>
            <w:noWrap/>
            <w:vAlign w:val="bottom"/>
          </w:tcPr>
          <w:p w14:paraId="3FF1357B" w14:textId="77777777" w:rsidR="006D3AD5" w:rsidRPr="00874BFF" w:rsidRDefault="006D3AD5" w:rsidP="00443B8F">
            <w:pPr>
              <w:overflowPunct/>
              <w:autoSpaceDE/>
              <w:autoSpaceDN/>
              <w:adjustRightInd/>
              <w:jc w:val="right"/>
              <w:textAlignment w:val="auto"/>
              <w:rPr>
                <w:rFonts w:cs="Arial"/>
                <w:sz w:val="20"/>
              </w:rPr>
            </w:pPr>
            <w:r w:rsidRPr="00874BFF">
              <w:rPr>
                <w:sz w:val="20"/>
              </w:rPr>
              <w:t>7.8%</w:t>
            </w:r>
          </w:p>
        </w:tc>
      </w:tr>
      <w:tr w:rsidR="006D3AD5" w:rsidRPr="00874BFF" w14:paraId="6EDF0CC3" w14:textId="77777777" w:rsidTr="00443B8F">
        <w:trPr>
          <w:trHeight w:val="255"/>
        </w:trPr>
        <w:tc>
          <w:tcPr>
            <w:tcW w:w="4098" w:type="dxa"/>
            <w:tcBorders>
              <w:top w:val="nil"/>
              <w:left w:val="nil"/>
              <w:bottom w:val="nil"/>
              <w:right w:val="nil"/>
            </w:tcBorders>
            <w:noWrap/>
            <w:vAlign w:val="bottom"/>
          </w:tcPr>
          <w:p w14:paraId="6BE2E02C"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79BEDCAF" w14:textId="77777777" w:rsidR="006D3AD5" w:rsidRPr="00874BFF" w:rsidRDefault="006D3AD5" w:rsidP="00443B8F">
            <w:pPr>
              <w:overflowPunct/>
              <w:autoSpaceDE/>
              <w:autoSpaceDN/>
              <w:adjustRightInd/>
              <w:jc w:val="left"/>
              <w:textAlignment w:val="auto"/>
              <w:rPr>
                <w:rFonts w:cs="Arial"/>
                <w:sz w:val="20"/>
              </w:rPr>
            </w:pPr>
            <w:r w:rsidRPr="00874BFF">
              <w:rPr>
                <w:sz w:val="20"/>
              </w:rPr>
              <w:t>232</w:t>
            </w:r>
          </w:p>
        </w:tc>
        <w:tc>
          <w:tcPr>
            <w:tcW w:w="960" w:type="dxa"/>
            <w:tcBorders>
              <w:top w:val="nil"/>
              <w:left w:val="nil"/>
              <w:bottom w:val="nil"/>
              <w:right w:val="nil"/>
            </w:tcBorders>
            <w:noWrap/>
            <w:vAlign w:val="bottom"/>
          </w:tcPr>
          <w:p w14:paraId="2A252A93" w14:textId="77777777" w:rsidR="006D3AD5" w:rsidRPr="00874BFF" w:rsidRDefault="006D3AD5" w:rsidP="00443B8F">
            <w:pPr>
              <w:overflowPunct/>
              <w:autoSpaceDE/>
              <w:autoSpaceDN/>
              <w:adjustRightInd/>
              <w:jc w:val="left"/>
              <w:textAlignment w:val="auto"/>
              <w:rPr>
                <w:rFonts w:cs="Arial"/>
                <w:sz w:val="20"/>
              </w:rPr>
            </w:pPr>
          </w:p>
        </w:tc>
      </w:tr>
    </w:tbl>
    <w:p w14:paraId="7DF979FD" w14:textId="77777777" w:rsidR="006D3AD5" w:rsidRPr="00874BFF" w:rsidRDefault="006D3AD5" w:rsidP="006D3AD5">
      <w:r w:rsidRPr="00874BFF">
        <w:t>The companies were mainly those established, with the median of 17 years of existence, most frequently at the growth stage, namely in 73.7 %.</w:t>
      </w:r>
    </w:p>
    <w:p w14:paraId="66C9E781" w14:textId="31E17C9D" w:rsidR="006D3AD5" w:rsidRPr="00874BFF" w:rsidRDefault="006D3AD5" w:rsidP="006D3AD5">
      <w:pPr>
        <w:pStyle w:val="Titulek"/>
      </w:pPr>
      <w:r w:rsidRPr="00874BFF">
        <w:t>Table 4</w:t>
      </w:r>
      <w:r w:rsidR="00001EEF">
        <w:t>6</w:t>
      </w:r>
      <w:r w:rsidRPr="00874BFF">
        <w:t>: SMEs' investments</w:t>
      </w:r>
    </w:p>
    <w:tbl>
      <w:tblPr>
        <w:tblW w:w="9422" w:type="dxa"/>
        <w:tblInd w:w="55" w:type="dxa"/>
        <w:tblCellMar>
          <w:left w:w="70" w:type="dxa"/>
          <w:right w:w="70" w:type="dxa"/>
        </w:tblCellMar>
        <w:tblLook w:val="00A0" w:firstRow="1" w:lastRow="0" w:firstColumn="1" w:lastColumn="0" w:noHBand="0" w:noVBand="0"/>
      </w:tblPr>
      <w:tblGrid>
        <w:gridCol w:w="6201"/>
        <w:gridCol w:w="1298"/>
        <w:gridCol w:w="963"/>
        <w:gridCol w:w="960"/>
      </w:tblGrid>
      <w:tr w:rsidR="006D3AD5" w:rsidRPr="00874BFF" w14:paraId="57B2A9E7" w14:textId="77777777" w:rsidTr="00443B8F">
        <w:trPr>
          <w:trHeight w:val="255"/>
        </w:trPr>
        <w:tc>
          <w:tcPr>
            <w:tcW w:w="7499" w:type="dxa"/>
            <w:gridSpan w:val="2"/>
            <w:tcBorders>
              <w:top w:val="single" w:sz="4" w:space="0" w:color="auto"/>
              <w:left w:val="single" w:sz="4" w:space="0" w:color="auto"/>
              <w:bottom w:val="single" w:sz="4" w:space="0" w:color="auto"/>
              <w:right w:val="single" w:sz="4" w:space="0" w:color="000000"/>
            </w:tcBorders>
            <w:noWrap/>
            <w:vAlign w:val="bottom"/>
          </w:tcPr>
          <w:p w14:paraId="6AC31ECC"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SMEs' investments</w:t>
            </w:r>
          </w:p>
        </w:tc>
        <w:tc>
          <w:tcPr>
            <w:tcW w:w="963" w:type="dxa"/>
            <w:tcBorders>
              <w:top w:val="single" w:sz="4" w:space="0" w:color="auto"/>
              <w:left w:val="nil"/>
              <w:bottom w:val="single" w:sz="4" w:space="0" w:color="auto"/>
              <w:right w:val="single" w:sz="4" w:space="0" w:color="auto"/>
            </w:tcBorders>
            <w:noWrap/>
            <w:vAlign w:val="bottom"/>
          </w:tcPr>
          <w:p w14:paraId="5A815744"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2EFDBFC5"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413BACA9" w14:textId="77777777" w:rsidTr="00443B8F">
        <w:trPr>
          <w:trHeight w:val="255"/>
        </w:trPr>
        <w:tc>
          <w:tcPr>
            <w:tcW w:w="6201" w:type="dxa"/>
            <w:vMerge w:val="restart"/>
            <w:tcBorders>
              <w:top w:val="nil"/>
              <w:left w:val="single" w:sz="4" w:space="0" w:color="auto"/>
              <w:bottom w:val="single" w:sz="4" w:space="0" w:color="auto"/>
              <w:right w:val="single" w:sz="4" w:space="0" w:color="auto"/>
            </w:tcBorders>
            <w:noWrap/>
            <w:vAlign w:val="bottom"/>
          </w:tcPr>
          <w:p w14:paraId="7C2CEBBD" w14:textId="77777777" w:rsidR="006D3AD5" w:rsidRPr="00874BFF" w:rsidRDefault="006D3AD5" w:rsidP="00443B8F">
            <w:pPr>
              <w:overflowPunct/>
              <w:autoSpaceDE/>
              <w:autoSpaceDN/>
              <w:adjustRightInd/>
              <w:jc w:val="left"/>
              <w:textAlignment w:val="auto"/>
              <w:rPr>
                <w:rFonts w:cs="Arial"/>
                <w:sz w:val="20"/>
              </w:rPr>
            </w:pPr>
            <w:r w:rsidRPr="00874BFF">
              <w:rPr>
                <w:sz w:val="20"/>
              </w:rPr>
              <w:t>Investments in the last three years</w:t>
            </w:r>
          </w:p>
        </w:tc>
        <w:tc>
          <w:tcPr>
            <w:tcW w:w="1298" w:type="dxa"/>
            <w:tcBorders>
              <w:top w:val="nil"/>
              <w:left w:val="nil"/>
              <w:bottom w:val="single" w:sz="4" w:space="0" w:color="auto"/>
              <w:right w:val="single" w:sz="4" w:space="0" w:color="auto"/>
            </w:tcBorders>
            <w:noWrap/>
            <w:vAlign w:val="bottom"/>
          </w:tcPr>
          <w:p w14:paraId="625CB648" w14:textId="77777777" w:rsidR="006D3AD5" w:rsidRPr="00874BFF" w:rsidRDefault="006D3AD5" w:rsidP="00443B8F">
            <w:pPr>
              <w:overflowPunct/>
              <w:autoSpaceDE/>
              <w:autoSpaceDN/>
              <w:adjustRightInd/>
              <w:jc w:val="left"/>
              <w:textAlignment w:val="auto"/>
              <w:rPr>
                <w:rFonts w:cs="Arial"/>
                <w:sz w:val="20"/>
              </w:rPr>
            </w:pPr>
            <w:r w:rsidRPr="00874BFF">
              <w:rPr>
                <w:sz w:val="20"/>
              </w:rPr>
              <w:t>up to CZK 10 million</w:t>
            </w:r>
          </w:p>
        </w:tc>
        <w:tc>
          <w:tcPr>
            <w:tcW w:w="963" w:type="dxa"/>
            <w:tcBorders>
              <w:top w:val="nil"/>
              <w:left w:val="nil"/>
              <w:bottom w:val="single" w:sz="4" w:space="0" w:color="auto"/>
              <w:right w:val="single" w:sz="4" w:space="0" w:color="auto"/>
            </w:tcBorders>
            <w:noWrap/>
            <w:vAlign w:val="bottom"/>
          </w:tcPr>
          <w:p w14:paraId="19C9D57B" w14:textId="77777777" w:rsidR="006D3AD5" w:rsidRPr="00874BFF" w:rsidRDefault="006D3AD5" w:rsidP="00443B8F">
            <w:pPr>
              <w:overflowPunct/>
              <w:autoSpaceDE/>
              <w:autoSpaceDN/>
              <w:adjustRightInd/>
              <w:jc w:val="right"/>
              <w:textAlignment w:val="auto"/>
              <w:rPr>
                <w:rFonts w:cs="Arial"/>
                <w:sz w:val="20"/>
              </w:rPr>
            </w:pPr>
            <w:r w:rsidRPr="00874BFF">
              <w:rPr>
                <w:sz w:val="20"/>
              </w:rPr>
              <w:t>100</w:t>
            </w:r>
          </w:p>
        </w:tc>
        <w:tc>
          <w:tcPr>
            <w:tcW w:w="960" w:type="dxa"/>
            <w:tcBorders>
              <w:top w:val="nil"/>
              <w:left w:val="nil"/>
              <w:bottom w:val="single" w:sz="4" w:space="0" w:color="auto"/>
              <w:right w:val="single" w:sz="4" w:space="0" w:color="auto"/>
            </w:tcBorders>
            <w:noWrap/>
            <w:vAlign w:val="bottom"/>
          </w:tcPr>
          <w:p w14:paraId="6F0F83AE" w14:textId="77777777" w:rsidR="006D3AD5" w:rsidRPr="00874BFF" w:rsidRDefault="006D3AD5" w:rsidP="00443B8F">
            <w:pPr>
              <w:overflowPunct/>
              <w:autoSpaceDE/>
              <w:autoSpaceDN/>
              <w:adjustRightInd/>
              <w:jc w:val="right"/>
              <w:textAlignment w:val="auto"/>
              <w:rPr>
                <w:rFonts w:cs="Arial"/>
                <w:sz w:val="20"/>
              </w:rPr>
            </w:pPr>
            <w:r w:rsidRPr="00874BFF">
              <w:rPr>
                <w:sz w:val="20"/>
              </w:rPr>
              <w:t>42.6%</w:t>
            </w:r>
          </w:p>
        </w:tc>
      </w:tr>
      <w:tr w:rsidR="006D3AD5" w:rsidRPr="00874BFF" w14:paraId="53673FD9" w14:textId="77777777" w:rsidTr="00443B8F">
        <w:trPr>
          <w:trHeight w:val="255"/>
        </w:trPr>
        <w:tc>
          <w:tcPr>
            <w:tcW w:w="6201" w:type="dxa"/>
            <w:vMerge/>
            <w:tcBorders>
              <w:top w:val="nil"/>
              <w:left w:val="single" w:sz="4" w:space="0" w:color="auto"/>
              <w:bottom w:val="single" w:sz="4" w:space="0" w:color="auto"/>
              <w:right w:val="single" w:sz="4" w:space="0" w:color="auto"/>
            </w:tcBorders>
            <w:vAlign w:val="center"/>
          </w:tcPr>
          <w:p w14:paraId="295BB260"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3DD6E4B1" w14:textId="77777777" w:rsidR="006D3AD5" w:rsidRPr="00874BFF" w:rsidRDefault="006D3AD5" w:rsidP="00443B8F">
            <w:pPr>
              <w:overflowPunct/>
              <w:autoSpaceDE/>
              <w:autoSpaceDN/>
              <w:adjustRightInd/>
              <w:jc w:val="left"/>
              <w:textAlignment w:val="auto"/>
              <w:rPr>
                <w:rFonts w:cs="Arial"/>
                <w:sz w:val="20"/>
              </w:rPr>
            </w:pPr>
            <w:r w:rsidRPr="00874BFF">
              <w:rPr>
                <w:sz w:val="20"/>
              </w:rPr>
              <w:t>CZK 10–30 million</w:t>
            </w:r>
          </w:p>
        </w:tc>
        <w:tc>
          <w:tcPr>
            <w:tcW w:w="963" w:type="dxa"/>
            <w:tcBorders>
              <w:top w:val="nil"/>
              <w:left w:val="nil"/>
              <w:bottom w:val="single" w:sz="4" w:space="0" w:color="auto"/>
              <w:right w:val="single" w:sz="4" w:space="0" w:color="auto"/>
            </w:tcBorders>
            <w:noWrap/>
            <w:vAlign w:val="bottom"/>
          </w:tcPr>
          <w:p w14:paraId="78102FA4" w14:textId="77777777" w:rsidR="006D3AD5" w:rsidRPr="00874BFF" w:rsidRDefault="006D3AD5" w:rsidP="00443B8F">
            <w:pPr>
              <w:overflowPunct/>
              <w:autoSpaceDE/>
              <w:autoSpaceDN/>
              <w:adjustRightInd/>
              <w:jc w:val="right"/>
              <w:textAlignment w:val="auto"/>
              <w:rPr>
                <w:rFonts w:cs="Arial"/>
                <w:sz w:val="20"/>
              </w:rPr>
            </w:pPr>
            <w:r w:rsidRPr="00874BFF">
              <w:rPr>
                <w:sz w:val="20"/>
              </w:rPr>
              <w:t>81</w:t>
            </w:r>
          </w:p>
        </w:tc>
        <w:tc>
          <w:tcPr>
            <w:tcW w:w="960" w:type="dxa"/>
            <w:tcBorders>
              <w:top w:val="nil"/>
              <w:left w:val="nil"/>
              <w:bottom w:val="single" w:sz="4" w:space="0" w:color="auto"/>
              <w:right w:val="single" w:sz="4" w:space="0" w:color="auto"/>
            </w:tcBorders>
            <w:noWrap/>
            <w:vAlign w:val="bottom"/>
          </w:tcPr>
          <w:p w14:paraId="2000A283" w14:textId="77777777" w:rsidR="006D3AD5" w:rsidRPr="00874BFF" w:rsidRDefault="006D3AD5" w:rsidP="00443B8F">
            <w:pPr>
              <w:overflowPunct/>
              <w:autoSpaceDE/>
              <w:autoSpaceDN/>
              <w:adjustRightInd/>
              <w:jc w:val="right"/>
              <w:textAlignment w:val="auto"/>
              <w:rPr>
                <w:rFonts w:cs="Arial"/>
                <w:sz w:val="20"/>
              </w:rPr>
            </w:pPr>
            <w:r w:rsidRPr="00874BFF">
              <w:rPr>
                <w:sz w:val="20"/>
              </w:rPr>
              <w:t>34.5%</w:t>
            </w:r>
          </w:p>
        </w:tc>
      </w:tr>
      <w:tr w:rsidR="006D3AD5" w:rsidRPr="00874BFF" w14:paraId="027B8ECA" w14:textId="77777777" w:rsidTr="00443B8F">
        <w:trPr>
          <w:trHeight w:val="255"/>
        </w:trPr>
        <w:tc>
          <w:tcPr>
            <w:tcW w:w="6201" w:type="dxa"/>
            <w:vMerge/>
            <w:tcBorders>
              <w:top w:val="nil"/>
              <w:left w:val="single" w:sz="4" w:space="0" w:color="auto"/>
              <w:bottom w:val="single" w:sz="4" w:space="0" w:color="auto"/>
              <w:right w:val="single" w:sz="4" w:space="0" w:color="auto"/>
            </w:tcBorders>
            <w:vAlign w:val="center"/>
          </w:tcPr>
          <w:p w14:paraId="3B0953E1"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6FE3B5BA" w14:textId="77777777" w:rsidR="006D3AD5" w:rsidRPr="00874BFF" w:rsidRDefault="006D3AD5" w:rsidP="00443B8F">
            <w:pPr>
              <w:overflowPunct/>
              <w:autoSpaceDE/>
              <w:autoSpaceDN/>
              <w:adjustRightInd/>
              <w:jc w:val="left"/>
              <w:textAlignment w:val="auto"/>
              <w:rPr>
                <w:rFonts w:cs="Arial"/>
                <w:sz w:val="20"/>
              </w:rPr>
            </w:pPr>
            <w:r w:rsidRPr="00874BFF">
              <w:rPr>
                <w:sz w:val="20"/>
              </w:rPr>
              <w:t>more than CZK 30 million</w:t>
            </w:r>
          </w:p>
        </w:tc>
        <w:tc>
          <w:tcPr>
            <w:tcW w:w="963" w:type="dxa"/>
            <w:tcBorders>
              <w:top w:val="nil"/>
              <w:left w:val="nil"/>
              <w:bottom w:val="single" w:sz="4" w:space="0" w:color="auto"/>
              <w:right w:val="single" w:sz="4" w:space="0" w:color="auto"/>
            </w:tcBorders>
            <w:noWrap/>
            <w:vAlign w:val="bottom"/>
          </w:tcPr>
          <w:p w14:paraId="0DBF9C5B" w14:textId="77777777" w:rsidR="006D3AD5" w:rsidRPr="00874BFF" w:rsidRDefault="006D3AD5" w:rsidP="00443B8F">
            <w:pPr>
              <w:overflowPunct/>
              <w:autoSpaceDE/>
              <w:autoSpaceDN/>
              <w:adjustRightInd/>
              <w:jc w:val="right"/>
              <w:textAlignment w:val="auto"/>
              <w:rPr>
                <w:rFonts w:cs="Arial"/>
                <w:sz w:val="20"/>
              </w:rPr>
            </w:pPr>
            <w:r w:rsidRPr="00874BFF">
              <w:rPr>
                <w:sz w:val="20"/>
              </w:rPr>
              <w:t>54</w:t>
            </w:r>
          </w:p>
        </w:tc>
        <w:tc>
          <w:tcPr>
            <w:tcW w:w="960" w:type="dxa"/>
            <w:tcBorders>
              <w:top w:val="nil"/>
              <w:left w:val="nil"/>
              <w:bottom w:val="single" w:sz="4" w:space="0" w:color="auto"/>
              <w:right w:val="single" w:sz="4" w:space="0" w:color="auto"/>
            </w:tcBorders>
            <w:noWrap/>
            <w:vAlign w:val="bottom"/>
          </w:tcPr>
          <w:p w14:paraId="0ADE053C" w14:textId="77777777" w:rsidR="006D3AD5" w:rsidRPr="00874BFF" w:rsidRDefault="006D3AD5" w:rsidP="00443B8F">
            <w:pPr>
              <w:overflowPunct/>
              <w:autoSpaceDE/>
              <w:autoSpaceDN/>
              <w:adjustRightInd/>
              <w:jc w:val="right"/>
              <w:textAlignment w:val="auto"/>
              <w:rPr>
                <w:rFonts w:cs="Arial"/>
                <w:sz w:val="20"/>
              </w:rPr>
            </w:pPr>
            <w:r w:rsidRPr="00874BFF">
              <w:rPr>
                <w:sz w:val="20"/>
              </w:rPr>
              <w:t>23.0%</w:t>
            </w:r>
          </w:p>
        </w:tc>
      </w:tr>
      <w:tr w:rsidR="006D3AD5" w:rsidRPr="00874BFF" w14:paraId="281F595D" w14:textId="77777777" w:rsidTr="00443B8F">
        <w:trPr>
          <w:trHeight w:val="255"/>
        </w:trPr>
        <w:tc>
          <w:tcPr>
            <w:tcW w:w="6201" w:type="dxa"/>
            <w:tcBorders>
              <w:top w:val="nil"/>
              <w:left w:val="nil"/>
              <w:bottom w:val="nil"/>
              <w:right w:val="nil"/>
            </w:tcBorders>
            <w:noWrap/>
            <w:vAlign w:val="bottom"/>
          </w:tcPr>
          <w:p w14:paraId="59219381"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298" w:type="dxa"/>
            <w:tcBorders>
              <w:top w:val="nil"/>
              <w:left w:val="nil"/>
              <w:bottom w:val="nil"/>
              <w:right w:val="nil"/>
            </w:tcBorders>
            <w:noWrap/>
            <w:vAlign w:val="bottom"/>
          </w:tcPr>
          <w:p w14:paraId="78249793" w14:textId="77777777" w:rsidR="006D3AD5" w:rsidRPr="00874BFF" w:rsidRDefault="006D3AD5" w:rsidP="00443B8F">
            <w:pPr>
              <w:overflowPunct/>
              <w:autoSpaceDE/>
              <w:autoSpaceDN/>
              <w:adjustRightInd/>
              <w:jc w:val="left"/>
              <w:textAlignment w:val="auto"/>
              <w:rPr>
                <w:rFonts w:cs="Arial"/>
                <w:sz w:val="20"/>
              </w:rPr>
            </w:pPr>
            <w:r w:rsidRPr="00874BFF">
              <w:rPr>
                <w:sz w:val="20"/>
              </w:rPr>
              <w:t>235</w:t>
            </w:r>
          </w:p>
        </w:tc>
        <w:tc>
          <w:tcPr>
            <w:tcW w:w="963" w:type="dxa"/>
            <w:tcBorders>
              <w:top w:val="nil"/>
              <w:left w:val="nil"/>
              <w:bottom w:val="single" w:sz="4" w:space="0" w:color="auto"/>
              <w:right w:val="nil"/>
            </w:tcBorders>
            <w:noWrap/>
            <w:vAlign w:val="bottom"/>
          </w:tcPr>
          <w:p w14:paraId="2ED7DFD5"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60" w:type="dxa"/>
            <w:tcBorders>
              <w:top w:val="nil"/>
              <w:left w:val="nil"/>
              <w:bottom w:val="single" w:sz="4" w:space="0" w:color="auto"/>
              <w:right w:val="nil"/>
            </w:tcBorders>
            <w:noWrap/>
            <w:vAlign w:val="bottom"/>
          </w:tcPr>
          <w:p w14:paraId="2AB2CAEB"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r>
      <w:tr w:rsidR="006D3AD5" w:rsidRPr="00874BFF" w14:paraId="0DFBFB26" w14:textId="77777777" w:rsidTr="00443B8F">
        <w:trPr>
          <w:trHeight w:val="255"/>
        </w:trPr>
        <w:tc>
          <w:tcPr>
            <w:tcW w:w="6201" w:type="dxa"/>
            <w:vMerge w:val="restart"/>
            <w:tcBorders>
              <w:top w:val="single" w:sz="4" w:space="0" w:color="auto"/>
              <w:left w:val="single" w:sz="4" w:space="0" w:color="auto"/>
              <w:bottom w:val="single" w:sz="4" w:space="0" w:color="auto"/>
              <w:right w:val="single" w:sz="4" w:space="0" w:color="auto"/>
            </w:tcBorders>
            <w:noWrap/>
            <w:vAlign w:val="bottom"/>
          </w:tcPr>
          <w:p w14:paraId="55B3FCE8" w14:textId="77777777" w:rsidR="006D3AD5" w:rsidRPr="00874BFF" w:rsidRDefault="006D3AD5" w:rsidP="00443B8F">
            <w:pPr>
              <w:overflowPunct/>
              <w:autoSpaceDE/>
              <w:autoSpaceDN/>
              <w:adjustRightInd/>
              <w:jc w:val="left"/>
              <w:textAlignment w:val="auto"/>
              <w:rPr>
                <w:rFonts w:cs="Arial"/>
                <w:sz w:val="20"/>
              </w:rPr>
            </w:pPr>
            <w:r w:rsidRPr="00874BFF">
              <w:rPr>
                <w:sz w:val="20"/>
              </w:rPr>
              <w:t xml:space="preserve">Planned investments in business real estates in the next three years </w:t>
            </w:r>
          </w:p>
        </w:tc>
        <w:tc>
          <w:tcPr>
            <w:tcW w:w="1298" w:type="dxa"/>
            <w:tcBorders>
              <w:top w:val="single" w:sz="4" w:space="0" w:color="auto"/>
              <w:left w:val="nil"/>
              <w:bottom w:val="single" w:sz="4" w:space="0" w:color="auto"/>
              <w:right w:val="single" w:sz="4" w:space="0" w:color="auto"/>
            </w:tcBorders>
            <w:noWrap/>
            <w:vAlign w:val="bottom"/>
          </w:tcPr>
          <w:p w14:paraId="74FA2BFE" w14:textId="77777777" w:rsidR="006D3AD5" w:rsidRPr="00874BFF" w:rsidRDefault="006D3AD5" w:rsidP="00443B8F">
            <w:pPr>
              <w:overflowPunct/>
              <w:autoSpaceDE/>
              <w:autoSpaceDN/>
              <w:adjustRightInd/>
              <w:jc w:val="left"/>
              <w:textAlignment w:val="auto"/>
              <w:rPr>
                <w:rFonts w:cs="Arial"/>
                <w:sz w:val="20"/>
              </w:rPr>
            </w:pPr>
            <w:r w:rsidRPr="00874BFF">
              <w:rPr>
                <w:sz w:val="20"/>
              </w:rPr>
              <w:t>up to CZK 10 million</w:t>
            </w:r>
          </w:p>
        </w:tc>
        <w:tc>
          <w:tcPr>
            <w:tcW w:w="963" w:type="dxa"/>
            <w:tcBorders>
              <w:top w:val="nil"/>
              <w:left w:val="nil"/>
              <w:bottom w:val="single" w:sz="4" w:space="0" w:color="auto"/>
              <w:right w:val="single" w:sz="4" w:space="0" w:color="auto"/>
            </w:tcBorders>
            <w:noWrap/>
            <w:vAlign w:val="bottom"/>
          </w:tcPr>
          <w:p w14:paraId="3C7695B3" w14:textId="77777777" w:rsidR="006D3AD5" w:rsidRPr="00874BFF" w:rsidRDefault="006D3AD5" w:rsidP="00443B8F">
            <w:pPr>
              <w:overflowPunct/>
              <w:autoSpaceDE/>
              <w:autoSpaceDN/>
              <w:adjustRightInd/>
              <w:jc w:val="right"/>
              <w:textAlignment w:val="auto"/>
              <w:rPr>
                <w:rFonts w:cs="Arial"/>
                <w:sz w:val="20"/>
              </w:rPr>
            </w:pPr>
            <w:r w:rsidRPr="00874BFF">
              <w:rPr>
                <w:sz w:val="20"/>
              </w:rPr>
              <w:t>142</w:t>
            </w:r>
          </w:p>
        </w:tc>
        <w:tc>
          <w:tcPr>
            <w:tcW w:w="960" w:type="dxa"/>
            <w:tcBorders>
              <w:top w:val="nil"/>
              <w:left w:val="nil"/>
              <w:bottom w:val="single" w:sz="4" w:space="0" w:color="auto"/>
              <w:right w:val="single" w:sz="4" w:space="0" w:color="auto"/>
            </w:tcBorders>
            <w:noWrap/>
            <w:vAlign w:val="bottom"/>
          </w:tcPr>
          <w:p w14:paraId="2C59D98F" w14:textId="77777777" w:rsidR="006D3AD5" w:rsidRPr="00874BFF" w:rsidRDefault="006D3AD5" w:rsidP="00443B8F">
            <w:pPr>
              <w:overflowPunct/>
              <w:autoSpaceDE/>
              <w:autoSpaceDN/>
              <w:adjustRightInd/>
              <w:jc w:val="right"/>
              <w:textAlignment w:val="auto"/>
              <w:rPr>
                <w:rFonts w:cs="Arial"/>
                <w:sz w:val="20"/>
              </w:rPr>
            </w:pPr>
            <w:r w:rsidRPr="00874BFF">
              <w:rPr>
                <w:sz w:val="20"/>
              </w:rPr>
              <w:t>60.4%</w:t>
            </w:r>
          </w:p>
        </w:tc>
      </w:tr>
      <w:tr w:rsidR="006D3AD5" w:rsidRPr="00874BFF" w14:paraId="54DA7AF7" w14:textId="77777777" w:rsidTr="00443B8F">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14:paraId="16DE9D20"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753E9091" w14:textId="77777777" w:rsidR="006D3AD5" w:rsidRPr="00874BFF" w:rsidRDefault="006D3AD5" w:rsidP="00443B8F">
            <w:pPr>
              <w:overflowPunct/>
              <w:autoSpaceDE/>
              <w:autoSpaceDN/>
              <w:adjustRightInd/>
              <w:jc w:val="left"/>
              <w:textAlignment w:val="auto"/>
              <w:rPr>
                <w:rFonts w:cs="Arial"/>
                <w:sz w:val="20"/>
              </w:rPr>
            </w:pPr>
            <w:r w:rsidRPr="00874BFF">
              <w:rPr>
                <w:sz w:val="20"/>
              </w:rPr>
              <w:t>CZK 10–30 million</w:t>
            </w:r>
          </w:p>
        </w:tc>
        <w:tc>
          <w:tcPr>
            <w:tcW w:w="963" w:type="dxa"/>
            <w:tcBorders>
              <w:top w:val="nil"/>
              <w:left w:val="nil"/>
              <w:bottom w:val="single" w:sz="4" w:space="0" w:color="auto"/>
              <w:right w:val="single" w:sz="4" w:space="0" w:color="auto"/>
            </w:tcBorders>
            <w:noWrap/>
            <w:vAlign w:val="bottom"/>
          </w:tcPr>
          <w:p w14:paraId="7C3CF080" w14:textId="77777777" w:rsidR="006D3AD5" w:rsidRPr="00874BFF" w:rsidRDefault="006D3AD5" w:rsidP="00443B8F">
            <w:pPr>
              <w:overflowPunct/>
              <w:autoSpaceDE/>
              <w:autoSpaceDN/>
              <w:adjustRightInd/>
              <w:jc w:val="right"/>
              <w:textAlignment w:val="auto"/>
              <w:rPr>
                <w:rFonts w:cs="Arial"/>
                <w:sz w:val="20"/>
              </w:rPr>
            </w:pPr>
            <w:r w:rsidRPr="00874BFF">
              <w:rPr>
                <w:sz w:val="20"/>
              </w:rPr>
              <w:t>73</w:t>
            </w:r>
          </w:p>
        </w:tc>
        <w:tc>
          <w:tcPr>
            <w:tcW w:w="960" w:type="dxa"/>
            <w:tcBorders>
              <w:top w:val="nil"/>
              <w:left w:val="nil"/>
              <w:bottom w:val="single" w:sz="4" w:space="0" w:color="auto"/>
              <w:right w:val="single" w:sz="4" w:space="0" w:color="auto"/>
            </w:tcBorders>
            <w:noWrap/>
            <w:vAlign w:val="bottom"/>
          </w:tcPr>
          <w:p w14:paraId="48E35902" w14:textId="77777777" w:rsidR="006D3AD5" w:rsidRPr="00874BFF" w:rsidRDefault="006D3AD5" w:rsidP="00443B8F">
            <w:pPr>
              <w:overflowPunct/>
              <w:autoSpaceDE/>
              <w:autoSpaceDN/>
              <w:adjustRightInd/>
              <w:jc w:val="right"/>
              <w:textAlignment w:val="auto"/>
              <w:rPr>
                <w:rFonts w:cs="Arial"/>
                <w:sz w:val="20"/>
              </w:rPr>
            </w:pPr>
            <w:r w:rsidRPr="00874BFF">
              <w:rPr>
                <w:sz w:val="20"/>
              </w:rPr>
              <w:t>31.1%</w:t>
            </w:r>
          </w:p>
        </w:tc>
      </w:tr>
      <w:tr w:rsidR="006D3AD5" w:rsidRPr="00874BFF" w14:paraId="68BABEFD" w14:textId="77777777" w:rsidTr="00443B8F">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14:paraId="5CAC3C61" w14:textId="77777777" w:rsidR="006D3AD5" w:rsidRPr="00874BFF"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56954F98" w14:textId="77777777" w:rsidR="006D3AD5" w:rsidRPr="00874BFF" w:rsidRDefault="006D3AD5" w:rsidP="00443B8F">
            <w:pPr>
              <w:overflowPunct/>
              <w:autoSpaceDE/>
              <w:autoSpaceDN/>
              <w:adjustRightInd/>
              <w:jc w:val="left"/>
              <w:textAlignment w:val="auto"/>
              <w:rPr>
                <w:rFonts w:cs="Arial"/>
                <w:sz w:val="20"/>
              </w:rPr>
            </w:pPr>
            <w:r w:rsidRPr="00874BFF">
              <w:rPr>
                <w:sz w:val="20"/>
              </w:rPr>
              <w:t>more than CZK 30 million</w:t>
            </w:r>
          </w:p>
        </w:tc>
        <w:tc>
          <w:tcPr>
            <w:tcW w:w="963" w:type="dxa"/>
            <w:tcBorders>
              <w:top w:val="nil"/>
              <w:left w:val="nil"/>
              <w:bottom w:val="single" w:sz="4" w:space="0" w:color="auto"/>
              <w:right w:val="single" w:sz="4" w:space="0" w:color="auto"/>
            </w:tcBorders>
            <w:noWrap/>
            <w:vAlign w:val="bottom"/>
          </w:tcPr>
          <w:p w14:paraId="391B6BD0" w14:textId="77777777" w:rsidR="006D3AD5" w:rsidRPr="00874BFF" w:rsidRDefault="006D3AD5" w:rsidP="00443B8F">
            <w:pPr>
              <w:overflowPunct/>
              <w:autoSpaceDE/>
              <w:autoSpaceDN/>
              <w:adjustRightInd/>
              <w:jc w:val="right"/>
              <w:textAlignment w:val="auto"/>
              <w:rPr>
                <w:rFonts w:cs="Arial"/>
                <w:sz w:val="20"/>
              </w:rPr>
            </w:pPr>
            <w:r w:rsidRPr="00874BFF">
              <w:rPr>
                <w:sz w:val="20"/>
              </w:rPr>
              <w:t>20</w:t>
            </w:r>
          </w:p>
        </w:tc>
        <w:tc>
          <w:tcPr>
            <w:tcW w:w="960" w:type="dxa"/>
            <w:tcBorders>
              <w:top w:val="nil"/>
              <w:left w:val="nil"/>
              <w:bottom w:val="single" w:sz="4" w:space="0" w:color="auto"/>
              <w:right w:val="single" w:sz="4" w:space="0" w:color="auto"/>
            </w:tcBorders>
            <w:noWrap/>
            <w:vAlign w:val="bottom"/>
          </w:tcPr>
          <w:p w14:paraId="6C03CC1F" w14:textId="77777777" w:rsidR="006D3AD5" w:rsidRPr="00874BFF" w:rsidRDefault="006D3AD5" w:rsidP="00443B8F">
            <w:pPr>
              <w:overflowPunct/>
              <w:autoSpaceDE/>
              <w:autoSpaceDN/>
              <w:adjustRightInd/>
              <w:jc w:val="right"/>
              <w:textAlignment w:val="auto"/>
              <w:rPr>
                <w:rFonts w:cs="Arial"/>
                <w:sz w:val="20"/>
              </w:rPr>
            </w:pPr>
            <w:r w:rsidRPr="00874BFF">
              <w:rPr>
                <w:sz w:val="20"/>
              </w:rPr>
              <w:t>8.5%</w:t>
            </w:r>
          </w:p>
        </w:tc>
      </w:tr>
      <w:tr w:rsidR="006D3AD5" w:rsidRPr="00874BFF" w14:paraId="664982FF" w14:textId="77777777" w:rsidTr="00443B8F">
        <w:trPr>
          <w:trHeight w:val="255"/>
        </w:trPr>
        <w:tc>
          <w:tcPr>
            <w:tcW w:w="6201" w:type="dxa"/>
            <w:tcBorders>
              <w:top w:val="nil"/>
              <w:left w:val="nil"/>
              <w:bottom w:val="nil"/>
              <w:right w:val="nil"/>
            </w:tcBorders>
            <w:noWrap/>
            <w:vAlign w:val="bottom"/>
          </w:tcPr>
          <w:p w14:paraId="5F3DE851"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298" w:type="dxa"/>
            <w:tcBorders>
              <w:top w:val="nil"/>
              <w:left w:val="nil"/>
              <w:bottom w:val="nil"/>
              <w:right w:val="nil"/>
            </w:tcBorders>
            <w:noWrap/>
            <w:vAlign w:val="bottom"/>
          </w:tcPr>
          <w:p w14:paraId="650667A8" w14:textId="77777777" w:rsidR="006D3AD5" w:rsidRPr="00874BFF" w:rsidRDefault="006D3AD5" w:rsidP="00443B8F">
            <w:pPr>
              <w:overflowPunct/>
              <w:autoSpaceDE/>
              <w:autoSpaceDN/>
              <w:adjustRightInd/>
              <w:jc w:val="left"/>
              <w:textAlignment w:val="auto"/>
              <w:rPr>
                <w:rFonts w:cs="Arial"/>
                <w:sz w:val="20"/>
              </w:rPr>
            </w:pPr>
            <w:r w:rsidRPr="00874BFF">
              <w:rPr>
                <w:sz w:val="20"/>
              </w:rPr>
              <w:t>235</w:t>
            </w:r>
          </w:p>
        </w:tc>
        <w:tc>
          <w:tcPr>
            <w:tcW w:w="963" w:type="dxa"/>
            <w:tcBorders>
              <w:top w:val="nil"/>
              <w:left w:val="nil"/>
              <w:bottom w:val="nil"/>
              <w:right w:val="nil"/>
            </w:tcBorders>
            <w:noWrap/>
            <w:vAlign w:val="bottom"/>
          </w:tcPr>
          <w:p w14:paraId="41C37804" w14:textId="77777777" w:rsidR="006D3AD5" w:rsidRPr="00874BFF" w:rsidRDefault="006D3AD5" w:rsidP="00443B8F">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14:paraId="02DFFF15" w14:textId="77777777" w:rsidR="006D3AD5" w:rsidRPr="00874BFF" w:rsidRDefault="006D3AD5" w:rsidP="00443B8F">
            <w:pPr>
              <w:overflowPunct/>
              <w:autoSpaceDE/>
              <w:autoSpaceDN/>
              <w:adjustRightInd/>
              <w:jc w:val="left"/>
              <w:textAlignment w:val="auto"/>
              <w:rPr>
                <w:rFonts w:cs="Arial"/>
                <w:sz w:val="20"/>
              </w:rPr>
            </w:pPr>
          </w:p>
        </w:tc>
      </w:tr>
    </w:tbl>
    <w:p w14:paraId="2D335D96" w14:textId="77777777" w:rsidR="006D3AD5" w:rsidRPr="00874BFF" w:rsidRDefault="006D3AD5" w:rsidP="006D3AD5">
      <w:r w:rsidRPr="00874BFF">
        <w:t>With regard to the extent of their planned investments in real estates, the respondent companies prefer rather small projects of up to CZK 10 million, in more than 60 % of cases. Particularly, it will thus be partial reconstructions, overall reconstruction or construction of new small buildings.</w:t>
      </w:r>
    </w:p>
    <w:p w14:paraId="269A1205" w14:textId="77777777" w:rsidR="006D3AD5" w:rsidRPr="00874BFF" w:rsidRDefault="006D3AD5" w:rsidP="006D3AD5"/>
    <w:p w14:paraId="7FB20B13" w14:textId="327662E9" w:rsidR="006D3AD5" w:rsidRPr="00874BFF" w:rsidRDefault="006D3AD5" w:rsidP="006D3AD5">
      <w:pPr>
        <w:pStyle w:val="Titulek"/>
      </w:pPr>
      <w:r w:rsidRPr="00874BFF">
        <w:t>Table 4</w:t>
      </w:r>
      <w:r w:rsidR="00001EEF">
        <w:t>7</w:t>
      </w:r>
      <w:r w:rsidRPr="00874BFF">
        <w:t>: Estimated payback period of planned investments</w:t>
      </w:r>
    </w:p>
    <w:tbl>
      <w:tblPr>
        <w:tblW w:w="5325" w:type="dxa"/>
        <w:tblInd w:w="55" w:type="dxa"/>
        <w:tblCellMar>
          <w:left w:w="70" w:type="dxa"/>
          <w:right w:w="70" w:type="dxa"/>
        </w:tblCellMar>
        <w:tblLook w:val="00A0" w:firstRow="1" w:lastRow="0" w:firstColumn="1" w:lastColumn="0" w:noHBand="0" w:noVBand="0"/>
      </w:tblPr>
      <w:tblGrid>
        <w:gridCol w:w="3165"/>
        <w:gridCol w:w="1200"/>
        <w:gridCol w:w="960"/>
      </w:tblGrid>
      <w:tr w:rsidR="006D3AD5" w:rsidRPr="00874BFF" w14:paraId="7497C579" w14:textId="77777777" w:rsidTr="00443B8F">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14:paraId="6C5FE01F"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Expected payback period of planned investments</w:t>
            </w:r>
          </w:p>
        </w:tc>
        <w:tc>
          <w:tcPr>
            <w:tcW w:w="1200" w:type="dxa"/>
            <w:tcBorders>
              <w:top w:val="single" w:sz="4" w:space="0" w:color="auto"/>
              <w:left w:val="nil"/>
              <w:bottom w:val="single" w:sz="4" w:space="0" w:color="auto"/>
              <w:right w:val="single" w:sz="4" w:space="0" w:color="auto"/>
            </w:tcBorders>
            <w:noWrap/>
            <w:vAlign w:val="bottom"/>
          </w:tcPr>
          <w:p w14:paraId="3525E7CB"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0A3A2B32"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3E63905F"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7D7FA884"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1–3 years</w:t>
            </w:r>
          </w:p>
        </w:tc>
        <w:tc>
          <w:tcPr>
            <w:tcW w:w="1200" w:type="dxa"/>
            <w:tcBorders>
              <w:top w:val="nil"/>
              <w:left w:val="nil"/>
              <w:bottom w:val="single" w:sz="4" w:space="0" w:color="auto"/>
              <w:right w:val="single" w:sz="4" w:space="0" w:color="auto"/>
            </w:tcBorders>
            <w:noWrap/>
            <w:vAlign w:val="bottom"/>
          </w:tcPr>
          <w:p w14:paraId="2570D002"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c>
          <w:tcPr>
            <w:tcW w:w="960" w:type="dxa"/>
            <w:tcBorders>
              <w:top w:val="nil"/>
              <w:left w:val="nil"/>
              <w:bottom w:val="single" w:sz="4" w:space="0" w:color="auto"/>
              <w:right w:val="single" w:sz="4" w:space="0" w:color="auto"/>
            </w:tcBorders>
            <w:noWrap/>
            <w:vAlign w:val="bottom"/>
          </w:tcPr>
          <w:p w14:paraId="73E8A089" w14:textId="77777777" w:rsidR="006D3AD5" w:rsidRPr="00874BFF" w:rsidRDefault="006D3AD5" w:rsidP="00443B8F">
            <w:pPr>
              <w:overflowPunct/>
              <w:autoSpaceDE/>
              <w:autoSpaceDN/>
              <w:adjustRightInd/>
              <w:jc w:val="right"/>
              <w:textAlignment w:val="auto"/>
              <w:rPr>
                <w:rFonts w:cs="Arial"/>
                <w:sz w:val="20"/>
              </w:rPr>
            </w:pPr>
            <w:r w:rsidRPr="00874BFF">
              <w:rPr>
                <w:sz w:val="20"/>
              </w:rPr>
              <w:t>3.6%</w:t>
            </w:r>
          </w:p>
        </w:tc>
      </w:tr>
      <w:tr w:rsidR="006D3AD5" w:rsidRPr="00874BFF" w14:paraId="53FC9EC0"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0CA655DF"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3–5 years</w:t>
            </w:r>
          </w:p>
        </w:tc>
        <w:tc>
          <w:tcPr>
            <w:tcW w:w="1200" w:type="dxa"/>
            <w:tcBorders>
              <w:top w:val="nil"/>
              <w:left w:val="nil"/>
              <w:bottom w:val="single" w:sz="4" w:space="0" w:color="auto"/>
              <w:right w:val="single" w:sz="4" w:space="0" w:color="auto"/>
            </w:tcBorders>
            <w:noWrap/>
            <w:vAlign w:val="bottom"/>
          </w:tcPr>
          <w:p w14:paraId="6438F8D1" w14:textId="77777777" w:rsidR="006D3AD5" w:rsidRPr="00874BFF" w:rsidRDefault="006D3AD5" w:rsidP="00443B8F">
            <w:pPr>
              <w:overflowPunct/>
              <w:autoSpaceDE/>
              <w:autoSpaceDN/>
              <w:adjustRightInd/>
              <w:jc w:val="right"/>
              <w:textAlignment w:val="auto"/>
              <w:rPr>
                <w:rFonts w:cs="Arial"/>
                <w:sz w:val="20"/>
              </w:rPr>
            </w:pPr>
            <w:r w:rsidRPr="00874BFF">
              <w:rPr>
                <w:sz w:val="20"/>
              </w:rPr>
              <w:t>38</w:t>
            </w:r>
          </w:p>
        </w:tc>
        <w:tc>
          <w:tcPr>
            <w:tcW w:w="960" w:type="dxa"/>
            <w:tcBorders>
              <w:top w:val="nil"/>
              <w:left w:val="nil"/>
              <w:bottom w:val="single" w:sz="4" w:space="0" w:color="auto"/>
              <w:right w:val="single" w:sz="4" w:space="0" w:color="auto"/>
            </w:tcBorders>
            <w:noWrap/>
            <w:vAlign w:val="bottom"/>
          </w:tcPr>
          <w:p w14:paraId="78AE5B97" w14:textId="77777777" w:rsidR="006D3AD5" w:rsidRPr="00874BFF" w:rsidRDefault="006D3AD5" w:rsidP="00443B8F">
            <w:pPr>
              <w:overflowPunct/>
              <w:autoSpaceDE/>
              <w:autoSpaceDN/>
              <w:adjustRightInd/>
              <w:jc w:val="right"/>
              <w:textAlignment w:val="auto"/>
              <w:rPr>
                <w:rFonts w:cs="Arial"/>
                <w:sz w:val="20"/>
              </w:rPr>
            </w:pPr>
            <w:r w:rsidRPr="00874BFF">
              <w:rPr>
                <w:sz w:val="20"/>
              </w:rPr>
              <w:t>17.0%</w:t>
            </w:r>
          </w:p>
        </w:tc>
      </w:tr>
      <w:tr w:rsidR="006D3AD5" w:rsidRPr="00874BFF" w14:paraId="52B3BDC8"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1D62FEFF"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within 5-10 years</w:t>
            </w:r>
          </w:p>
        </w:tc>
        <w:tc>
          <w:tcPr>
            <w:tcW w:w="1200" w:type="dxa"/>
            <w:tcBorders>
              <w:top w:val="nil"/>
              <w:left w:val="nil"/>
              <w:bottom w:val="single" w:sz="4" w:space="0" w:color="auto"/>
              <w:right w:val="single" w:sz="4" w:space="0" w:color="auto"/>
            </w:tcBorders>
            <w:noWrap/>
            <w:vAlign w:val="bottom"/>
          </w:tcPr>
          <w:p w14:paraId="79DD4EE8" w14:textId="77777777" w:rsidR="006D3AD5" w:rsidRPr="00874BFF" w:rsidRDefault="006D3AD5" w:rsidP="00443B8F">
            <w:pPr>
              <w:overflowPunct/>
              <w:autoSpaceDE/>
              <w:autoSpaceDN/>
              <w:adjustRightInd/>
              <w:jc w:val="right"/>
              <w:textAlignment w:val="auto"/>
              <w:rPr>
                <w:rFonts w:cs="Arial"/>
                <w:sz w:val="20"/>
              </w:rPr>
            </w:pPr>
            <w:r w:rsidRPr="00874BFF">
              <w:rPr>
                <w:sz w:val="20"/>
              </w:rPr>
              <w:t>114</w:t>
            </w:r>
          </w:p>
        </w:tc>
        <w:tc>
          <w:tcPr>
            <w:tcW w:w="960" w:type="dxa"/>
            <w:tcBorders>
              <w:top w:val="nil"/>
              <w:left w:val="nil"/>
              <w:bottom w:val="single" w:sz="4" w:space="0" w:color="auto"/>
              <w:right w:val="single" w:sz="4" w:space="0" w:color="auto"/>
            </w:tcBorders>
            <w:noWrap/>
            <w:vAlign w:val="bottom"/>
          </w:tcPr>
          <w:p w14:paraId="3A29050E" w14:textId="77777777" w:rsidR="006D3AD5" w:rsidRPr="00874BFF" w:rsidRDefault="006D3AD5" w:rsidP="00443B8F">
            <w:pPr>
              <w:overflowPunct/>
              <w:autoSpaceDE/>
              <w:autoSpaceDN/>
              <w:adjustRightInd/>
              <w:jc w:val="right"/>
              <w:textAlignment w:val="auto"/>
              <w:rPr>
                <w:rFonts w:cs="Arial"/>
                <w:sz w:val="20"/>
              </w:rPr>
            </w:pPr>
            <w:r w:rsidRPr="00874BFF">
              <w:rPr>
                <w:sz w:val="20"/>
              </w:rPr>
              <w:t>50.9%</w:t>
            </w:r>
          </w:p>
        </w:tc>
      </w:tr>
      <w:tr w:rsidR="006D3AD5" w:rsidRPr="00874BFF" w14:paraId="0586A215"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54847760" w14:textId="77777777" w:rsidR="006D3AD5" w:rsidRPr="00874BFF" w:rsidRDefault="006D3AD5" w:rsidP="00443B8F">
            <w:pPr>
              <w:overflowPunct/>
              <w:autoSpaceDE/>
              <w:autoSpaceDN/>
              <w:adjustRightInd/>
              <w:jc w:val="left"/>
              <w:textAlignment w:val="auto"/>
              <w:rPr>
                <w:rFonts w:cs="Arial"/>
                <w:sz w:val="20"/>
              </w:rPr>
            </w:pPr>
            <w:r w:rsidRPr="00874BFF">
              <w:rPr>
                <w:sz w:val="20"/>
              </w:rPr>
              <w:t>Payback in 10 or more years</w:t>
            </w:r>
          </w:p>
        </w:tc>
        <w:tc>
          <w:tcPr>
            <w:tcW w:w="1200" w:type="dxa"/>
            <w:tcBorders>
              <w:top w:val="nil"/>
              <w:left w:val="nil"/>
              <w:bottom w:val="single" w:sz="4" w:space="0" w:color="auto"/>
              <w:right w:val="single" w:sz="4" w:space="0" w:color="auto"/>
            </w:tcBorders>
            <w:noWrap/>
            <w:vAlign w:val="bottom"/>
          </w:tcPr>
          <w:p w14:paraId="78E46FEB" w14:textId="77777777" w:rsidR="006D3AD5" w:rsidRPr="00874BFF" w:rsidRDefault="006D3AD5" w:rsidP="00443B8F">
            <w:pPr>
              <w:overflowPunct/>
              <w:autoSpaceDE/>
              <w:autoSpaceDN/>
              <w:adjustRightInd/>
              <w:jc w:val="right"/>
              <w:textAlignment w:val="auto"/>
              <w:rPr>
                <w:rFonts w:cs="Arial"/>
                <w:sz w:val="20"/>
              </w:rPr>
            </w:pPr>
            <w:r w:rsidRPr="00874BFF">
              <w:rPr>
                <w:sz w:val="20"/>
              </w:rPr>
              <w:t>64</w:t>
            </w:r>
          </w:p>
        </w:tc>
        <w:tc>
          <w:tcPr>
            <w:tcW w:w="960" w:type="dxa"/>
            <w:tcBorders>
              <w:top w:val="nil"/>
              <w:left w:val="nil"/>
              <w:bottom w:val="single" w:sz="4" w:space="0" w:color="auto"/>
              <w:right w:val="single" w:sz="4" w:space="0" w:color="auto"/>
            </w:tcBorders>
            <w:noWrap/>
            <w:vAlign w:val="bottom"/>
          </w:tcPr>
          <w:p w14:paraId="6EA6869A" w14:textId="77777777" w:rsidR="006D3AD5" w:rsidRPr="00874BFF" w:rsidRDefault="006D3AD5" w:rsidP="00443B8F">
            <w:pPr>
              <w:overflowPunct/>
              <w:autoSpaceDE/>
              <w:autoSpaceDN/>
              <w:adjustRightInd/>
              <w:jc w:val="right"/>
              <w:textAlignment w:val="auto"/>
              <w:rPr>
                <w:rFonts w:cs="Arial"/>
                <w:sz w:val="20"/>
              </w:rPr>
            </w:pPr>
            <w:r w:rsidRPr="00874BFF">
              <w:rPr>
                <w:sz w:val="20"/>
              </w:rPr>
              <w:t>28.6%</w:t>
            </w:r>
          </w:p>
        </w:tc>
      </w:tr>
      <w:tr w:rsidR="006D3AD5" w:rsidRPr="00874BFF" w14:paraId="319A57FF" w14:textId="77777777" w:rsidTr="00443B8F">
        <w:trPr>
          <w:trHeight w:val="255"/>
        </w:trPr>
        <w:tc>
          <w:tcPr>
            <w:tcW w:w="3165" w:type="dxa"/>
            <w:tcBorders>
              <w:top w:val="nil"/>
              <w:left w:val="nil"/>
              <w:bottom w:val="nil"/>
              <w:right w:val="nil"/>
            </w:tcBorders>
            <w:noWrap/>
            <w:vAlign w:val="bottom"/>
          </w:tcPr>
          <w:p w14:paraId="1904B4E8"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1200" w:type="dxa"/>
            <w:tcBorders>
              <w:top w:val="nil"/>
              <w:left w:val="nil"/>
              <w:bottom w:val="nil"/>
              <w:right w:val="nil"/>
            </w:tcBorders>
            <w:noWrap/>
            <w:vAlign w:val="bottom"/>
          </w:tcPr>
          <w:p w14:paraId="649CE160" w14:textId="77777777" w:rsidR="006D3AD5" w:rsidRPr="00874BFF" w:rsidRDefault="006D3AD5" w:rsidP="00443B8F">
            <w:pPr>
              <w:overflowPunct/>
              <w:autoSpaceDE/>
              <w:autoSpaceDN/>
              <w:adjustRightInd/>
              <w:jc w:val="left"/>
              <w:textAlignment w:val="auto"/>
              <w:rPr>
                <w:rFonts w:cs="Arial"/>
                <w:sz w:val="20"/>
              </w:rPr>
            </w:pPr>
            <w:r w:rsidRPr="00874BFF">
              <w:rPr>
                <w:sz w:val="20"/>
              </w:rPr>
              <w:t>224</w:t>
            </w:r>
          </w:p>
        </w:tc>
        <w:tc>
          <w:tcPr>
            <w:tcW w:w="960" w:type="dxa"/>
            <w:tcBorders>
              <w:top w:val="nil"/>
              <w:left w:val="nil"/>
              <w:bottom w:val="nil"/>
              <w:right w:val="nil"/>
            </w:tcBorders>
            <w:noWrap/>
            <w:vAlign w:val="bottom"/>
          </w:tcPr>
          <w:p w14:paraId="717F0972" w14:textId="77777777" w:rsidR="006D3AD5" w:rsidRPr="00874BFF" w:rsidRDefault="006D3AD5" w:rsidP="00443B8F">
            <w:pPr>
              <w:overflowPunct/>
              <w:autoSpaceDE/>
              <w:autoSpaceDN/>
              <w:adjustRightInd/>
              <w:jc w:val="left"/>
              <w:textAlignment w:val="auto"/>
              <w:rPr>
                <w:rFonts w:cs="Arial"/>
                <w:sz w:val="20"/>
              </w:rPr>
            </w:pPr>
          </w:p>
        </w:tc>
      </w:tr>
    </w:tbl>
    <w:p w14:paraId="092E959A" w14:textId="77777777" w:rsidR="006D3AD5" w:rsidRPr="00874BFF" w:rsidRDefault="006D3AD5" w:rsidP="006D3AD5"/>
    <w:p w14:paraId="5B2DDEC1" w14:textId="77777777" w:rsidR="006D3AD5" w:rsidRPr="00874BFF" w:rsidRDefault="006D3AD5" w:rsidP="006D3AD5">
      <w:r w:rsidRPr="00874BFF">
        <w:lastRenderedPageBreak/>
        <w:t>This information is closely related to the payback period, when not fewer than 79.5 % of small and medium sized enterprises mentioned their expectation of the payback period of planned investments to be longer than 5 years.</w:t>
      </w:r>
    </w:p>
    <w:p w14:paraId="09C77998" w14:textId="77777777" w:rsidR="006D3AD5" w:rsidRPr="00874BFF" w:rsidRDefault="006D3AD5" w:rsidP="006D3AD5"/>
    <w:p w14:paraId="449069C6" w14:textId="02BD5040" w:rsidR="006D3AD5" w:rsidRPr="00874BFF" w:rsidRDefault="006D3AD5" w:rsidP="006D3AD5">
      <w:pPr>
        <w:pStyle w:val="Titulek"/>
        <w:keepNext/>
      </w:pPr>
      <w:r w:rsidRPr="00874BFF">
        <w:t xml:space="preserve">Figure </w:t>
      </w:r>
      <w:r w:rsidR="00A54BE3">
        <w:t>23</w:t>
      </w:r>
      <w:r w:rsidRPr="00874BFF">
        <w:t>: Expected payback period of SMEs' planned investments in business real estates</w:t>
      </w:r>
    </w:p>
    <w:p w14:paraId="7336BB8D" w14:textId="77777777" w:rsidR="006D3AD5" w:rsidRPr="00874BFF" w:rsidRDefault="006D3AD5" w:rsidP="006D3AD5">
      <w:r w:rsidRPr="00874BFF">
        <w:rPr>
          <w:noProof/>
        </w:rPr>
        <w:drawing>
          <wp:inline distT="0" distB="0" distL="0" distR="0" wp14:anchorId="0AE9D842" wp14:editId="53FB202F">
            <wp:extent cx="5314950" cy="3505200"/>
            <wp:effectExtent l="0" t="0" r="0" b="0"/>
            <wp:docPr id="25" name="obráz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C5FC46" w14:textId="77777777" w:rsidR="006D3AD5" w:rsidRPr="00874BFF" w:rsidRDefault="006D3AD5" w:rsidP="006D3AD5"/>
    <w:p w14:paraId="676BBA35" w14:textId="77777777" w:rsidR="006D3AD5" w:rsidRPr="00874BFF" w:rsidRDefault="006D3AD5" w:rsidP="006D3AD5">
      <w:r w:rsidRPr="00874BFF">
        <w:t>The following table provides details about available financing for these companies in the last three years.</w:t>
      </w:r>
    </w:p>
    <w:p w14:paraId="2AD3669C" w14:textId="33BC654B" w:rsidR="006D3AD5" w:rsidRPr="00874BFF" w:rsidRDefault="006D3AD5" w:rsidP="006D3AD5">
      <w:pPr>
        <w:pStyle w:val="Titulek"/>
      </w:pPr>
      <w:r w:rsidRPr="00874BFF">
        <w:t>Table 4</w:t>
      </w:r>
      <w:r w:rsidR="00001EEF">
        <w:t>8</w:t>
      </w:r>
      <w:r w:rsidRPr="00874BFF">
        <w:t>: Availability of investment financing</w:t>
      </w:r>
    </w:p>
    <w:tbl>
      <w:tblPr>
        <w:tblW w:w="8422" w:type="dxa"/>
        <w:tblInd w:w="55" w:type="dxa"/>
        <w:tblCellMar>
          <w:left w:w="70" w:type="dxa"/>
          <w:right w:w="70" w:type="dxa"/>
        </w:tblCellMar>
        <w:tblLook w:val="00A0" w:firstRow="1" w:lastRow="0" w:firstColumn="1" w:lastColumn="0" w:noHBand="0" w:noVBand="0"/>
      </w:tblPr>
      <w:tblGrid>
        <w:gridCol w:w="3543"/>
        <w:gridCol w:w="975"/>
        <w:gridCol w:w="1507"/>
        <w:gridCol w:w="1134"/>
        <w:gridCol w:w="1319"/>
      </w:tblGrid>
      <w:tr w:rsidR="006D3AD5" w:rsidRPr="00874BFF" w14:paraId="2359E4D5" w14:textId="77777777" w:rsidTr="00443B8F">
        <w:trPr>
          <w:trHeight w:val="255"/>
        </w:trPr>
        <w:tc>
          <w:tcPr>
            <w:tcW w:w="8422" w:type="dxa"/>
            <w:gridSpan w:val="5"/>
            <w:tcBorders>
              <w:top w:val="single" w:sz="4" w:space="0" w:color="auto"/>
              <w:left w:val="single" w:sz="4" w:space="0" w:color="auto"/>
              <w:bottom w:val="single" w:sz="4" w:space="0" w:color="auto"/>
              <w:right w:val="single" w:sz="4" w:space="0" w:color="auto"/>
            </w:tcBorders>
            <w:noWrap/>
            <w:vAlign w:val="bottom"/>
          </w:tcPr>
          <w:p w14:paraId="0B1442F8"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Availability of investment financing in the last three years</w:t>
            </w:r>
          </w:p>
        </w:tc>
      </w:tr>
      <w:tr w:rsidR="006D3AD5" w:rsidRPr="00874BFF" w14:paraId="0EF290D8"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AAC96D2" w14:textId="77777777" w:rsidR="006D3AD5" w:rsidRPr="00874BFF" w:rsidRDefault="006D3AD5" w:rsidP="00443B8F">
            <w:pPr>
              <w:overflowPunct/>
              <w:autoSpaceDE/>
              <w:autoSpaceDN/>
              <w:adjustRightInd/>
              <w:jc w:val="left"/>
              <w:textAlignment w:val="auto"/>
              <w:rPr>
                <w:rFonts w:cs="Arial"/>
                <w:sz w:val="20"/>
              </w:rPr>
            </w:pPr>
            <w:r w:rsidRPr="00874BFF">
              <w:rPr>
                <w:sz w:val="20"/>
              </w:rPr>
              <w:t> </w:t>
            </w:r>
          </w:p>
        </w:tc>
        <w:tc>
          <w:tcPr>
            <w:tcW w:w="919" w:type="dxa"/>
            <w:tcBorders>
              <w:top w:val="nil"/>
              <w:left w:val="nil"/>
              <w:bottom w:val="single" w:sz="4" w:space="0" w:color="auto"/>
              <w:right w:val="single" w:sz="4" w:space="0" w:color="auto"/>
            </w:tcBorders>
            <w:noWrap/>
            <w:vAlign w:val="bottom"/>
          </w:tcPr>
          <w:p w14:paraId="5A22CF27" w14:textId="77777777" w:rsidR="006D3AD5" w:rsidRPr="00874BFF" w:rsidRDefault="006D3AD5" w:rsidP="00443B8F">
            <w:pPr>
              <w:overflowPunct/>
              <w:autoSpaceDE/>
              <w:autoSpaceDN/>
              <w:adjustRightInd/>
              <w:jc w:val="left"/>
              <w:textAlignment w:val="auto"/>
              <w:rPr>
                <w:rFonts w:cs="Arial"/>
                <w:sz w:val="20"/>
              </w:rPr>
            </w:pPr>
            <w:r w:rsidRPr="00874BFF">
              <w:rPr>
                <w:sz w:val="20"/>
              </w:rPr>
              <w:t>Successful</w:t>
            </w:r>
          </w:p>
        </w:tc>
        <w:tc>
          <w:tcPr>
            <w:tcW w:w="1507" w:type="dxa"/>
            <w:tcBorders>
              <w:top w:val="nil"/>
              <w:left w:val="nil"/>
              <w:bottom w:val="single" w:sz="4" w:space="0" w:color="auto"/>
              <w:right w:val="single" w:sz="4" w:space="0" w:color="auto"/>
            </w:tcBorders>
            <w:noWrap/>
            <w:vAlign w:val="bottom"/>
          </w:tcPr>
          <w:p w14:paraId="0471F558" w14:textId="77777777" w:rsidR="006D3AD5" w:rsidRPr="00874BFF" w:rsidRDefault="006D3AD5" w:rsidP="00443B8F">
            <w:pPr>
              <w:overflowPunct/>
              <w:autoSpaceDE/>
              <w:autoSpaceDN/>
              <w:adjustRightInd/>
              <w:jc w:val="left"/>
              <w:textAlignment w:val="auto"/>
              <w:rPr>
                <w:rFonts w:cs="Arial"/>
                <w:sz w:val="20"/>
              </w:rPr>
            </w:pPr>
            <w:r w:rsidRPr="00874BFF">
              <w:rPr>
                <w:sz w:val="20"/>
              </w:rPr>
              <w:t>Unsuccessful or partially successful</w:t>
            </w:r>
          </w:p>
        </w:tc>
        <w:tc>
          <w:tcPr>
            <w:tcW w:w="1134" w:type="dxa"/>
            <w:tcBorders>
              <w:top w:val="nil"/>
              <w:left w:val="nil"/>
              <w:bottom w:val="single" w:sz="4" w:space="0" w:color="auto"/>
              <w:right w:val="single" w:sz="4" w:space="0" w:color="auto"/>
            </w:tcBorders>
            <w:noWrap/>
            <w:vAlign w:val="bottom"/>
          </w:tcPr>
          <w:p w14:paraId="22DDF335" w14:textId="77777777" w:rsidR="006D3AD5" w:rsidRPr="00874BFF" w:rsidRDefault="006D3AD5" w:rsidP="00443B8F">
            <w:pPr>
              <w:overflowPunct/>
              <w:autoSpaceDE/>
              <w:autoSpaceDN/>
              <w:adjustRightInd/>
              <w:jc w:val="left"/>
              <w:textAlignment w:val="auto"/>
              <w:rPr>
                <w:rFonts w:cs="Arial"/>
                <w:sz w:val="20"/>
              </w:rPr>
            </w:pPr>
            <w:r w:rsidRPr="00874BFF">
              <w:rPr>
                <w:sz w:val="20"/>
              </w:rPr>
              <w:t>Total</w:t>
            </w:r>
          </w:p>
        </w:tc>
        <w:tc>
          <w:tcPr>
            <w:tcW w:w="1319" w:type="dxa"/>
            <w:tcBorders>
              <w:top w:val="nil"/>
              <w:left w:val="nil"/>
              <w:bottom w:val="single" w:sz="4" w:space="0" w:color="auto"/>
              <w:right w:val="single" w:sz="4" w:space="0" w:color="auto"/>
            </w:tcBorders>
            <w:noWrap/>
            <w:vAlign w:val="bottom"/>
          </w:tcPr>
          <w:p w14:paraId="37C8019C" w14:textId="77777777" w:rsidR="006D3AD5" w:rsidRPr="00874BFF" w:rsidRDefault="006D3AD5" w:rsidP="00443B8F">
            <w:pPr>
              <w:overflowPunct/>
              <w:autoSpaceDE/>
              <w:autoSpaceDN/>
              <w:adjustRightInd/>
              <w:jc w:val="left"/>
              <w:textAlignment w:val="auto"/>
              <w:rPr>
                <w:rFonts w:cs="Arial"/>
                <w:sz w:val="20"/>
              </w:rPr>
            </w:pPr>
            <w:r w:rsidRPr="00874BFF">
              <w:rPr>
                <w:sz w:val="20"/>
              </w:rPr>
              <w:t>Percentage of the unsuccessful ones</w:t>
            </w:r>
          </w:p>
        </w:tc>
      </w:tr>
      <w:tr w:rsidR="006D3AD5" w:rsidRPr="00874BFF" w14:paraId="7BBCE02E"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0AAB79C6" w14:textId="77777777" w:rsidR="006D3AD5" w:rsidRPr="00874BFF" w:rsidRDefault="006D3AD5" w:rsidP="00443B8F">
            <w:pPr>
              <w:overflowPunct/>
              <w:autoSpaceDE/>
              <w:autoSpaceDN/>
              <w:adjustRightInd/>
              <w:jc w:val="left"/>
              <w:textAlignment w:val="auto"/>
              <w:rPr>
                <w:rFonts w:cs="Arial"/>
                <w:sz w:val="20"/>
              </w:rPr>
            </w:pPr>
            <w:r w:rsidRPr="00874BFF">
              <w:rPr>
                <w:sz w:val="20"/>
              </w:rPr>
              <w:t>Short-term loans</w:t>
            </w:r>
          </w:p>
        </w:tc>
        <w:tc>
          <w:tcPr>
            <w:tcW w:w="919" w:type="dxa"/>
            <w:tcBorders>
              <w:top w:val="nil"/>
              <w:left w:val="nil"/>
              <w:bottom w:val="single" w:sz="4" w:space="0" w:color="auto"/>
              <w:right w:val="single" w:sz="4" w:space="0" w:color="auto"/>
            </w:tcBorders>
            <w:noWrap/>
            <w:vAlign w:val="bottom"/>
          </w:tcPr>
          <w:p w14:paraId="6F6B6975" w14:textId="77777777" w:rsidR="006D3AD5" w:rsidRPr="00874BFF" w:rsidRDefault="006D3AD5" w:rsidP="00443B8F">
            <w:pPr>
              <w:overflowPunct/>
              <w:autoSpaceDE/>
              <w:autoSpaceDN/>
              <w:adjustRightInd/>
              <w:jc w:val="right"/>
              <w:textAlignment w:val="auto"/>
              <w:rPr>
                <w:rFonts w:cs="Arial"/>
                <w:sz w:val="20"/>
              </w:rPr>
            </w:pPr>
            <w:r w:rsidRPr="00874BFF">
              <w:rPr>
                <w:sz w:val="20"/>
              </w:rPr>
              <w:t>134</w:t>
            </w:r>
          </w:p>
        </w:tc>
        <w:tc>
          <w:tcPr>
            <w:tcW w:w="1507" w:type="dxa"/>
            <w:tcBorders>
              <w:top w:val="nil"/>
              <w:left w:val="nil"/>
              <w:bottom w:val="single" w:sz="4" w:space="0" w:color="auto"/>
              <w:right w:val="single" w:sz="4" w:space="0" w:color="auto"/>
            </w:tcBorders>
            <w:noWrap/>
            <w:vAlign w:val="bottom"/>
          </w:tcPr>
          <w:p w14:paraId="06B9A71E"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134" w:type="dxa"/>
            <w:tcBorders>
              <w:top w:val="nil"/>
              <w:left w:val="nil"/>
              <w:bottom w:val="single" w:sz="4" w:space="0" w:color="auto"/>
              <w:right w:val="single" w:sz="4" w:space="0" w:color="auto"/>
            </w:tcBorders>
            <w:noWrap/>
            <w:vAlign w:val="bottom"/>
          </w:tcPr>
          <w:p w14:paraId="1B4CD5E2" w14:textId="77777777" w:rsidR="006D3AD5" w:rsidRPr="00874BFF" w:rsidRDefault="006D3AD5" w:rsidP="00443B8F">
            <w:pPr>
              <w:overflowPunct/>
              <w:autoSpaceDE/>
              <w:autoSpaceDN/>
              <w:adjustRightInd/>
              <w:jc w:val="right"/>
              <w:textAlignment w:val="auto"/>
              <w:rPr>
                <w:rFonts w:cs="Arial"/>
                <w:sz w:val="20"/>
              </w:rPr>
            </w:pPr>
            <w:r w:rsidRPr="00874BFF">
              <w:rPr>
                <w:sz w:val="20"/>
              </w:rPr>
              <w:t>138</w:t>
            </w:r>
          </w:p>
        </w:tc>
        <w:tc>
          <w:tcPr>
            <w:tcW w:w="1319" w:type="dxa"/>
            <w:tcBorders>
              <w:top w:val="nil"/>
              <w:left w:val="nil"/>
              <w:bottom w:val="single" w:sz="4" w:space="0" w:color="auto"/>
              <w:right w:val="single" w:sz="4" w:space="0" w:color="auto"/>
            </w:tcBorders>
            <w:noWrap/>
            <w:vAlign w:val="bottom"/>
          </w:tcPr>
          <w:p w14:paraId="6DB60A7A" w14:textId="77777777" w:rsidR="006D3AD5" w:rsidRPr="00874BFF" w:rsidRDefault="006D3AD5" w:rsidP="00443B8F">
            <w:pPr>
              <w:overflowPunct/>
              <w:autoSpaceDE/>
              <w:autoSpaceDN/>
              <w:adjustRightInd/>
              <w:jc w:val="right"/>
              <w:textAlignment w:val="auto"/>
              <w:rPr>
                <w:rFonts w:cs="Arial"/>
                <w:sz w:val="20"/>
              </w:rPr>
            </w:pPr>
            <w:r w:rsidRPr="00874BFF">
              <w:rPr>
                <w:sz w:val="20"/>
              </w:rPr>
              <w:t>2.9%</w:t>
            </w:r>
          </w:p>
        </w:tc>
      </w:tr>
      <w:tr w:rsidR="006D3AD5" w:rsidRPr="00874BFF" w14:paraId="5548544A"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17F13A47" w14:textId="77777777" w:rsidR="006D3AD5" w:rsidRPr="00874BFF" w:rsidRDefault="006D3AD5" w:rsidP="00443B8F">
            <w:pPr>
              <w:overflowPunct/>
              <w:autoSpaceDE/>
              <w:autoSpaceDN/>
              <w:adjustRightInd/>
              <w:jc w:val="left"/>
              <w:textAlignment w:val="auto"/>
              <w:rPr>
                <w:rFonts w:cs="Arial"/>
                <w:sz w:val="20"/>
              </w:rPr>
            </w:pPr>
            <w:r w:rsidRPr="00874BFF">
              <w:rPr>
                <w:sz w:val="20"/>
              </w:rPr>
              <w:t>Long-term and medium-term loans</w:t>
            </w:r>
          </w:p>
        </w:tc>
        <w:tc>
          <w:tcPr>
            <w:tcW w:w="919" w:type="dxa"/>
            <w:tcBorders>
              <w:top w:val="nil"/>
              <w:left w:val="nil"/>
              <w:bottom w:val="single" w:sz="4" w:space="0" w:color="auto"/>
              <w:right w:val="single" w:sz="4" w:space="0" w:color="auto"/>
            </w:tcBorders>
            <w:noWrap/>
            <w:vAlign w:val="bottom"/>
          </w:tcPr>
          <w:p w14:paraId="1C55691F" w14:textId="77777777" w:rsidR="006D3AD5" w:rsidRPr="00874BFF" w:rsidRDefault="006D3AD5" w:rsidP="00443B8F">
            <w:pPr>
              <w:overflowPunct/>
              <w:autoSpaceDE/>
              <w:autoSpaceDN/>
              <w:adjustRightInd/>
              <w:jc w:val="right"/>
              <w:textAlignment w:val="auto"/>
              <w:rPr>
                <w:rFonts w:cs="Arial"/>
                <w:sz w:val="20"/>
              </w:rPr>
            </w:pPr>
            <w:r w:rsidRPr="00874BFF">
              <w:rPr>
                <w:sz w:val="20"/>
              </w:rPr>
              <w:t>126</w:t>
            </w:r>
          </w:p>
        </w:tc>
        <w:tc>
          <w:tcPr>
            <w:tcW w:w="1507" w:type="dxa"/>
            <w:tcBorders>
              <w:top w:val="nil"/>
              <w:left w:val="nil"/>
              <w:bottom w:val="single" w:sz="4" w:space="0" w:color="auto"/>
              <w:right w:val="single" w:sz="4" w:space="0" w:color="auto"/>
            </w:tcBorders>
            <w:noWrap/>
            <w:vAlign w:val="bottom"/>
          </w:tcPr>
          <w:p w14:paraId="13AE8E00" w14:textId="77777777" w:rsidR="006D3AD5" w:rsidRPr="00874BFF" w:rsidRDefault="006D3AD5" w:rsidP="00443B8F">
            <w:pPr>
              <w:overflowPunct/>
              <w:autoSpaceDE/>
              <w:autoSpaceDN/>
              <w:adjustRightInd/>
              <w:jc w:val="right"/>
              <w:textAlignment w:val="auto"/>
              <w:rPr>
                <w:rFonts w:cs="Arial"/>
                <w:sz w:val="20"/>
              </w:rPr>
            </w:pPr>
            <w:r w:rsidRPr="00874BFF">
              <w:rPr>
                <w:sz w:val="20"/>
              </w:rPr>
              <w:t>14</w:t>
            </w:r>
          </w:p>
        </w:tc>
        <w:tc>
          <w:tcPr>
            <w:tcW w:w="1134" w:type="dxa"/>
            <w:tcBorders>
              <w:top w:val="nil"/>
              <w:left w:val="nil"/>
              <w:bottom w:val="single" w:sz="4" w:space="0" w:color="auto"/>
              <w:right w:val="single" w:sz="4" w:space="0" w:color="auto"/>
            </w:tcBorders>
            <w:noWrap/>
            <w:vAlign w:val="bottom"/>
          </w:tcPr>
          <w:p w14:paraId="2A8A5145" w14:textId="77777777" w:rsidR="006D3AD5" w:rsidRPr="00874BFF" w:rsidRDefault="006D3AD5" w:rsidP="00443B8F">
            <w:pPr>
              <w:overflowPunct/>
              <w:autoSpaceDE/>
              <w:autoSpaceDN/>
              <w:adjustRightInd/>
              <w:jc w:val="right"/>
              <w:textAlignment w:val="auto"/>
              <w:rPr>
                <w:rFonts w:cs="Arial"/>
                <w:sz w:val="20"/>
              </w:rPr>
            </w:pPr>
            <w:r w:rsidRPr="00874BFF">
              <w:rPr>
                <w:sz w:val="20"/>
              </w:rPr>
              <w:t>140</w:t>
            </w:r>
          </w:p>
        </w:tc>
        <w:tc>
          <w:tcPr>
            <w:tcW w:w="1319" w:type="dxa"/>
            <w:tcBorders>
              <w:top w:val="nil"/>
              <w:left w:val="nil"/>
              <w:bottom w:val="single" w:sz="4" w:space="0" w:color="auto"/>
              <w:right w:val="single" w:sz="4" w:space="0" w:color="auto"/>
            </w:tcBorders>
            <w:noWrap/>
            <w:vAlign w:val="bottom"/>
          </w:tcPr>
          <w:p w14:paraId="175C918C" w14:textId="77777777" w:rsidR="006D3AD5" w:rsidRPr="00874BFF" w:rsidRDefault="006D3AD5" w:rsidP="00443B8F">
            <w:pPr>
              <w:overflowPunct/>
              <w:autoSpaceDE/>
              <w:autoSpaceDN/>
              <w:adjustRightInd/>
              <w:jc w:val="right"/>
              <w:textAlignment w:val="auto"/>
              <w:rPr>
                <w:rFonts w:cs="Arial"/>
                <w:sz w:val="20"/>
              </w:rPr>
            </w:pPr>
            <w:r w:rsidRPr="00874BFF">
              <w:rPr>
                <w:sz w:val="20"/>
              </w:rPr>
              <w:t>10.0%</w:t>
            </w:r>
          </w:p>
        </w:tc>
      </w:tr>
      <w:tr w:rsidR="006D3AD5" w:rsidRPr="00874BFF" w14:paraId="14294521"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52D69012" w14:textId="77777777" w:rsidR="006D3AD5" w:rsidRPr="00874BFF" w:rsidRDefault="006D3AD5" w:rsidP="00443B8F">
            <w:pPr>
              <w:overflowPunct/>
              <w:autoSpaceDE/>
              <w:autoSpaceDN/>
              <w:adjustRightInd/>
              <w:jc w:val="left"/>
              <w:textAlignment w:val="auto"/>
              <w:rPr>
                <w:rFonts w:cs="Arial"/>
                <w:sz w:val="20"/>
              </w:rPr>
            </w:pPr>
            <w:r w:rsidRPr="00874BFF">
              <w:rPr>
                <w:sz w:val="20"/>
              </w:rPr>
              <w:t>Guarantees</w:t>
            </w:r>
          </w:p>
        </w:tc>
        <w:tc>
          <w:tcPr>
            <w:tcW w:w="919" w:type="dxa"/>
            <w:tcBorders>
              <w:top w:val="nil"/>
              <w:left w:val="nil"/>
              <w:bottom w:val="single" w:sz="4" w:space="0" w:color="auto"/>
              <w:right w:val="single" w:sz="4" w:space="0" w:color="auto"/>
            </w:tcBorders>
            <w:noWrap/>
            <w:vAlign w:val="bottom"/>
          </w:tcPr>
          <w:p w14:paraId="0C61DFAE" w14:textId="77777777" w:rsidR="006D3AD5" w:rsidRPr="00874BFF" w:rsidRDefault="006D3AD5" w:rsidP="00443B8F">
            <w:pPr>
              <w:overflowPunct/>
              <w:autoSpaceDE/>
              <w:autoSpaceDN/>
              <w:adjustRightInd/>
              <w:jc w:val="right"/>
              <w:textAlignment w:val="auto"/>
              <w:rPr>
                <w:rFonts w:cs="Arial"/>
                <w:sz w:val="20"/>
              </w:rPr>
            </w:pPr>
            <w:r w:rsidRPr="00874BFF">
              <w:rPr>
                <w:sz w:val="20"/>
              </w:rPr>
              <w:t>33</w:t>
            </w:r>
          </w:p>
        </w:tc>
        <w:tc>
          <w:tcPr>
            <w:tcW w:w="1507" w:type="dxa"/>
            <w:tcBorders>
              <w:top w:val="nil"/>
              <w:left w:val="nil"/>
              <w:bottom w:val="single" w:sz="4" w:space="0" w:color="auto"/>
              <w:right w:val="single" w:sz="4" w:space="0" w:color="auto"/>
            </w:tcBorders>
            <w:noWrap/>
            <w:vAlign w:val="bottom"/>
          </w:tcPr>
          <w:p w14:paraId="21CEC139"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134" w:type="dxa"/>
            <w:tcBorders>
              <w:top w:val="nil"/>
              <w:left w:val="nil"/>
              <w:bottom w:val="single" w:sz="4" w:space="0" w:color="auto"/>
              <w:right w:val="single" w:sz="4" w:space="0" w:color="auto"/>
            </w:tcBorders>
            <w:noWrap/>
            <w:vAlign w:val="bottom"/>
          </w:tcPr>
          <w:p w14:paraId="13D7653A" w14:textId="77777777" w:rsidR="006D3AD5" w:rsidRPr="00874BFF" w:rsidRDefault="006D3AD5" w:rsidP="00443B8F">
            <w:pPr>
              <w:overflowPunct/>
              <w:autoSpaceDE/>
              <w:autoSpaceDN/>
              <w:adjustRightInd/>
              <w:jc w:val="right"/>
              <w:textAlignment w:val="auto"/>
              <w:rPr>
                <w:rFonts w:cs="Arial"/>
                <w:sz w:val="20"/>
              </w:rPr>
            </w:pPr>
            <w:r w:rsidRPr="00874BFF">
              <w:rPr>
                <w:sz w:val="20"/>
              </w:rPr>
              <w:t>39</w:t>
            </w:r>
          </w:p>
        </w:tc>
        <w:tc>
          <w:tcPr>
            <w:tcW w:w="1319" w:type="dxa"/>
            <w:tcBorders>
              <w:top w:val="nil"/>
              <w:left w:val="nil"/>
              <w:bottom w:val="single" w:sz="4" w:space="0" w:color="auto"/>
              <w:right w:val="single" w:sz="4" w:space="0" w:color="auto"/>
            </w:tcBorders>
            <w:noWrap/>
            <w:vAlign w:val="bottom"/>
          </w:tcPr>
          <w:p w14:paraId="49531A6B" w14:textId="77777777" w:rsidR="006D3AD5" w:rsidRPr="00874BFF" w:rsidRDefault="006D3AD5" w:rsidP="00443B8F">
            <w:pPr>
              <w:overflowPunct/>
              <w:autoSpaceDE/>
              <w:autoSpaceDN/>
              <w:adjustRightInd/>
              <w:jc w:val="right"/>
              <w:textAlignment w:val="auto"/>
              <w:rPr>
                <w:rFonts w:cs="Arial"/>
                <w:sz w:val="20"/>
              </w:rPr>
            </w:pPr>
            <w:r w:rsidRPr="00874BFF">
              <w:rPr>
                <w:sz w:val="20"/>
              </w:rPr>
              <w:t>15.4%</w:t>
            </w:r>
          </w:p>
        </w:tc>
      </w:tr>
      <w:tr w:rsidR="006D3AD5" w:rsidRPr="00874BFF" w14:paraId="42620DE4"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0E4DB6B1" w14:textId="77777777" w:rsidR="006D3AD5" w:rsidRPr="00874BFF" w:rsidRDefault="006D3AD5" w:rsidP="00443B8F">
            <w:pPr>
              <w:overflowPunct/>
              <w:autoSpaceDE/>
              <w:autoSpaceDN/>
              <w:adjustRightInd/>
              <w:jc w:val="left"/>
              <w:textAlignment w:val="auto"/>
              <w:rPr>
                <w:rFonts w:cs="Arial"/>
                <w:sz w:val="20"/>
              </w:rPr>
            </w:pPr>
            <w:r w:rsidRPr="00874BFF">
              <w:rPr>
                <w:sz w:val="20"/>
              </w:rPr>
              <w:t>Subsidies or another public support</w:t>
            </w:r>
          </w:p>
        </w:tc>
        <w:tc>
          <w:tcPr>
            <w:tcW w:w="919" w:type="dxa"/>
            <w:tcBorders>
              <w:top w:val="nil"/>
              <w:left w:val="nil"/>
              <w:bottom w:val="single" w:sz="4" w:space="0" w:color="auto"/>
              <w:right w:val="single" w:sz="4" w:space="0" w:color="auto"/>
            </w:tcBorders>
            <w:noWrap/>
            <w:vAlign w:val="bottom"/>
          </w:tcPr>
          <w:p w14:paraId="56666483" w14:textId="77777777" w:rsidR="006D3AD5" w:rsidRPr="00874BFF" w:rsidRDefault="006D3AD5" w:rsidP="00443B8F">
            <w:pPr>
              <w:overflowPunct/>
              <w:autoSpaceDE/>
              <w:autoSpaceDN/>
              <w:adjustRightInd/>
              <w:jc w:val="right"/>
              <w:textAlignment w:val="auto"/>
              <w:rPr>
                <w:rFonts w:cs="Arial"/>
                <w:sz w:val="20"/>
              </w:rPr>
            </w:pPr>
            <w:r w:rsidRPr="00874BFF">
              <w:rPr>
                <w:sz w:val="20"/>
              </w:rPr>
              <w:t>157</w:t>
            </w:r>
          </w:p>
        </w:tc>
        <w:tc>
          <w:tcPr>
            <w:tcW w:w="1507" w:type="dxa"/>
            <w:tcBorders>
              <w:top w:val="nil"/>
              <w:left w:val="nil"/>
              <w:bottom w:val="single" w:sz="4" w:space="0" w:color="auto"/>
              <w:right w:val="single" w:sz="4" w:space="0" w:color="auto"/>
            </w:tcBorders>
            <w:noWrap/>
            <w:vAlign w:val="bottom"/>
          </w:tcPr>
          <w:p w14:paraId="312AE8FB" w14:textId="77777777" w:rsidR="006D3AD5" w:rsidRPr="00874BFF" w:rsidRDefault="006D3AD5" w:rsidP="00443B8F">
            <w:pPr>
              <w:overflowPunct/>
              <w:autoSpaceDE/>
              <w:autoSpaceDN/>
              <w:adjustRightInd/>
              <w:jc w:val="right"/>
              <w:textAlignment w:val="auto"/>
              <w:rPr>
                <w:rFonts w:cs="Arial"/>
                <w:sz w:val="20"/>
              </w:rPr>
            </w:pPr>
            <w:r w:rsidRPr="00874BFF">
              <w:rPr>
                <w:sz w:val="20"/>
              </w:rPr>
              <w:t>12</w:t>
            </w:r>
          </w:p>
        </w:tc>
        <w:tc>
          <w:tcPr>
            <w:tcW w:w="1134" w:type="dxa"/>
            <w:tcBorders>
              <w:top w:val="nil"/>
              <w:left w:val="nil"/>
              <w:bottom w:val="single" w:sz="4" w:space="0" w:color="auto"/>
              <w:right w:val="single" w:sz="4" w:space="0" w:color="auto"/>
            </w:tcBorders>
            <w:noWrap/>
            <w:vAlign w:val="bottom"/>
          </w:tcPr>
          <w:p w14:paraId="5638B488" w14:textId="77777777" w:rsidR="006D3AD5" w:rsidRPr="00874BFF" w:rsidRDefault="006D3AD5" w:rsidP="00443B8F">
            <w:pPr>
              <w:overflowPunct/>
              <w:autoSpaceDE/>
              <w:autoSpaceDN/>
              <w:adjustRightInd/>
              <w:jc w:val="right"/>
              <w:textAlignment w:val="auto"/>
              <w:rPr>
                <w:rFonts w:cs="Arial"/>
                <w:sz w:val="20"/>
              </w:rPr>
            </w:pPr>
            <w:r w:rsidRPr="00874BFF">
              <w:rPr>
                <w:sz w:val="20"/>
              </w:rPr>
              <w:t>169</w:t>
            </w:r>
          </w:p>
        </w:tc>
        <w:tc>
          <w:tcPr>
            <w:tcW w:w="1319" w:type="dxa"/>
            <w:tcBorders>
              <w:top w:val="nil"/>
              <w:left w:val="nil"/>
              <w:bottom w:val="single" w:sz="4" w:space="0" w:color="auto"/>
              <w:right w:val="single" w:sz="4" w:space="0" w:color="auto"/>
            </w:tcBorders>
            <w:noWrap/>
            <w:vAlign w:val="bottom"/>
          </w:tcPr>
          <w:p w14:paraId="5872ACF5" w14:textId="77777777" w:rsidR="006D3AD5" w:rsidRPr="00874BFF" w:rsidRDefault="006D3AD5" w:rsidP="00443B8F">
            <w:pPr>
              <w:overflowPunct/>
              <w:autoSpaceDE/>
              <w:autoSpaceDN/>
              <w:adjustRightInd/>
              <w:jc w:val="right"/>
              <w:textAlignment w:val="auto"/>
              <w:rPr>
                <w:rFonts w:cs="Arial"/>
                <w:sz w:val="20"/>
              </w:rPr>
            </w:pPr>
            <w:r w:rsidRPr="00874BFF">
              <w:rPr>
                <w:sz w:val="20"/>
              </w:rPr>
              <w:t>7.1%</w:t>
            </w:r>
          </w:p>
        </w:tc>
      </w:tr>
      <w:tr w:rsidR="006D3AD5" w:rsidRPr="00874BFF" w14:paraId="59304B80"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6BBCA54" w14:textId="77777777" w:rsidR="006D3AD5" w:rsidRPr="00874BFF" w:rsidRDefault="006D3AD5" w:rsidP="00443B8F">
            <w:pPr>
              <w:overflowPunct/>
              <w:autoSpaceDE/>
              <w:autoSpaceDN/>
              <w:adjustRightInd/>
              <w:jc w:val="left"/>
              <w:textAlignment w:val="auto"/>
              <w:rPr>
                <w:rFonts w:cs="Arial"/>
                <w:sz w:val="20"/>
              </w:rPr>
            </w:pPr>
            <w:r w:rsidRPr="00874BFF">
              <w:rPr>
                <w:sz w:val="20"/>
              </w:rPr>
              <w:t>Venture capital</w:t>
            </w:r>
          </w:p>
        </w:tc>
        <w:tc>
          <w:tcPr>
            <w:tcW w:w="919" w:type="dxa"/>
            <w:tcBorders>
              <w:top w:val="nil"/>
              <w:left w:val="nil"/>
              <w:bottom w:val="single" w:sz="4" w:space="0" w:color="auto"/>
              <w:right w:val="single" w:sz="4" w:space="0" w:color="auto"/>
            </w:tcBorders>
            <w:noWrap/>
            <w:vAlign w:val="bottom"/>
          </w:tcPr>
          <w:p w14:paraId="2D4DE4F0"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507" w:type="dxa"/>
            <w:tcBorders>
              <w:top w:val="nil"/>
              <w:left w:val="nil"/>
              <w:bottom w:val="single" w:sz="4" w:space="0" w:color="auto"/>
              <w:right w:val="single" w:sz="4" w:space="0" w:color="auto"/>
            </w:tcBorders>
            <w:noWrap/>
            <w:vAlign w:val="bottom"/>
          </w:tcPr>
          <w:p w14:paraId="20549EA9"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69577A35" w14:textId="77777777" w:rsidR="006D3AD5" w:rsidRPr="00874BFF" w:rsidRDefault="006D3AD5" w:rsidP="00443B8F">
            <w:pPr>
              <w:overflowPunct/>
              <w:autoSpaceDE/>
              <w:autoSpaceDN/>
              <w:adjustRightInd/>
              <w:jc w:val="right"/>
              <w:textAlignment w:val="auto"/>
              <w:rPr>
                <w:rFonts w:cs="Arial"/>
                <w:sz w:val="20"/>
              </w:rPr>
            </w:pPr>
            <w:r w:rsidRPr="00874BFF">
              <w:rPr>
                <w:sz w:val="20"/>
              </w:rPr>
              <w:t>6</w:t>
            </w:r>
          </w:p>
        </w:tc>
        <w:tc>
          <w:tcPr>
            <w:tcW w:w="1319" w:type="dxa"/>
            <w:tcBorders>
              <w:top w:val="nil"/>
              <w:left w:val="nil"/>
              <w:bottom w:val="single" w:sz="4" w:space="0" w:color="auto"/>
              <w:right w:val="single" w:sz="4" w:space="0" w:color="auto"/>
            </w:tcBorders>
            <w:noWrap/>
            <w:vAlign w:val="bottom"/>
          </w:tcPr>
          <w:p w14:paraId="5BF821AA" w14:textId="77777777" w:rsidR="006D3AD5" w:rsidRPr="00874BFF" w:rsidRDefault="006D3AD5" w:rsidP="00443B8F">
            <w:pPr>
              <w:overflowPunct/>
              <w:autoSpaceDE/>
              <w:autoSpaceDN/>
              <w:adjustRightInd/>
              <w:jc w:val="right"/>
              <w:textAlignment w:val="auto"/>
              <w:rPr>
                <w:rFonts w:cs="Arial"/>
                <w:sz w:val="20"/>
              </w:rPr>
            </w:pPr>
            <w:r w:rsidRPr="00874BFF">
              <w:rPr>
                <w:sz w:val="20"/>
              </w:rPr>
              <w:t>33.3%</w:t>
            </w:r>
          </w:p>
        </w:tc>
      </w:tr>
      <w:tr w:rsidR="006D3AD5" w:rsidRPr="00874BFF" w14:paraId="3D012CAF"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2CCD580D" w14:textId="77777777" w:rsidR="006D3AD5" w:rsidRPr="00874BFF" w:rsidRDefault="006D3AD5" w:rsidP="00443B8F">
            <w:pPr>
              <w:overflowPunct/>
              <w:autoSpaceDE/>
              <w:autoSpaceDN/>
              <w:adjustRightInd/>
              <w:jc w:val="left"/>
              <w:textAlignment w:val="auto"/>
              <w:rPr>
                <w:rFonts w:cs="Arial"/>
                <w:sz w:val="20"/>
              </w:rPr>
            </w:pPr>
            <w:r w:rsidRPr="00874BFF">
              <w:rPr>
                <w:sz w:val="20"/>
              </w:rPr>
              <w:t>Private equity</w:t>
            </w:r>
          </w:p>
        </w:tc>
        <w:tc>
          <w:tcPr>
            <w:tcW w:w="919" w:type="dxa"/>
            <w:tcBorders>
              <w:top w:val="nil"/>
              <w:left w:val="nil"/>
              <w:bottom w:val="single" w:sz="4" w:space="0" w:color="auto"/>
              <w:right w:val="single" w:sz="4" w:space="0" w:color="auto"/>
            </w:tcBorders>
            <w:noWrap/>
            <w:vAlign w:val="bottom"/>
          </w:tcPr>
          <w:p w14:paraId="5CB7A970"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507" w:type="dxa"/>
            <w:tcBorders>
              <w:top w:val="nil"/>
              <w:left w:val="nil"/>
              <w:bottom w:val="single" w:sz="4" w:space="0" w:color="auto"/>
              <w:right w:val="single" w:sz="4" w:space="0" w:color="auto"/>
            </w:tcBorders>
            <w:noWrap/>
            <w:vAlign w:val="bottom"/>
          </w:tcPr>
          <w:p w14:paraId="0CEC08CE"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561A7584" w14:textId="77777777" w:rsidR="006D3AD5" w:rsidRPr="00874BFF" w:rsidRDefault="006D3AD5" w:rsidP="00443B8F">
            <w:pPr>
              <w:overflowPunct/>
              <w:autoSpaceDE/>
              <w:autoSpaceDN/>
              <w:adjustRightInd/>
              <w:jc w:val="right"/>
              <w:textAlignment w:val="auto"/>
              <w:rPr>
                <w:rFonts w:cs="Arial"/>
                <w:sz w:val="20"/>
              </w:rPr>
            </w:pPr>
            <w:r w:rsidRPr="00874BFF">
              <w:rPr>
                <w:sz w:val="20"/>
              </w:rPr>
              <w:t>5</w:t>
            </w:r>
          </w:p>
        </w:tc>
        <w:tc>
          <w:tcPr>
            <w:tcW w:w="1319" w:type="dxa"/>
            <w:tcBorders>
              <w:top w:val="nil"/>
              <w:left w:val="nil"/>
              <w:bottom w:val="single" w:sz="4" w:space="0" w:color="auto"/>
              <w:right w:val="single" w:sz="4" w:space="0" w:color="auto"/>
            </w:tcBorders>
            <w:noWrap/>
            <w:vAlign w:val="bottom"/>
          </w:tcPr>
          <w:p w14:paraId="501B2903"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r w:rsidR="006D3AD5" w:rsidRPr="00874BFF" w14:paraId="0DC80DE2"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711C122F" w14:textId="77777777" w:rsidR="006D3AD5" w:rsidRPr="00874BFF" w:rsidRDefault="006D3AD5" w:rsidP="00443B8F">
            <w:pPr>
              <w:overflowPunct/>
              <w:autoSpaceDE/>
              <w:autoSpaceDN/>
              <w:adjustRightInd/>
              <w:jc w:val="left"/>
              <w:textAlignment w:val="auto"/>
              <w:rPr>
                <w:rFonts w:cs="Arial"/>
                <w:sz w:val="20"/>
              </w:rPr>
            </w:pPr>
            <w:r w:rsidRPr="00874BFF">
              <w:rPr>
                <w:sz w:val="20"/>
              </w:rPr>
              <w:t>Mezzanine financing</w:t>
            </w:r>
          </w:p>
        </w:tc>
        <w:tc>
          <w:tcPr>
            <w:tcW w:w="919" w:type="dxa"/>
            <w:tcBorders>
              <w:top w:val="nil"/>
              <w:left w:val="nil"/>
              <w:bottom w:val="single" w:sz="4" w:space="0" w:color="auto"/>
              <w:right w:val="single" w:sz="4" w:space="0" w:color="auto"/>
            </w:tcBorders>
            <w:noWrap/>
            <w:vAlign w:val="bottom"/>
          </w:tcPr>
          <w:p w14:paraId="5CF28265"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507" w:type="dxa"/>
            <w:tcBorders>
              <w:top w:val="nil"/>
              <w:left w:val="nil"/>
              <w:bottom w:val="single" w:sz="4" w:space="0" w:color="auto"/>
              <w:right w:val="single" w:sz="4" w:space="0" w:color="auto"/>
            </w:tcBorders>
            <w:noWrap/>
            <w:vAlign w:val="bottom"/>
          </w:tcPr>
          <w:p w14:paraId="5E813721"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1E2CD00C" w14:textId="77777777" w:rsidR="006D3AD5" w:rsidRPr="00874BFF" w:rsidRDefault="006D3AD5" w:rsidP="00443B8F">
            <w:pPr>
              <w:overflowPunct/>
              <w:autoSpaceDE/>
              <w:autoSpaceDN/>
              <w:adjustRightInd/>
              <w:jc w:val="right"/>
              <w:textAlignment w:val="auto"/>
              <w:rPr>
                <w:rFonts w:cs="Arial"/>
                <w:sz w:val="20"/>
              </w:rPr>
            </w:pPr>
            <w:r w:rsidRPr="00874BFF">
              <w:rPr>
                <w:sz w:val="20"/>
              </w:rPr>
              <w:t>3</w:t>
            </w:r>
          </w:p>
        </w:tc>
        <w:tc>
          <w:tcPr>
            <w:tcW w:w="1319" w:type="dxa"/>
            <w:tcBorders>
              <w:top w:val="nil"/>
              <w:left w:val="nil"/>
              <w:bottom w:val="single" w:sz="4" w:space="0" w:color="auto"/>
              <w:right w:val="single" w:sz="4" w:space="0" w:color="auto"/>
            </w:tcBorders>
            <w:noWrap/>
            <w:vAlign w:val="bottom"/>
          </w:tcPr>
          <w:p w14:paraId="383614C8" w14:textId="77777777" w:rsidR="006D3AD5" w:rsidRPr="00874BFF" w:rsidRDefault="006D3AD5" w:rsidP="00443B8F">
            <w:pPr>
              <w:overflowPunct/>
              <w:autoSpaceDE/>
              <w:autoSpaceDN/>
              <w:adjustRightInd/>
              <w:jc w:val="right"/>
              <w:textAlignment w:val="auto"/>
              <w:rPr>
                <w:rFonts w:cs="Arial"/>
                <w:sz w:val="20"/>
              </w:rPr>
            </w:pPr>
            <w:r w:rsidRPr="00874BFF">
              <w:rPr>
                <w:sz w:val="20"/>
              </w:rPr>
              <w:t>33.3%</w:t>
            </w:r>
          </w:p>
        </w:tc>
      </w:tr>
      <w:tr w:rsidR="006D3AD5" w:rsidRPr="00874BFF" w14:paraId="304D18E3"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EC946AE" w14:textId="77777777" w:rsidR="006D3AD5" w:rsidRPr="00874BFF" w:rsidRDefault="006D3AD5" w:rsidP="00443B8F">
            <w:pPr>
              <w:overflowPunct/>
              <w:autoSpaceDE/>
              <w:autoSpaceDN/>
              <w:adjustRightInd/>
              <w:jc w:val="left"/>
              <w:textAlignment w:val="auto"/>
              <w:rPr>
                <w:rFonts w:cs="Arial"/>
                <w:sz w:val="20"/>
              </w:rPr>
            </w:pPr>
            <w:r w:rsidRPr="00874BFF">
              <w:rPr>
                <w:sz w:val="20"/>
              </w:rPr>
              <w:t>Corporate bonds</w:t>
            </w:r>
          </w:p>
        </w:tc>
        <w:tc>
          <w:tcPr>
            <w:tcW w:w="919" w:type="dxa"/>
            <w:tcBorders>
              <w:top w:val="nil"/>
              <w:left w:val="nil"/>
              <w:bottom w:val="single" w:sz="4" w:space="0" w:color="auto"/>
              <w:right w:val="single" w:sz="4" w:space="0" w:color="auto"/>
            </w:tcBorders>
            <w:noWrap/>
            <w:vAlign w:val="bottom"/>
          </w:tcPr>
          <w:p w14:paraId="1AA9682A"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507" w:type="dxa"/>
            <w:tcBorders>
              <w:top w:val="nil"/>
              <w:left w:val="nil"/>
              <w:bottom w:val="single" w:sz="4" w:space="0" w:color="auto"/>
              <w:right w:val="single" w:sz="4" w:space="0" w:color="auto"/>
            </w:tcBorders>
            <w:noWrap/>
            <w:vAlign w:val="bottom"/>
          </w:tcPr>
          <w:p w14:paraId="700DDCC3"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5EDB05F2" w14:textId="77777777" w:rsidR="006D3AD5" w:rsidRPr="00874BFF" w:rsidRDefault="006D3AD5" w:rsidP="00443B8F">
            <w:pPr>
              <w:overflowPunct/>
              <w:autoSpaceDE/>
              <w:autoSpaceDN/>
              <w:adjustRightInd/>
              <w:jc w:val="right"/>
              <w:textAlignment w:val="auto"/>
              <w:rPr>
                <w:rFonts w:cs="Arial"/>
                <w:sz w:val="20"/>
              </w:rPr>
            </w:pPr>
            <w:r w:rsidRPr="00874BFF">
              <w:rPr>
                <w:sz w:val="20"/>
              </w:rPr>
              <w:t>4</w:t>
            </w:r>
          </w:p>
        </w:tc>
        <w:tc>
          <w:tcPr>
            <w:tcW w:w="1319" w:type="dxa"/>
            <w:tcBorders>
              <w:top w:val="nil"/>
              <w:left w:val="nil"/>
              <w:bottom w:val="single" w:sz="4" w:space="0" w:color="auto"/>
              <w:right w:val="single" w:sz="4" w:space="0" w:color="auto"/>
            </w:tcBorders>
            <w:noWrap/>
            <w:vAlign w:val="bottom"/>
          </w:tcPr>
          <w:p w14:paraId="137FFE57"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r w:rsidR="006D3AD5" w:rsidRPr="00874BFF" w14:paraId="3458D252"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18C088AB" w14:textId="77777777" w:rsidR="006D3AD5" w:rsidRPr="00874BFF" w:rsidRDefault="006D3AD5" w:rsidP="00443B8F">
            <w:pPr>
              <w:overflowPunct/>
              <w:autoSpaceDE/>
              <w:autoSpaceDN/>
              <w:adjustRightInd/>
              <w:jc w:val="left"/>
              <w:textAlignment w:val="auto"/>
              <w:rPr>
                <w:rFonts w:cs="Arial"/>
                <w:sz w:val="20"/>
              </w:rPr>
            </w:pPr>
            <w:r w:rsidRPr="00874BFF">
              <w:rPr>
                <w:sz w:val="20"/>
              </w:rPr>
              <w:t>Micro-loans</w:t>
            </w:r>
          </w:p>
        </w:tc>
        <w:tc>
          <w:tcPr>
            <w:tcW w:w="919" w:type="dxa"/>
            <w:tcBorders>
              <w:top w:val="nil"/>
              <w:left w:val="nil"/>
              <w:bottom w:val="single" w:sz="4" w:space="0" w:color="auto"/>
              <w:right w:val="single" w:sz="4" w:space="0" w:color="auto"/>
            </w:tcBorders>
            <w:noWrap/>
            <w:vAlign w:val="bottom"/>
          </w:tcPr>
          <w:p w14:paraId="2D47D78C"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507" w:type="dxa"/>
            <w:tcBorders>
              <w:top w:val="nil"/>
              <w:left w:val="nil"/>
              <w:bottom w:val="single" w:sz="4" w:space="0" w:color="auto"/>
              <w:right w:val="single" w:sz="4" w:space="0" w:color="auto"/>
            </w:tcBorders>
            <w:noWrap/>
            <w:vAlign w:val="bottom"/>
          </w:tcPr>
          <w:p w14:paraId="3824DE04"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134" w:type="dxa"/>
            <w:tcBorders>
              <w:top w:val="nil"/>
              <w:left w:val="nil"/>
              <w:bottom w:val="single" w:sz="4" w:space="0" w:color="auto"/>
              <w:right w:val="single" w:sz="4" w:space="0" w:color="auto"/>
            </w:tcBorders>
            <w:noWrap/>
            <w:vAlign w:val="bottom"/>
          </w:tcPr>
          <w:p w14:paraId="79661638"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319" w:type="dxa"/>
            <w:tcBorders>
              <w:top w:val="nil"/>
              <w:left w:val="nil"/>
              <w:bottom w:val="single" w:sz="4" w:space="0" w:color="auto"/>
              <w:right w:val="single" w:sz="4" w:space="0" w:color="auto"/>
            </w:tcBorders>
            <w:noWrap/>
            <w:vAlign w:val="bottom"/>
          </w:tcPr>
          <w:p w14:paraId="5C6F4938" w14:textId="77777777" w:rsidR="006D3AD5" w:rsidRPr="00874BFF" w:rsidRDefault="006D3AD5" w:rsidP="00443B8F">
            <w:pPr>
              <w:overflowPunct/>
              <w:autoSpaceDE/>
              <w:autoSpaceDN/>
              <w:adjustRightInd/>
              <w:jc w:val="right"/>
              <w:textAlignment w:val="auto"/>
              <w:rPr>
                <w:rFonts w:cs="Arial"/>
                <w:sz w:val="20"/>
              </w:rPr>
            </w:pPr>
            <w:r w:rsidRPr="00874BFF">
              <w:rPr>
                <w:sz w:val="20"/>
              </w:rPr>
              <w:t>50.0%</w:t>
            </w:r>
          </w:p>
        </w:tc>
      </w:tr>
      <w:tr w:rsidR="006D3AD5" w:rsidRPr="00874BFF" w14:paraId="60DEE709"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4E89599F" w14:textId="77777777" w:rsidR="006D3AD5" w:rsidRPr="00874BFF" w:rsidRDefault="006D3AD5" w:rsidP="00443B8F">
            <w:pPr>
              <w:overflowPunct/>
              <w:autoSpaceDE/>
              <w:autoSpaceDN/>
              <w:adjustRightInd/>
              <w:jc w:val="left"/>
              <w:textAlignment w:val="auto"/>
              <w:rPr>
                <w:rFonts w:cs="Arial"/>
                <w:sz w:val="20"/>
              </w:rPr>
            </w:pPr>
            <w:r w:rsidRPr="00874BFF">
              <w:rPr>
                <w:sz w:val="20"/>
              </w:rPr>
              <w:t>Leasing</w:t>
            </w:r>
          </w:p>
        </w:tc>
        <w:tc>
          <w:tcPr>
            <w:tcW w:w="919" w:type="dxa"/>
            <w:tcBorders>
              <w:top w:val="nil"/>
              <w:left w:val="nil"/>
              <w:bottom w:val="single" w:sz="4" w:space="0" w:color="auto"/>
              <w:right w:val="single" w:sz="4" w:space="0" w:color="auto"/>
            </w:tcBorders>
            <w:noWrap/>
            <w:vAlign w:val="bottom"/>
          </w:tcPr>
          <w:p w14:paraId="06400DB2" w14:textId="77777777" w:rsidR="006D3AD5" w:rsidRPr="00874BFF" w:rsidRDefault="006D3AD5" w:rsidP="00443B8F">
            <w:pPr>
              <w:overflowPunct/>
              <w:autoSpaceDE/>
              <w:autoSpaceDN/>
              <w:adjustRightInd/>
              <w:jc w:val="right"/>
              <w:textAlignment w:val="auto"/>
              <w:rPr>
                <w:rFonts w:cs="Arial"/>
                <w:sz w:val="20"/>
              </w:rPr>
            </w:pPr>
            <w:r w:rsidRPr="00874BFF">
              <w:rPr>
                <w:sz w:val="20"/>
              </w:rPr>
              <w:t>100</w:t>
            </w:r>
          </w:p>
        </w:tc>
        <w:tc>
          <w:tcPr>
            <w:tcW w:w="1507" w:type="dxa"/>
            <w:tcBorders>
              <w:top w:val="nil"/>
              <w:left w:val="nil"/>
              <w:bottom w:val="single" w:sz="4" w:space="0" w:color="auto"/>
              <w:right w:val="single" w:sz="4" w:space="0" w:color="auto"/>
            </w:tcBorders>
            <w:noWrap/>
            <w:vAlign w:val="bottom"/>
          </w:tcPr>
          <w:p w14:paraId="625A0C7A"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339D819B" w14:textId="77777777" w:rsidR="006D3AD5" w:rsidRPr="00874BFF" w:rsidRDefault="006D3AD5" w:rsidP="00443B8F">
            <w:pPr>
              <w:overflowPunct/>
              <w:autoSpaceDE/>
              <w:autoSpaceDN/>
              <w:adjustRightInd/>
              <w:jc w:val="right"/>
              <w:textAlignment w:val="auto"/>
              <w:rPr>
                <w:rFonts w:cs="Arial"/>
                <w:sz w:val="20"/>
              </w:rPr>
            </w:pPr>
            <w:r w:rsidRPr="00874BFF">
              <w:rPr>
                <w:sz w:val="20"/>
              </w:rPr>
              <w:t>102</w:t>
            </w:r>
          </w:p>
        </w:tc>
        <w:tc>
          <w:tcPr>
            <w:tcW w:w="1319" w:type="dxa"/>
            <w:tcBorders>
              <w:top w:val="nil"/>
              <w:left w:val="nil"/>
              <w:bottom w:val="single" w:sz="4" w:space="0" w:color="auto"/>
              <w:right w:val="single" w:sz="4" w:space="0" w:color="auto"/>
            </w:tcBorders>
            <w:noWrap/>
            <w:vAlign w:val="bottom"/>
          </w:tcPr>
          <w:p w14:paraId="3C81F69E" w14:textId="77777777" w:rsidR="006D3AD5" w:rsidRPr="00874BFF" w:rsidRDefault="006D3AD5" w:rsidP="00443B8F">
            <w:pPr>
              <w:overflowPunct/>
              <w:autoSpaceDE/>
              <w:autoSpaceDN/>
              <w:adjustRightInd/>
              <w:jc w:val="right"/>
              <w:textAlignment w:val="auto"/>
              <w:rPr>
                <w:rFonts w:cs="Arial"/>
                <w:sz w:val="20"/>
              </w:rPr>
            </w:pPr>
            <w:r w:rsidRPr="00874BFF">
              <w:rPr>
                <w:sz w:val="20"/>
              </w:rPr>
              <w:t>2.0%</w:t>
            </w:r>
          </w:p>
        </w:tc>
      </w:tr>
      <w:tr w:rsidR="006D3AD5" w:rsidRPr="00874BFF" w14:paraId="7A7EDEC8"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625223BA" w14:textId="77777777" w:rsidR="006D3AD5" w:rsidRPr="00874BFF" w:rsidRDefault="006D3AD5" w:rsidP="00443B8F">
            <w:pPr>
              <w:overflowPunct/>
              <w:autoSpaceDE/>
              <w:autoSpaceDN/>
              <w:adjustRightInd/>
              <w:jc w:val="left"/>
              <w:textAlignment w:val="auto"/>
              <w:rPr>
                <w:rFonts w:cs="Arial"/>
                <w:sz w:val="20"/>
              </w:rPr>
            </w:pPr>
            <w:r w:rsidRPr="00874BFF">
              <w:rPr>
                <w:sz w:val="20"/>
              </w:rPr>
              <w:t>Factoring</w:t>
            </w:r>
          </w:p>
        </w:tc>
        <w:tc>
          <w:tcPr>
            <w:tcW w:w="919" w:type="dxa"/>
            <w:tcBorders>
              <w:top w:val="nil"/>
              <w:left w:val="nil"/>
              <w:bottom w:val="single" w:sz="4" w:space="0" w:color="auto"/>
              <w:right w:val="single" w:sz="4" w:space="0" w:color="auto"/>
            </w:tcBorders>
            <w:noWrap/>
            <w:vAlign w:val="bottom"/>
          </w:tcPr>
          <w:p w14:paraId="04318026" w14:textId="77777777" w:rsidR="006D3AD5" w:rsidRPr="00874BFF" w:rsidRDefault="006D3AD5" w:rsidP="00443B8F">
            <w:pPr>
              <w:overflowPunct/>
              <w:autoSpaceDE/>
              <w:autoSpaceDN/>
              <w:adjustRightInd/>
              <w:jc w:val="right"/>
              <w:textAlignment w:val="auto"/>
              <w:rPr>
                <w:rFonts w:cs="Arial"/>
                <w:sz w:val="20"/>
              </w:rPr>
            </w:pPr>
            <w:r w:rsidRPr="00874BFF">
              <w:rPr>
                <w:sz w:val="20"/>
              </w:rPr>
              <w:t>17</w:t>
            </w:r>
          </w:p>
        </w:tc>
        <w:tc>
          <w:tcPr>
            <w:tcW w:w="1507" w:type="dxa"/>
            <w:tcBorders>
              <w:top w:val="nil"/>
              <w:left w:val="nil"/>
              <w:bottom w:val="single" w:sz="4" w:space="0" w:color="auto"/>
              <w:right w:val="single" w:sz="4" w:space="0" w:color="auto"/>
            </w:tcBorders>
            <w:noWrap/>
            <w:vAlign w:val="bottom"/>
          </w:tcPr>
          <w:p w14:paraId="7A0DE2A8" w14:textId="77777777" w:rsidR="006D3AD5" w:rsidRPr="00874BFF" w:rsidRDefault="006D3AD5" w:rsidP="00443B8F">
            <w:pPr>
              <w:overflowPunct/>
              <w:autoSpaceDE/>
              <w:autoSpaceDN/>
              <w:adjustRightInd/>
              <w:jc w:val="right"/>
              <w:textAlignment w:val="auto"/>
              <w:rPr>
                <w:rFonts w:cs="Arial"/>
                <w:sz w:val="20"/>
              </w:rPr>
            </w:pPr>
            <w:r w:rsidRPr="00874BFF">
              <w:rPr>
                <w:sz w:val="20"/>
              </w:rPr>
              <w:t>3</w:t>
            </w:r>
          </w:p>
        </w:tc>
        <w:tc>
          <w:tcPr>
            <w:tcW w:w="1134" w:type="dxa"/>
            <w:tcBorders>
              <w:top w:val="nil"/>
              <w:left w:val="nil"/>
              <w:bottom w:val="single" w:sz="4" w:space="0" w:color="auto"/>
              <w:right w:val="single" w:sz="4" w:space="0" w:color="auto"/>
            </w:tcBorders>
            <w:noWrap/>
            <w:vAlign w:val="bottom"/>
          </w:tcPr>
          <w:p w14:paraId="01BD315C" w14:textId="77777777" w:rsidR="006D3AD5" w:rsidRPr="00874BFF" w:rsidRDefault="006D3AD5" w:rsidP="00443B8F">
            <w:pPr>
              <w:overflowPunct/>
              <w:autoSpaceDE/>
              <w:autoSpaceDN/>
              <w:adjustRightInd/>
              <w:jc w:val="right"/>
              <w:textAlignment w:val="auto"/>
              <w:rPr>
                <w:rFonts w:cs="Arial"/>
                <w:sz w:val="20"/>
              </w:rPr>
            </w:pPr>
            <w:r w:rsidRPr="00874BFF">
              <w:rPr>
                <w:sz w:val="20"/>
              </w:rPr>
              <w:t>20</w:t>
            </w:r>
          </w:p>
        </w:tc>
        <w:tc>
          <w:tcPr>
            <w:tcW w:w="1319" w:type="dxa"/>
            <w:tcBorders>
              <w:top w:val="nil"/>
              <w:left w:val="nil"/>
              <w:bottom w:val="single" w:sz="4" w:space="0" w:color="auto"/>
              <w:right w:val="single" w:sz="4" w:space="0" w:color="auto"/>
            </w:tcBorders>
            <w:noWrap/>
            <w:vAlign w:val="bottom"/>
          </w:tcPr>
          <w:p w14:paraId="521B404E" w14:textId="77777777" w:rsidR="006D3AD5" w:rsidRPr="00874BFF" w:rsidRDefault="006D3AD5" w:rsidP="00443B8F">
            <w:pPr>
              <w:overflowPunct/>
              <w:autoSpaceDE/>
              <w:autoSpaceDN/>
              <w:adjustRightInd/>
              <w:jc w:val="right"/>
              <w:textAlignment w:val="auto"/>
              <w:rPr>
                <w:rFonts w:cs="Arial"/>
                <w:sz w:val="20"/>
              </w:rPr>
            </w:pPr>
            <w:r w:rsidRPr="00874BFF">
              <w:rPr>
                <w:sz w:val="20"/>
              </w:rPr>
              <w:t>15.0%</w:t>
            </w:r>
          </w:p>
        </w:tc>
      </w:tr>
      <w:tr w:rsidR="006D3AD5" w:rsidRPr="00874BFF" w14:paraId="19134D99"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70358575" w14:textId="77777777" w:rsidR="006D3AD5" w:rsidRPr="00874BFF" w:rsidRDefault="006D3AD5" w:rsidP="00443B8F">
            <w:pPr>
              <w:overflowPunct/>
              <w:autoSpaceDE/>
              <w:autoSpaceDN/>
              <w:adjustRightInd/>
              <w:jc w:val="left"/>
              <w:textAlignment w:val="auto"/>
              <w:rPr>
                <w:rFonts w:cs="Arial"/>
                <w:sz w:val="20"/>
              </w:rPr>
            </w:pPr>
            <w:r w:rsidRPr="00874BFF">
              <w:rPr>
                <w:sz w:val="20"/>
              </w:rPr>
              <w:t>Issues of shares in the public  trading market</w:t>
            </w:r>
          </w:p>
        </w:tc>
        <w:tc>
          <w:tcPr>
            <w:tcW w:w="919" w:type="dxa"/>
            <w:tcBorders>
              <w:top w:val="nil"/>
              <w:left w:val="nil"/>
              <w:bottom w:val="single" w:sz="4" w:space="0" w:color="auto"/>
              <w:right w:val="single" w:sz="4" w:space="0" w:color="auto"/>
            </w:tcBorders>
            <w:noWrap/>
            <w:vAlign w:val="bottom"/>
          </w:tcPr>
          <w:p w14:paraId="504DBB6F"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507" w:type="dxa"/>
            <w:tcBorders>
              <w:top w:val="nil"/>
              <w:left w:val="nil"/>
              <w:bottom w:val="single" w:sz="4" w:space="0" w:color="auto"/>
              <w:right w:val="single" w:sz="4" w:space="0" w:color="auto"/>
            </w:tcBorders>
            <w:noWrap/>
            <w:vAlign w:val="bottom"/>
          </w:tcPr>
          <w:p w14:paraId="511C7ABF"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4C9DE108" w14:textId="77777777" w:rsidR="006D3AD5" w:rsidRPr="00874BFF" w:rsidRDefault="006D3AD5" w:rsidP="00443B8F">
            <w:pPr>
              <w:overflowPunct/>
              <w:autoSpaceDE/>
              <w:autoSpaceDN/>
              <w:adjustRightInd/>
              <w:jc w:val="right"/>
              <w:textAlignment w:val="auto"/>
              <w:rPr>
                <w:rFonts w:cs="Arial"/>
                <w:sz w:val="20"/>
              </w:rPr>
            </w:pPr>
            <w:r w:rsidRPr="00874BFF">
              <w:rPr>
                <w:sz w:val="20"/>
              </w:rPr>
              <w:t>1</w:t>
            </w:r>
          </w:p>
        </w:tc>
        <w:tc>
          <w:tcPr>
            <w:tcW w:w="1319" w:type="dxa"/>
            <w:tcBorders>
              <w:top w:val="nil"/>
              <w:left w:val="nil"/>
              <w:bottom w:val="single" w:sz="4" w:space="0" w:color="auto"/>
              <w:right w:val="single" w:sz="4" w:space="0" w:color="auto"/>
            </w:tcBorders>
            <w:noWrap/>
            <w:vAlign w:val="bottom"/>
          </w:tcPr>
          <w:p w14:paraId="5FCEBC1B"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r w:rsidR="006D3AD5" w:rsidRPr="00874BFF" w14:paraId="1F83BB12"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1494AEBE" w14:textId="77777777" w:rsidR="006D3AD5" w:rsidRPr="00874BFF" w:rsidRDefault="006D3AD5" w:rsidP="00443B8F">
            <w:pPr>
              <w:overflowPunct/>
              <w:autoSpaceDE/>
              <w:autoSpaceDN/>
              <w:adjustRightInd/>
              <w:jc w:val="left"/>
              <w:textAlignment w:val="auto"/>
              <w:rPr>
                <w:rFonts w:cs="Arial"/>
                <w:sz w:val="20"/>
              </w:rPr>
            </w:pPr>
            <w:r w:rsidRPr="00874BFF">
              <w:rPr>
                <w:sz w:val="20"/>
              </w:rPr>
              <w:t>Family, friends and acquaintances</w:t>
            </w:r>
          </w:p>
        </w:tc>
        <w:tc>
          <w:tcPr>
            <w:tcW w:w="919" w:type="dxa"/>
            <w:tcBorders>
              <w:top w:val="nil"/>
              <w:left w:val="nil"/>
              <w:bottom w:val="single" w:sz="4" w:space="0" w:color="auto"/>
              <w:right w:val="single" w:sz="4" w:space="0" w:color="auto"/>
            </w:tcBorders>
            <w:noWrap/>
            <w:vAlign w:val="bottom"/>
          </w:tcPr>
          <w:p w14:paraId="27005F6E" w14:textId="77777777" w:rsidR="006D3AD5" w:rsidRPr="00874BFF" w:rsidRDefault="006D3AD5" w:rsidP="00443B8F">
            <w:pPr>
              <w:overflowPunct/>
              <w:autoSpaceDE/>
              <w:autoSpaceDN/>
              <w:adjustRightInd/>
              <w:jc w:val="right"/>
              <w:textAlignment w:val="auto"/>
              <w:rPr>
                <w:rFonts w:cs="Arial"/>
                <w:sz w:val="20"/>
              </w:rPr>
            </w:pPr>
            <w:r w:rsidRPr="00874BFF">
              <w:rPr>
                <w:sz w:val="20"/>
              </w:rPr>
              <w:t>35</w:t>
            </w:r>
          </w:p>
        </w:tc>
        <w:tc>
          <w:tcPr>
            <w:tcW w:w="1507" w:type="dxa"/>
            <w:tcBorders>
              <w:top w:val="nil"/>
              <w:left w:val="nil"/>
              <w:bottom w:val="single" w:sz="4" w:space="0" w:color="auto"/>
              <w:right w:val="single" w:sz="4" w:space="0" w:color="auto"/>
            </w:tcBorders>
            <w:noWrap/>
            <w:vAlign w:val="bottom"/>
          </w:tcPr>
          <w:p w14:paraId="5459BF79" w14:textId="77777777" w:rsidR="006D3AD5" w:rsidRPr="00874BFF" w:rsidRDefault="006D3AD5" w:rsidP="00443B8F">
            <w:pPr>
              <w:overflowPunct/>
              <w:autoSpaceDE/>
              <w:autoSpaceDN/>
              <w:adjustRightInd/>
              <w:jc w:val="right"/>
              <w:textAlignment w:val="auto"/>
              <w:rPr>
                <w:rFonts w:cs="Arial"/>
                <w:sz w:val="20"/>
              </w:rPr>
            </w:pPr>
            <w:r w:rsidRPr="00874BFF">
              <w:rPr>
                <w:sz w:val="20"/>
              </w:rPr>
              <w:t>2</w:t>
            </w:r>
          </w:p>
        </w:tc>
        <w:tc>
          <w:tcPr>
            <w:tcW w:w="1134" w:type="dxa"/>
            <w:tcBorders>
              <w:top w:val="nil"/>
              <w:left w:val="nil"/>
              <w:bottom w:val="single" w:sz="4" w:space="0" w:color="auto"/>
              <w:right w:val="single" w:sz="4" w:space="0" w:color="auto"/>
            </w:tcBorders>
            <w:noWrap/>
            <w:vAlign w:val="bottom"/>
          </w:tcPr>
          <w:p w14:paraId="12136DDC" w14:textId="77777777" w:rsidR="006D3AD5" w:rsidRPr="00874BFF" w:rsidRDefault="006D3AD5" w:rsidP="00443B8F">
            <w:pPr>
              <w:overflowPunct/>
              <w:autoSpaceDE/>
              <w:autoSpaceDN/>
              <w:adjustRightInd/>
              <w:jc w:val="right"/>
              <w:textAlignment w:val="auto"/>
              <w:rPr>
                <w:rFonts w:cs="Arial"/>
                <w:sz w:val="20"/>
              </w:rPr>
            </w:pPr>
            <w:r w:rsidRPr="00874BFF">
              <w:rPr>
                <w:sz w:val="20"/>
              </w:rPr>
              <w:t>37</w:t>
            </w:r>
          </w:p>
        </w:tc>
        <w:tc>
          <w:tcPr>
            <w:tcW w:w="1319" w:type="dxa"/>
            <w:tcBorders>
              <w:top w:val="nil"/>
              <w:left w:val="nil"/>
              <w:bottom w:val="single" w:sz="4" w:space="0" w:color="auto"/>
              <w:right w:val="single" w:sz="4" w:space="0" w:color="auto"/>
            </w:tcBorders>
            <w:noWrap/>
            <w:vAlign w:val="bottom"/>
          </w:tcPr>
          <w:p w14:paraId="0E6A4FCA" w14:textId="77777777" w:rsidR="006D3AD5" w:rsidRPr="00874BFF" w:rsidRDefault="006D3AD5" w:rsidP="00443B8F">
            <w:pPr>
              <w:overflowPunct/>
              <w:autoSpaceDE/>
              <w:autoSpaceDN/>
              <w:adjustRightInd/>
              <w:jc w:val="right"/>
              <w:textAlignment w:val="auto"/>
              <w:rPr>
                <w:rFonts w:cs="Arial"/>
                <w:sz w:val="20"/>
              </w:rPr>
            </w:pPr>
            <w:r w:rsidRPr="00874BFF">
              <w:rPr>
                <w:sz w:val="20"/>
              </w:rPr>
              <w:t>5.4%</w:t>
            </w:r>
          </w:p>
        </w:tc>
      </w:tr>
      <w:tr w:rsidR="006D3AD5" w:rsidRPr="00874BFF" w14:paraId="6E11F015" w14:textId="77777777" w:rsidTr="00443B8F">
        <w:trPr>
          <w:trHeight w:val="255"/>
        </w:trPr>
        <w:tc>
          <w:tcPr>
            <w:tcW w:w="3543" w:type="dxa"/>
            <w:tcBorders>
              <w:top w:val="nil"/>
              <w:left w:val="single" w:sz="4" w:space="0" w:color="auto"/>
              <w:bottom w:val="single" w:sz="4" w:space="0" w:color="auto"/>
              <w:right w:val="single" w:sz="4" w:space="0" w:color="auto"/>
            </w:tcBorders>
            <w:noWrap/>
            <w:vAlign w:val="bottom"/>
          </w:tcPr>
          <w:p w14:paraId="1BAC6E58" w14:textId="77777777" w:rsidR="006D3AD5" w:rsidRPr="00874BFF" w:rsidRDefault="006D3AD5" w:rsidP="00443B8F">
            <w:pPr>
              <w:overflowPunct/>
              <w:autoSpaceDE/>
              <w:autoSpaceDN/>
              <w:adjustRightInd/>
              <w:jc w:val="left"/>
              <w:textAlignment w:val="auto"/>
              <w:rPr>
                <w:rFonts w:cs="Arial"/>
                <w:sz w:val="20"/>
              </w:rPr>
            </w:pPr>
            <w:r w:rsidRPr="00874BFF">
              <w:rPr>
                <w:sz w:val="20"/>
              </w:rPr>
              <w:t>Own sources of financing</w:t>
            </w:r>
          </w:p>
        </w:tc>
        <w:tc>
          <w:tcPr>
            <w:tcW w:w="919" w:type="dxa"/>
            <w:tcBorders>
              <w:top w:val="nil"/>
              <w:left w:val="nil"/>
              <w:bottom w:val="single" w:sz="4" w:space="0" w:color="auto"/>
              <w:right w:val="single" w:sz="4" w:space="0" w:color="auto"/>
            </w:tcBorders>
            <w:noWrap/>
            <w:vAlign w:val="bottom"/>
          </w:tcPr>
          <w:p w14:paraId="4111E06A" w14:textId="77777777" w:rsidR="006D3AD5" w:rsidRPr="00874BFF" w:rsidRDefault="006D3AD5" w:rsidP="00443B8F">
            <w:pPr>
              <w:overflowPunct/>
              <w:autoSpaceDE/>
              <w:autoSpaceDN/>
              <w:adjustRightInd/>
              <w:jc w:val="right"/>
              <w:textAlignment w:val="auto"/>
              <w:rPr>
                <w:rFonts w:cs="Arial"/>
                <w:sz w:val="20"/>
              </w:rPr>
            </w:pPr>
            <w:r w:rsidRPr="00874BFF">
              <w:rPr>
                <w:sz w:val="20"/>
              </w:rPr>
              <w:t>148</w:t>
            </w:r>
          </w:p>
        </w:tc>
        <w:tc>
          <w:tcPr>
            <w:tcW w:w="1507" w:type="dxa"/>
            <w:tcBorders>
              <w:top w:val="nil"/>
              <w:left w:val="nil"/>
              <w:bottom w:val="single" w:sz="4" w:space="0" w:color="auto"/>
              <w:right w:val="single" w:sz="4" w:space="0" w:color="auto"/>
            </w:tcBorders>
            <w:noWrap/>
            <w:vAlign w:val="bottom"/>
          </w:tcPr>
          <w:p w14:paraId="65DB100E" w14:textId="77777777" w:rsidR="006D3AD5" w:rsidRPr="00874BFF" w:rsidRDefault="006D3AD5" w:rsidP="00443B8F">
            <w:pPr>
              <w:overflowPunct/>
              <w:autoSpaceDE/>
              <w:autoSpaceDN/>
              <w:adjustRightInd/>
              <w:jc w:val="right"/>
              <w:textAlignment w:val="auto"/>
              <w:rPr>
                <w:rFonts w:cs="Arial"/>
                <w:sz w:val="20"/>
              </w:rPr>
            </w:pPr>
            <w:r w:rsidRPr="00874BFF">
              <w:rPr>
                <w:sz w:val="20"/>
              </w:rPr>
              <w:t>0</w:t>
            </w:r>
          </w:p>
        </w:tc>
        <w:tc>
          <w:tcPr>
            <w:tcW w:w="1134" w:type="dxa"/>
            <w:tcBorders>
              <w:top w:val="nil"/>
              <w:left w:val="nil"/>
              <w:bottom w:val="single" w:sz="4" w:space="0" w:color="auto"/>
              <w:right w:val="single" w:sz="4" w:space="0" w:color="auto"/>
            </w:tcBorders>
            <w:noWrap/>
            <w:vAlign w:val="bottom"/>
          </w:tcPr>
          <w:p w14:paraId="2003E937" w14:textId="77777777" w:rsidR="006D3AD5" w:rsidRPr="00874BFF" w:rsidRDefault="006D3AD5" w:rsidP="00443B8F">
            <w:pPr>
              <w:overflowPunct/>
              <w:autoSpaceDE/>
              <w:autoSpaceDN/>
              <w:adjustRightInd/>
              <w:jc w:val="right"/>
              <w:textAlignment w:val="auto"/>
              <w:rPr>
                <w:rFonts w:cs="Arial"/>
                <w:sz w:val="20"/>
              </w:rPr>
            </w:pPr>
            <w:r w:rsidRPr="00874BFF">
              <w:rPr>
                <w:sz w:val="20"/>
              </w:rPr>
              <w:t>148</w:t>
            </w:r>
          </w:p>
        </w:tc>
        <w:tc>
          <w:tcPr>
            <w:tcW w:w="1319" w:type="dxa"/>
            <w:tcBorders>
              <w:top w:val="nil"/>
              <w:left w:val="nil"/>
              <w:bottom w:val="single" w:sz="4" w:space="0" w:color="auto"/>
              <w:right w:val="single" w:sz="4" w:space="0" w:color="auto"/>
            </w:tcBorders>
            <w:noWrap/>
            <w:vAlign w:val="bottom"/>
          </w:tcPr>
          <w:p w14:paraId="5116ADAF" w14:textId="77777777" w:rsidR="006D3AD5" w:rsidRPr="00874BFF" w:rsidRDefault="006D3AD5" w:rsidP="00443B8F">
            <w:pPr>
              <w:overflowPunct/>
              <w:autoSpaceDE/>
              <w:autoSpaceDN/>
              <w:adjustRightInd/>
              <w:jc w:val="right"/>
              <w:textAlignment w:val="auto"/>
              <w:rPr>
                <w:rFonts w:cs="Arial"/>
                <w:sz w:val="20"/>
              </w:rPr>
            </w:pPr>
            <w:r w:rsidRPr="00874BFF">
              <w:rPr>
                <w:sz w:val="20"/>
              </w:rPr>
              <w:t>0.0%</w:t>
            </w:r>
          </w:p>
        </w:tc>
      </w:tr>
    </w:tbl>
    <w:p w14:paraId="413449D8" w14:textId="77777777" w:rsidR="006D3AD5" w:rsidRPr="00874BFF" w:rsidRDefault="006D3AD5" w:rsidP="006D3AD5"/>
    <w:p w14:paraId="0E01B2D2" w14:textId="77777777" w:rsidR="006D3AD5" w:rsidRPr="00874BFF" w:rsidRDefault="006D3AD5" w:rsidP="006D3AD5">
      <w:r w:rsidRPr="00874BFF">
        <w:t xml:space="preserve">The small and medium sized enterprises that plan to invest in real estates for their own business activities in the next three years have been so far striving particularly for financing by loans, so far, </w:t>
      </w:r>
      <w:r w:rsidRPr="00874BFF">
        <w:lastRenderedPageBreak/>
        <w:t>where their success rate reached 90 % in the medium-term and long-term loans, which is a surprisingly good result with regard to the predominance of small enterprises among the respondents. Alternative sources of funding are usually not used for this type of projects.</w:t>
      </w:r>
    </w:p>
    <w:p w14:paraId="7235E379" w14:textId="77777777" w:rsidR="006D3AD5" w:rsidRPr="00874BFF" w:rsidRDefault="006D3AD5" w:rsidP="006D3AD5"/>
    <w:p w14:paraId="18649A36" w14:textId="5D86B102" w:rsidR="006D3AD5" w:rsidRPr="00874BFF" w:rsidRDefault="006D3AD5" w:rsidP="006D3AD5">
      <w:pPr>
        <w:pStyle w:val="Titulek"/>
      </w:pPr>
      <w:r w:rsidRPr="00874BFF">
        <w:t>Table 4</w:t>
      </w:r>
      <w:r w:rsidR="00001EEF">
        <w:t>9</w:t>
      </w:r>
      <w:r w:rsidRPr="00874BFF">
        <w:t>: Availability of investment financing</w:t>
      </w:r>
    </w:p>
    <w:tbl>
      <w:tblPr>
        <w:tblW w:w="9601" w:type="dxa"/>
        <w:tblInd w:w="55" w:type="dxa"/>
        <w:tblCellMar>
          <w:left w:w="70" w:type="dxa"/>
          <w:right w:w="70" w:type="dxa"/>
        </w:tblCellMar>
        <w:tblLook w:val="00A0" w:firstRow="1" w:lastRow="0" w:firstColumn="1" w:lastColumn="0" w:noHBand="0" w:noVBand="0"/>
      </w:tblPr>
      <w:tblGrid>
        <w:gridCol w:w="7840"/>
        <w:gridCol w:w="963"/>
        <w:gridCol w:w="798"/>
      </w:tblGrid>
      <w:tr w:rsidR="006D3AD5" w:rsidRPr="00874BFF" w14:paraId="75CCEF89" w14:textId="77777777" w:rsidTr="00443B8F">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14:paraId="667CC9D4"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Availability of investment financing in the last three years</w:t>
            </w:r>
          </w:p>
        </w:tc>
        <w:tc>
          <w:tcPr>
            <w:tcW w:w="963" w:type="dxa"/>
            <w:tcBorders>
              <w:top w:val="single" w:sz="4" w:space="0" w:color="auto"/>
              <w:left w:val="nil"/>
              <w:bottom w:val="single" w:sz="4" w:space="0" w:color="auto"/>
              <w:right w:val="single" w:sz="4" w:space="0" w:color="auto"/>
            </w:tcBorders>
            <w:noWrap/>
            <w:vAlign w:val="bottom"/>
          </w:tcPr>
          <w:p w14:paraId="5C57BD67"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798" w:type="dxa"/>
            <w:tcBorders>
              <w:top w:val="single" w:sz="4" w:space="0" w:color="auto"/>
              <w:left w:val="nil"/>
              <w:bottom w:val="single" w:sz="4" w:space="0" w:color="auto"/>
              <w:right w:val="single" w:sz="4" w:space="0" w:color="auto"/>
            </w:tcBorders>
            <w:noWrap/>
            <w:vAlign w:val="bottom"/>
          </w:tcPr>
          <w:p w14:paraId="2D0A0E22"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6B355731"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520E5C05" w14:textId="77777777" w:rsidR="006D3AD5" w:rsidRPr="00874BFF" w:rsidRDefault="006D3AD5" w:rsidP="00443B8F">
            <w:pPr>
              <w:overflowPunct/>
              <w:autoSpaceDE/>
              <w:autoSpaceDN/>
              <w:adjustRightInd/>
              <w:jc w:val="left"/>
              <w:textAlignment w:val="auto"/>
              <w:rPr>
                <w:rFonts w:cs="Arial"/>
                <w:sz w:val="20"/>
              </w:rPr>
            </w:pPr>
            <w:r w:rsidRPr="00874BFF">
              <w:rPr>
                <w:sz w:val="20"/>
              </w:rPr>
              <w:t>Problem-free – We receive funds relatively quickly and easily; the negotiations are usually efficient and successful.</w:t>
            </w:r>
          </w:p>
        </w:tc>
        <w:tc>
          <w:tcPr>
            <w:tcW w:w="963" w:type="dxa"/>
            <w:tcBorders>
              <w:top w:val="nil"/>
              <w:left w:val="nil"/>
              <w:bottom w:val="single" w:sz="4" w:space="0" w:color="auto"/>
              <w:right w:val="single" w:sz="4" w:space="0" w:color="auto"/>
            </w:tcBorders>
            <w:noWrap/>
            <w:vAlign w:val="bottom"/>
          </w:tcPr>
          <w:p w14:paraId="0BED1266" w14:textId="77777777" w:rsidR="006D3AD5" w:rsidRPr="00874BFF" w:rsidRDefault="006D3AD5" w:rsidP="00443B8F">
            <w:pPr>
              <w:overflowPunct/>
              <w:autoSpaceDE/>
              <w:autoSpaceDN/>
              <w:adjustRightInd/>
              <w:jc w:val="right"/>
              <w:textAlignment w:val="auto"/>
              <w:rPr>
                <w:rFonts w:cs="Arial"/>
                <w:sz w:val="20"/>
              </w:rPr>
            </w:pPr>
            <w:r w:rsidRPr="00874BFF">
              <w:rPr>
                <w:sz w:val="20"/>
              </w:rPr>
              <w:t>86</w:t>
            </w:r>
          </w:p>
        </w:tc>
        <w:tc>
          <w:tcPr>
            <w:tcW w:w="798" w:type="dxa"/>
            <w:tcBorders>
              <w:top w:val="nil"/>
              <w:left w:val="nil"/>
              <w:bottom w:val="single" w:sz="4" w:space="0" w:color="auto"/>
              <w:right w:val="single" w:sz="4" w:space="0" w:color="auto"/>
            </w:tcBorders>
            <w:noWrap/>
            <w:vAlign w:val="bottom"/>
          </w:tcPr>
          <w:p w14:paraId="20E779B8" w14:textId="77777777" w:rsidR="006D3AD5" w:rsidRPr="00874BFF" w:rsidRDefault="006D3AD5" w:rsidP="00443B8F">
            <w:pPr>
              <w:overflowPunct/>
              <w:autoSpaceDE/>
              <w:autoSpaceDN/>
              <w:adjustRightInd/>
              <w:jc w:val="right"/>
              <w:textAlignment w:val="auto"/>
              <w:rPr>
                <w:rFonts w:cs="Arial"/>
                <w:sz w:val="20"/>
              </w:rPr>
            </w:pPr>
            <w:r w:rsidRPr="00874BFF">
              <w:rPr>
                <w:sz w:val="20"/>
              </w:rPr>
              <w:t>41.0%</w:t>
            </w:r>
          </w:p>
        </w:tc>
      </w:tr>
      <w:tr w:rsidR="006D3AD5" w:rsidRPr="00874BFF" w14:paraId="53306390"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785EDA59" w14:textId="77777777" w:rsidR="006D3AD5" w:rsidRPr="00874BFF" w:rsidRDefault="006D3AD5" w:rsidP="00443B8F">
            <w:pPr>
              <w:overflowPunct/>
              <w:autoSpaceDE/>
              <w:autoSpaceDN/>
              <w:adjustRightInd/>
              <w:jc w:val="left"/>
              <w:textAlignment w:val="auto"/>
              <w:rPr>
                <w:rFonts w:cs="Arial"/>
                <w:sz w:val="20"/>
              </w:rPr>
            </w:pPr>
            <w:r w:rsidRPr="00874BFF">
              <w:rPr>
                <w:sz w:val="20"/>
              </w:rPr>
              <w:t>With minor problems – The information is sufficient and the funding provider can be found after several rounds of talks.</w:t>
            </w:r>
          </w:p>
        </w:tc>
        <w:tc>
          <w:tcPr>
            <w:tcW w:w="963" w:type="dxa"/>
            <w:tcBorders>
              <w:top w:val="nil"/>
              <w:left w:val="nil"/>
              <w:bottom w:val="single" w:sz="4" w:space="0" w:color="auto"/>
              <w:right w:val="single" w:sz="4" w:space="0" w:color="auto"/>
            </w:tcBorders>
            <w:noWrap/>
            <w:vAlign w:val="bottom"/>
          </w:tcPr>
          <w:p w14:paraId="69EB89BB" w14:textId="77777777" w:rsidR="006D3AD5" w:rsidRPr="00874BFF" w:rsidRDefault="006D3AD5" w:rsidP="00443B8F">
            <w:pPr>
              <w:overflowPunct/>
              <w:autoSpaceDE/>
              <w:autoSpaceDN/>
              <w:adjustRightInd/>
              <w:jc w:val="right"/>
              <w:textAlignment w:val="auto"/>
              <w:rPr>
                <w:rFonts w:cs="Arial"/>
                <w:sz w:val="20"/>
              </w:rPr>
            </w:pPr>
            <w:r w:rsidRPr="00874BFF">
              <w:rPr>
                <w:sz w:val="20"/>
              </w:rPr>
              <w:t>54</w:t>
            </w:r>
          </w:p>
        </w:tc>
        <w:tc>
          <w:tcPr>
            <w:tcW w:w="798" w:type="dxa"/>
            <w:tcBorders>
              <w:top w:val="nil"/>
              <w:left w:val="nil"/>
              <w:bottom w:val="single" w:sz="4" w:space="0" w:color="auto"/>
              <w:right w:val="single" w:sz="4" w:space="0" w:color="auto"/>
            </w:tcBorders>
            <w:noWrap/>
            <w:vAlign w:val="bottom"/>
          </w:tcPr>
          <w:p w14:paraId="0C0FBF73" w14:textId="77777777" w:rsidR="006D3AD5" w:rsidRPr="00874BFF" w:rsidRDefault="006D3AD5" w:rsidP="00443B8F">
            <w:pPr>
              <w:overflowPunct/>
              <w:autoSpaceDE/>
              <w:autoSpaceDN/>
              <w:adjustRightInd/>
              <w:jc w:val="right"/>
              <w:textAlignment w:val="auto"/>
              <w:rPr>
                <w:rFonts w:cs="Arial"/>
                <w:sz w:val="20"/>
              </w:rPr>
            </w:pPr>
            <w:r w:rsidRPr="00874BFF">
              <w:rPr>
                <w:sz w:val="20"/>
              </w:rPr>
              <w:t>25.7%</w:t>
            </w:r>
          </w:p>
        </w:tc>
      </w:tr>
      <w:tr w:rsidR="006D3AD5" w:rsidRPr="00874BFF" w14:paraId="77A20A01"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02685B6A"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merely good –  financial resources exist here, but they are difficult to raise.</w:t>
            </w:r>
          </w:p>
        </w:tc>
        <w:tc>
          <w:tcPr>
            <w:tcW w:w="963" w:type="dxa"/>
            <w:tcBorders>
              <w:top w:val="nil"/>
              <w:left w:val="nil"/>
              <w:bottom w:val="single" w:sz="4" w:space="0" w:color="auto"/>
              <w:right w:val="single" w:sz="4" w:space="0" w:color="auto"/>
            </w:tcBorders>
            <w:noWrap/>
            <w:vAlign w:val="bottom"/>
          </w:tcPr>
          <w:p w14:paraId="7887ABA6" w14:textId="77777777" w:rsidR="006D3AD5" w:rsidRPr="00874BFF" w:rsidRDefault="006D3AD5" w:rsidP="00443B8F">
            <w:pPr>
              <w:overflowPunct/>
              <w:autoSpaceDE/>
              <w:autoSpaceDN/>
              <w:adjustRightInd/>
              <w:jc w:val="right"/>
              <w:textAlignment w:val="auto"/>
              <w:rPr>
                <w:rFonts w:cs="Arial"/>
                <w:sz w:val="20"/>
              </w:rPr>
            </w:pPr>
            <w:r w:rsidRPr="00874BFF">
              <w:rPr>
                <w:sz w:val="20"/>
              </w:rPr>
              <w:t>32</w:t>
            </w:r>
          </w:p>
        </w:tc>
        <w:tc>
          <w:tcPr>
            <w:tcW w:w="798" w:type="dxa"/>
            <w:tcBorders>
              <w:top w:val="nil"/>
              <w:left w:val="nil"/>
              <w:bottom w:val="single" w:sz="4" w:space="0" w:color="auto"/>
              <w:right w:val="single" w:sz="4" w:space="0" w:color="auto"/>
            </w:tcBorders>
            <w:noWrap/>
            <w:vAlign w:val="bottom"/>
          </w:tcPr>
          <w:p w14:paraId="07D0FDB7" w14:textId="77777777" w:rsidR="006D3AD5" w:rsidRPr="00874BFF" w:rsidRDefault="006D3AD5" w:rsidP="00443B8F">
            <w:pPr>
              <w:overflowPunct/>
              <w:autoSpaceDE/>
              <w:autoSpaceDN/>
              <w:adjustRightInd/>
              <w:jc w:val="right"/>
              <w:textAlignment w:val="auto"/>
              <w:rPr>
                <w:rFonts w:cs="Arial"/>
                <w:sz w:val="20"/>
              </w:rPr>
            </w:pPr>
            <w:r w:rsidRPr="00874BFF">
              <w:rPr>
                <w:sz w:val="20"/>
              </w:rPr>
              <w:t>15.2%</w:t>
            </w:r>
          </w:p>
        </w:tc>
      </w:tr>
      <w:tr w:rsidR="006D3AD5" w:rsidRPr="00874BFF" w14:paraId="6B23F8E2"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1E66AEDE" w14:textId="77777777" w:rsidR="006D3AD5" w:rsidRPr="00874BFF" w:rsidRDefault="006D3AD5" w:rsidP="00443B8F">
            <w:pPr>
              <w:overflowPunct/>
              <w:autoSpaceDE/>
              <w:autoSpaceDN/>
              <w:adjustRightInd/>
              <w:jc w:val="left"/>
              <w:textAlignment w:val="auto"/>
              <w:rPr>
                <w:rFonts w:cs="Arial"/>
                <w:sz w:val="20"/>
              </w:rPr>
            </w:pPr>
            <w:r w:rsidRPr="00874BFF">
              <w:rPr>
                <w:sz w:val="20"/>
              </w:rPr>
              <w:t>Availability is poor – there is an information barrier; the banks have high requirements for the collateral value, etc.</w:t>
            </w:r>
          </w:p>
        </w:tc>
        <w:tc>
          <w:tcPr>
            <w:tcW w:w="963" w:type="dxa"/>
            <w:tcBorders>
              <w:top w:val="nil"/>
              <w:left w:val="nil"/>
              <w:bottom w:val="single" w:sz="4" w:space="0" w:color="auto"/>
              <w:right w:val="single" w:sz="4" w:space="0" w:color="auto"/>
            </w:tcBorders>
            <w:noWrap/>
            <w:vAlign w:val="bottom"/>
          </w:tcPr>
          <w:p w14:paraId="644F40B4" w14:textId="77777777" w:rsidR="006D3AD5" w:rsidRPr="00874BFF" w:rsidRDefault="006D3AD5" w:rsidP="00443B8F">
            <w:pPr>
              <w:overflowPunct/>
              <w:autoSpaceDE/>
              <w:autoSpaceDN/>
              <w:adjustRightInd/>
              <w:jc w:val="right"/>
              <w:textAlignment w:val="auto"/>
              <w:rPr>
                <w:rFonts w:cs="Arial"/>
                <w:sz w:val="20"/>
              </w:rPr>
            </w:pPr>
            <w:r w:rsidRPr="00874BFF">
              <w:rPr>
                <w:sz w:val="20"/>
              </w:rPr>
              <w:t>38</w:t>
            </w:r>
          </w:p>
        </w:tc>
        <w:tc>
          <w:tcPr>
            <w:tcW w:w="798" w:type="dxa"/>
            <w:tcBorders>
              <w:top w:val="nil"/>
              <w:left w:val="nil"/>
              <w:bottom w:val="single" w:sz="4" w:space="0" w:color="auto"/>
              <w:right w:val="single" w:sz="4" w:space="0" w:color="auto"/>
            </w:tcBorders>
            <w:noWrap/>
            <w:vAlign w:val="bottom"/>
          </w:tcPr>
          <w:p w14:paraId="4F723339" w14:textId="77777777" w:rsidR="006D3AD5" w:rsidRPr="00874BFF" w:rsidRDefault="006D3AD5" w:rsidP="00443B8F">
            <w:pPr>
              <w:overflowPunct/>
              <w:autoSpaceDE/>
              <w:autoSpaceDN/>
              <w:adjustRightInd/>
              <w:jc w:val="right"/>
              <w:textAlignment w:val="auto"/>
              <w:rPr>
                <w:rFonts w:cs="Arial"/>
                <w:sz w:val="20"/>
              </w:rPr>
            </w:pPr>
            <w:r w:rsidRPr="00874BFF">
              <w:rPr>
                <w:sz w:val="20"/>
              </w:rPr>
              <w:t>18.1%</w:t>
            </w:r>
          </w:p>
        </w:tc>
      </w:tr>
      <w:tr w:rsidR="006D3AD5" w:rsidRPr="00874BFF" w14:paraId="7FC2AFAC" w14:textId="77777777" w:rsidTr="00443B8F">
        <w:trPr>
          <w:trHeight w:val="255"/>
        </w:trPr>
        <w:tc>
          <w:tcPr>
            <w:tcW w:w="7840" w:type="dxa"/>
            <w:tcBorders>
              <w:top w:val="nil"/>
              <w:left w:val="nil"/>
              <w:bottom w:val="nil"/>
              <w:right w:val="nil"/>
            </w:tcBorders>
            <w:noWrap/>
            <w:vAlign w:val="bottom"/>
          </w:tcPr>
          <w:p w14:paraId="5E0FD482"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3" w:type="dxa"/>
            <w:tcBorders>
              <w:top w:val="nil"/>
              <w:left w:val="nil"/>
              <w:bottom w:val="nil"/>
              <w:right w:val="nil"/>
            </w:tcBorders>
            <w:noWrap/>
            <w:vAlign w:val="bottom"/>
          </w:tcPr>
          <w:p w14:paraId="20587A56" w14:textId="77777777" w:rsidR="006D3AD5" w:rsidRPr="00874BFF" w:rsidRDefault="006D3AD5" w:rsidP="00443B8F">
            <w:pPr>
              <w:overflowPunct/>
              <w:autoSpaceDE/>
              <w:autoSpaceDN/>
              <w:adjustRightInd/>
              <w:jc w:val="left"/>
              <w:textAlignment w:val="auto"/>
              <w:rPr>
                <w:rFonts w:cs="Arial"/>
                <w:sz w:val="20"/>
              </w:rPr>
            </w:pPr>
            <w:r w:rsidRPr="00874BFF">
              <w:rPr>
                <w:sz w:val="20"/>
              </w:rPr>
              <w:t>210</w:t>
            </w:r>
          </w:p>
        </w:tc>
        <w:tc>
          <w:tcPr>
            <w:tcW w:w="798" w:type="dxa"/>
            <w:tcBorders>
              <w:top w:val="nil"/>
              <w:left w:val="nil"/>
              <w:bottom w:val="nil"/>
              <w:right w:val="nil"/>
            </w:tcBorders>
            <w:noWrap/>
            <w:vAlign w:val="bottom"/>
          </w:tcPr>
          <w:p w14:paraId="7D59F96C" w14:textId="77777777" w:rsidR="006D3AD5" w:rsidRPr="00874BFF" w:rsidRDefault="006D3AD5" w:rsidP="00443B8F">
            <w:pPr>
              <w:overflowPunct/>
              <w:autoSpaceDE/>
              <w:autoSpaceDN/>
              <w:adjustRightInd/>
              <w:jc w:val="left"/>
              <w:textAlignment w:val="auto"/>
              <w:rPr>
                <w:rFonts w:cs="Arial"/>
                <w:sz w:val="20"/>
              </w:rPr>
            </w:pPr>
          </w:p>
        </w:tc>
      </w:tr>
    </w:tbl>
    <w:p w14:paraId="6ADA5B08" w14:textId="77777777" w:rsidR="006D3AD5" w:rsidRPr="00874BFF" w:rsidRDefault="006D3AD5" w:rsidP="006D3AD5">
      <w:r w:rsidRPr="00874BFF">
        <w:t>All in all, the respondents therefore evaluated their access to financing as difficult in 33.3 % of the cases.</w:t>
      </w:r>
    </w:p>
    <w:p w14:paraId="55E3445B" w14:textId="77777777" w:rsidR="006D3AD5" w:rsidRPr="00874BFF" w:rsidRDefault="006D3AD5" w:rsidP="006D3AD5">
      <w:pPr>
        <w:pStyle w:val="Titulek"/>
        <w:keepNext/>
      </w:pPr>
    </w:p>
    <w:p w14:paraId="0AC23A0B" w14:textId="13418481" w:rsidR="006D3AD5" w:rsidRPr="00874BFF" w:rsidRDefault="006D3AD5" w:rsidP="006D3AD5">
      <w:pPr>
        <w:pStyle w:val="Titulek"/>
        <w:keepNext/>
      </w:pPr>
      <w:r w:rsidRPr="00874BFF">
        <w:t xml:space="preserve">Figure </w:t>
      </w:r>
      <w:r w:rsidR="00A54BE3">
        <w:t>24</w:t>
      </w:r>
      <w:r w:rsidRPr="00874BFF">
        <w:t>: Availability of respondents' financing in the last three years</w:t>
      </w:r>
    </w:p>
    <w:p w14:paraId="58396973" w14:textId="77777777" w:rsidR="006D3AD5" w:rsidRPr="00874BFF" w:rsidRDefault="006D3AD5" w:rsidP="006D3AD5">
      <w:r w:rsidRPr="00874BFF">
        <w:rPr>
          <w:noProof/>
        </w:rPr>
        <w:drawing>
          <wp:inline distT="0" distB="0" distL="0" distR="0" wp14:anchorId="2B14A3B6" wp14:editId="54CC8291">
            <wp:extent cx="5248275" cy="2628900"/>
            <wp:effectExtent l="0" t="0" r="9525" b="0"/>
            <wp:docPr id="26" name="obráz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8F361F" w14:textId="77777777" w:rsidR="006D3AD5" w:rsidRPr="00874BFF" w:rsidRDefault="006D3AD5" w:rsidP="006D3AD5"/>
    <w:p w14:paraId="6A1C18D4" w14:textId="77777777" w:rsidR="006D3AD5" w:rsidRPr="00874BFF" w:rsidRDefault="006D3AD5" w:rsidP="006D3AD5">
      <w:r w:rsidRPr="00874BFF">
        <w:t xml:space="preserve">Further data relate only to the SMEs  that evaluated their access to financing as difficult. </w:t>
      </w:r>
    </w:p>
    <w:p w14:paraId="52F1677D" w14:textId="5384F61E" w:rsidR="006D3AD5" w:rsidRPr="00874BFF" w:rsidRDefault="006D3AD5" w:rsidP="006D3AD5">
      <w:pPr>
        <w:pStyle w:val="Titulek"/>
      </w:pPr>
      <w:r w:rsidRPr="00874BFF">
        <w:t xml:space="preserve">Table </w:t>
      </w:r>
      <w:r w:rsidR="00001EEF">
        <w:t>50</w:t>
      </w:r>
      <w:r w:rsidRPr="00874BFF">
        <w:t>: Reasons for difficult access to financing</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3AD5" w:rsidRPr="00874BFF" w14:paraId="01A91869" w14:textId="77777777" w:rsidTr="00443B8F">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14:paraId="121C0486"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Major reasons for difficult access to financing</w:t>
            </w:r>
          </w:p>
        </w:tc>
        <w:tc>
          <w:tcPr>
            <w:tcW w:w="960" w:type="dxa"/>
            <w:tcBorders>
              <w:top w:val="single" w:sz="4" w:space="0" w:color="auto"/>
              <w:left w:val="nil"/>
              <w:bottom w:val="single" w:sz="4" w:space="0" w:color="auto"/>
              <w:right w:val="single" w:sz="4" w:space="0" w:color="auto"/>
            </w:tcBorders>
            <w:noWrap/>
            <w:vAlign w:val="bottom"/>
          </w:tcPr>
          <w:p w14:paraId="57E6418D"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376D92E4"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12853F7D"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4F1A36FB" w14:textId="77777777" w:rsidR="006D3AD5" w:rsidRPr="00874BFF" w:rsidRDefault="006D3AD5" w:rsidP="00443B8F">
            <w:pPr>
              <w:overflowPunct/>
              <w:autoSpaceDE/>
              <w:autoSpaceDN/>
              <w:adjustRightInd/>
              <w:jc w:val="left"/>
              <w:textAlignment w:val="auto"/>
              <w:rPr>
                <w:rFonts w:cs="Arial"/>
                <w:sz w:val="20"/>
              </w:rPr>
            </w:pPr>
            <w:r w:rsidRPr="00874BFF">
              <w:rPr>
                <w:sz w:val="20"/>
              </w:rPr>
              <w:t>Long payback period of the project</w:t>
            </w:r>
          </w:p>
        </w:tc>
        <w:tc>
          <w:tcPr>
            <w:tcW w:w="960" w:type="dxa"/>
            <w:tcBorders>
              <w:top w:val="nil"/>
              <w:left w:val="nil"/>
              <w:bottom w:val="single" w:sz="4" w:space="0" w:color="auto"/>
              <w:right w:val="single" w:sz="4" w:space="0" w:color="auto"/>
            </w:tcBorders>
            <w:noWrap/>
            <w:vAlign w:val="bottom"/>
          </w:tcPr>
          <w:p w14:paraId="3BBC15EC" w14:textId="77777777" w:rsidR="006D3AD5" w:rsidRPr="00874BFF" w:rsidRDefault="006D3AD5" w:rsidP="00443B8F">
            <w:pPr>
              <w:overflowPunct/>
              <w:autoSpaceDE/>
              <w:autoSpaceDN/>
              <w:adjustRightInd/>
              <w:jc w:val="right"/>
              <w:textAlignment w:val="auto"/>
              <w:rPr>
                <w:rFonts w:cs="Arial"/>
                <w:sz w:val="20"/>
              </w:rPr>
            </w:pPr>
            <w:r w:rsidRPr="00874BFF">
              <w:rPr>
                <w:sz w:val="20"/>
              </w:rPr>
              <w:t>29</w:t>
            </w:r>
          </w:p>
        </w:tc>
        <w:tc>
          <w:tcPr>
            <w:tcW w:w="960" w:type="dxa"/>
            <w:tcBorders>
              <w:top w:val="nil"/>
              <w:left w:val="nil"/>
              <w:bottom w:val="single" w:sz="4" w:space="0" w:color="auto"/>
              <w:right w:val="single" w:sz="4" w:space="0" w:color="auto"/>
            </w:tcBorders>
            <w:noWrap/>
            <w:vAlign w:val="bottom"/>
          </w:tcPr>
          <w:p w14:paraId="39A1E2C4" w14:textId="77777777" w:rsidR="006D3AD5" w:rsidRPr="00874BFF" w:rsidRDefault="006D3AD5" w:rsidP="00443B8F">
            <w:pPr>
              <w:overflowPunct/>
              <w:autoSpaceDE/>
              <w:autoSpaceDN/>
              <w:adjustRightInd/>
              <w:jc w:val="right"/>
              <w:textAlignment w:val="auto"/>
              <w:rPr>
                <w:rFonts w:cs="Arial"/>
                <w:sz w:val="20"/>
              </w:rPr>
            </w:pPr>
            <w:r w:rsidRPr="00874BFF">
              <w:rPr>
                <w:sz w:val="20"/>
              </w:rPr>
              <w:t>41.4%</w:t>
            </w:r>
          </w:p>
        </w:tc>
      </w:tr>
      <w:tr w:rsidR="006D3AD5" w:rsidRPr="00874BFF" w14:paraId="107AF460"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1CE1606D" w14:textId="77777777" w:rsidR="006D3AD5" w:rsidRPr="00874BFF" w:rsidRDefault="006D3AD5" w:rsidP="00443B8F">
            <w:pPr>
              <w:overflowPunct/>
              <w:autoSpaceDE/>
              <w:autoSpaceDN/>
              <w:adjustRightInd/>
              <w:jc w:val="left"/>
              <w:textAlignment w:val="auto"/>
              <w:rPr>
                <w:rFonts w:cs="Arial"/>
                <w:sz w:val="20"/>
              </w:rPr>
            </w:pPr>
            <w:r w:rsidRPr="00874BFF">
              <w:rPr>
                <w:sz w:val="20"/>
              </w:rPr>
              <w:t>Short business history</w:t>
            </w:r>
          </w:p>
        </w:tc>
        <w:tc>
          <w:tcPr>
            <w:tcW w:w="960" w:type="dxa"/>
            <w:tcBorders>
              <w:top w:val="nil"/>
              <w:left w:val="nil"/>
              <w:bottom w:val="single" w:sz="4" w:space="0" w:color="auto"/>
              <w:right w:val="single" w:sz="4" w:space="0" w:color="auto"/>
            </w:tcBorders>
            <w:noWrap/>
            <w:vAlign w:val="bottom"/>
          </w:tcPr>
          <w:p w14:paraId="0D3CEA0D" w14:textId="77777777" w:rsidR="006D3AD5" w:rsidRPr="00874BFF" w:rsidRDefault="006D3AD5" w:rsidP="00443B8F">
            <w:pPr>
              <w:overflowPunct/>
              <w:autoSpaceDE/>
              <w:autoSpaceDN/>
              <w:adjustRightInd/>
              <w:jc w:val="right"/>
              <w:textAlignment w:val="auto"/>
              <w:rPr>
                <w:rFonts w:cs="Arial"/>
                <w:sz w:val="20"/>
              </w:rPr>
            </w:pPr>
            <w:r w:rsidRPr="00874BFF">
              <w:rPr>
                <w:sz w:val="20"/>
              </w:rPr>
              <w:t>29</w:t>
            </w:r>
          </w:p>
        </w:tc>
        <w:tc>
          <w:tcPr>
            <w:tcW w:w="960" w:type="dxa"/>
            <w:tcBorders>
              <w:top w:val="nil"/>
              <w:left w:val="nil"/>
              <w:bottom w:val="single" w:sz="4" w:space="0" w:color="auto"/>
              <w:right w:val="single" w:sz="4" w:space="0" w:color="auto"/>
            </w:tcBorders>
            <w:noWrap/>
            <w:vAlign w:val="bottom"/>
          </w:tcPr>
          <w:p w14:paraId="74EBADE4" w14:textId="77777777" w:rsidR="006D3AD5" w:rsidRPr="00874BFF" w:rsidRDefault="006D3AD5" w:rsidP="00443B8F">
            <w:pPr>
              <w:overflowPunct/>
              <w:autoSpaceDE/>
              <w:autoSpaceDN/>
              <w:adjustRightInd/>
              <w:jc w:val="right"/>
              <w:textAlignment w:val="auto"/>
              <w:rPr>
                <w:rFonts w:cs="Arial"/>
                <w:sz w:val="20"/>
              </w:rPr>
            </w:pPr>
            <w:r w:rsidRPr="00874BFF">
              <w:rPr>
                <w:sz w:val="20"/>
              </w:rPr>
              <w:t>41.4%</w:t>
            </w:r>
          </w:p>
        </w:tc>
      </w:tr>
      <w:tr w:rsidR="006D3AD5" w:rsidRPr="00874BFF" w14:paraId="75AA9D83"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57FDB3C2" w14:textId="77777777" w:rsidR="006D3AD5" w:rsidRPr="00874BFF" w:rsidRDefault="006D3AD5" w:rsidP="00443B8F">
            <w:pPr>
              <w:overflowPunct/>
              <w:autoSpaceDE/>
              <w:autoSpaceDN/>
              <w:adjustRightInd/>
              <w:jc w:val="left"/>
              <w:textAlignment w:val="auto"/>
              <w:rPr>
                <w:rFonts w:cs="Arial"/>
                <w:sz w:val="20"/>
              </w:rPr>
            </w:pPr>
            <w:r w:rsidRPr="00874BFF">
              <w:rPr>
                <w:sz w:val="20"/>
              </w:rPr>
              <w:t>Securitisation possibilities</w:t>
            </w:r>
          </w:p>
        </w:tc>
        <w:tc>
          <w:tcPr>
            <w:tcW w:w="960" w:type="dxa"/>
            <w:tcBorders>
              <w:top w:val="nil"/>
              <w:left w:val="nil"/>
              <w:bottom w:val="single" w:sz="4" w:space="0" w:color="auto"/>
              <w:right w:val="single" w:sz="4" w:space="0" w:color="auto"/>
            </w:tcBorders>
            <w:noWrap/>
            <w:vAlign w:val="bottom"/>
          </w:tcPr>
          <w:p w14:paraId="3AE5EBC0" w14:textId="77777777" w:rsidR="006D3AD5" w:rsidRPr="00874BFF" w:rsidRDefault="006D3AD5" w:rsidP="00443B8F">
            <w:pPr>
              <w:overflowPunct/>
              <w:autoSpaceDE/>
              <w:autoSpaceDN/>
              <w:adjustRightInd/>
              <w:jc w:val="right"/>
              <w:textAlignment w:val="auto"/>
              <w:rPr>
                <w:rFonts w:cs="Arial"/>
                <w:sz w:val="20"/>
              </w:rPr>
            </w:pPr>
            <w:r w:rsidRPr="00874BFF">
              <w:rPr>
                <w:sz w:val="20"/>
              </w:rPr>
              <w:t>39</w:t>
            </w:r>
          </w:p>
        </w:tc>
        <w:tc>
          <w:tcPr>
            <w:tcW w:w="960" w:type="dxa"/>
            <w:tcBorders>
              <w:top w:val="nil"/>
              <w:left w:val="nil"/>
              <w:bottom w:val="single" w:sz="4" w:space="0" w:color="auto"/>
              <w:right w:val="single" w:sz="4" w:space="0" w:color="auto"/>
            </w:tcBorders>
            <w:noWrap/>
            <w:vAlign w:val="bottom"/>
          </w:tcPr>
          <w:p w14:paraId="2191E929" w14:textId="77777777" w:rsidR="006D3AD5" w:rsidRPr="00874BFF" w:rsidRDefault="006D3AD5" w:rsidP="00443B8F">
            <w:pPr>
              <w:overflowPunct/>
              <w:autoSpaceDE/>
              <w:autoSpaceDN/>
              <w:adjustRightInd/>
              <w:jc w:val="right"/>
              <w:textAlignment w:val="auto"/>
              <w:rPr>
                <w:rFonts w:cs="Arial"/>
                <w:sz w:val="20"/>
              </w:rPr>
            </w:pPr>
            <w:r w:rsidRPr="00874BFF">
              <w:rPr>
                <w:sz w:val="20"/>
              </w:rPr>
              <w:t>55.7%</w:t>
            </w:r>
          </w:p>
        </w:tc>
      </w:tr>
      <w:tr w:rsidR="006D3AD5" w:rsidRPr="00874BFF" w14:paraId="16253573"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2D699FB4" w14:textId="77777777" w:rsidR="006D3AD5" w:rsidRPr="00874BFF" w:rsidRDefault="006D3AD5" w:rsidP="00443B8F">
            <w:pPr>
              <w:overflowPunct/>
              <w:autoSpaceDE/>
              <w:autoSpaceDN/>
              <w:adjustRightInd/>
              <w:jc w:val="left"/>
              <w:textAlignment w:val="auto"/>
              <w:rPr>
                <w:rFonts w:cs="Arial"/>
                <w:sz w:val="20"/>
              </w:rPr>
            </w:pPr>
            <w:r w:rsidRPr="00874BFF">
              <w:rPr>
                <w:sz w:val="20"/>
              </w:rPr>
              <w:t>Financial costs</w:t>
            </w:r>
          </w:p>
        </w:tc>
        <w:tc>
          <w:tcPr>
            <w:tcW w:w="960" w:type="dxa"/>
            <w:tcBorders>
              <w:top w:val="nil"/>
              <w:left w:val="nil"/>
              <w:bottom w:val="single" w:sz="4" w:space="0" w:color="auto"/>
              <w:right w:val="single" w:sz="4" w:space="0" w:color="auto"/>
            </w:tcBorders>
            <w:noWrap/>
            <w:vAlign w:val="bottom"/>
          </w:tcPr>
          <w:p w14:paraId="482092A2" w14:textId="77777777" w:rsidR="006D3AD5" w:rsidRPr="00874BFF" w:rsidRDefault="006D3AD5" w:rsidP="00443B8F">
            <w:pPr>
              <w:overflowPunct/>
              <w:autoSpaceDE/>
              <w:autoSpaceDN/>
              <w:adjustRightInd/>
              <w:jc w:val="right"/>
              <w:textAlignment w:val="auto"/>
              <w:rPr>
                <w:rFonts w:cs="Arial"/>
                <w:sz w:val="20"/>
              </w:rPr>
            </w:pPr>
            <w:r w:rsidRPr="00874BFF">
              <w:rPr>
                <w:sz w:val="20"/>
              </w:rPr>
              <w:t>34</w:t>
            </w:r>
          </w:p>
        </w:tc>
        <w:tc>
          <w:tcPr>
            <w:tcW w:w="960" w:type="dxa"/>
            <w:tcBorders>
              <w:top w:val="nil"/>
              <w:left w:val="nil"/>
              <w:bottom w:val="single" w:sz="4" w:space="0" w:color="auto"/>
              <w:right w:val="single" w:sz="4" w:space="0" w:color="auto"/>
            </w:tcBorders>
            <w:noWrap/>
            <w:vAlign w:val="bottom"/>
          </w:tcPr>
          <w:p w14:paraId="24A62D51" w14:textId="77777777" w:rsidR="006D3AD5" w:rsidRPr="00874BFF" w:rsidRDefault="006D3AD5" w:rsidP="00443B8F">
            <w:pPr>
              <w:overflowPunct/>
              <w:autoSpaceDE/>
              <w:autoSpaceDN/>
              <w:adjustRightInd/>
              <w:jc w:val="right"/>
              <w:textAlignment w:val="auto"/>
              <w:rPr>
                <w:rFonts w:cs="Arial"/>
                <w:sz w:val="20"/>
              </w:rPr>
            </w:pPr>
            <w:r w:rsidRPr="00874BFF">
              <w:rPr>
                <w:sz w:val="20"/>
              </w:rPr>
              <w:t>48.6%</w:t>
            </w:r>
          </w:p>
        </w:tc>
      </w:tr>
      <w:tr w:rsidR="006D3AD5" w:rsidRPr="00874BFF" w14:paraId="2DD49C98"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2C803905" w14:textId="77777777" w:rsidR="006D3AD5" w:rsidRPr="00874BFF" w:rsidRDefault="006D3AD5" w:rsidP="00443B8F">
            <w:pPr>
              <w:overflowPunct/>
              <w:autoSpaceDE/>
              <w:autoSpaceDN/>
              <w:adjustRightInd/>
              <w:jc w:val="left"/>
              <w:textAlignment w:val="auto"/>
              <w:rPr>
                <w:rFonts w:cs="Arial"/>
                <w:sz w:val="20"/>
              </w:rPr>
            </w:pPr>
            <w:r w:rsidRPr="00874BFF">
              <w:rPr>
                <w:sz w:val="20"/>
              </w:rPr>
              <w:t>Economic potential of the project</w:t>
            </w:r>
          </w:p>
        </w:tc>
        <w:tc>
          <w:tcPr>
            <w:tcW w:w="960" w:type="dxa"/>
            <w:tcBorders>
              <w:top w:val="nil"/>
              <w:left w:val="nil"/>
              <w:bottom w:val="single" w:sz="4" w:space="0" w:color="auto"/>
              <w:right w:val="single" w:sz="4" w:space="0" w:color="auto"/>
            </w:tcBorders>
            <w:noWrap/>
            <w:vAlign w:val="bottom"/>
          </w:tcPr>
          <w:p w14:paraId="4E185027" w14:textId="77777777" w:rsidR="006D3AD5" w:rsidRPr="00874BFF" w:rsidRDefault="006D3AD5" w:rsidP="00443B8F">
            <w:pPr>
              <w:overflowPunct/>
              <w:autoSpaceDE/>
              <w:autoSpaceDN/>
              <w:adjustRightInd/>
              <w:jc w:val="right"/>
              <w:textAlignment w:val="auto"/>
              <w:rPr>
                <w:rFonts w:cs="Arial"/>
                <w:sz w:val="20"/>
              </w:rPr>
            </w:pPr>
            <w:r w:rsidRPr="00874BFF">
              <w:rPr>
                <w:sz w:val="20"/>
              </w:rPr>
              <w:t>17</w:t>
            </w:r>
          </w:p>
        </w:tc>
        <w:tc>
          <w:tcPr>
            <w:tcW w:w="960" w:type="dxa"/>
            <w:tcBorders>
              <w:top w:val="nil"/>
              <w:left w:val="nil"/>
              <w:bottom w:val="single" w:sz="4" w:space="0" w:color="auto"/>
              <w:right w:val="single" w:sz="4" w:space="0" w:color="auto"/>
            </w:tcBorders>
            <w:noWrap/>
            <w:vAlign w:val="bottom"/>
          </w:tcPr>
          <w:p w14:paraId="15C7D21F" w14:textId="77777777" w:rsidR="006D3AD5" w:rsidRPr="00874BFF" w:rsidRDefault="006D3AD5" w:rsidP="00443B8F">
            <w:pPr>
              <w:overflowPunct/>
              <w:autoSpaceDE/>
              <w:autoSpaceDN/>
              <w:adjustRightInd/>
              <w:jc w:val="right"/>
              <w:textAlignment w:val="auto"/>
              <w:rPr>
                <w:rFonts w:cs="Arial"/>
                <w:sz w:val="20"/>
              </w:rPr>
            </w:pPr>
            <w:r w:rsidRPr="00874BFF">
              <w:rPr>
                <w:sz w:val="20"/>
              </w:rPr>
              <w:t>24.3%</w:t>
            </w:r>
          </w:p>
        </w:tc>
      </w:tr>
      <w:tr w:rsidR="006D3AD5" w:rsidRPr="00874BFF" w14:paraId="670239BD"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508848F0" w14:textId="77777777" w:rsidR="006D3AD5" w:rsidRPr="00874BFF" w:rsidRDefault="006D3AD5" w:rsidP="00443B8F">
            <w:pPr>
              <w:overflowPunct/>
              <w:autoSpaceDE/>
              <w:autoSpaceDN/>
              <w:adjustRightInd/>
              <w:jc w:val="left"/>
              <w:textAlignment w:val="auto"/>
              <w:rPr>
                <w:rFonts w:cs="Arial"/>
                <w:sz w:val="20"/>
              </w:rPr>
            </w:pPr>
            <w:r w:rsidRPr="00874BFF">
              <w:rPr>
                <w:sz w:val="20"/>
              </w:rPr>
              <w:t>High current debt</w:t>
            </w:r>
          </w:p>
        </w:tc>
        <w:tc>
          <w:tcPr>
            <w:tcW w:w="960" w:type="dxa"/>
            <w:tcBorders>
              <w:top w:val="nil"/>
              <w:left w:val="nil"/>
              <w:bottom w:val="single" w:sz="4" w:space="0" w:color="auto"/>
              <w:right w:val="single" w:sz="4" w:space="0" w:color="auto"/>
            </w:tcBorders>
            <w:noWrap/>
            <w:vAlign w:val="bottom"/>
          </w:tcPr>
          <w:p w14:paraId="1762F13D" w14:textId="77777777" w:rsidR="006D3AD5" w:rsidRPr="00874BFF" w:rsidRDefault="006D3AD5" w:rsidP="00443B8F">
            <w:pPr>
              <w:overflowPunct/>
              <w:autoSpaceDE/>
              <w:autoSpaceDN/>
              <w:adjustRightInd/>
              <w:jc w:val="right"/>
              <w:textAlignment w:val="auto"/>
              <w:rPr>
                <w:rFonts w:cs="Arial"/>
                <w:sz w:val="20"/>
              </w:rPr>
            </w:pPr>
            <w:r w:rsidRPr="00874BFF">
              <w:rPr>
                <w:sz w:val="20"/>
              </w:rPr>
              <w:t>8</w:t>
            </w:r>
          </w:p>
        </w:tc>
        <w:tc>
          <w:tcPr>
            <w:tcW w:w="960" w:type="dxa"/>
            <w:tcBorders>
              <w:top w:val="nil"/>
              <w:left w:val="nil"/>
              <w:bottom w:val="single" w:sz="4" w:space="0" w:color="auto"/>
              <w:right w:val="single" w:sz="4" w:space="0" w:color="auto"/>
            </w:tcBorders>
            <w:noWrap/>
            <w:vAlign w:val="bottom"/>
          </w:tcPr>
          <w:p w14:paraId="49CD60AA" w14:textId="77777777" w:rsidR="006D3AD5" w:rsidRPr="00874BFF" w:rsidRDefault="006D3AD5" w:rsidP="00443B8F">
            <w:pPr>
              <w:overflowPunct/>
              <w:autoSpaceDE/>
              <w:autoSpaceDN/>
              <w:adjustRightInd/>
              <w:jc w:val="right"/>
              <w:textAlignment w:val="auto"/>
              <w:rPr>
                <w:rFonts w:cs="Arial"/>
                <w:sz w:val="20"/>
              </w:rPr>
            </w:pPr>
            <w:r w:rsidRPr="00874BFF">
              <w:rPr>
                <w:sz w:val="20"/>
              </w:rPr>
              <w:t>11.4%</w:t>
            </w:r>
          </w:p>
        </w:tc>
      </w:tr>
      <w:tr w:rsidR="006D3AD5" w:rsidRPr="00874BFF" w14:paraId="5307F9DD" w14:textId="77777777" w:rsidTr="00443B8F">
        <w:trPr>
          <w:trHeight w:val="255"/>
        </w:trPr>
        <w:tc>
          <w:tcPr>
            <w:tcW w:w="2966" w:type="dxa"/>
            <w:tcBorders>
              <w:top w:val="nil"/>
              <w:left w:val="nil"/>
              <w:bottom w:val="nil"/>
              <w:right w:val="nil"/>
            </w:tcBorders>
            <w:noWrap/>
            <w:vAlign w:val="bottom"/>
          </w:tcPr>
          <w:p w14:paraId="5B6DFBA6"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60" w:type="dxa"/>
            <w:tcBorders>
              <w:top w:val="nil"/>
              <w:left w:val="nil"/>
              <w:bottom w:val="nil"/>
              <w:right w:val="nil"/>
            </w:tcBorders>
            <w:noWrap/>
            <w:vAlign w:val="bottom"/>
          </w:tcPr>
          <w:p w14:paraId="255BF00A" w14:textId="77777777" w:rsidR="006D3AD5" w:rsidRPr="00874BFF" w:rsidRDefault="006D3AD5" w:rsidP="00443B8F">
            <w:pPr>
              <w:overflowPunct/>
              <w:autoSpaceDE/>
              <w:autoSpaceDN/>
              <w:adjustRightInd/>
              <w:jc w:val="left"/>
              <w:textAlignment w:val="auto"/>
              <w:rPr>
                <w:rFonts w:cs="Arial"/>
                <w:sz w:val="20"/>
              </w:rPr>
            </w:pPr>
            <w:r w:rsidRPr="00874BFF">
              <w:rPr>
                <w:sz w:val="20"/>
              </w:rPr>
              <w:t>70</w:t>
            </w:r>
          </w:p>
        </w:tc>
        <w:tc>
          <w:tcPr>
            <w:tcW w:w="960" w:type="dxa"/>
            <w:tcBorders>
              <w:top w:val="nil"/>
              <w:left w:val="nil"/>
              <w:bottom w:val="nil"/>
              <w:right w:val="nil"/>
            </w:tcBorders>
            <w:noWrap/>
            <w:vAlign w:val="bottom"/>
          </w:tcPr>
          <w:p w14:paraId="53147637" w14:textId="77777777" w:rsidR="006D3AD5" w:rsidRPr="00874BFF" w:rsidRDefault="006D3AD5" w:rsidP="00443B8F">
            <w:pPr>
              <w:overflowPunct/>
              <w:autoSpaceDE/>
              <w:autoSpaceDN/>
              <w:adjustRightInd/>
              <w:jc w:val="left"/>
              <w:textAlignment w:val="auto"/>
              <w:rPr>
                <w:rFonts w:cs="Arial"/>
                <w:sz w:val="20"/>
              </w:rPr>
            </w:pPr>
          </w:p>
        </w:tc>
      </w:tr>
    </w:tbl>
    <w:p w14:paraId="740983F9" w14:textId="77777777" w:rsidR="006D3AD5" w:rsidRPr="00874BFF" w:rsidRDefault="006D3AD5" w:rsidP="006D3AD5"/>
    <w:p w14:paraId="2C18EEDB" w14:textId="77777777" w:rsidR="006D3AD5" w:rsidRPr="00874BFF" w:rsidRDefault="006D3AD5" w:rsidP="006D3AD5">
      <w:r w:rsidRPr="00874BFF">
        <w:t>The main reasons for difficult access to financing of business real estates mentioned by the respondents particularly include securing possibilities, financial costs, but also the payback period and the duration of their business history.</w:t>
      </w:r>
    </w:p>
    <w:p w14:paraId="539003BA" w14:textId="77777777" w:rsidR="006D3AD5" w:rsidRPr="00874BFF" w:rsidRDefault="006D3AD5" w:rsidP="006D3AD5">
      <w:r w:rsidRPr="00874BFF">
        <w:lastRenderedPageBreak/>
        <w:t xml:space="preserve"> </w:t>
      </w:r>
    </w:p>
    <w:p w14:paraId="56EBCAF0" w14:textId="2EE2D203" w:rsidR="006D3AD5" w:rsidRPr="00874BFF" w:rsidRDefault="006D3AD5" w:rsidP="006D3AD5">
      <w:pPr>
        <w:pStyle w:val="Titulek"/>
      </w:pPr>
      <w:r w:rsidRPr="00874BFF">
        <w:t xml:space="preserve">Table </w:t>
      </w:r>
      <w:r w:rsidR="00001EEF">
        <w:t>51</w:t>
      </w:r>
      <w:r w:rsidRPr="00874BFF">
        <w:t>: Potentially economically viable projects with difficult access to financing</w:t>
      </w:r>
    </w:p>
    <w:tbl>
      <w:tblPr>
        <w:tblW w:w="7316" w:type="dxa"/>
        <w:tblInd w:w="55" w:type="dxa"/>
        <w:tblCellMar>
          <w:left w:w="70" w:type="dxa"/>
          <w:right w:w="70" w:type="dxa"/>
        </w:tblCellMar>
        <w:tblLook w:val="00A0" w:firstRow="1" w:lastRow="0" w:firstColumn="1" w:lastColumn="0" w:noHBand="0" w:noVBand="0"/>
      </w:tblPr>
      <w:tblGrid>
        <w:gridCol w:w="2934"/>
        <w:gridCol w:w="3422"/>
        <w:gridCol w:w="960"/>
      </w:tblGrid>
      <w:tr w:rsidR="006D3AD5" w:rsidRPr="00874BFF" w14:paraId="056276DA"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2ED54742"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Potentially economically viable projects with difficult access to financing</w:t>
            </w:r>
          </w:p>
        </w:tc>
        <w:tc>
          <w:tcPr>
            <w:tcW w:w="960" w:type="dxa"/>
            <w:tcBorders>
              <w:top w:val="single" w:sz="4" w:space="0" w:color="auto"/>
              <w:left w:val="nil"/>
              <w:bottom w:val="single" w:sz="4" w:space="0" w:color="auto"/>
              <w:right w:val="single" w:sz="4" w:space="0" w:color="auto"/>
            </w:tcBorders>
            <w:noWrap/>
            <w:vAlign w:val="bottom"/>
          </w:tcPr>
          <w:p w14:paraId="471B824C"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1BD1E73A"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2D76497C" w14:textId="77777777" w:rsidR="006D3AD5" w:rsidRPr="00874BFF" w:rsidRDefault="006D3AD5" w:rsidP="00443B8F">
            <w:pPr>
              <w:overflowPunct/>
              <w:autoSpaceDE/>
              <w:autoSpaceDN/>
              <w:adjustRightInd/>
              <w:jc w:val="left"/>
              <w:textAlignment w:val="auto"/>
              <w:rPr>
                <w:rFonts w:cs="Arial"/>
                <w:sz w:val="20"/>
              </w:rPr>
            </w:pPr>
            <w:r w:rsidRPr="00874BFF">
              <w:rPr>
                <w:sz w:val="20"/>
              </w:rPr>
              <w:t>Share in the companies planning to invest in RDI in the next three years</w:t>
            </w:r>
          </w:p>
        </w:tc>
        <w:tc>
          <w:tcPr>
            <w:tcW w:w="960" w:type="dxa"/>
            <w:tcBorders>
              <w:top w:val="nil"/>
              <w:left w:val="nil"/>
              <w:bottom w:val="single" w:sz="4" w:space="0" w:color="auto"/>
              <w:right w:val="single" w:sz="4" w:space="0" w:color="auto"/>
            </w:tcBorders>
            <w:noWrap/>
            <w:vAlign w:val="bottom"/>
          </w:tcPr>
          <w:p w14:paraId="2DEDEE0B" w14:textId="77777777" w:rsidR="006D3AD5" w:rsidRPr="00874BFF" w:rsidRDefault="006D3AD5" w:rsidP="00443B8F">
            <w:pPr>
              <w:overflowPunct/>
              <w:autoSpaceDE/>
              <w:autoSpaceDN/>
              <w:adjustRightInd/>
              <w:jc w:val="right"/>
              <w:textAlignment w:val="auto"/>
              <w:rPr>
                <w:rFonts w:cs="Arial"/>
                <w:sz w:val="20"/>
              </w:rPr>
            </w:pPr>
            <w:r w:rsidRPr="00874BFF">
              <w:rPr>
                <w:sz w:val="20"/>
              </w:rPr>
              <w:t>19.1%</w:t>
            </w:r>
          </w:p>
        </w:tc>
      </w:tr>
      <w:tr w:rsidR="006D3AD5" w:rsidRPr="00874BFF" w14:paraId="0D97213E"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5EA05DA2" w14:textId="77777777" w:rsidR="006D3AD5" w:rsidRPr="00874BFF" w:rsidRDefault="006D3AD5" w:rsidP="00443B8F">
            <w:pPr>
              <w:overflowPunct/>
              <w:autoSpaceDE/>
              <w:autoSpaceDN/>
              <w:adjustRightInd/>
              <w:jc w:val="left"/>
              <w:textAlignment w:val="auto"/>
              <w:rPr>
                <w:rFonts w:cs="Arial"/>
                <w:sz w:val="20"/>
              </w:rPr>
            </w:pPr>
            <w:r w:rsidRPr="00874BFF">
              <w:rPr>
                <w:sz w:val="20"/>
              </w:rPr>
              <w:t>Share in the projects with difficult access to financing</w:t>
            </w:r>
          </w:p>
        </w:tc>
        <w:tc>
          <w:tcPr>
            <w:tcW w:w="960" w:type="dxa"/>
            <w:tcBorders>
              <w:top w:val="nil"/>
              <w:left w:val="nil"/>
              <w:bottom w:val="single" w:sz="4" w:space="0" w:color="auto"/>
              <w:right w:val="single" w:sz="4" w:space="0" w:color="auto"/>
            </w:tcBorders>
            <w:noWrap/>
            <w:vAlign w:val="bottom"/>
          </w:tcPr>
          <w:p w14:paraId="4934E738" w14:textId="77777777" w:rsidR="006D3AD5" w:rsidRPr="00874BFF" w:rsidRDefault="006D3AD5" w:rsidP="00443B8F">
            <w:pPr>
              <w:overflowPunct/>
              <w:autoSpaceDE/>
              <w:autoSpaceDN/>
              <w:adjustRightInd/>
              <w:jc w:val="right"/>
              <w:textAlignment w:val="auto"/>
              <w:rPr>
                <w:rFonts w:cs="Arial"/>
                <w:sz w:val="20"/>
              </w:rPr>
            </w:pPr>
            <w:r w:rsidRPr="00874BFF">
              <w:rPr>
                <w:sz w:val="20"/>
              </w:rPr>
              <w:t>64.3%</w:t>
            </w:r>
          </w:p>
        </w:tc>
      </w:tr>
      <w:tr w:rsidR="006D3AD5" w:rsidRPr="00874BFF" w14:paraId="711889D3" w14:textId="77777777" w:rsidTr="00443B8F">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14:paraId="79E30F74" w14:textId="77777777" w:rsidR="006D3AD5" w:rsidRPr="00874BFF" w:rsidRDefault="006D3AD5" w:rsidP="00443B8F">
            <w:pPr>
              <w:overflowPunct/>
              <w:autoSpaceDE/>
              <w:autoSpaceDN/>
              <w:adjustRightInd/>
              <w:jc w:val="center"/>
              <w:textAlignment w:val="auto"/>
              <w:rPr>
                <w:rFonts w:cs="Arial"/>
                <w:sz w:val="20"/>
              </w:rPr>
            </w:pPr>
            <w:r w:rsidRPr="00874BFF">
              <w:rPr>
                <w:sz w:val="20"/>
              </w:rPr>
              <w:t>Major barriers identified</w:t>
            </w:r>
          </w:p>
        </w:tc>
        <w:tc>
          <w:tcPr>
            <w:tcW w:w="3422" w:type="dxa"/>
            <w:tcBorders>
              <w:top w:val="nil"/>
              <w:left w:val="nil"/>
              <w:bottom w:val="single" w:sz="4" w:space="0" w:color="auto"/>
              <w:right w:val="single" w:sz="4" w:space="0" w:color="auto"/>
            </w:tcBorders>
            <w:noWrap/>
            <w:vAlign w:val="bottom"/>
          </w:tcPr>
          <w:p w14:paraId="16D4BD5E" w14:textId="77777777" w:rsidR="006D3AD5" w:rsidRPr="00874BFF" w:rsidRDefault="006D3AD5" w:rsidP="00443B8F">
            <w:pPr>
              <w:overflowPunct/>
              <w:autoSpaceDE/>
              <w:autoSpaceDN/>
              <w:adjustRightInd/>
              <w:jc w:val="left"/>
              <w:textAlignment w:val="auto"/>
              <w:rPr>
                <w:rFonts w:cs="Arial"/>
                <w:sz w:val="20"/>
              </w:rPr>
            </w:pPr>
            <w:r w:rsidRPr="00874BFF">
              <w:rPr>
                <w:sz w:val="20"/>
              </w:rPr>
              <w:t>Long payback period of the project</w:t>
            </w:r>
          </w:p>
        </w:tc>
        <w:tc>
          <w:tcPr>
            <w:tcW w:w="960" w:type="dxa"/>
            <w:tcBorders>
              <w:top w:val="nil"/>
              <w:left w:val="nil"/>
              <w:bottom w:val="single" w:sz="4" w:space="0" w:color="auto"/>
              <w:right w:val="single" w:sz="4" w:space="0" w:color="auto"/>
            </w:tcBorders>
            <w:noWrap/>
            <w:vAlign w:val="bottom"/>
          </w:tcPr>
          <w:p w14:paraId="7A718C19" w14:textId="77777777" w:rsidR="006D3AD5" w:rsidRPr="00874BFF" w:rsidRDefault="006D3AD5" w:rsidP="00443B8F">
            <w:pPr>
              <w:overflowPunct/>
              <w:autoSpaceDE/>
              <w:autoSpaceDN/>
              <w:adjustRightInd/>
              <w:jc w:val="right"/>
              <w:textAlignment w:val="auto"/>
              <w:rPr>
                <w:rFonts w:cs="Arial"/>
                <w:sz w:val="20"/>
              </w:rPr>
            </w:pPr>
            <w:r w:rsidRPr="00874BFF">
              <w:rPr>
                <w:sz w:val="20"/>
              </w:rPr>
              <w:t>64.4%</w:t>
            </w:r>
          </w:p>
        </w:tc>
      </w:tr>
      <w:tr w:rsidR="006D3AD5" w:rsidRPr="00874BFF" w14:paraId="2E00799E"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556C4F79" w14:textId="77777777" w:rsidR="006D3AD5" w:rsidRPr="00874BFF"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3731BD7C" w14:textId="77777777" w:rsidR="006D3AD5" w:rsidRPr="00874BFF" w:rsidRDefault="006D3AD5" w:rsidP="00443B8F">
            <w:pPr>
              <w:overflowPunct/>
              <w:autoSpaceDE/>
              <w:autoSpaceDN/>
              <w:adjustRightInd/>
              <w:jc w:val="left"/>
              <w:textAlignment w:val="auto"/>
              <w:rPr>
                <w:rFonts w:cs="Arial"/>
                <w:sz w:val="20"/>
              </w:rPr>
            </w:pPr>
            <w:r w:rsidRPr="00874BFF">
              <w:rPr>
                <w:sz w:val="20"/>
              </w:rPr>
              <w:t>Short business history</w:t>
            </w:r>
          </w:p>
        </w:tc>
        <w:tc>
          <w:tcPr>
            <w:tcW w:w="960" w:type="dxa"/>
            <w:tcBorders>
              <w:top w:val="nil"/>
              <w:left w:val="nil"/>
              <w:bottom w:val="single" w:sz="4" w:space="0" w:color="auto"/>
              <w:right w:val="single" w:sz="4" w:space="0" w:color="auto"/>
            </w:tcBorders>
            <w:noWrap/>
            <w:vAlign w:val="bottom"/>
          </w:tcPr>
          <w:p w14:paraId="0A3F0070" w14:textId="77777777" w:rsidR="006D3AD5" w:rsidRPr="00874BFF" w:rsidRDefault="006D3AD5" w:rsidP="00443B8F">
            <w:pPr>
              <w:overflowPunct/>
              <w:autoSpaceDE/>
              <w:autoSpaceDN/>
              <w:adjustRightInd/>
              <w:jc w:val="right"/>
              <w:textAlignment w:val="auto"/>
              <w:rPr>
                <w:rFonts w:cs="Arial"/>
                <w:sz w:val="20"/>
              </w:rPr>
            </w:pPr>
            <w:r w:rsidRPr="00874BFF">
              <w:rPr>
                <w:sz w:val="20"/>
              </w:rPr>
              <w:t>64.4%</w:t>
            </w:r>
          </w:p>
        </w:tc>
      </w:tr>
      <w:tr w:rsidR="006D3AD5" w:rsidRPr="00874BFF" w14:paraId="0991F872"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63466D53" w14:textId="77777777" w:rsidR="006D3AD5" w:rsidRPr="00874BFF"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1FDCFB92" w14:textId="77777777" w:rsidR="006D3AD5" w:rsidRPr="00874BFF" w:rsidRDefault="006D3AD5" w:rsidP="00443B8F">
            <w:pPr>
              <w:overflowPunct/>
              <w:autoSpaceDE/>
              <w:autoSpaceDN/>
              <w:adjustRightInd/>
              <w:jc w:val="left"/>
              <w:textAlignment w:val="auto"/>
              <w:rPr>
                <w:rFonts w:cs="Arial"/>
                <w:sz w:val="20"/>
              </w:rPr>
            </w:pPr>
            <w:r w:rsidRPr="00874BFF">
              <w:rPr>
                <w:sz w:val="20"/>
              </w:rPr>
              <w:t>Securing possibilities</w:t>
            </w:r>
          </w:p>
        </w:tc>
        <w:tc>
          <w:tcPr>
            <w:tcW w:w="960" w:type="dxa"/>
            <w:tcBorders>
              <w:top w:val="nil"/>
              <w:left w:val="nil"/>
              <w:bottom w:val="single" w:sz="4" w:space="0" w:color="auto"/>
              <w:right w:val="single" w:sz="4" w:space="0" w:color="auto"/>
            </w:tcBorders>
            <w:noWrap/>
            <w:vAlign w:val="bottom"/>
          </w:tcPr>
          <w:p w14:paraId="7BABD186" w14:textId="77777777" w:rsidR="006D3AD5" w:rsidRPr="00874BFF" w:rsidRDefault="006D3AD5" w:rsidP="00443B8F">
            <w:pPr>
              <w:overflowPunct/>
              <w:autoSpaceDE/>
              <w:autoSpaceDN/>
              <w:adjustRightInd/>
              <w:jc w:val="right"/>
              <w:textAlignment w:val="auto"/>
              <w:rPr>
                <w:rFonts w:cs="Arial"/>
                <w:sz w:val="20"/>
              </w:rPr>
            </w:pPr>
            <w:r w:rsidRPr="00874BFF">
              <w:rPr>
                <w:sz w:val="20"/>
              </w:rPr>
              <w:t>86.7%</w:t>
            </w:r>
          </w:p>
        </w:tc>
      </w:tr>
      <w:tr w:rsidR="006D3AD5" w:rsidRPr="00874BFF" w14:paraId="4CAC15EA"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3FF4DD25" w14:textId="77777777" w:rsidR="006D3AD5" w:rsidRPr="00874BFF"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2FD4A2F8" w14:textId="77777777" w:rsidR="006D3AD5" w:rsidRPr="00874BFF" w:rsidRDefault="006D3AD5" w:rsidP="00443B8F">
            <w:pPr>
              <w:overflowPunct/>
              <w:autoSpaceDE/>
              <w:autoSpaceDN/>
              <w:adjustRightInd/>
              <w:jc w:val="left"/>
              <w:textAlignment w:val="auto"/>
              <w:rPr>
                <w:rFonts w:cs="Arial"/>
                <w:sz w:val="20"/>
              </w:rPr>
            </w:pPr>
            <w:r w:rsidRPr="00874BFF">
              <w:rPr>
                <w:sz w:val="20"/>
              </w:rPr>
              <w:t>Financial costs</w:t>
            </w:r>
          </w:p>
        </w:tc>
        <w:tc>
          <w:tcPr>
            <w:tcW w:w="960" w:type="dxa"/>
            <w:tcBorders>
              <w:top w:val="nil"/>
              <w:left w:val="nil"/>
              <w:bottom w:val="single" w:sz="4" w:space="0" w:color="auto"/>
              <w:right w:val="single" w:sz="4" w:space="0" w:color="auto"/>
            </w:tcBorders>
            <w:noWrap/>
            <w:vAlign w:val="bottom"/>
          </w:tcPr>
          <w:p w14:paraId="0B7CC55C" w14:textId="77777777" w:rsidR="006D3AD5" w:rsidRPr="00874BFF" w:rsidRDefault="006D3AD5" w:rsidP="00443B8F">
            <w:pPr>
              <w:overflowPunct/>
              <w:autoSpaceDE/>
              <w:autoSpaceDN/>
              <w:adjustRightInd/>
              <w:jc w:val="right"/>
              <w:textAlignment w:val="auto"/>
              <w:rPr>
                <w:rFonts w:cs="Arial"/>
                <w:sz w:val="20"/>
              </w:rPr>
            </w:pPr>
            <w:r w:rsidRPr="00874BFF">
              <w:rPr>
                <w:sz w:val="20"/>
              </w:rPr>
              <w:t>75.6%</w:t>
            </w:r>
          </w:p>
        </w:tc>
      </w:tr>
      <w:tr w:rsidR="006D3AD5" w:rsidRPr="00874BFF" w14:paraId="775D4173" w14:textId="77777777" w:rsidTr="00443B8F">
        <w:trPr>
          <w:trHeight w:val="255"/>
        </w:trPr>
        <w:tc>
          <w:tcPr>
            <w:tcW w:w="2934" w:type="dxa"/>
            <w:tcBorders>
              <w:top w:val="nil"/>
              <w:left w:val="nil"/>
              <w:bottom w:val="nil"/>
              <w:right w:val="nil"/>
            </w:tcBorders>
            <w:noWrap/>
            <w:vAlign w:val="bottom"/>
          </w:tcPr>
          <w:p w14:paraId="00D19465"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3422" w:type="dxa"/>
            <w:tcBorders>
              <w:top w:val="nil"/>
              <w:left w:val="nil"/>
              <w:bottom w:val="nil"/>
              <w:right w:val="nil"/>
            </w:tcBorders>
            <w:noWrap/>
            <w:vAlign w:val="bottom"/>
          </w:tcPr>
          <w:p w14:paraId="033686C4" w14:textId="77777777" w:rsidR="006D3AD5" w:rsidRPr="00874BFF" w:rsidRDefault="006D3AD5" w:rsidP="00443B8F">
            <w:pPr>
              <w:overflowPunct/>
              <w:autoSpaceDE/>
              <w:autoSpaceDN/>
              <w:adjustRightInd/>
              <w:jc w:val="left"/>
              <w:textAlignment w:val="auto"/>
              <w:rPr>
                <w:rFonts w:cs="Arial"/>
                <w:sz w:val="20"/>
              </w:rPr>
            </w:pPr>
            <w:r w:rsidRPr="00874BFF">
              <w:rPr>
                <w:sz w:val="20"/>
              </w:rPr>
              <w:t>45</w:t>
            </w:r>
          </w:p>
        </w:tc>
        <w:tc>
          <w:tcPr>
            <w:tcW w:w="960" w:type="dxa"/>
            <w:tcBorders>
              <w:top w:val="nil"/>
              <w:left w:val="nil"/>
              <w:bottom w:val="nil"/>
              <w:right w:val="nil"/>
            </w:tcBorders>
            <w:noWrap/>
            <w:vAlign w:val="bottom"/>
          </w:tcPr>
          <w:p w14:paraId="5DDCB6CA" w14:textId="77777777" w:rsidR="006D3AD5" w:rsidRPr="00874BFF" w:rsidRDefault="006D3AD5" w:rsidP="00443B8F">
            <w:pPr>
              <w:overflowPunct/>
              <w:autoSpaceDE/>
              <w:autoSpaceDN/>
              <w:adjustRightInd/>
              <w:jc w:val="left"/>
              <w:textAlignment w:val="auto"/>
              <w:rPr>
                <w:rFonts w:cs="Arial"/>
                <w:sz w:val="20"/>
              </w:rPr>
            </w:pPr>
          </w:p>
        </w:tc>
      </w:tr>
    </w:tbl>
    <w:p w14:paraId="4FA4D71B" w14:textId="77777777" w:rsidR="006D3AD5" w:rsidRPr="00874BFF" w:rsidRDefault="006D3AD5" w:rsidP="006D3AD5">
      <w:pPr>
        <w:rPr>
          <w:b/>
        </w:rPr>
      </w:pPr>
    </w:p>
    <w:p w14:paraId="01DD0A3E" w14:textId="77777777" w:rsidR="006D3AD5" w:rsidRPr="00874BFF" w:rsidRDefault="006D3AD5" w:rsidP="006D3AD5">
      <w:r w:rsidRPr="00874BFF">
        <w:rPr>
          <w:b/>
        </w:rPr>
        <w:t>The total share of potentially viable companies with difficult access to financing in the number of respondents was 19.1 %.</w:t>
      </w:r>
      <w:r w:rsidRPr="00874BFF">
        <w:t xml:space="preserve"> More than 86 % of them state that their major problem consists in limited securing possibilities. This sub-optimal investment situation can be therefore resolved primarily by the guarantee financial instrument. More than 64 % of companies also mentioned difficulties with a long payback period of the project, which can be resolved e.g. by a soft loan with extended maturity and a deferral of repayment of the principal. More than 75.6 % of respondents also regard financial costs as a barrier to financing, which can be resolved by combining financial instruments with a subsidy of the interest rate or repayable assistance (repayable support converted to non-repayable if objectives of the project are achieved).</w:t>
      </w:r>
    </w:p>
    <w:p w14:paraId="17DEA16D" w14:textId="77777777" w:rsidR="006D3AD5" w:rsidRPr="00874BFF" w:rsidRDefault="006D3AD5" w:rsidP="006D3AD5"/>
    <w:p w14:paraId="52E38F37" w14:textId="4E9F9342" w:rsidR="006D3AD5" w:rsidRPr="00874BFF" w:rsidRDefault="006D3AD5" w:rsidP="006D3AD5">
      <w:pPr>
        <w:pStyle w:val="Titulek"/>
        <w:keepNext/>
      </w:pPr>
      <w:r w:rsidRPr="00874BFF">
        <w:t xml:space="preserve">Figure </w:t>
      </w:r>
      <w:r w:rsidR="00A54BE3">
        <w:t>25</w:t>
      </w:r>
      <w:r w:rsidRPr="00874BFF">
        <w:t>: Economically viable companies with difficult access to financing and specification of major reasons for their difficult access (multiple answers could be given).</w:t>
      </w:r>
    </w:p>
    <w:p w14:paraId="7EFA1FCC" w14:textId="77777777" w:rsidR="006D3AD5" w:rsidRPr="00874BFF" w:rsidRDefault="006D3AD5" w:rsidP="006D3AD5">
      <w:r w:rsidRPr="00874BFF">
        <w:rPr>
          <w:noProof/>
        </w:rPr>
        <w:drawing>
          <wp:inline distT="0" distB="0" distL="0" distR="0" wp14:anchorId="1685ADBC" wp14:editId="72345AFF">
            <wp:extent cx="4905375" cy="2686050"/>
            <wp:effectExtent l="0" t="0" r="9525" b="0"/>
            <wp:docPr id="27" name="obráz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A2C7C0" w14:textId="77777777" w:rsidR="006D3AD5" w:rsidRPr="00874BFF" w:rsidRDefault="006D3AD5" w:rsidP="006D3AD5">
      <w:pPr>
        <w:rPr>
          <w:sz w:val="24"/>
        </w:rPr>
      </w:pPr>
    </w:p>
    <w:p w14:paraId="6BD5E74A" w14:textId="77777777" w:rsidR="006D3AD5" w:rsidRPr="00874BFF" w:rsidRDefault="006D3AD5" w:rsidP="006D3AD5">
      <w:r w:rsidRPr="00874BFF">
        <w:t>These conclusions also correlate with respondents' answers regarding a preferred forms of support – most frequently, small and medium sized enterprises mentioned preferential interest rates, payment of interest on a commercial loan, providing guarantee for a loan and increased loan financing. Companies would also welcome reduction in administrative barriers at fundraising. The most important aspect is the decrease of interest costs, which can be achieved by granting a subsidy of the interest rate and a soft loan with a reduced rate.</w:t>
      </w:r>
    </w:p>
    <w:p w14:paraId="0816FA39" w14:textId="77777777" w:rsidR="006D3AD5" w:rsidRPr="00874BFF" w:rsidRDefault="006D3AD5" w:rsidP="006D3AD5"/>
    <w:p w14:paraId="748A0564" w14:textId="5AE12078" w:rsidR="006D3AD5" w:rsidRPr="00874BFF" w:rsidRDefault="006D3AD5" w:rsidP="006D3AD5">
      <w:pPr>
        <w:pStyle w:val="Titulek"/>
      </w:pPr>
      <w:r w:rsidRPr="00874BFF">
        <w:t xml:space="preserve">Table </w:t>
      </w:r>
      <w:r w:rsidR="00001EEF">
        <w:t>52</w:t>
      </w:r>
      <w:r w:rsidRPr="00874BFF">
        <w:t>: Proffered forms of support</w:t>
      </w:r>
    </w:p>
    <w:tbl>
      <w:tblPr>
        <w:tblW w:w="7103" w:type="dxa"/>
        <w:tblInd w:w="55" w:type="dxa"/>
        <w:tblCellMar>
          <w:left w:w="70" w:type="dxa"/>
          <w:right w:w="70" w:type="dxa"/>
        </w:tblCellMar>
        <w:tblLook w:val="00A0" w:firstRow="1" w:lastRow="0" w:firstColumn="1" w:lastColumn="0" w:noHBand="0" w:noVBand="0"/>
      </w:tblPr>
      <w:tblGrid>
        <w:gridCol w:w="5260"/>
        <w:gridCol w:w="992"/>
        <w:gridCol w:w="851"/>
      </w:tblGrid>
      <w:tr w:rsidR="006D3AD5" w:rsidRPr="00874BFF" w14:paraId="7904FC95" w14:textId="77777777" w:rsidTr="00443B8F">
        <w:trPr>
          <w:trHeight w:val="255"/>
        </w:trPr>
        <w:tc>
          <w:tcPr>
            <w:tcW w:w="5260" w:type="dxa"/>
            <w:tcBorders>
              <w:top w:val="single" w:sz="4" w:space="0" w:color="auto"/>
              <w:left w:val="single" w:sz="4" w:space="0" w:color="auto"/>
              <w:bottom w:val="single" w:sz="4" w:space="0" w:color="auto"/>
              <w:right w:val="single" w:sz="4" w:space="0" w:color="auto"/>
            </w:tcBorders>
            <w:noWrap/>
            <w:vAlign w:val="bottom"/>
          </w:tcPr>
          <w:p w14:paraId="6DFDBF5E" w14:textId="77777777" w:rsidR="006D3AD5" w:rsidRPr="00874BFF" w:rsidRDefault="006D3AD5" w:rsidP="00443B8F">
            <w:pPr>
              <w:overflowPunct/>
              <w:autoSpaceDE/>
              <w:autoSpaceDN/>
              <w:adjustRightInd/>
              <w:jc w:val="left"/>
              <w:textAlignment w:val="auto"/>
              <w:rPr>
                <w:rFonts w:cs="Arial"/>
                <w:b/>
                <w:bCs/>
                <w:sz w:val="20"/>
              </w:rPr>
            </w:pPr>
            <w:r w:rsidRPr="00874BFF">
              <w:rPr>
                <w:b/>
                <w:sz w:val="20"/>
              </w:rPr>
              <w:t>Preferred forms of support</w:t>
            </w:r>
          </w:p>
        </w:tc>
        <w:tc>
          <w:tcPr>
            <w:tcW w:w="992" w:type="dxa"/>
            <w:tcBorders>
              <w:top w:val="single" w:sz="4" w:space="0" w:color="auto"/>
              <w:left w:val="nil"/>
              <w:bottom w:val="single" w:sz="4" w:space="0" w:color="auto"/>
              <w:right w:val="single" w:sz="4" w:space="0" w:color="auto"/>
            </w:tcBorders>
            <w:noWrap/>
            <w:vAlign w:val="bottom"/>
          </w:tcPr>
          <w:p w14:paraId="3AA364AC" w14:textId="77777777" w:rsidR="006D3AD5" w:rsidRPr="00874BFF" w:rsidRDefault="006D3AD5" w:rsidP="00443B8F">
            <w:pPr>
              <w:overflowPunct/>
              <w:autoSpaceDE/>
              <w:autoSpaceDN/>
              <w:adjustRightInd/>
              <w:jc w:val="left"/>
              <w:textAlignment w:val="auto"/>
              <w:rPr>
                <w:rFonts w:cs="Arial"/>
                <w:sz w:val="20"/>
              </w:rPr>
            </w:pPr>
            <w:r w:rsidRPr="00874BFF">
              <w:rPr>
                <w:sz w:val="20"/>
              </w:rPr>
              <w:t>Number of responses</w:t>
            </w:r>
          </w:p>
        </w:tc>
        <w:tc>
          <w:tcPr>
            <w:tcW w:w="851" w:type="dxa"/>
            <w:tcBorders>
              <w:top w:val="single" w:sz="4" w:space="0" w:color="auto"/>
              <w:left w:val="nil"/>
              <w:bottom w:val="single" w:sz="4" w:space="0" w:color="auto"/>
              <w:right w:val="single" w:sz="4" w:space="0" w:color="auto"/>
            </w:tcBorders>
            <w:noWrap/>
            <w:vAlign w:val="bottom"/>
          </w:tcPr>
          <w:p w14:paraId="2959E723" w14:textId="77777777" w:rsidR="006D3AD5" w:rsidRPr="00874BFF" w:rsidRDefault="006D3AD5" w:rsidP="00443B8F">
            <w:pPr>
              <w:overflowPunct/>
              <w:autoSpaceDE/>
              <w:autoSpaceDN/>
              <w:adjustRightInd/>
              <w:jc w:val="left"/>
              <w:textAlignment w:val="auto"/>
              <w:rPr>
                <w:rFonts w:cs="Arial"/>
                <w:sz w:val="20"/>
              </w:rPr>
            </w:pPr>
            <w:r w:rsidRPr="00874BFF">
              <w:rPr>
                <w:sz w:val="20"/>
              </w:rPr>
              <w:t>Share</w:t>
            </w:r>
          </w:p>
        </w:tc>
      </w:tr>
      <w:tr w:rsidR="006D3AD5" w:rsidRPr="00874BFF" w14:paraId="00728435"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4F5ADC49" w14:textId="77777777" w:rsidR="006D3AD5" w:rsidRPr="00874BFF" w:rsidRDefault="006D3AD5" w:rsidP="00443B8F">
            <w:pPr>
              <w:overflowPunct/>
              <w:autoSpaceDE/>
              <w:autoSpaceDN/>
              <w:adjustRightInd/>
              <w:jc w:val="left"/>
              <w:textAlignment w:val="auto"/>
              <w:rPr>
                <w:rFonts w:cs="Arial"/>
                <w:sz w:val="20"/>
              </w:rPr>
            </w:pPr>
            <w:r w:rsidRPr="00874BFF">
              <w:rPr>
                <w:sz w:val="20"/>
              </w:rPr>
              <w:t>Securing a guarantee for the loan</w:t>
            </w:r>
          </w:p>
        </w:tc>
        <w:tc>
          <w:tcPr>
            <w:tcW w:w="992" w:type="dxa"/>
            <w:tcBorders>
              <w:top w:val="nil"/>
              <w:left w:val="nil"/>
              <w:bottom w:val="nil"/>
              <w:right w:val="single" w:sz="4" w:space="0" w:color="000000"/>
            </w:tcBorders>
            <w:noWrap/>
            <w:vAlign w:val="bottom"/>
          </w:tcPr>
          <w:p w14:paraId="6BC1B59B" w14:textId="77777777" w:rsidR="006D3AD5" w:rsidRPr="00874BFF" w:rsidRDefault="006D3AD5" w:rsidP="00443B8F">
            <w:pPr>
              <w:overflowPunct/>
              <w:autoSpaceDE/>
              <w:autoSpaceDN/>
              <w:adjustRightInd/>
              <w:jc w:val="right"/>
              <w:textAlignment w:val="auto"/>
              <w:rPr>
                <w:rFonts w:cs="Arial"/>
                <w:sz w:val="20"/>
              </w:rPr>
            </w:pPr>
            <w:r w:rsidRPr="00874BFF">
              <w:rPr>
                <w:sz w:val="20"/>
              </w:rPr>
              <w:t>25</w:t>
            </w:r>
          </w:p>
        </w:tc>
        <w:tc>
          <w:tcPr>
            <w:tcW w:w="851" w:type="dxa"/>
            <w:tcBorders>
              <w:top w:val="nil"/>
              <w:left w:val="nil"/>
              <w:bottom w:val="single" w:sz="4" w:space="0" w:color="auto"/>
              <w:right w:val="single" w:sz="4" w:space="0" w:color="auto"/>
            </w:tcBorders>
            <w:noWrap/>
            <w:vAlign w:val="bottom"/>
          </w:tcPr>
          <w:p w14:paraId="0160FA64" w14:textId="77777777" w:rsidR="006D3AD5" w:rsidRPr="00874BFF" w:rsidRDefault="006D3AD5" w:rsidP="00443B8F">
            <w:pPr>
              <w:overflowPunct/>
              <w:autoSpaceDE/>
              <w:autoSpaceDN/>
              <w:adjustRightInd/>
              <w:jc w:val="right"/>
              <w:textAlignment w:val="auto"/>
              <w:rPr>
                <w:rFonts w:cs="Arial"/>
                <w:sz w:val="20"/>
              </w:rPr>
            </w:pPr>
            <w:r w:rsidRPr="00874BFF">
              <w:rPr>
                <w:sz w:val="20"/>
              </w:rPr>
              <w:t>44.6%</w:t>
            </w:r>
          </w:p>
        </w:tc>
      </w:tr>
      <w:tr w:rsidR="006D3AD5" w:rsidRPr="00874BFF" w14:paraId="70AC8B8A"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4446895F" w14:textId="77777777" w:rsidR="006D3AD5" w:rsidRPr="00874BFF" w:rsidRDefault="006D3AD5" w:rsidP="00443B8F">
            <w:pPr>
              <w:overflowPunct/>
              <w:autoSpaceDE/>
              <w:autoSpaceDN/>
              <w:adjustRightInd/>
              <w:jc w:val="left"/>
              <w:textAlignment w:val="auto"/>
              <w:rPr>
                <w:rFonts w:cs="Arial"/>
                <w:sz w:val="20"/>
              </w:rPr>
            </w:pPr>
            <w:r w:rsidRPr="00874BFF">
              <w:rPr>
                <w:sz w:val="20"/>
              </w:rPr>
              <w:lastRenderedPageBreak/>
              <w:t>Increasing the loan financing for the project</w:t>
            </w:r>
          </w:p>
        </w:tc>
        <w:tc>
          <w:tcPr>
            <w:tcW w:w="992" w:type="dxa"/>
            <w:tcBorders>
              <w:top w:val="single" w:sz="4" w:space="0" w:color="000000"/>
              <w:left w:val="nil"/>
              <w:bottom w:val="nil"/>
              <w:right w:val="single" w:sz="4" w:space="0" w:color="000000"/>
            </w:tcBorders>
            <w:noWrap/>
            <w:vAlign w:val="bottom"/>
          </w:tcPr>
          <w:p w14:paraId="6110D59D" w14:textId="77777777" w:rsidR="006D3AD5" w:rsidRPr="00874BFF" w:rsidRDefault="006D3AD5" w:rsidP="00443B8F">
            <w:pPr>
              <w:overflowPunct/>
              <w:autoSpaceDE/>
              <w:autoSpaceDN/>
              <w:adjustRightInd/>
              <w:jc w:val="right"/>
              <w:textAlignment w:val="auto"/>
              <w:rPr>
                <w:rFonts w:cs="Arial"/>
                <w:sz w:val="20"/>
              </w:rPr>
            </w:pPr>
            <w:r w:rsidRPr="00874BFF">
              <w:rPr>
                <w:sz w:val="20"/>
              </w:rPr>
              <w:t>17</w:t>
            </w:r>
          </w:p>
        </w:tc>
        <w:tc>
          <w:tcPr>
            <w:tcW w:w="851" w:type="dxa"/>
            <w:tcBorders>
              <w:top w:val="nil"/>
              <w:left w:val="nil"/>
              <w:bottom w:val="single" w:sz="4" w:space="0" w:color="auto"/>
              <w:right w:val="single" w:sz="4" w:space="0" w:color="auto"/>
            </w:tcBorders>
            <w:noWrap/>
            <w:vAlign w:val="bottom"/>
          </w:tcPr>
          <w:p w14:paraId="5DDFE04B" w14:textId="77777777" w:rsidR="006D3AD5" w:rsidRPr="00874BFF" w:rsidRDefault="006D3AD5" w:rsidP="00443B8F">
            <w:pPr>
              <w:overflowPunct/>
              <w:autoSpaceDE/>
              <w:autoSpaceDN/>
              <w:adjustRightInd/>
              <w:jc w:val="right"/>
              <w:textAlignment w:val="auto"/>
              <w:rPr>
                <w:rFonts w:cs="Arial"/>
                <w:sz w:val="20"/>
              </w:rPr>
            </w:pPr>
            <w:r w:rsidRPr="00874BFF">
              <w:rPr>
                <w:sz w:val="20"/>
              </w:rPr>
              <w:t>30.4%</w:t>
            </w:r>
          </w:p>
        </w:tc>
      </w:tr>
      <w:tr w:rsidR="006D3AD5" w:rsidRPr="00874BFF" w14:paraId="7E977748"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2672155C" w14:textId="77777777" w:rsidR="006D3AD5" w:rsidRPr="00874BFF" w:rsidRDefault="006D3AD5" w:rsidP="00443B8F">
            <w:pPr>
              <w:overflowPunct/>
              <w:autoSpaceDE/>
              <w:autoSpaceDN/>
              <w:adjustRightInd/>
              <w:jc w:val="left"/>
              <w:textAlignment w:val="auto"/>
              <w:rPr>
                <w:rFonts w:cs="Arial"/>
                <w:sz w:val="20"/>
              </w:rPr>
            </w:pPr>
            <w:r w:rsidRPr="00874BFF">
              <w:rPr>
                <w:sz w:val="20"/>
              </w:rPr>
              <w:t>Payment of interest paid for a commercial loan</w:t>
            </w:r>
          </w:p>
        </w:tc>
        <w:tc>
          <w:tcPr>
            <w:tcW w:w="992" w:type="dxa"/>
            <w:tcBorders>
              <w:top w:val="single" w:sz="4" w:space="0" w:color="000000"/>
              <w:left w:val="nil"/>
              <w:bottom w:val="nil"/>
              <w:right w:val="single" w:sz="4" w:space="0" w:color="000000"/>
            </w:tcBorders>
            <w:noWrap/>
            <w:vAlign w:val="bottom"/>
          </w:tcPr>
          <w:p w14:paraId="01AA3761" w14:textId="77777777" w:rsidR="006D3AD5" w:rsidRPr="00874BFF" w:rsidRDefault="006D3AD5" w:rsidP="00443B8F">
            <w:pPr>
              <w:overflowPunct/>
              <w:autoSpaceDE/>
              <w:autoSpaceDN/>
              <w:adjustRightInd/>
              <w:jc w:val="right"/>
              <w:textAlignment w:val="auto"/>
              <w:rPr>
                <w:rFonts w:cs="Arial"/>
                <w:sz w:val="20"/>
              </w:rPr>
            </w:pPr>
            <w:r w:rsidRPr="00874BFF">
              <w:rPr>
                <w:sz w:val="20"/>
              </w:rPr>
              <w:t>30</w:t>
            </w:r>
          </w:p>
        </w:tc>
        <w:tc>
          <w:tcPr>
            <w:tcW w:w="851" w:type="dxa"/>
            <w:tcBorders>
              <w:top w:val="nil"/>
              <w:left w:val="nil"/>
              <w:bottom w:val="single" w:sz="4" w:space="0" w:color="auto"/>
              <w:right w:val="single" w:sz="4" w:space="0" w:color="auto"/>
            </w:tcBorders>
            <w:noWrap/>
            <w:vAlign w:val="bottom"/>
          </w:tcPr>
          <w:p w14:paraId="7A1B2641" w14:textId="77777777" w:rsidR="006D3AD5" w:rsidRPr="00874BFF" w:rsidRDefault="006D3AD5" w:rsidP="00443B8F">
            <w:pPr>
              <w:overflowPunct/>
              <w:autoSpaceDE/>
              <w:autoSpaceDN/>
              <w:adjustRightInd/>
              <w:jc w:val="right"/>
              <w:textAlignment w:val="auto"/>
              <w:rPr>
                <w:rFonts w:cs="Arial"/>
                <w:sz w:val="20"/>
              </w:rPr>
            </w:pPr>
            <w:r w:rsidRPr="00874BFF">
              <w:rPr>
                <w:sz w:val="20"/>
              </w:rPr>
              <w:t>53.6%</w:t>
            </w:r>
          </w:p>
        </w:tc>
      </w:tr>
      <w:tr w:rsidR="006D3AD5" w:rsidRPr="00874BFF" w14:paraId="434301B1"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13C811A6" w14:textId="77777777" w:rsidR="006D3AD5" w:rsidRPr="00874BFF" w:rsidRDefault="006D3AD5" w:rsidP="00443B8F">
            <w:pPr>
              <w:overflowPunct/>
              <w:autoSpaceDE/>
              <w:autoSpaceDN/>
              <w:adjustRightInd/>
              <w:jc w:val="left"/>
              <w:textAlignment w:val="auto"/>
              <w:rPr>
                <w:rFonts w:cs="Arial"/>
                <w:sz w:val="20"/>
              </w:rPr>
            </w:pPr>
            <w:r w:rsidRPr="00874BFF">
              <w:rPr>
                <w:sz w:val="20"/>
              </w:rPr>
              <w:t>Obtaining a preferential interest rate</w:t>
            </w:r>
          </w:p>
        </w:tc>
        <w:tc>
          <w:tcPr>
            <w:tcW w:w="992" w:type="dxa"/>
            <w:tcBorders>
              <w:top w:val="single" w:sz="4" w:space="0" w:color="000000"/>
              <w:left w:val="nil"/>
              <w:bottom w:val="nil"/>
              <w:right w:val="single" w:sz="4" w:space="0" w:color="000000"/>
            </w:tcBorders>
            <w:noWrap/>
            <w:vAlign w:val="bottom"/>
          </w:tcPr>
          <w:p w14:paraId="7D59D6F5" w14:textId="77777777" w:rsidR="006D3AD5" w:rsidRPr="00874BFF" w:rsidRDefault="006D3AD5" w:rsidP="00443B8F">
            <w:pPr>
              <w:overflowPunct/>
              <w:autoSpaceDE/>
              <w:autoSpaceDN/>
              <w:adjustRightInd/>
              <w:jc w:val="right"/>
              <w:textAlignment w:val="auto"/>
              <w:rPr>
                <w:rFonts w:cs="Arial"/>
                <w:sz w:val="20"/>
              </w:rPr>
            </w:pPr>
            <w:r w:rsidRPr="00874BFF">
              <w:rPr>
                <w:sz w:val="20"/>
              </w:rPr>
              <w:t>32</w:t>
            </w:r>
          </w:p>
        </w:tc>
        <w:tc>
          <w:tcPr>
            <w:tcW w:w="851" w:type="dxa"/>
            <w:tcBorders>
              <w:top w:val="nil"/>
              <w:left w:val="nil"/>
              <w:bottom w:val="single" w:sz="4" w:space="0" w:color="auto"/>
              <w:right w:val="single" w:sz="4" w:space="0" w:color="auto"/>
            </w:tcBorders>
            <w:noWrap/>
            <w:vAlign w:val="bottom"/>
          </w:tcPr>
          <w:p w14:paraId="7A98640B" w14:textId="77777777" w:rsidR="006D3AD5" w:rsidRPr="00874BFF" w:rsidRDefault="006D3AD5" w:rsidP="00443B8F">
            <w:pPr>
              <w:overflowPunct/>
              <w:autoSpaceDE/>
              <w:autoSpaceDN/>
              <w:adjustRightInd/>
              <w:jc w:val="right"/>
              <w:textAlignment w:val="auto"/>
              <w:rPr>
                <w:rFonts w:cs="Arial"/>
                <w:sz w:val="20"/>
              </w:rPr>
            </w:pPr>
            <w:r w:rsidRPr="00874BFF">
              <w:rPr>
                <w:sz w:val="20"/>
              </w:rPr>
              <w:t>57.1%</w:t>
            </w:r>
          </w:p>
        </w:tc>
      </w:tr>
      <w:tr w:rsidR="006D3AD5" w:rsidRPr="00874BFF" w14:paraId="3EB3482E"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7CA4BB57" w14:textId="77777777" w:rsidR="006D3AD5" w:rsidRPr="00874BFF" w:rsidRDefault="006D3AD5" w:rsidP="00443B8F">
            <w:pPr>
              <w:overflowPunct/>
              <w:autoSpaceDE/>
              <w:autoSpaceDN/>
              <w:adjustRightInd/>
              <w:jc w:val="left"/>
              <w:textAlignment w:val="auto"/>
              <w:rPr>
                <w:rFonts w:cs="Arial"/>
                <w:sz w:val="20"/>
              </w:rPr>
            </w:pPr>
            <w:r w:rsidRPr="00874BFF">
              <w:rPr>
                <w:sz w:val="20"/>
              </w:rPr>
              <w:t>Prolongation of loan maturity</w:t>
            </w:r>
          </w:p>
        </w:tc>
        <w:tc>
          <w:tcPr>
            <w:tcW w:w="992" w:type="dxa"/>
            <w:tcBorders>
              <w:top w:val="single" w:sz="4" w:space="0" w:color="000000"/>
              <w:left w:val="nil"/>
              <w:bottom w:val="nil"/>
              <w:right w:val="single" w:sz="4" w:space="0" w:color="000000"/>
            </w:tcBorders>
            <w:noWrap/>
            <w:vAlign w:val="bottom"/>
          </w:tcPr>
          <w:p w14:paraId="56B3E2DA" w14:textId="77777777" w:rsidR="006D3AD5" w:rsidRPr="00874BFF" w:rsidRDefault="006D3AD5" w:rsidP="00443B8F">
            <w:pPr>
              <w:overflowPunct/>
              <w:autoSpaceDE/>
              <w:autoSpaceDN/>
              <w:adjustRightInd/>
              <w:jc w:val="right"/>
              <w:textAlignment w:val="auto"/>
              <w:rPr>
                <w:rFonts w:cs="Arial"/>
                <w:sz w:val="20"/>
              </w:rPr>
            </w:pPr>
            <w:r w:rsidRPr="00874BFF">
              <w:rPr>
                <w:sz w:val="20"/>
              </w:rPr>
              <w:t>11</w:t>
            </w:r>
          </w:p>
        </w:tc>
        <w:tc>
          <w:tcPr>
            <w:tcW w:w="851" w:type="dxa"/>
            <w:tcBorders>
              <w:top w:val="nil"/>
              <w:left w:val="nil"/>
              <w:bottom w:val="single" w:sz="4" w:space="0" w:color="auto"/>
              <w:right w:val="single" w:sz="4" w:space="0" w:color="auto"/>
            </w:tcBorders>
            <w:noWrap/>
            <w:vAlign w:val="bottom"/>
          </w:tcPr>
          <w:p w14:paraId="4E12B4EA" w14:textId="77777777" w:rsidR="006D3AD5" w:rsidRPr="00874BFF" w:rsidRDefault="006D3AD5" w:rsidP="00443B8F">
            <w:pPr>
              <w:overflowPunct/>
              <w:autoSpaceDE/>
              <w:autoSpaceDN/>
              <w:adjustRightInd/>
              <w:jc w:val="right"/>
              <w:textAlignment w:val="auto"/>
              <w:rPr>
                <w:rFonts w:cs="Arial"/>
                <w:sz w:val="20"/>
              </w:rPr>
            </w:pPr>
            <w:r w:rsidRPr="00874BFF">
              <w:rPr>
                <w:sz w:val="20"/>
              </w:rPr>
              <w:t>19.6%</w:t>
            </w:r>
          </w:p>
        </w:tc>
      </w:tr>
      <w:tr w:rsidR="006D3AD5" w:rsidRPr="00874BFF" w14:paraId="47261D04"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7EE4D803" w14:textId="77777777" w:rsidR="006D3AD5" w:rsidRPr="00874BFF" w:rsidRDefault="006D3AD5" w:rsidP="00443B8F">
            <w:pPr>
              <w:overflowPunct/>
              <w:autoSpaceDE/>
              <w:autoSpaceDN/>
              <w:adjustRightInd/>
              <w:jc w:val="left"/>
              <w:textAlignment w:val="auto"/>
              <w:rPr>
                <w:rFonts w:cs="Arial"/>
                <w:sz w:val="20"/>
              </w:rPr>
            </w:pPr>
            <w:r w:rsidRPr="00874BFF">
              <w:rPr>
                <w:sz w:val="20"/>
              </w:rPr>
              <w:t>Deferral of loan instalments</w:t>
            </w:r>
          </w:p>
        </w:tc>
        <w:tc>
          <w:tcPr>
            <w:tcW w:w="992" w:type="dxa"/>
            <w:tcBorders>
              <w:top w:val="single" w:sz="4" w:space="0" w:color="000000"/>
              <w:left w:val="nil"/>
              <w:bottom w:val="nil"/>
              <w:right w:val="single" w:sz="4" w:space="0" w:color="000000"/>
            </w:tcBorders>
            <w:noWrap/>
            <w:vAlign w:val="bottom"/>
          </w:tcPr>
          <w:p w14:paraId="2C3FD9FC" w14:textId="77777777" w:rsidR="006D3AD5" w:rsidRPr="00874BFF" w:rsidRDefault="006D3AD5" w:rsidP="00443B8F">
            <w:pPr>
              <w:overflowPunct/>
              <w:autoSpaceDE/>
              <w:autoSpaceDN/>
              <w:adjustRightInd/>
              <w:jc w:val="right"/>
              <w:textAlignment w:val="auto"/>
              <w:rPr>
                <w:rFonts w:cs="Arial"/>
                <w:sz w:val="20"/>
              </w:rPr>
            </w:pPr>
            <w:r w:rsidRPr="00874BFF">
              <w:rPr>
                <w:sz w:val="20"/>
              </w:rPr>
              <w:t>10</w:t>
            </w:r>
          </w:p>
        </w:tc>
        <w:tc>
          <w:tcPr>
            <w:tcW w:w="851" w:type="dxa"/>
            <w:tcBorders>
              <w:top w:val="nil"/>
              <w:left w:val="nil"/>
              <w:bottom w:val="single" w:sz="4" w:space="0" w:color="auto"/>
              <w:right w:val="single" w:sz="4" w:space="0" w:color="auto"/>
            </w:tcBorders>
            <w:noWrap/>
            <w:vAlign w:val="bottom"/>
          </w:tcPr>
          <w:p w14:paraId="289A6BCB" w14:textId="77777777" w:rsidR="006D3AD5" w:rsidRPr="00874BFF" w:rsidRDefault="006D3AD5" w:rsidP="00443B8F">
            <w:pPr>
              <w:overflowPunct/>
              <w:autoSpaceDE/>
              <w:autoSpaceDN/>
              <w:adjustRightInd/>
              <w:jc w:val="right"/>
              <w:textAlignment w:val="auto"/>
              <w:rPr>
                <w:rFonts w:cs="Arial"/>
                <w:sz w:val="20"/>
              </w:rPr>
            </w:pPr>
            <w:r w:rsidRPr="00874BFF">
              <w:rPr>
                <w:sz w:val="20"/>
              </w:rPr>
              <w:t>17.9%</w:t>
            </w:r>
          </w:p>
        </w:tc>
      </w:tr>
      <w:tr w:rsidR="006D3AD5" w:rsidRPr="00874BFF" w14:paraId="5F7B8EE3"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1C340D3A" w14:textId="77777777" w:rsidR="006D3AD5" w:rsidRPr="00874BFF" w:rsidRDefault="006D3AD5" w:rsidP="00443B8F">
            <w:pPr>
              <w:overflowPunct/>
              <w:autoSpaceDE/>
              <w:autoSpaceDN/>
              <w:adjustRightInd/>
              <w:jc w:val="left"/>
              <w:textAlignment w:val="auto"/>
              <w:rPr>
                <w:rFonts w:cs="Arial"/>
                <w:sz w:val="20"/>
              </w:rPr>
            </w:pPr>
            <w:r w:rsidRPr="00874BFF">
              <w:rPr>
                <w:sz w:val="20"/>
              </w:rPr>
              <w:t>Relief of several remaining instalments of the loan</w:t>
            </w:r>
          </w:p>
        </w:tc>
        <w:tc>
          <w:tcPr>
            <w:tcW w:w="992" w:type="dxa"/>
            <w:tcBorders>
              <w:top w:val="single" w:sz="4" w:space="0" w:color="000000"/>
              <w:left w:val="nil"/>
              <w:bottom w:val="nil"/>
              <w:right w:val="single" w:sz="4" w:space="0" w:color="000000"/>
            </w:tcBorders>
            <w:noWrap/>
            <w:vAlign w:val="bottom"/>
          </w:tcPr>
          <w:p w14:paraId="13EC3DB1" w14:textId="77777777" w:rsidR="006D3AD5" w:rsidRPr="00874BFF" w:rsidRDefault="006D3AD5" w:rsidP="00443B8F">
            <w:pPr>
              <w:overflowPunct/>
              <w:autoSpaceDE/>
              <w:autoSpaceDN/>
              <w:adjustRightInd/>
              <w:jc w:val="right"/>
              <w:textAlignment w:val="auto"/>
              <w:rPr>
                <w:rFonts w:cs="Arial"/>
                <w:sz w:val="20"/>
              </w:rPr>
            </w:pPr>
            <w:r w:rsidRPr="00874BFF">
              <w:rPr>
                <w:sz w:val="20"/>
              </w:rPr>
              <w:t>19</w:t>
            </w:r>
          </w:p>
        </w:tc>
        <w:tc>
          <w:tcPr>
            <w:tcW w:w="851" w:type="dxa"/>
            <w:tcBorders>
              <w:top w:val="nil"/>
              <w:left w:val="nil"/>
              <w:bottom w:val="single" w:sz="4" w:space="0" w:color="auto"/>
              <w:right w:val="single" w:sz="4" w:space="0" w:color="auto"/>
            </w:tcBorders>
            <w:noWrap/>
            <w:vAlign w:val="bottom"/>
          </w:tcPr>
          <w:p w14:paraId="69077E0C" w14:textId="77777777" w:rsidR="006D3AD5" w:rsidRPr="00874BFF" w:rsidRDefault="006D3AD5" w:rsidP="00443B8F">
            <w:pPr>
              <w:overflowPunct/>
              <w:autoSpaceDE/>
              <w:autoSpaceDN/>
              <w:adjustRightInd/>
              <w:jc w:val="right"/>
              <w:textAlignment w:val="auto"/>
              <w:rPr>
                <w:rFonts w:cs="Arial"/>
                <w:sz w:val="20"/>
              </w:rPr>
            </w:pPr>
            <w:r w:rsidRPr="00874BFF">
              <w:rPr>
                <w:sz w:val="20"/>
              </w:rPr>
              <w:t>33.9%</w:t>
            </w:r>
          </w:p>
        </w:tc>
      </w:tr>
      <w:tr w:rsidR="006D3AD5" w:rsidRPr="00874BFF" w14:paraId="2165AD2F"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22259653" w14:textId="77777777" w:rsidR="006D3AD5" w:rsidRPr="00874BFF" w:rsidRDefault="006D3AD5" w:rsidP="00443B8F">
            <w:pPr>
              <w:overflowPunct/>
              <w:autoSpaceDE/>
              <w:autoSpaceDN/>
              <w:adjustRightInd/>
              <w:jc w:val="left"/>
              <w:textAlignment w:val="auto"/>
              <w:rPr>
                <w:rFonts w:cs="Arial"/>
                <w:sz w:val="20"/>
              </w:rPr>
            </w:pPr>
            <w:r w:rsidRPr="00874BFF">
              <w:rPr>
                <w:sz w:val="20"/>
              </w:rPr>
              <w:t>Obtaining funds from an investor</w:t>
            </w:r>
          </w:p>
        </w:tc>
        <w:tc>
          <w:tcPr>
            <w:tcW w:w="992" w:type="dxa"/>
            <w:tcBorders>
              <w:top w:val="single" w:sz="4" w:space="0" w:color="000000"/>
              <w:left w:val="nil"/>
              <w:bottom w:val="nil"/>
              <w:right w:val="single" w:sz="4" w:space="0" w:color="000000"/>
            </w:tcBorders>
            <w:noWrap/>
            <w:vAlign w:val="bottom"/>
          </w:tcPr>
          <w:p w14:paraId="1704AB4C" w14:textId="77777777" w:rsidR="006D3AD5" w:rsidRPr="00874BFF" w:rsidRDefault="006D3AD5" w:rsidP="00443B8F">
            <w:pPr>
              <w:overflowPunct/>
              <w:autoSpaceDE/>
              <w:autoSpaceDN/>
              <w:adjustRightInd/>
              <w:jc w:val="right"/>
              <w:textAlignment w:val="auto"/>
              <w:rPr>
                <w:rFonts w:cs="Arial"/>
                <w:sz w:val="20"/>
              </w:rPr>
            </w:pPr>
            <w:r w:rsidRPr="00874BFF">
              <w:rPr>
                <w:sz w:val="20"/>
              </w:rPr>
              <w:t>11</w:t>
            </w:r>
          </w:p>
        </w:tc>
        <w:tc>
          <w:tcPr>
            <w:tcW w:w="851" w:type="dxa"/>
            <w:tcBorders>
              <w:top w:val="nil"/>
              <w:left w:val="nil"/>
              <w:bottom w:val="single" w:sz="4" w:space="0" w:color="auto"/>
              <w:right w:val="single" w:sz="4" w:space="0" w:color="auto"/>
            </w:tcBorders>
            <w:noWrap/>
            <w:vAlign w:val="bottom"/>
          </w:tcPr>
          <w:p w14:paraId="292C3E7B" w14:textId="77777777" w:rsidR="006D3AD5" w:rsidRPr="00874BFF" w:rsidRDefault="006D3AD5" w:rsidP="00443B8F">
            <w:pPr>
              <w:overflowPunct/>
              <w:autoSpaceDE/>
              <w:autoSpaceDN/>
              <w:adjustRightInd/>
              <w:jc w:val="right"/>
              <w:textAlignment w:val="auto"/>
              <w:rPr>
                <w:rFonts w:cs="Arial"/>
                <w:sz w:val="20"/>
              </w:rPr>
            </w:pPr>
            <w:r w:rsidRPr="00874BFF">
              <w:rPr>
                <w:sz w:val="20"/>
              </w:rPr>
              <w:t>19.6%</w:t>
            </w:r>
          </w:p>
        </w:tc>
      </w:tr>
      <w:tr w:rsidR="006D3AD5" w:rsidRPr="00874BFF" w14:paraId="78B374E4"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54B195E7" w14:textId="77777777" w:rsidR="006D3AD5" w:rsidRPr="00874BFF" w:rsidRDefault="006D3AD5" w:rsidP="00443B8F">
            <w:pPr>
              <w:overflowPunct/>
              <w:autoSpaceDE/>
              <w:autoSpaceDN/>
              <w:adjustRightInd/>
              <w:jc w:val="left"/>
              <w:textAlignment w:val="auto"/>
              <w:rPr>
                <w:rFonts w:cs="Arial"/>
                <w:sz w:val="20"/>
              </w:rPr>
            </w:pPr>
            <w:r w:rsidRPr="00874BFF">
              <w:rPr>
                <w:sz w:val="20"/>
              </w:rPr>
              <w:t>Raising awareness of available sources of financing</w:t>
            </w:r>
          </w:p>
        </w:tc>
        <w:tc>
          <w:tcPr>
            <w:tcW w:w="992" w:type="dxa"/>
            <w:tcBorders>
              <w:top w:val="single" w:sz="4" w:space="0" w:color="000000"/>
              <w:left w:val="nil"/>
              <w:bottom w:val="nil"/>
              <w:right w:val="single" w:sz="4" w:space="0" w:color="000000"/>
            </w:tcBorders>
            <w:noWrap/>
            <w:vAlign w:val="bottom"/>
          </w:tcPr>
          <w:p w14:paraId="3BD090BE" w14:textId="77777777" w:rsidR="006D3AD5" w:rsidRPr="00874BFF" w:rsidRDefault="006D3AD5" w:rsidP="00443B8F">
            <w:pPr>
              <w:overflowPunct/>
              <w:autoSpaceDE/>
              <w:autoSpaceDN/>
              <w:adjustRightInd/>
              <w:jc w:val="right"/>
              <w:textAlignment w:val="auto"/>
              <w:rPr>
                <w:rFonts w:cs="Arial"/>
                <w:sz w:val="20"/>
              </w:rPr>
            </w:pPr>
            <w:r w:rsidRPr="00874BFF">
              <w:rPr>
                <w:sz w:val="20"/>
              </w:rPr>
              <w:t>9</w:t>
            </w:r>
          </w:p>
        </w:tc>
        <w:tc>
          <w:tcPr>
            <w:tcW w:w="851" w:type="dxa"/>
            <w:tcBorders>
              <w:top w:val="nil"/>
              <w:left w:val="nil"/>
              <w:bottom w:val="single" w:sz="4" w:space="0" w:color="auto"/>
              <w:right w:val="single" w:sz="4" w:space="0" w:color="auto"/>
            </w:tcBorders>
            <w:noWrap/>
            <w:vAlign w:val="bottom"/>
          </w:tcPr>
          <w:p w14:paraId="4B4D89FC" w14:textId="77777777" w:rsidR="006D3AD5" w:rsidRPr="00874BFF" w:rsidRDefault="006D3AD5" w:rsidP="00443B8F">
            <w:pPr>
              <w:overflowPunct/>
              <w:autoSpaceDE/>
              <w:autoSpaceDN/>
              <w:adjustRightInd/>
              <w:jc w:val="right"/>
              <w:textAlignment w:val="auto"/>
              <w:rPr>
                <w:rFonts w:cs="Arial"/>
                <w:sz w:val="20"/>
              </w:rPr>
            </w:pPr>
            <w:r w:rsidRPr="00874BFF">
              <w:rPr>
                <w:sz w:val="20"/>
              </w:rPr>
              <w:t>16.1%</w:t>
            </w:r>
          </w:p>
        </w:tc>
      </w:tr>
      <w:tr w:rsidR="006D3AD5" w:rsidRPr="00874BFF" w14:paraId="70B3AC8D"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179841B2" w14:textId="77777777" w:rsidR="006D3AD5" w:rsidRPr="00874BFF" w:rsidRDefault="006D3AD5" w:rsidP="00443B8F">
            <w:pPr>
              <w:overflowPunct/>
              <w:autoSpaceDE/>
              <w:autoSpaceDN/>
              <w:adjustRightInd/>
              <w:jc w:val="left"/>
              <w:textAlignment w:val="auto"/>
              <w:rPr>
                <w:rFonts w:cs="Arial"/>
                <w:sz w:val="20"/>
              </w:rPr>
            </w:pPr>
            <w:r w:rsidRPr="00874BFF">
              <w:rPr>
                <w:sz w:val="20"/>
              </w:rPr>
              <w:t>Reduction of the administrative barrier to fundraising</w:t>
            </w:r>
          </w:p>
        </w:tc>
        <w:tc>
          <w:tcPr>
            <w:tcW w:w="992" w:type="dxa"/>
            <w:tcBorders>
              <w:top w:val="single" w:sz="4" w:space="0" w:color="000000"/>
              <w:left w:val="nil"/>
              <w:bottom w:val="nil"/>
              <w:right w:val="single" w:sz="4" w:space="0" w:color="000000"/>
            </w:tcBorders>
            <w:noWrap/>
            <w:vAlign w:val="bottom"/>
          </w:tcPr>
          <w:p w14:paraId="471D0EAC" w14:textId="77777777" w:rsidR="006D3AD5" w:rsidRPr="00874BFF" w:rsidRDefault="006D3AD5" w:rsidP="00443B8F">
            <w:pPr>
              <w:overflowPunct/>
              <w:autoSpaceDE/>
              <w:autoSpaceDN/>
              <w:adjustRightInd/>
              <w:jc w:val="right"/>
              <w:textAlignment w:val="auto"/>
              <w:rPr>
                <w:rFonts w:cs="Arial"/>
                <w:sz w:val="20"/>
              </w:rPr>
            </w:pPr>
            <w:r w:rsidRPr="00874BFF">
              <w:rPr>
                <w:sz w:val="20"/>
              </w:rPr>
              <w:t>20</w:t>
            </w:r>
          </w:p>
        </w:tc>
        <w:tc>
          <w:tcPr>
            <w:tcW w:w="851" w:type="dxa"/>
            <w:tcBorders>
              <w:top w:val="nil"/>
              <w:left w:val="nil"/>
              <w:bottom w:val="single" w:sz="4" w:space="0" w:color="auto"/>
              <w:right w:val="single" w:sz="4" w:space="0" w:color="auto"/>
            </w:tcBorders>
            <w:noWrap/>
            <w:vAlign w:val="bottom"/>
          </w:tcPr>
          <w:p w14:paraId="40C8C17D" w14:textId="77777777" w:rsidR="006D3AD5" w:rsidRPr="00874BFF" w:rsidRDefault="006D3AD5" w:rsidP="00443B8F">
            <w:pPr>
              <w:overflowPunct/>
              <w:autoSpaceDE/>
              <w:autoSpaceDN/>
              <w:adjustRightInd/>
              <w:jc w:val="right"/>
              <w:textAlignment w:val="auto"/>
              <w:rPr>
                <w:rFonts w:cs="Arial"/>
                <w:sz w:val="20"/>
              </w:rPr>
            </w:pPr>
            <w:r w:rsidRPr="00874BFF">
              <w:rPr>
                <w:sz w:val="20"/>
              </w:rPr>
              <w:t>35.7%</w:t>
            </w:r>
          </w:p>
        </w:tc>
      </w:tr>
      <w:tr w:rsidR="006D3AD5" w:rsidRPr="00874BFF" w14:paraId="3C8D78D6" w14:textId="77777777" w:rsidTr="00443B8F">
        <w:trPr>
          <w:trHeight w:val="255"/>
        </w:trPr>
        <w:tc>
          <w:tcPr>
            <w:tcW w:w="5260" w:type="dxa"/>
            <w:tcBorders>
              <w:top w:val="nil"/>
              <w:left w:val="single" w:sz="4" w:space="0" w:color="auto"/>
              <w:bottom w:val="single" w:sz="4" w:space="0" w:color="auto"/>
              <w:right w:val="single" w:sz="4" w:space="0" w:color="auto"/>
            </w:tcBorders>
            <w:noWrap/>
            <w:vAlign w:val="bottom"/>
          </w:tcPr>
          <w:p w14:paraId="37EF9CC0" w14:textId="77777777" w:rsidR="006D3AD5" w:rsidRPr="00874BFF" w:rsidRDefault="006D3AD5" w:rsidP="00443B8F">
            <w:pPr>
              <w:overflowPunct/>
              <w:autoSpaceDE/>
              <w:autoSpaceDN/>
              <w:adjustRightInd/>
              <w:jc w:val="left"/>
              <w:textAlignment w:val="auto"/>
              <w:rPr>
                <w:rFonts w:cs="Arial"/>
                <w:sz w:val="20"/>
              </w:rPr>
            </w:pPr>
            <w:r w:rsidRPr="00874BFF">
              <w:rPr>
                <w:sz w:val="20"/>
              </w:rPr>
              <w:t>Assistance at preparation of the project (e.g. business plan or specialised consulting: financing, preparation of project documentation, energy audit, etc.).</w:t>
            </w:r>
          </w:p>
        </w:tc>
        <w:tc>
          <w:tcPr>
            <w:tcW w:w="992" w:type="dxa"/>
            <w:tcBorders>
              <w:top w:val="single" w:sz="4" w:space="0" w:color="auto"/>
              <w:left w:val="nil"/>
              <w:bottom w:val="single" w:sz="4" w:space="0" w:color="auto"/>
              <w:right w:val="single" w:sz="4" w:space="0" w:color="auto"/>
            </w:tcBorders>
            <w:noWrap/>
            <w:vAlign w:val="bottom"/>
          </w:tcPr>
          <w:p w14:paraId="7E5D5194" w14:textId="77777777" w:rsidR="006D3AD5" w:rsidRPr="00874BFF" w:rsidRDefault="006D3AD5" w:rsidP="00443B8F">
            <w:pPr>
              <w:overflowPunct/>
              <w:autoSpaceDE/>
              <w:autoSpaceDN/>
              <w:adjustRightInd/>
              <w:jc w:val="right"/>
              <w:textAlignment w:val="auto"/>
              <w:rPr>
                <w:rFonts w:cs="Arial"/>
                <w:sz w:val="20"/>
              </w:rPr>
            </w:pPr>
            <w:r w:rsidRPr="00874BFF">
              <w:rPr>
                <w:sz w:val="20"/>
              </w:rPr>
              <w:t>17</w:t>
            </w:r>
          </w:p>
        </w:tc>
        <w:tc>
          <w:tcPr>
            <w:tcW w:w="851" w:type="dxa"/>
            <w:tcBorders>
              <w:top w:val="nil"/>
              <w:left w:val="nil"/>
              <w:bottom w:val="single" w:sz="4" w:space="0" w:color="auto"/>
              <w:right w:val="single" w:sz="4" w:space="0" w:color="auto"/>
            </w:tcBorders>
            <w:noWrap/>
            <w:vAlign w:val="bottom"/>
          </w:tcPr>
          <w:p w14:paraId="5D0FA72E" w14:textId="77777777" w:rsidR="006D3AD5" w:rsidRPr="00874BFF" w:rsidRDefault="006D3AD5" w:rsidP="00443B8F">
            <w:pPr>
              <w:overflowPunct/>
              <w:autoSpaceDE/>
              <w:autoSpaceDN/>
              <w:adjustRightInd/>
              <w:jc w:val="right"/>
              <w:textAlignment w:val="auto"/>
              <w:rPr>
                <w:rFonts w:cs="Arial"/>
                <w:sz w:val="20"/>
              </w:rPr>
            </w:pPr>
            <w:r w:rsidRPr="00874BFF">
              <w:rPr>
                <w:sz w:val="20"/>
              </w:rPr>
              <w:t>30.4%</w:t>
            </w:r>
          </w:p>
        </w:tc>
      </w:tr>
      <w:tr w:rsidR="006D3AD5" w:rsidRPr="00874BFF" w14:paraId="6D8AD515" w14:textId="77777777" w:rsidTr="00443B8F">
        <w:trPr>
          <w:trHeight w:val="255"/>
        </w:trPr>
        <w:tc>
          <w:tcPr>
            <w:tcW w:w="5260" w:type="dxa"/>
            <w:tcBorders>
              <w:top w:val="nil"/>
              <w:left w:val="nil"/>
              <w:bottom w:val="nil"/>
              <w:right w:val="nil"/>
            </w:tcBorders>
            <w:noWrap/>
            <w:vAlign w:val="bottom"/>
          </w:tcPr>
          <w:p w14:paraId="1A617D84" w14:textId="77777777" w:rsidR="006D3AD5" w:rsidRPr="00874BFF" w:rsidRDefault="006D3AD5" w:rsidP="00443B8F">
            <w:pPr>
              <w:overflowPunct/>
              <w:autoSpaceDE/>
              <w:autoSpaceDN/>
              <w:adjustRightInd/>
              <w:jc w:val="right"/>
              <w:textAlignment w:val="auto"/>
              <w:rPr>
                <w:rFonts w:cs="Arial"/>
                <w:sz w:val="20"/>
              </w:rPr>
            </w:pPr>
            <w:r w:rsidRPr="00874BFF">
              <w:rPr>
                <w:sz w:val="20"/>
              </w:rPr>
              <w:t>n=</w:t>
            </w:r>
          </w:p>
        </w:tc>
        <w:tc>
          <w:tcPr>
            <w:tcW w:w="992" w:type="dxa"/>
            <w:tcBorders>
              <w:top w:val="nil"/>
              <w:left w:val="nil"/>
              <w:bottom w:val="nil"/>
              <w:right w:val="nil"/>
            </w:tcBorders>
            <w:noWrap/>
            <w:vAlign w:val="bottom"/>
          </w:tcPr>
          <w:p w14:paraId="2918E747" w14:textId="77777777" w:rsidR="006D3AD5" w:rsidRPr="00874BFF" w:rsidRDefault="006D3AD5" w:rsidP="00443B8F">
            <w:pPr>
              <w:overflowPunct/>
              <w:autoSpaceDE/>
              <w:autoSpaceDN/>
              <w:adjustRightInd/>
              <w:jc w:val="left"/>
              <w:textAlignment w:val="auto"/>
              <w:rPr>
                <w:rFonts w:cs="Arial"/>
                <w:sz w:val="20"/>
              </w:rPr>
            </w:pPr>
            <w:r w:rsidRPr="00874BFF">
              <w:rPr>
                <w:sz w:val="20"/>
              </w:rPr>
              <w:t>56</w:t>
            </w:r>
          </w:p>
        </w:tc>
        <w:tc>
          <w:tcPr>
            <w:tcW w:w="851" w:type="dxa"/>
            <w:tcBorders>
              <w:top w:val="nil"/>
              <w:left w:val="nil"/>
              <w:bottom w:val="nil"/>
              <w:right w:val="nil"/>
            </w:tcBorders>
            <w:noWrap/>
            <w:vAlign w:val="bottom"/>
          </w:tcPr>
          <w:p w14:paraId="3B6D5CB8" w14:textId="77777777" w:rsidR="006D3AD5" w:rsidRPr="00874BFF" w:rsidRDefault="006D3AD5" w:rsidP="00443B8F">
            <w:pPr>
              <w:overflowPunct/>
              <w:autoSpaceDE/>
              <w:autoSpaceDN/>
              <w:adjustRightInd/>
              <w:jc w:val="left"/>
              <w:textAlignment w:val="auto"/>
              <w:rPr>
                <w:rFonts w:cs="Arial"/>
                <w:sz w:val="20"/>
              </w:rPr>
            </w:pPr>
          </w:p>
        </w:tc>
      </w:tr>
    </w:tbl>
    <w:p w14:paraId="6AD7A035" w14:textId="2027BB7C" w:rsidR="006D3AD5" w:rsidRPr="00874BFF" w:rsidRDefault="006D3AD5" w:rsidP="006D3AD5">
      <w:r w:rsidRPr="00874BFF">
        <w:t xml:space="preserve">As many as 69 % of respondents stated in the questionnaire that a soft loan would support them in activation of an investment plan fully or partially. </w:t>
      </w:r>
      <w:r w:rsidRPr="00874BFF">
        <w:rPr>
          <w:b/>
        </w:rPr>
        <w:t>If no form of public support (FI) existed, only 13.9 % of respondents would implement their project fully.</w:t>
      </w:r>
      <w:r w:rsidRPr="00874BFF">
        <w:t xml:space="preserve"> Despite a relatively high percentage of positive response to loan instruments, it can be assumed that the projects were mostly partial development/reconstructions, not revitalisation of substantially dilapidated BFs.</w:t>
      </w:r>
    </w:p>
    <w:p w14:paraId="6D2A0517" w14:textId="77777777" w:rsidR="006D3AD5" w:rsidRPr="00874BFF" w:rsidRDefault="006D3AD5" w:rsidP="006D3AD5"/>
    <w:tbl>
      <w:tblPr>
        <w:tblW w:w="9119"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3289"/>
        <w:gridCol w:w="1060"/>
        <w:gridCol w:w="960"/>
        <w:gridCol w:w="960"/>
        <w:gridCol w:w="960"/>
        <w:gridCol w:w="1730"/>
        <w:gridCol w:w="160"/>
      </w:tblGrid>
      <w:tr w:rsidR="006D3AD5" w:rsidRPr="00874BFF" w14:paraId="67E0E1CC" w14:textId="77777777" w:rsidTr="00443B8F">
        <w:trPr>
          <w:trHeight w:val="300"/>
        </w:trPr>
        <w:tc>
          <w:tcPr>
            <w:tcW w:w="3289" w:type="dxa"/>
            <w:tcBorders>
              <w:top w:val="nil"/>
              <w:left w:val="nil"/>
              <w:right w:val="nil"/>
            </w:tcBorders>
            <w:shd w:val="clear" w:color="auto" w:fill="00A1DE"/>
            <w:noWrap/>
          </w:tcPr>
          <w:p w14:paraId="00123CAB" w14:textId="77777777" w:rsidR="006D3AD5" w:rsidRPr="00874BFF" w:rsidRDefault="006D3AD5" w:rsidP="00443B8F">
            <w:pPr>
              <w:keepNext/>
              <w:jc w:val="left"/>
              <w:rPr>
                <w:rFonts w:cs="Arial"/>
                <w:b/>
                <w:bCs/>
                <w:color w:val="FFFFFF"/>
                <w:sz w:val="18"/>
                <w:szCs w:val="18"/>
              </w:rPr>
            </w:pPr>
            <w:r w:rsidRPr="00874BFF">
              <w:rPr>
                <w:b/>
                <w:color w:val="FFFFFF"/>
                <w:sz w:val="18"/>
              </w:rPr>
              <w:t> </w:t>
            </w:r>
          </w:p>
        </w:tc>
        <w:tc>
          <w:tcPr>
            <w:tcW w:w="1060" w:type="dxa"/>
            <w:tcBorders>
              <w:top w:val="nil"/>
              <w:left w:val="nil"/>
              <w:right w:val="nil"/>
            </w:tcBorders>
            <w:shd w:val="clear" w:color="auto" w:fill="00A1DE"/>
            <w:noWrap/>
            <w:vAlign w:val="center"/>
          </w:tcPr>
          <w:p w14:paraId="56AE2298" w14:textId="77777777" w:rsidR="006D3AD5" w:rsidRPr="00874BFF" w:rsidRDefault="006D3AD5" w:rsidP="00443B8F">
            <w:pPr>
              <w:keepNext/>
              <w:jc w:val="center"/>
              <w:rPr>
                <w:rFonts w:cs="Arial"/>
                <w:b/>
                <w:bCs/>
                <w:color w:val="FFFFFF"/>
                <w:sz w:val="18"/>
                <w:szCs w:val="18"/>
              </w:rPr>
            </w:pPr>
            <w:r w:rsidRPr="00874BFF">
              <w:rPr>
                <w:b/>
                <w:color w:val="FFFFFF"/>
                <w:sz w:val="18"/>
              </w:rPr>
              <w:t>Definitely yes</w:t>
            </w:r>
          </w:p>
        </w:tc>
        <w:tc>
          <w:tcPr>
            <w:tcW w:w="960" w:type="dxa"/>
            <w:tcBorders>
              <w:top w:val="nil"/>
              <w:left w:val="nil"/>
              <w:right w:val="nil"/>
            </w:tcBorders>
            <w:shd w:val="clear" w:color="auto" w:fill="00A1DE"/>
            <w:noWrap/>
            <w:vAlign w:val="center"/>
          </w:tcPr>
          <w:p w14:paraId="7171FD14" w14:textId="77777777" w:rsidR="006D3AD5" w:rsidRPr="00874BFF" w:rsidRDefault="006D3AD5" w:rsidP="00443B8F">
            <w:pPr>
              <w:keepNext/>
              <w:jc w:val="center"/>
              <w:rPr>
                <w:rFonts w:cs="Arial"/>
                <w:b/>
                <w:bCs/>
                <w:color w:val="FFFFFF"/>
                <w:sz w:val="18"/>
                <w:szCs w:val="18"/>
              </w:rPr>
            </w:pPr>
            <w:r w:rsidRPr="00874BFF">
              <w:rPr>
                <w:b/>
                <w:color w:val="FFFFFF"/>
                <w:sz w:val="18"/>
              </w:rPr>
              <w:t>Rather yes</w:t>
            </w:r>
          </w:p>
        </w:tc>
        <w:tc>
          <w:tcPr>
            <w:tcW w:w="960" w:type="dxa"/>
            <w:tcBorders>
              <w:top w:val="nil"/>
              <w:left w:val="nil"/>
              <w:right w:val="nil"/>
            </w:tcBorders>
            <w:shd w:val="clear" w:color="auto" w:fill="00A1DE"/>
            <w:noWrap/>
            <w:vAlign w:val="center"/>
          </w:tcPr>
          <w:p w14:paraId="3D06EA44" w14:textId="77777777" w:rsidR="006D3AD5" w:rsidRPr="00874BFF" w:rsidRDefault="006D3AD5" w:rsidP="00443B8F">
            <w:pPr>
              <w:keepNext/>
              <w:jc w:val="center"/>
              <w:rPr>
                <w:rFonts w:cs="Arial"/>
                <w:b/>
                <w:bCs/>
                <w:color w:val="FFFFFF"/>
                <w:sz w:val="18"/>
                <w:szCs w:val="18"/>
              </w:rPr>
            </w:pPr>
            <w:r w:rsidRPr="00874BFF">
              <w:rPr>
                <w:b/>
                <w:color w:val="FFFFFF"/>
                <w:sz w:val="18"/>
              </w:rPr>
              <w:t>Rather no</w:t>
            </w:r>
          </w:p>
        </w:tc>
        <w:tc>
          <w:tcPr>
            <w:tcW w:w="960" w:type="dxa"/>
            <w:tcBorders>
              <w:top w:val="nil"/>
              <w:left w:val="nil"/>
              <w:right w:val="nil"/>
            </w:tcBorders>
            <w:shd w:val="clear" w:color="auto" w:fill="00A1DE"/>
            <w:noWrap/>
            <w:vAlign w:val="center"/>
          </w:tcPr>
          <w:p w14:paraId="4D56123C" w14:textId="77777777" w:rsidR="006D3AD5" w:rsidRPr="00874BFF" w:rsidRDefault="006D3AD5" w:rsidP="00443B8F">
            <w:pPr>
              <w:keepNext/>
              <w:jc w:val="center"/>
              <w:rPr>
                <w:rFonts w:cs="Arial"/>
                <w:b/>
                <w:bCs/>
                <w:color w:val="FFFFFF"/>
                <w:sz w:val="18"/>
                <w:szCs w:val="18"/>
              </w:rPr>
            </w:pPr>
            <w:r w:rsidRPr="00874BFF">
              <w:rPr>
                <w:b/>
                <w:color w:val="FFFFFF"/>
                <w:sz w:val="18"/>
              </w:rPr>
              <w:t>Definitely no</w:t>
            </w:r>
          </w:p>
        </w:tc>
        <w:tc>
          <w:tcPr>
            <w:tcW w:w="1730" w:type="dxa"/>
            <w:tcBorders>
              <w:top w:val="nil"/>
              <w:left w:val="nil"/>
              <w:right w:val="nil"/>
            </w:tcBorders>
            <w:shd w:val="clear" w:color="auto" w:fill="00A1DE"/>
            <w:noWrap/>
            <w:vAlign w:val="center"/>
          </w:tcPr>
          <w:p w14:paraId="7A067856" w14:textId="77777777" w:rsidR="006D3AD5" w:rsidRPr="00874BFF" w:rsidRDefault="006D3AD5" w:rsidP="00443B8F">
            <w:pPr>
              <w:keepNext/>
              <w:jc w:val="center"/>
              <w:rPr>
                <w:rFonts w:cs="Arial"/>
                <w:b/>
                <w:bCs/>
                <w:color w:val="FFFFFF"/>
                <w:sz w:val="18"/>
                <w:szCs w:val="18"/>
              </w:rPr>
            </w:pPr>
            <w:r w:rsidRPr="00874BFF">
              <w:rPr>
                <w:b/>
                <w:color w:val="FFFFFF"/>
                <w:sz w:val="18"/>
              </w:rPr>
              <w:t>Type of instrument</w:t>
            </w:r>
          </w:p>
        </w:tc>
        <w:tc>
          <w:tcPr>
            <w:tcW w:w="160" w:type="dxa"/>
            <w:tcBorders>
              <w:top w:val="nil"/>
              <w:left w:val="nil"/>
              <w:right w:val="nil"/>
            </w:tcBorders>
            <w:shd w:val="clear" w:color="auto" w:fill="00A1DE"/>
            <w:noWrap/>
          </w:tcPr>
          <w:p w14:paraId="654374B3" w14:textId="77777777" w:rsidR="006D3AD5" w:rsidRPr="00874BFF" w:rsidRDefault="006D3AD5" w:rsidP="00443B8F">
            <w:pPr>
              <w:keepNext/>
              <w:jc w:val="left"/>
              <w:rPr>
                <w:rFonts w:cs="Arial"/>
                <w:b/>
                <w:bCs/>
                <w:color w:val="000000"/>
                <w:sz w:val="18"/>
                <w:szCs w:val="18"/>
              </w:rPr>
            </w:pPr>
            <w:r w:rsidRPr="00874BFF">
              <w:rPr>
                <w:b/>
                <w:color w:val="000000"/>
                <w:sz w:val="18"/>
              </w:rPr>
              <w:t> </w:t>
            </w:r>
          </w:p>
        </w:tc>
      </w:tr>
      <w:tr w:rsidR="006D3AD5" w:rsidRPr="00874BFF" w14:paraId="6EF2E420" w14:textId="77777777" w:rsidTr="00443B8F">
        <w:trPr>
          <w:trHeight w:val="300"/>
        </w:trPr>
        <w:tc>
          <w:tcPr>
            <w:tcW w:w="3289" w:type="dxa"/>
            <w:tcBorders>
              <w:left w:val="nil"/>
              <w:right w:val="nil"/>
            </w:tcBorders>
            <w:shd w:val="clear" w:color="auto" w:fill="FFFFFF"/>
            <w:noWrap/>
            <w:vAlign w:val="center"/>
          </w:tcPr>
          <w:p w14:paraId="39434918" w14:textId="77777777" w:rsidR="006D3AD5" w:rsidRPr="00874BFF" w:rsidRDefault="006D3AD5" w:rsidP="00443B8F">
            <w:pPr>
              <w:keepNext/>
              <w:jc w:val="left"/>
              <w:rPr>
                <w:rFonts w:cs="Arial"/>
                <w:color w:val="000000"/>
                <w:sz w:val="18"/>
                <w:szCs w:val="18"/>
              </w:rPr>
            </w:pPr>
            <w:r w:rsidRPr="00874BFF">
              <w:rPr>
                <w:color w:val="000000"/>
                <w:sz w:val="18"/>
              </w:rPr>
              <w:t>Brownfield development</w:t>
            </w:r>
          </w:p>
        </w:tc>
        <w:tc>
          <w:tcPr>
            <w:tcW w:w="1060" w:type="dxa"/>
            <w:tcBorders>
              <w:left w:val="nil"/>
              <w:right w:val="nil"/>
            </w:tcBorders>
            <w:shd w:val="clear" w:color="auto" w:fill="FFFFFF"/>
            <w:noWrap/>
            <w:vAlign w:val="center"/>
          </w:tcPr>
          <w:p w14:paraId="6557EC77" w14:textId="77777777" w:rsidR="006D3AD5" w:rsidRPr="00874BFF" w:rsidRDefault="006D3AD5" w:rsidP="00443B8F">
            <w:pPr>
              <w:keepNext/>
              <w:jc w:val="right"/>
              <w:rPr>
                <w:rFonts w:cs="Arial"/>
                <w:color w:val="000000"/>
                <w:sz w:val="18"/>
                <w:szCs w:val="18"/>
              </w:rPr>
            </w:pPr>
            <w:r w:rsidRPr="00874BFF">
              <w:rPr>
                <w:color w:val="000000"/>
                <w:sz w:val="18"/>
              </w:rPr>
              <w:t>24 %</w:t>
            </w:r>
          </w:p>
        </w:tc>
        <w:tc>
          <w:tcPr>
            <w:tcW w:w="960" w:type="dxa"/>
            <w:tcBorders>
              <w:left w:val="nil"/>
              <w:right w:val="nil"/>
            </w:tcBorders>
            <w:shd w:val="clear" w:color="auto" w:fill="FFFFFF"/>
            <w:noWrap/>
            <w:vAlign w:val="center"/>
          </w:tcPr>
          <w:p w14:paraId="79178DC2" w14:textId="77777777" w:rsidR="006D3AD5" w:rsidRPr="00874BFF" w:rsidRDefault="006D3AD5" w:rsidP="00443B8F">
            <w:pPr>
              <w:keepNext/>
              <w:jc w:val="right"/>
              <w:rPr>
                <w:rFonts w:cs="Arial"/>
                <w:color w:val="000000"/>
                <w:sz w:val="18"/>
                <w:szCs w:val="18"/>
              </w:rPr>
            </w:pPr>
            <w:r w:rsidRPr="00874BFF">
              <w:rPr>
                <w:color w:val="000000"/>
                <w:sz w:val="18"/>
              </w:rPr>
              <w:t>20 %</w:t>
            </w:r>
          </w:p>
        </w:tc>
        <w:tc>
          <w:tcPr>
            <w:tcW w:w="960" w:type="dxa"/>
            <w:tcBorders>
              <w:left w:val="nil"/>
              <w:right w:val="nil"/>
            </w:tcBorders>
            <w:shd w:val="clear" w:color="auto" w:fill="FFFFFF"/>
            <w:noWrap/>
            <w:vAlign w:val="center"/>
          </w:tcPr>
          <w:p w14:paraId="17A64756" w14:textId="77777777" w:rsidR="006D3AD5" w:rsidRPr="00874BFF" w:rsidRDefault="006D3AD5" w:rsidP="00443B8F">
            <w:pPr>
              <w:keepNext/>
              <w:jc w:val="right"/>
              <w:rPr>
                <w:rFonts w:cs="Arial"/>
                <w:color w:val="000000"/>
                <w:sz w:val="18"/>
                <w:szCs w:val="18"/>
              </w:rPr>
            </w:pPr>
            <w:r w:rsidRPr="00874BFF">
              <w:rPr>
                <w:color w:val="000000"/>
                <w:sz w:val="18"/>
              </w:rPr>
              <w:t>27 %</w:t>
            </w:r>
          </w:p>
        </w:tc>
        <w:tc>
          <w:tcPr>
            <w:tcW w:w="960" w:type="dxa"/>
            <w:tcBorders>
              <w:left w:val="nil"/>
              <w:right w:val="nil"/>
            </w:tcBorders>
            <w:shd w:val="clear" w:color="auto" w:fill="FFFFFF"/>
            <w:noWrap/>
            <w:vAlign w:val="center"/>
          </w:tcPr>
          <w:p w14:paraId="610B6B75" w14:textId="77777777" w:rsidR="006D3AD5" w:rsidRPr="00874BFF" w:rsidRDefault="006D3AD5" w:rsidP="00443B8F">
            <w:pPr>
              <w:keepNext/>
              <w:jc w:val="right"/>
              <w:rPr>
                <w:rFonts w:cs="Arial"/>
                <w:color w:val="000000"/>
                <w:sz w:val="18"/>
                <w:szCs w:val="18"/>
              </w:rPr>
            </w:pPr>
            <w:r w:rsidRPr="00874BFF">
              <w:rPr>
                <w:color w:val="000000"/>
                <w:sz w:val="18"/>
              </w:rPr>
              <w:t>29 %</w:t>
            </w:r>
          </w:p>
        </w:tc>
        <w:tc>
          <w:tcPr>
            <w:tcW w:w="1890" w:type="dxa"/>
            <w:gridSpan w:val="2"/>
            <w:tcBorders>
              <w:left w:val="nil"/>
              <w:right w:val="nil"/>
            </w:tcBorders>
            <w:shd w:val="clear" w:color="auto" w:fill="FFFFFF"/>
            <w:noWrap/>
            <w:vAlign w:val="center"/>
          </w:tcPr>
          <w:p w14:paraId="0E2650B5" w14:textId="77777777" w:rsidR="006D3AD5" w:rsidRPr="00874BFF" w:rsidRDefault="006D3AD5" w:rsidP="00443B8F">
            <w:pPr>
              <w:keepNext/>
              <w:jc w:val="right"/>
              <w:rPr>
                <w:rFonts w:cs="Arial"/>
                <w:color w:val="000000"/>
                <w:sz w:val="18"/>
                <w:szCs w:val="18"/>
              </w:rPr>
            </w:pPr>
            <w:r w:rsidRPr="00874BFF">
              <w:rPr>
                <w:color w:val="000000"/>
                <w:sz w:val="18"/>
              </w:rPr>
              <w:t>Capital investment</w:t>
            </w:r>
          </w:p>
        </w:tc>
      </w:tr>
      <w:tr w:rsidR="006D3AD5" w:rsidRPr="00874BFF" w14:paraId="71325249" w14:textId="77777777" w:rsidTr="00443B8F">
        <w:trPr>
          <w:trHeight w:val="300"/>
        </w:trPr>
        <w:tc>
          <w:tcPr>
            <w:tcW w:w="3289" w:type="dxa"/>
            <w:tcBorders>
              <w:left w:val="nil"/>
              <w:right w:val="nil"/>
            </w:tcBorders>
            <w:shd w:val="clear" w:color="auto" w:fill="FFFFFF"/>
            <w:noWrap/>
            <w:vAlign w:val="center"/>
          </w:tcPr>
          <w:p w14:paraId="77269E8D" w14:textId="77777777" w:rsidR="006D3AD5" w:rsidRPr="00874BFF" w:rsidRDefault="006D3AD5" w:rsidP="00443B8F">
            <w:pPr>
              <w:jc w:val="left"/>
              <w:rPr>
                <w:rFonts w:cs="Arial"/>
                <w:sz w:val="19"/>
                <w:szCs w:val="24"/>
              </w:rPr>
            </w:pPr>
            <w:r w:rsidRPr="00874BFF">
              <w:rPr>
                <w:color w:val="000000"/>
                <w:sz w:val="18"/>
              </w:rPr>
              <w:t>Brownfield development</w:t>
            </w:r>
          </w:p>
        </w:tc>
        <w:tc>
          <w:tcPr>
            <w:tcW w:w="1060" w:type="dxa"/>
            <w:tcBorders>
              <w:left w:val="nil"/>
              <w:right w:val="nil"/>
            </w:tcBorders>
            <w:shd w:val="clear" w:color="auto" w:fill="FFFFFF"/>
            <w:noWrap/>
            <w:vAlign w:val="center"/>
          </w:tcPr>
          <w:p w14:paraId="1F9D7C0A" w14:textId="77777777" w:rsidR="006D3AD5" w:rsidRPr="00874BFF" w:rsidRDefault="006D3AD5" w:rsidP="00443B8F">
            <w:pPr>
              <w:keepNext/>
              <w:jc w:val="right"/>
              <w:rPr>
                <w:rFonts w:cs="Arial"/>
                <w:color w:val="000000"/>
                <w:sz w:val="18"/>
                <w:szCs w:val="18"/>
              </w:rPr>
            </w:pPr>
            <w:r w:rsidRPr="00874BFF">
              <w:rPr>
                <w:color w:val="000000"/>
                <w:sz w:val="18"/>
              </w:rPr>
              <w:t>26%</w:t>
            </w:r>
          </w:p>
        </w:tc>
        <w:tc>
          <w:tcPr>
            <w:tcW w:w="960" w:type="dxa"/>
            <w:tcBorders>
              <w:left w:val="nil"/>
              <w:right w:val="nil"/>
            </w:tcBorders>
            <w:shd w:val="clear" w:color="auto" w:fill="FFFFFF"/>
            <w:noWrap/>
            <w:vAlign w:val="center"/>
          </w:tcPr>
          <w:p w14:paraId="77AC4600" w14:textId="77777777" w:rsidR="006D3AD5" w:rsidRPr="00874BFF" w:rsidRDefault="006D3AD5" w:rsidP="00443B8F">
            <w:pPr>
              <w:keepNext/>
              <w:jc w:val="right"/>
              <w:rPr>
                <w:rFonts w:cs="Arial"/>
                <w:color w:val="000000"/>
                <w:sz w:val="18"/>
                <w:szCs w:val="18"/>
              </w:rPr>
            </w:pPr>
            <w:r w:rsidRPr="00874BFF">
              <w:rPr>
                <w:color w:val="000000"/>
                <w:sz w:val="18"/>
              </w:rPr>
              <w:t>33%</w:t>
            </w:r>
          </w:p>
        </w:tc>
        <w:tc>
          <w:tcPr>
            <w:tcW w:w="960" w:type="dxa"/>
            <w:tcBorders>
              <w:left w:val="nil"/>
              <w:right w:val="nil"/>
            </w:tcBorders>
            <w:shd w:val="clear" w:color="auto" w:fill="FFFFFF"/>
            <w:noWrap/>
            <w:vAlign w:val="center"/>
          </w:tcPr>
          <w:p w14:paraId="27065AF3" w14:textId="77777777" w:rsidR="006D3AD5" w:rsidRPr="00874BFF" w:rsidRDefault="006D3AD5" w:rsidP="00443B8F">
            <w:pPr>
              <w:keepNext/>
              <w:jc w:val="right"/>
              <w:rPr>
                <w:rFonts w:cs="Arial"/>
                <w:color w:val="000000"/>
                <w:sz w:val="18"/>
                <w:szCs w:val="18"/>
              </w:rPr>
            </w:pPr>
            <w:r w:rsidRPr="00874BFF">
              <w:rPr>
                <w:color w:val="000000"/>
                <w:sz w:val="18"/>
              </w:rPr>
              <w:t>21%</w:t>
            </w:r>
          </w:p>
        </w:tc>
        <w:tc>
          <w:tcPr>
            <w:tcW w:w="960" w:type="dxa"/>
            <w:tcBorders>
              <w:left w:val="nil"/>
              <w:right w:val="nil"/>
            </w:tcBorders>
            <w:shd w:val="clear" w:color="auto" w:fill="FFFFFF"/>
            <w:noWrap/>
            <w:vAlign w:val="center"/>
          </w:tcPr>
          <w:p w14:paraId="39DBD3F3" w14:textId="77777777" w:rsidR="006D3AD5" w:rsidRPr="00874BFF" w:rsidRDefault="006D3AD5" w:rsidP="00443B8F">
            <w:pPr>
              <w:keepNext/>
              <w:jc w:val="right"/>
              <w:rPr>
                <w:rFonts w:cs="Arial"/>
                <w:color w:val="000000"/>
                <w:sz w:val="18"/>
                <w:szCs w:val="18"/>
              </w:rPr>
            </w:pPr>
            <w:r w:rsidRPr="00874BFF">
              <w:rPr>
                <w:color w:val="000000"/>
                <w:sz w:val="18"/>
              </w:rPr>
              <w:t>20%</w:t>
            </w:r>
          </w:p>
        </w:tc>
        <w:tc>
          <w:tcPr>
            <w:tcW w:w="1890" w:type="dxa"/>
            <w:gridSpan w:val="2"/>
            <w:tcBorders>
              <w:left w:val="nil"/>
              <w:right w:val="nil"/>
            </w:tcBorders>
            <w:shd w:val="clear" w:color="auto" w:fill="FFFFFF"/>
            <w:noWrap/>
            <w:vAlign w:val="center"/>
          </w:tcPr>
          <w:p w14:paraId="415EE98B" w14:textId="77777777" w:rsidR="006D3AD5" w:rsidRPr="00874BFF" w:rsidRDefault="006D3AD5" w:rsidP="00443B8F">
            <w:pPr>
              <w:keepNext/>
              <w:jc w:val="right"/>
              <w:rPr>
                <w:rFonts w:cs="Arial"/>
                <w:color w:val="000000"/>
                <w:sz w:val="18"/>
                <w:szCs w:val="18"/>
              </w:rPr>
            </w:pPr>
            <w:r w:rsidRPr="00874BFF">
              <w:rPr>
                <w:color w:val="000000"/>
                <w:sz w:val="18"/>
              </w:rPr>
              <w:t>Guarantees</w:t>
            </w:r>
          </w:p>
        </w:tc>
      </w:tr>
      <w:tr w:rsidR="006D3AD5" w:rsidRPr="00874BFF" w14:paraId="00ED188B" w14:textId="77777777" w:rsidTr="00443B8F">
        <w:trPr>
          <w:trHeight w:val="300"/>
        </w:trPr>
        <w:tc>
          <w:tcPr>
            <w:tcW w:w="3289" w:type="dxa"/>
            <w:tcBorders>
              <w:left w:val="nil"/>
              <w:right w:val="nil"/>
            </w:tcBorders>
            <w:shd w:val="clear" w:color="auto" w:fill="FFFFFF"/>
            <w:noWrap/>
            <w:vAlign w:val="center"/>
          </w:tcPr>
          <w:p w14:paraId="328B9DBA" w14:textId="77777777" w:rsidR="006D3AD5" w:rsidRPr="00874BFF" w:rsidRDefault="006D3AD5" w:rsidP="00443B8F">
            <w:pPr>
              <w:jc w:val="left"/>
              <w:rPr>
                <w:rFonts w:cs="Arial"/>
                <w:sz w:val="19"/>
                <w:szCs w:val="24"/>
              </w:rPr>
            </w:pPr>
            <w:r w:rsidRPr="00874BFF">
              <w:rPr>
                <w:color w:val="000000"/>
                <w:sz w:val="18"/>
              </w:rPr>
              <w:t>Brownfield development</w:t>
            </w:r>
          </w:p>
        </w:tc>
        <w:tc>
          <w:tcPr>
            <w:tcW w:w="1060" w:type="dxa"/>
            <w:tcBorders>
              <w:left w:val="nil"/>
              <w:right w:val="nil"/>
            </w:tcBorders>
            <w:shd w:val="clear" w:color="auto" w:fill="FFFFFF"/>
            <w:noWrap/>
            <w:vAlign w:val="center"/>
          </w:tcPr>
          <w:p w14:paraId="312EAEEE" w14:textId="77777777" w:rsidR="006D3AD5" w:rsidRPr="00874BFF" w:rsidRDefault="006D3AD5" w:rsidP="00443B8F">
            <w:pPr>
              <w:keepNext/>
              <w:jc w:val="right"/>
              <w:rPr>
                <w:rFonts w:cs="Arial"/>
                <w:color w:val="000000"/>
                <w:sz w:val="18"/>
                <w:szCs w:val="18"/>
              </w:rPr>
            </w:pPr>
            <w:r w:rsidRPr="00874BFF">
              <w:rPr>
                <w:color w:val="000000"/>
                <w:sz w:val="18"/>
              </w:rPr>
              <w:t>39%</w:t>
            </w:r>
          </w:p>
        </w:tc>
        <w:tc>
          <w:tcPr>
            <w:tcW w:w="960" w:type="dxa"/>
            <w:tcBorders>
              <w:left w:val="nil"/>
              <w:right w:val="nil"/>
            </w:tcBorders>
            <w:shd w:val="clear" w:color="auto" w:fill="FFFFFF"/>
            <w:noWrap/>
            <w:vAlign w:val="center"/>
          </w:tcPr>
          <w:p w14:paraId="66F9A970" w14:textId="77777777" w:rsidR="006D3AD5" w:rsidRPr="00874BFF" w:rsidRDefault="006D3AD5" w:rsidP="00443B8F">
            <w:pPr>
              <w:keepNext/>
              <w:jc w:val="right"/>
              <w:rPr>
                <w:rFonts w:cs="Arial"/>
                <w:color w:val="000000"/>
                <w:sz w:val="18"/>
                <w:szCs w:val="18"/>
              </w:rPr>
            </w:pPr>
            <w:r w:rsidRPr="00874BFF">
              <w:rPr>
                <w:color w:val="000000"/>
                <w:sz w:val="18"/>
              </w:rPr>
              <w:t>30%</w:t>
            </w:r>
          </w:p>
        </w:tc>
        <w:tc>
          <w:tcPr>
            <w:tcW w:w="960" w:type="dxa"/>
            <w:tcBorders>
              <w:left w:val="nil"/>
              <w:right w:val="nil"/>
            </w:tcBorders>
            <w:shd w:val="clear" w:color="auto" w:fill="FFFFFF"/>
            <w:noWrap/>
            <w:vAlign w:val="center"/>
          </w:tcPr>
          <w:p w14:paraId="12E62ABF" w14:textId="77777777" w:rsidR="006D3AD5" w:rsidRPr="00874BFF" w:rsidRDefault="006D3AD5" w:rsidP="00443B8F">
            <w:pPr>
              <w:keepNext/>
              <w:jc w:val="right"/>
              <w:rPr>
                <w:rFonts w:cs="Arial"/>
                <w:color w:val="000000"/>
                <w:sz w:val="18"/>
                <w:szCs w:val="18"/>
              </w:rPr>
            </w:pPr>
            <w:r w:rsidRPr="00874BFF">
              <w:rPr>
                <w:color w:val="000000"/>
                <w:sz w:val="18"/>
              </w:rPr>
              <w:t>17%</w:t>
            </w:r>
          </w:p>
        </w:tc>
        <w:tc>
          <w:tcPr>
            <w:tcW w:w="960" w:type="dxa"/>
            <w:tcBorders>
              <w:left w:val="nil"/>
              <w:right w:val="nil"/>
            </w:tcBorders>
            <w:shd w:val="clear" w:color="auto" w:fill="FFFFFF"/>
            <w:noWrap/>
            <w:vAlign w:val="center"/>
          </w:tcPr>
          <w:p w14:paraId="23029AEF" w14:textId="77777777" w:rsidR="006D3AD5" w:rsidRPr="00874BFF" w:rsidRDefault="006D3AD5" w:rsidP="00443B8F">
            <w:pPr>
              <w:keepNext/>
              <w:jc w:val="right"/>
              <w:rPr>
                <w:rFonts w:cs="Arial"/>
                <w:color w:val="000000"/>
                <w:sz w:val="18"/>
                <w:szCs w:val="18"/>
              </w:rPr>
            </w:pPr>
            <w:r w:rsidRPr="00874BFF">
              <w:rPr>
                <w:color w:val="000000"/>
                <w:sz w:val="18"/>
              </w:rPr>
              <w:t>13%</w:t>
            </w:r>
          </w:p>
        </w:tc>
        <w:tc>
          <w:tcPr>
            <w:tcW w:w="1890" w:type="dxa"/>
            <w:gridSpan w:val="2"/>
            <w:tcBorders>
              <w:left w:val="nil"/>
              <w:right w:val="nil"/>
            </w:tcBorders>
            <w:shd w:val="clear" w:color="auto" w:fill="FFFFFF"/>
            <w:noWrap/>
            <w:vAlign w:val="center"/>
          </w:tcPr>
          <w:p w14:paraId="35FE897C" w14:textId="77777777" w:rsidR="006D3AD5" w:rsidRPr="00874BFF" w:rsidRDefault="006D3AD5" w:rsidP="00443B8F">
            <w:pPr>
              <w:keepNext/>
              <w:jc w:val="right"/>
              <w:rPr>
                <w:rFonts w:cs="Arial"/>
                <w:color w:val="000000"/>
                <w:sz w:val="18"/>
                <w:szCs w:val="18"/>
              </w:rPr>
            </w:pPr>
            <w:r w:rsidRPr="00874BFF">
              <w:rPr>
                <w:color w:val="000000"/>
                <w:sz w:val="18"/>
              </w:rPr>
              <w:t>Soft loan</w:t>
            </w:r>
          </w:p>
        </w:tc>
      </w:tr>
      <w:tr w:rsidR="006D3AD5" w:rsidRPr="00874BFF" w14:paraId="5FA34886" w14:textId="77777777" w:rsidTr="00443B8F">
        <w:trPr>
          <w:trHeight w:val="20"/>
        </w:trPr>
        <w:tc>
          <w:tcPr>
            <w:tcW w:w="9119" w:type="dxa"/>
            <w:gridSpan w:val="7"/>
            <w:tcBorders>
              <w:left w:val="nil"/>
              <w:right w:val="nil"/>
            </w:tcBorders>
            <w:shd w:val="clear" w:color="auto" w:fill="548DD4"/>
            <w:noWrap/>
            <w:vAlign w:val="center"/>
          </w:tcPr>
          <w:p w14:paraId="22D32C58" w14:textId="77777777" w:rsidR="006D3AD5" w:rsidRPr="00874BFF" w:rsidRDefault="006D3AD5" w:rsidP="00443B8F">
            <w:pPr>
              <w:jc w:val="left"/>
              <w:rPr>
                <w:rFonts w:cs="Calibri"/>
                <w:color w:val="FFFFFF"/>
                <w:szCs w:val="22"/>
              </w:rPr>
            </w:pPr>
            <w:r w:rsidRPr="00874BFF">
              <w:rPr>
                <w:b/>
                <w:color w:val="FFFFFF"/>
                <w:sz w:val="18"/>
              </w:rPr>
              <w:t>If your answer was rather no/no, would you change your answer  to the previous question in the event that the soft loan would include a promise of limited subsidy support (e.g. 10 % of the total investment) if selected objectives of the project are achieved?</w:t>
            </w:r>
          </w:p>
          <w:p w14:paraId="1A58E704" w14:textId="77777777" w:rsidR="006D3AD5" w:rsidRPr="00874BFF" w:rsidRDefault="006D3AD5" w:rsidP="00443B8F">
            <w:pPr>
              <w:keepNext/>
              <w:jc w:val="left"/>
              <w:rPr>
                <w:rFonts w:cs="Arial"/>
                <w:color w:val="FFFFFF"/>
                <w:sz w:val="18"/>
                <w:szCs w:val="18"/>
              </w:rPr>
            </w:pPr>
          </w:p>
        </w:tc>
      </w:tr>
      <w:tr w:rsidR="006D3AD5" w:rsidRPr="00874BFF" w14:paraId="337332F2" w14:textId="77777777" w:rsidTr="00443B8F">
        <w:trPr>
          <w:trHeight w:val="20"/>
        </w:trPr>
        <w:tc>
          <w:tcPr>
            <w:tcW w:w="3289" w:type="dxa"/>
            <w:tcBorders>
              <w:left w:val="nil"/>
              <w:right w:val="nil"/>
            </w:tcBorders>
            <w:shd w:val="clear" w:color="auto" w:fill="548DD4"/>
            <w:noWrap/>
            <w:vAlign w:val="center"/>
          </w:tcPr>
          <w:p w14:paraId="16222A7D" w14:textId="77777777" w:rsidR="006D3AD5" w:rsidRPr="00874BFF" w:rsidRDefault="006D3AD5" w:rsidP="00443B8F">
            <w:pPr>
              <w:jc w:val="left"/>
              <w:rPr>
                <w:rFonts w:cs="Arial"/>
                <w:color w:val="FFFFFF"/>
                <w:sz w:val="18"/>
                <w:szCs w:val="18"/>
              </w:rPr>
            </w:pPr>
          </w:p>
        </w:tc>
        <w:tc>
          <w:tcPr>
            <w:tcW w:w="1060" w:type="dxa"/>
            <w:tcBorders>
              <w:left w:val="nil"/>
              <w:right w:val="nil"/>
            </w:tcBorders>
            <w:shd w:val="clear" w:color="auto" w:fill="548DD4"/>
            <w:noWrap/>
            <w:vAlign w:val="center"/>
          </w:tcPr>
          <w:p w14:paraId="37C4CB7C" w14:textId="77777777" w:rsidR="006D3AD5" w:rsidRPr="00874BFF" w:rsidRDefault="006D3AD5" w:rsidP="00443B8F">
            <w:pPr>
              <w:keepNext/>
              <w:jc w:val="center"/>
              <w:rPr>
                <w:rFonts w:cs="Arial"/>
                <w:b/>
                <w:bCs/>
                <w:color w:val="FFFFFF"/>
                <w:sz w:val="18"/>
                <w:szCs w:val="18"/>
              </w:rPr>
            </w:pPr>
            <w:r w:rsidRPr="00874BFF">
              <w:rPr>
                <w:b/>
                <w:color w:val="FFFFFF"/>
                <w:sz w:val="18"/>
              </w:rPr>
              <w:t>Definitely yes</w:t>
            </w:r>
          </w:p>
        </w:tc>
        <w:tc>
          <w:tcPr>
            <w:tcW w:w="960" w:type="dxa"/>
            <w:tcBorders>
              <w:left w:val="nil"/>
              <w:right w:val="nil"/>
            </w:tcBorders>
            <w:shd w:val="clear" w:color="auto" w:fill="548DD4"/>
            <w:noWrap/>
            <w:vAlign w:val="center"/>
          </w:tcPr>
          <w:p w14:paraId="13BF383B" w14:textId="77777777" w:rsidR="006D3AD5" w:rsidRPr="00874BFF" w:rsidRDefault="006D3AD5" w:rsidP="00443B8F">
            <w:pPr>
              <w:keepNext/>
              <w:jc w:val="center"/>
              <w:rPr>
                <w:rFonts w:cs="Arial"/>
                <w:b/>
                <w:bCs/>
                <w:color w:val="FFFFFF"/>
                <w:sz w:val="18"/>
                <w:szCs w:val="18"/>
              </w:rPr>
            </w:pPr>
            <w:r w:rsidRPr="00874BFF">
              <w:rPr>
                <w:b/>
                <w:color w:val="FFFFFF"/>
                <w:sz w:val="18"/>
              </w:rPr>
              <w:t>Rather yes</w:t>
            </w:r>
          </w:p>
        </w:tc>
        <w:tc>
          <w:tcPr>
            <w:tcW w:w="960" w:type="dxa"/>
            <w:tcBorders>
              <w:left w:val="nil"/>
              <w:right w:val="nil"/>
            </w:tcBorders>
            <w:shd w:val="clear" w:color="auto" w:fill="548DD4"/>
            <w:noWrap/>
            <w:vAlign w:val="center"/>
          </w:tcPr>
          <w:p w14:paraId="29DCDD4B" w14:textId="77777777" w:rsidR="006D3AD5" w:rsidRPr="00874BFF" w:rsidRDefault="006D3AD5" w:rsidP="00443B8F">
            <w:pPr>
              <w:keepNext/>
              <w:jc w:val="center"/>
              <w:rPr>
                <w:rFonts w:cs="Arial"/>
                <w:b/>
                <w:bCs/>
                <w:color w:val="FFFFFF"/>
                <w:sz w:val="18"/>
                <w:szCs w:val="18"/>
              </w:rPr>
            </w:pPr>
            <w:r w:rsidRPr="00874BFF">
              <w:rPr>
                <w:b/>
                <w:color w:val="FFFFFF"/>
                <w:sz w:val="18"/>
              </w:rPr>
              <w:t>Rather no</w:t>
            </w:r>
          </w:p>
        </w:tc>
        <w:tc>
          <w:tcPr>
            <w:tcW w:w="960" w:type="dxa"/>
            <w:tcBorders>
              <w:left w:val="nil"/>
              <w:right w:val="nil"/>
            </w:tcBorders>
            <w:shd w:val="clear" w:color="auto" w:fill="548DD4"/>
            <w:noWrap/>
            <w:vAlign w:val="center"/>
          </w:tcPr>
          <w:p w14:paraId="19224005" w14:textId="77777777" w:rsidR="006D3AD5" w:rsidRPr="00874BFF" w:rsidRDefault="006D3AD5" w:rsidP="00443B8F">
            <w:pPr>
              <w:keepNext/>
              <w:jc w:val="center"/>
              <w:rPr>
                <w:rFonts w:cs="Arial"/>
                <w:b/>
                <w:bCs/>
                <w:color w:val="FFFFFF"/>
                <w:sz w:val="18"/>
                <w:szCs w:val="18"/>
              </w:rPr>
            </w:pPr>
            <w:r w:rsidRPr="00874BFF">
              <w:rPr>
                <w:b/>
                <w:color w:val="FFFFFF"/>
                <w:sz w:val="18"/>
              </w:rPr>
              <w:t>Definitely no</w:t>
            </w:r>
          </w:p>
        </w:tc>
        <w:tc>
          <w:tcPr>
            <w:tcW w:w="1890" w:type="dxa"/>
            <w:gridSpan w:val="2"/>
            <w:tcBorders>
              <w:left w:val="nil"/>
              <w:right w:val="nil"/>
            </w:tcBorders>
            <w:shd w:val="clear" w:color="auto" w:fill="548DD4"/>
            <w:noWrap/>
            <w:vAlign w:val="center"/>
          </w:tcPr>
          <w:p w14:paraId="51FEB504" w14:textId="77777777" w:rsidR="006D3AD5" w:rsidRPr="00874BFF" w:rsidRDefault="006D3AD5" w:rsidP="00443B8F">
            <w:pPr>
              <w:keepNext/>
              <w:jc w:val="center"/>
              <w:rPr>
                <w:rFonts w:cs="Arial"/>
                <w:b/>
                <w:bCs/>
                <w:color w:val="FFFFFF"/>
                <w:sz w:val="18"/>
                <w:szCs w:val="18"/>
              </w:rPr>
            </w:pPr>
            <w:r w:rsidRPr="00874BFF">
              <w:rPr>
                <w:b/>
                <w:color w:val="FFFFFF"/>
                <w:sz w:val="18"/>
              </w:rPr>
              <w:t>Type of instrument</w:t>
            </w:r>
          </w:p>
        </w:tc>
      </w:tr>
      <w:tr w:rsidR="006D3AD5" w:rsidRPr="00874BFF" w14:paraId="3F5D7060" w14:textId="77777777" w:rsidTr="00443B8F">
        <w:trPr>
          <w:trHeight w:val="300"/>
        </w:trPr>
        <w:tc>
          <w:tcPr>
            <w:tcW w:w="3289" w:type="dxa"/>
            <w:tcBorders>
              <w:left w:val="nil"/>
              <w:right w:val="nil"/>
            </w:tcBorders>
            <w:shd w:val="clear" w:color="auto" w:fill="FFFFFF"/>
            <w:noWrap/>
            <w:vAlign w:val="center"/>
          </w:tcPr>
          <w:p w14:paraId="6576353E" w14:textId="77777777" w:rsidR="006D3AD5" w:rsidRPr="00874BFF" w:rsidRDefault="006D3AD5" w:rsidP="00443B8F">
            <w:pPr>
              <w:jc w:val="left"/>
              <w:rPr>
                <w:rFonts w:cs="Arial"/>
                <w:sz w:val="19"/>
                <w:szCs w:val="24"/>
              </w:rPr>
            </w:pPr>
            <w:r w:rsidRPr="00874BFF">
              <w:rPr>
                <w:color w:val="000000"/>
                <w:sz w:val="18"/>
              </w:rPr>
              <w:t>Brownfield development</w:t>
            </w:r>
          </w:p>
        </w:tc>
        <w:tc>
          <w:tcPr>
            <w:tcW w:w="1060" w:type="dxa"/>
            <w:tcBorders>
              <w:left w:val="nil"/>
              <w:right w:val="nil"/>
            </w:tcBorders>
            <w:shd w:val="clear" w:color="auto" w:fill="FFFFFF"/>
            <w:noWrap/>
            <w:vAlign w:val="center"/>
          </w:tcPr>
          <w:p w14:paraId="02E588BC" w14:textId="77777777" w:rsidR="006D3AD5" w:rsidRPr="00874BFF" w:rsidRDefault="006D3AD5" w:rsidP="00443B8F">
            <w:pPr>
              <w:jc w:val="right"/>
              <w:rPr>
                <w:rFonts w:cs="Calibri"/>
                <w:color w:val="000000"/>
                <w:szCs w:val="22"/>
              </w:rPr>
            </w:pPr>
            <w:r w:rsidRPr="00874BFF">
              <w:rPr>
                <w:color w:val="000000"/>
              </w:rPr>
              <w:t>22%</w:t>
            </w:r>
          </w:p>
        </w:tc>
        <w:tc>
          <w:tcPr>
            <w:tcW w:w="960" w:type="dxa"/>
            <w:tcBorders>
              <w:left w:val="nil"/>
              <w:right w:val="nil"/>
            </w:tcBorders>
            <w:shd w:val="clear" w:color="auto" w:fill="FFFFFF"/>
            <w:noWrap/>
            <w:vAlign w:val="center"/>
          </w:tcPr>
          <w:p w14:paraId="3ABB356A" w14:textId="77777777" w:rsidR="006D3AD5" w:rsidRPr="00874BFF" w:rsidRDefault="006D3AD5" w:rsidP="00443B8F">
            <w:pPr>
              <w:jc w:val="right"/>
              <w:rPr>
                <w:rFonts w:cs="Calibri"/>
                <w:color w:val="000000"/>
                <w:szCs w:val="22"/>
              </w:rPr>
            </w:pPr>
            <w:r w:rsidRPr="00874BFF">
              <w:rPr>
                <w:color w:val="000000"/>
              </w:rPr>
              <w:t>31%</w:t>
            </w:r>
          </w:p>
        </w:tc>
        <w:tc>
          <w:tcPr>
            <w:tcW w:w="960" w:type="dxa"/>
            <w:tcBorders>
              <w:left w:val="nil"/>
              <w:right w:val="nil"/>
            </w:tcBorders>
            <w:shd w:val="clear" w:color="auto" w:fill="FFFFFF"/>
            <w:noWrap/>
            <w:vAlign w:val="center"/>
          </w:tcPr>
          <w:p w14:paraId="3AFD084A" w14:textId="77777777" w:rsidR="006D3AD5" w:rsidRPr="00874BFF" w:rsidRDefault="006D3AD5" w:rsidP="00443B8F">
            <w:pPr>
              <w:jc w:val="right"/>
              <w:rPr>
                <w:rFonts w:cs="Calibri"/>
                <w:color w:val="000000"/>
                <w:szCs w:val="22"/>
              </w:rPr>
            </w:pPr>
            <w:r w:rsidRPr="00874BFF">
              <w:rPr>
                <w:color w:val="000000"/>
              </w:rPr>
              <w:t>24%</w:t>
            </w:r>
          </w:p>
        </w:tc>
        <w:tc>
          <w:tcPr>
            <w:tcW w:w="960" w:type="dxa"/>
            <w:tcBorders>
              <w:left w:val="nil"/>
              <w:right w:val="nil"/>
            </w:tcBorders>
            <w:shd w:val="clear" w:color="auto" w:fill="FFFFFF"/>
            <w:noWrap/>
            <w:vAlign w:val="center"/>
          </w:tcPr>
          <w:p w14:paraId="1833D521" w14:textId="77777777" w:rsidR="006D3AD5" w:rsidRPr="00874BFF" w:rsidRDefault="006D3AD5" w:rsidP="00443B8F">
            <w:pPr>
              <w:jc w:val="right"/>
              <w:rPr>
                <w:rFonts w:cs="Calibri"/>
                <w:color w:val="000000"/>
                <w:szCs w:val="22"/>
              </w:rPr>
            </w:pPr>
            <w:r w:rsidRPr="00874BFF">
              <w:rPr>
                <w:color w:val="000000"/>
              </w:rPr>
              <w:t>23%</w:t>
            </w:r>
          </w:p>
        </w:tc>
        <w:tc>
          <w:tcPr>
            <w:tcW w:w="1890" w:type="dxa"/>
            <w:gridSpan w:val="2"/>
            <w:tcBorders>
              <w:left w:val="nil"/>
              <w:right w:val="nil"/>
            </w:tcBorders>
            <w:shd w:val="clear" w:color="auto" w:fill="FFFFFF"/>
            <w:noWrap/>
            <w:vAlign w:val="center"/>
          </w:tcPr>
          <w:p w14:paraId="17840917" w14:textId="77777777" w:rsidR="006D3AD5" w:rsidRPr="00874BFF" w:rsidRDefault="006D3AD5" w:rsidP="00443B8F">
            <w:pPr>
              <w:keepNext/>
              <w:jc w:val="right"/>
              <w:rPr>
                <w:rFonts w:cs="Arial"/>
                <w:color w:val="000000"/>
                <w:sz w:val="18"/>
                <w:szCs w:val="18"/>
              </w:rPr>
            </w:pPr>
            <w:r w:rsidRPr="00874BFF">
              <w:rPr>
                <w:color w:val="000000"/>
                <w:sz w:val="18"/>
              </w:rPr>
              <w:t>Soft loan + subsidy</w:t>
            </w:r>
          </w:p>
        </w:tc>
      </w:tr>
    </w:tbl>
    <w:p w14:paraId="7EACF57A" w14:textId="2F503B69" w:rsidR="006D3AD5" w:rsidRPr="00874BFF" w:rsidRDefault="006D3AD5" w:rsidP="006D3AD5">
      <w:pPr>
        <w:pStyle w:val="Titulek"/>
        <w:jc w:val="center"/>
      </w:pPr>
      <w:r w:rsidRPr="00874BFF">
        <w:t>Table 5</w:t>
      </w:r>
      <w:r w:rsidR="00001EEF">
        <w:t>3</w:t>
      </w:r>
      <w:r w:rsidRPr="00874BFF">
        <w:t>: Activation potential of financial instruments</w:t>
      </w:r>
    </w:p>
    <w:p w14:paraId="4C524B05" w14:textId="77777777" w:rsidR="006D3AD5" w:rsidRPr="00874BFF" w:rsidRDefault="006D3AD5" w:rsidP="006D3AD5">
      <w:pPr>
        <w:pStyle w:val="Titulek"/>
        <w:jc w:val="center"/>
      </w:pPr>
      <w:r w:rsidRPr="00874BFF">
        <w:t>Source: Questionnaire ex ante FIs OP EIC</w:t>
      </w:r>
    </w:p>
    <w:p w14:paraId="0C14E8D8" w14:textId="77777777" w:rsidR="006D3AD5" w:rsidRPr="00874BFF" w:rsidRDefault="006D3AD5" w:rsidP="006D3AD5">
      <w:pPr>
        <w:pStyle w:val="Nadpis4"/>
        <w:rPr>
          <w:rFonts w:ascii="Calibri" w:hAnsi="Calibri"/>
        </w:rPr>
      </w:pPr>
      <w:r w:rsidRPr="00874BFF">
        <w:rPr>
          <w:rFonts w:ascii="Calibri" w:hAnsi="Calibri"/>
        </w:rPr>
        <w:t>Estimate of absorption capacity of public support and the financial instrument</w:t>
      </w:r>
    </w:p>
    <w:p w14:paraId="540F0B5B" w14:textId="3EA35D71" w:rsidR="008F3B3A" w:rsidRDefault="006D3AD5" w:rsidP="006D3AD5">
      <w:pPr>
        <w:rPr>
          <w:b/>
        </w:rPr>
      </w:pPr>
      <w:r w:rsidRPr="00874BFF">
        <w:t xml:space="preserve">Based on the previous demand in the OPEI and the current trend of growing interest in business real estates, it can be predicted that </w:t>
      </w:r>
      <w:r w:rsidRPr="00874BFF">
        <w:rPr>
          <w:b/>
        </w:rPr>
        <w:t>the potential investment demand will significantly exceed the allocation of EUR 113 million earmarked for SO 2.3 on condition that incentives by public support are sufficient.</w:t>
      </w:r>
      <w:r w:rsidRPr="00874BFF">
        <w:t xml:space="preserve"> Under the OPEI, </w:t>
      </w:r>
      <w:r w:rsidRPr="00685AEF">
        <w:rPr>
          <w:b/>
        </w:rPr>
        <w:t>the demand for BF development and reconstruction of business real estates amounted to CZK 28 bn of subsidies</w:t>
      </w:r>
      <w:r w:rsidRPr="00874BFF">
        <w:t>, i.e. approx. CZK 64 bn of eligible costs only in the Real Estates programme. With regard to a high sensitivity of the investment demand for support, a lower demand can be expected as a result of the reduction of the maximum subsidy support to 45 % of eligible costs; nevertheless, the growth in the real estate market can, by contrast, increase the demand substantially.</w:t>
      </w:r>
      <w:r w:rsidR="005C1BB0">
        <w:t xml:space="preserve"> </w:t>
      </w:r>
      <w:r w:rsidR="005C1BB0" w:rsidRPr="00874BFF">
        <w:rPr>
          <w:b/>
        </w:rPr>
        <w:t>The considered investment plans go up to CZK 4.4 bn</w:t>
      </w:r>
      <w:r w:rsidR="005C1BB0">
        <w:rPr>
          <w:b/>
        </w:rPr>
        <w:t>.</w:t>
      </w:r>
      <w:r w:rsidR="005A603F">
        <w:rPr>
          <w:b/>
        </w:rPr>
        <w:t xml:space="preserve"> </w:t>
      </w:r>
      <w:r w:rsidR="008F3B3A">
        <w:rPr>
          <w:b/>
        </w:rPr>
        <w:t>Deloitte Advisory estimates the future demand in the new programming period at CZK 19-25 bn.</w:t>
      </w:r>
    </w:p>
    <w:p w14:paraId="2EE8092A" w14:textId="77777777" w:rsidR="006D3AD5" w:rsidRPr="00874BFF" w:rsidRDefault="006D3AD5" w:rsidP="006D3AD5"/>
    <w:p w14:paraId="16B462AF" w14:textId="77777777" w:rsidR="006D3AD5" w:rsidRPr="00874BFF" w:rsidRDefault="006D3AD5" w:rsidP="006D3AD5">
      <w:r w:rsidRPr="00874BFF">
        <w:t xml:space="preserve">The not negligible number of dilapidated business real estates that according to the CI's data were reconstructed without a subsidy support indicates in case of a suitable type of buildings, there is a relatively significant potential demand even for a softer type of support by financial instruments, as proven by the questionnaire survey as well – also with regard to the fact that in the past some of the business real estates were reconstructed using financial instruments supporting company development provided by the CMZR Bank. Nevertheless, this type of support will largely relate to </w:t>
      </w:r>
      <w:r w:rsidRPr="00874BFF">
        <w:lastRenderedPageBreak/>
        <w:t>reconstructions of business premises that do not require huge investments and do not show a significant market failure – or rather the market failure covered from SO 2.1. The loan instrument will have a very small absorption capacity in relation to worse regenerable BFs.</w:t>
      </w:r>
    </w:p>
    <w:p w14:paraId="213A7F8F" w14:textId="77777777" w:rsidR="006D3AD5" w:rsidRPr="00874BFF" w:rsidRDefault="006D3AD5" w:rsidP="006D3AD5"/>
    <w:p w14:paraId="5C3C5C53" w14:textId="77777777" w:rsidR="006D3AD5" w:rsidRPr="00874BFF" w:rsidRDefault="006D3AD5" w:rsidP="006D3AD5">
      <w:r w:rsidRPr="00874BFF">
        <w:rPr>
          <w:b/>
        </w:rPr>
        <w:t>The absorption capacity related to the development company instrument</w:t>
      </w:r>
      <w:r w:rsidRPr="00874BFF">
        <w:t xml:space="preserve"> depends particularly on the number of suitable localities (BF larger than 10 ha with a potential of commercial regeneration) for this specifically earmarked segment and on SMEs' demand for business real estates. According to expert estimates by specialists in this field, due to the existing market failure this condition should be ensured. At present, the BF database contains 40 localities with area exceeding 10 ha. </w:t>
      </w:r>
      <w:r w:rsidRPr="00874BFF">
        <w:rPr>
          <w:b/>
        </w:rPr>
        <w:t>Ownership of similar premises is usually private or mixed,</w:t>
      </w:r>
      <w:r w:rsidRPr="00874BFF">
        <w:t xml:space="preserve"> while the areas owned by towns and villages usually represent a minor part only. The usual owner can be the existing or the new owner of the company that is not planning to use the existing premises any more or a bank or an administrative receiver searching for a buyer to satisfy their claims. A minority of the owners can also be speculators.</w:t>
      </w:r>
    </w:p>
    <w:p w14:paraId="12AED205" w14:textId="77777777" w:rsidR="006D3AD5" w:rsidRPr="00874BFF" w:rsidRDefault="006D3AD5" w:rsidP="006D3AD5"/>
    <w:p w14:paraId="57BBB294" w14:textId="77777777" w:rsidR="006D3AD5" w:rsidRPr="00874BFF" w:rsidRDefault="006D3AD5" w:rsidP="006D3AD5">
      <w:r w:rsidRPr="00874BFF">
        <w:rPr>
          <w:b/>
        </w:rPr>
        <w:t>The analysis estimates the annual demand for business premises to be approx. 1.2 million m</w:t>
      </w:r>
      <w:r w:rsidRPr="00874BFF">
        <w:rPr>
          <w:b/>
          <w:vertAlign w:val="superscript"/>
        </w:rPr>
        <w:t>2</w:t>
      </w:r>
      <w:r w:rsidRPr="00874BFF">
        <w:rPr>
          <w:b/>
        </w:rPr>
        <w:t>.</w:t>
      </w:r>
      <w:r w:rsidRPr="00874BFF">
        <w:t xml:space="preserve"> When applying the ratio of the GDP generated by small and medium sized enterprises which represents one third , we may estimate the annual demand for real estates by SMEs at 400 thousand m</w:t>
      </w:r>
      <w:r w:rsidRPr="00874BFF">
        <w:rPr>
          <w:vertAlign w:val="superscript"/>
        </w:rPr>
        <w:t>2</w:t>
      </w:r>
      <w:r w:rsidRPr="00874BFF">
        <w:t xml:space="preserve"> of the area of business premises. </w:t>
      </w:r>
      <w:r w:rsidRPr="00874BFF">
        <w:rPr>
          <w:b/>
        </w:rPr>
        <w:t>Each year, a development company may launch approx. 20 ha of areas in the market, which consequently creates conditions for approx. 60,000 m</w:t>
      </w:r>
      <w:r w:rsidRPr="00874BFF">
        <w:rPr>
          <w:b/>
          <w:vertAlign w:val="superscript"/>
        </w:rPr>
        <w:t>2</w:t>
      </w:r>
      <w:r w:rsidRPr="00874BFF">
        <w:rPr>
          <w:b/>
        </w:rPr>
        <w:t>, i.e. 15 % of annual demand.</w:t>
      </w:r>
    </w:p>
    <w:p w14:paraId="56BEAA69" w14:textId="77777777" w:rsidR="006D3AD5" w:rsidRPr="00874BFF" w:rsidRDefault="006D3AD5" w:rsidP="006D3AD5"/>
    <w:p w14:paraId="6B9C6565" w14:textId="77777777" w:rsidR="006D3AD5" w:rsidRPr="00874BFF" w:rsidRDefault="006D3AD5" w:rsidP="006D3AD5">
      <w:pPr>
        <w:pStyle w:val="Nadpis4"/>
        <w:rPr>
          <w:rFonts w:ascii="Calibri" w:hAnsi="Calibri"/>
        </w:rPr>
      </w:pPr>
      <w:bookmarkStart w:id="834" w:name="_Toc416383830"/>
      <w:bookmarkStart w:id="835" w:name="_Toc416447819"/>
      <w:bookmarkStart w:id="836" w:name="_Toc416800446"/>
      <w:bookmarkEnd w:id="834"/>
      <w:bookmarkEnd w:id="835"/>
      <w:r w:rsidRPr="00874BFF">
        <w:rPr>
          <w:rFonts w:ascii="Calibri" w:hAnsi="Calibri"/>
        </w:rPr>
        <w:t>Identification of market failures and sub-optimal investment situations</w:t>
      </w:r>
    </w:p>
    <w:p w14:paraId="69EAB911" w14:textId="77777777" w:rsidR="006D3AD5" w:rsidRPr="00874BFF" w:rsidRDefault="006D3AD5" w:rsidP="006D3AD5"/>
    <w:bookmarkEnd w:id="836"/>
    <w:p w14:paraId="6CCAB83C" w14:textId="77777777" w:rsidR="006D3AD5" w:rsidRPr="00874BFF" w:rsidRDefault="006D3AD5" w:rsidP="006D3AD5">
      <w:r w:rsidRPr="00874BFF">
        <w:t>The main trend in preparation of industrial real estates is currently different from the specific objective of the OP EIC regarding business real estates. The reasons for this situation primarily result from the nature of the premises and BF areas and from wide availability of GFs.</w:t>
      </w:r>
    </w:p>
    <w:p w14:paraId="380AC7B0" w14:textId="77777777" w:rsidR="006D3AD5" w:rsidRPr="00874BFF" w:rsidRDefault="006D3AD5" w:rsidP="006D3AD5"/>
    <w:p w14:paraId="109B8860" w14:textId="77777777" w:rsidR="006D3AD5" w:rsidRPr="00874BFF" w:rsidRDefault="006D3AD5" w:rsidP="006D3AD5">
      <w:r w:rsidRPr="00874BFF">
        <w:t xml:space="preserve">The utilisation of BFs and their conversion into useable business premises are accompanied by </w:t>
      </w:r>
      <w:r w:rsidRPr="00874BFF">
        <w:rPr>
          <w:b/>
        </w:rPr>
        <w:t>additional costs and risks, in various intensity depending on the condition of the BF and the business real estate</w:t>
      </w:r>
      <w:r w:rsidRPr="00874BFF">
        <w:t xml:space="preserve"> – an increased risk in old premises consists in unplanned additional costs, detection of initially not identified damage (including environmental damage), a barrier can be in the existing property relations, technological constraints, etc.</w:t>
      </w:r>
    </w:p>
    <w:p w14:paraId="39CB91C2" w14:textId="77777777" w:rsidR="006D3AD5" w:rsidRPr="00874BFF" w:rsidRDefault="006D3AD5" w:rsidP="006D3AD5"/>
    <w:p w14:paraId="51A392DF" w14:textId="77777777" w:rsidR="006D3AD5" w:rsidRPr="00874BFF" w:rsidRDefault="006D3AD5" w:rsidP="006D3AD5">
      <w:r w:rsidRPr="00874BFF">
        <w:t>Some BFs are so dilapidated and burdened with damage that they require excessive investments in revitalisation and in terms of costs and revenues they are entirely beyond potential market interest in their renovation. A low demand for BFs can be also caused by factors not related to costs. From the logistic point of view, the land usability is limited by distance and transport services. Industrial zones (BFs) which are located in less accessible regions of the Czech Republic may encounter zero interest in their use – this applies to a high number of currently registered BFs in agriculture and former military premises.</w:t>
      </w:r>
    </w:p>
    <w:p w14:paraId="0B465539" w14:textId="77777777" w:rsidR="006D3AD5" w:rsidRPr="00874BFF" w:rsidRDefault="006D3AD5" w:rsidP="006D3AD5"/>
    <w:p w14:paraId="244027E0" w14:textId="77777777" w:rsidR="006D3AD5" w:rsidRPr="00874BFF" w:rsidRDefault="006D3AD5" w:rsidP="006D3AD5">
      <w:r w:rsidRPr="00874BFF">
        <w:t xml:space="preserve">However, there exist many more easily regenerable localities that can potentially appear in the investment plan of an SME and show a reasonable rate of return. Higher attractiveness of BFs for commercial investments is, however, hindered by the fact that the market offers usually cheaper GFs which will be preferred by entrepreneurs considering purely cost-efficiency criteria. </w:t>
      </w:r>
      <w:r w:rsidRPr="00874BFF">
        <w:rPr>
          <w:b/>
        </w:rPr>
        <w:t xml:space="preserve">In terms of BF regeneration, a market failure cannot thus be evaluated from the point of view of economic return and risks, but also based on comparison of investment opportunities of the company in BF and GF. </w:t>
      </w:r>
      <w:r w:rsidRPr="00874BFF">
        <w:t>This is also why a high share of subsidy support continues to be expected, allowing for regeneration of more costly premises without a purely commercial potential and preferring BFs to GFs.</w:t>
      </w:r>
    </w:p>
    <w:p w14:paraId="4C4690BE" w14:textId="77777777" w:rsidR="006D3AD5" w:rsidRPr="00874BFF" w:rsidRDefault="006D3AD5" w:rsidP="006D3AD5"/>
    <w:p w14:paraId="4A2BB718" w14:textId="77777777" w:rsidR="006D3AD5" w:rsidRPr="00874BFF" w:rsidRDefault="006D3AD5" w:rsidP="006D3AD5">
      <w:r w:rsidRPr="00874BFF">
        <w:rPr>
          <w:b/>
        </w:rPr>
        <w:t xml:space="preserve">If commercial projects of brownfields regeneration invest in the existing real estates, they are often rather small localities inside or in the vicinity of the existing manufacturing premises, sometimes </w:t>
      </w:r>
      <w:r w:rsidRPr="00874BFF">
        <w:rPr>
          <w:b/>
        </w:rPr>
        <w:lastRenderedPageBreak/>
        <w:t>also partially utilised.</w:t>
      </w:r>
      <w:r w:rsidRPr="00874BFF">
        <w:t xml:space="preserve"> Their implementation depends on specific conditions and requirements (exceptions exists in strategically significant, vast-area projects the implementation of which is, however, always rather unique and unrepeatable to a large extent). Nevertheless, even in these localities </w:t>
      </w:r>
      <w:r w:rsidRPr="00874BFF">
        <w:rPr>
          <w:b/>
        </w:rPr>
        <w:t>the problem still can consist in comparison of costs and the above-mentioned risks that also constrain the company's credibility and creditworthiness for banks – which is a problem specific to SMEs.</w:t>
      </w:r>
    </w:p>
    <w:p w14:paraId="0A1BE70B" w14:textId="77777777" w:rsidR="006D3AD5" w:rsidRPr="00874BFF" w:rsidRDefault="006D3AD5" w:rsidP="006D3AD5"/>
    <w:p w14:paraId="6B7B43DF" w14:textId="77777777" w:rsidR="006D3AD5" w:rsidRPr="00874BFF" w:rsidRDefault="006D3AD5" w:rsidP="006D3AD5">
      <w:r w:rsidRPr="00874BFF">
        <w:rPr>
          <w:b/>
        </w:rPr>
        <w:t>Among the commercially regenerated BFs the projects identified as extremely difficult were particularly projects at the end of which new business zones of a considerable size (i.e. over 10 hectares) should be built.</w:t>
      </w:r>
      <w:r w:rsidRPr="00874BFF">
        <w:t xml:space="preserve"> If the project investor is at the same time the user of the premises, i.e. usually a small or medium sized company, he is expected to lack interest in investing in such premises the size or composition of which do not correspond to his current needs. On the other hand, BF premises are outside a great interest of traditional developers who operate in the business real estate market, especially in GFs. This situation may result in "mothballing" or petty improvement of obsolete buildings which are undoubtedly unsatisfactory for companies that want to generate a high added value. Partial revitalization of only marginal and easily accessible areas of large BFs may mothball the rest of the area.</w:t>
      </w:r>
    </w:p>
    <w:p w14:paraId="72E7A8A9" w14:textId="77777777" w:rsidR="006D3AD5" w:rsidRPr="00874BFF" w:rsidDel="00BC15AE" w:rsidRDefault="006D3AD5" w:rsidP="006D3AD5"/>
    <w:p w14:paraId="3C3E55E7" w14:textId="77777777" w:rsidR="006D3AD5" w:rsidRPr="00874BFF" w:rsidRDefault="006D3AD5" w:rsidP="006D3AD5">
      <w:pPr>
        <w:pStyle w:val="Nadpis4"/>
        <w:rPr>
          <w:rFonts w:ascii="Calibri" w:hAnsi="Calibri"/>
        </w:rPr>
      </w:pPr>
      <w:bookmarkStart w:id="837" w:name="_Toc416383832"/>
      <w:bookmarkStart w:id="838" w:name="_Toc416447821"/>
      <w:bookmarkStart w:id="839" w:name="_Toc416383833"/>
      <w:bookmarkStart w:id="840" w:name="_Toc416447822"/>
      <w:bookmarkStart w:id="841" w:name="_Toc416383834"/>
      <w:bookmarkStart w:id="842" w:name="_Toc416447823"/>
      <w:bookmarkStart w:id="843" w:name="_Toc416383835"/>
      <w:bookmarkStart w:id="844" w:name="_Toc416447824"/>
      <w:bookmarkStart w:id="845" w:name="_Toc416383836"/>
      <w:bookmarkStart w:id="846" w:name="_Toc416447825"/>
      <w:bookmarkStart w:id="847" w:name="_Toc416383837"/>
      <w:bookmarkStart w:id="848" w:name="_Toc416447826"/>
      <w:bookmarkStart w:id="849" w:name="_Toc416383838"/>
      <w:bookmarkStart w:id="850" w:name="_Toc416447827"/>
      <w:bookmarkStart w:id="851" w:name="_Toc416383839"/>
      <w:bookmarkStart w:id="852" w:name="_Toc416447828"/>
      <w:bookmarkStart w:id="853" w:name="_Toc416383840"/>
      <w:bookmarkStart w:id="854" w:name="_Toc416447829"/>
      <w:bookmarkStart w:id="855" w:name="_Toc416383841"/>
      <w:bookmarkStart w:id="856" w:name="_Toc416447830"/>
      <w:bookmarkStart w:id="857" w:name="_Toc416800447"/>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874BFF">
        <w:rPr>
          <w:rFonts w:ascii="Calibri" w:hAnsi="Calibri"/>
        </w:rPr>
        <w:t>Proposal of solutions for the identified market failures</w:t>
      </w:r>
    </w:p>
    <w:p w14:paraId="3E725828" w14:textId="77777777" w:rsidR="006D3AD5" w:rsidRPr="00874BFF" w:rsidRDefault="006D3AD5" w:rsidP="006D3AD5"/>
    <w:bookmarkEnd w:id="857"/>
    <w:p w14:paraId="43ACDD2F" w14:textId="77777777" w:rsidR="006D3AD5" w:rsidRPr="00874BFF" w:rsidRDefault="006D3AD5" w:rsidP="006D3AD5">
      <w:pPr>
        <w:rPr>
          <w:shd w:val="clear" w:color="auto" w:fill="FFFFFF"/>
        </w:rPr>
      </w:pPr>
      <w:r w:rsidRPr="00874BFF">
        <w:t>Allocation of the major programme Real Estates for the new programming period has been reduced from CZK 10 bn to CZK 3.82 bn, which is a relatively sensitive decrease in terms of the estimated absorption capacity. These constraints of public resources clearly show that the instruments of support have to be primarily focused on areas with a considerable market failure, however, room must be left for developing an instrument with the revolving effect which would supplement available resources.</w:t>
      </w:r>
    </w:p>
    <w:p w14:paraId="59AE2811" w14:textId="77777777" w:rsidR="006D3AD5" w:rsidRPr="00874BFF" w:rsidRDefault="006D3AD5" w:rsidP="006D3AD5">
      <w:pPr>
        <w:rPr>
          <w:shd w:val="clear" w:color="auto" w:fill="FFFFFF"/>
        </w:rPr>
      </w:pPr>
    </w:p>
    <w:p w14:paraId="094405C5" w14:textId="77777777" w:rsidR="006D3AD5" w:rsidRPr="00874BFF" w:rsidRDefault="006D3AD5" w:rsidP="006D3AD5">
      <w:pPr>
        <w:rPr>
          <w:b/>
        </w:rPr>
      </w:pPr>
      <w:r w:rsidRPr="00874BFF">
        <w:rPr>
          <w:b/>
          <w:shd w:val="clear" w:color="auto" w:fill="FFFFFF"/>
        </w:rPr>
        <w:t>B</w:t>
      </w:r>
      <w:r w:rsidRPr="00874BFF">
        <w:rPr>
          <w:b/>
        </w:rPr>
        <w:t xml:space="preserve">ased on the analysis of projects from the Real Estate programme we believe that not all the projects that had been subsidised in the past are </w:t>
      </w:r>
      <w:r w:rsidRPr="00874BFF">
        <w:tab/>
      </w:r>
      <w:r w:rsidRPr="00874BFF">
        <w:rPr>
          <w:b/>
        </w:rPr>
        <w:t xml:space="preserve">meaningful to be further supported in this way. </w:t>
      </w:r>
      <w:r w:rsidRPr="00874BFF">
        <w:t xml:space="preserve">We strongly recommend subsidies to be channelled only to revitalisation of real BFs with a significant cost gap. </w:t>
      </w:r>
      <w:r w:rsidRPr="00874BFF">
        <w:rPr>
          <w:b/>
        </w:rPr>
        <w:t>For this purpose, criteria and selection of projects need to be made more accurate.</w:t>
      </w:r>
    </w:p>
    <w:p w14:paraId="119E1822" w14:textId="77777777" w:rsidR="006D3AD5" w:rsidRPr="00874BFF" w:rsidRDefault="006D3AD5" w:rsidP="006D3AD5"/>
    <w:p w14:paraId="7910815A" w14:textId="77777777" w:rsidR="006D3AD5" w:rsidRPr="00874BFF" w:rsidRDefault="006D3AD5" w:rsidP="006D3AD5">
      <w:r w:rsidRPr="00874BFF">
        <w:t xml:space="preserve">Based on this evaluation, </w:t>
      </w:r>
      <w:r w:rsidRPr="00874BFF">
        <w:rPr>
          <w:b/>
        </w:rPr>
        <w:t>application of soft loans</w:t>
      </w:r>
      <w:r w:rsidRPr="00874BFF">
        <w:t xml:space="preserve"> can be considered for </w:t>
      </w:r>
      <w:r w:rsidRPr="00874BFF">
        <w:rPr>
          <w:b/>
        </w:rPr>
        <w:t>projects of reconstruction of business premises</w:t>
      </w:r>
      <w:r w:rsidRPr="00874BFF">
        <w:t xml:space="preserve"> which have been partially utilised so far and do not show a high degree of dilapidation and necessity of comprehensive revitalisation.  Nevertheless, this instrument can, only to a limited extent, influence the area with primary market failure under SO 2.3 and therefore the value added effect will be limited. </w:t>
      </w:r>
      <w:r w:rsidRPr="00874BFF">
        <w:rPr>
          <w:b/>
        </w:rPr>
        <w:t>Soft loans can be used even by municipalities that want to invest in BF revitalisation in order to prepare business zones for SMEs.</w:t>
      </w:r>
      <w:r w:rsidRPr="00874BFF">
        <w:t xml:space="preserve"> In this respect, nevertheless, a soft loan even with supporting contributions for the interest rate and preparation of the project need not be sufficiently advantageous to enable implementation of these projects and a highly limited absorption capacity can be expected. Municipalities will primarily apply for support of BFs from other operational programmes.</w:t>
      </w:r>
    </w:p>
    <w:p w14:paraId="093F51F5" w14:textId="77777777" w:rsidR="006D3AD5" w:rsidRPr="00874BFF" w:rsidRDefault="006D3AD5" w:rsidP="006D3AD5"/>
    <w:p w14:paraId="5D37EC02" w14:textId="77777777" w:rsidR="006D3AD5" w:rsidRPr="00874BFF" w:rsidRDefault="006D3AD5" w:rsidP="006D3AD5">
      <w:r w:rsidRPr="00874BFF">
        <w:t>Specific type of sub-optimal investment situation can be seen in large BF areas which may become suitable localities for SMEs' business activities and are not revitalised despite a relative market potential. The intersection of efforts to revitalise abandoned or underutilised BFs and to increase the supply of business real estates of good quality for SMEs can be a specifically created instrument the strategy of which will be to combine both these aspects.</w:t>
      </w:r>
      <w:r w:rsidRPr="00874BFF">
        <w:rPr>
          <w:b/>
        </w:rPr>
        <w:t xml:space="preserve"> </w:t>
      </w:r>
      <w:r w:rsidRPr="00874BFF">
        <w:t xml:space="preserve">This instrument could be joined by public owners of BFs (municipalities), but also by private ones from which the instrument would buy the land. </w:t>
      </w:r>
      <w:r w:rsidRPr="00874BFF">
        <w:rPr>
          <w:b/>
        </w:rPr>
        <w:t xml:space="preserve">The FI would take the form of a special-purpose entity that will have financial resources of the OP EIC available and will invest in BF regeneration projects and preparation of business zones of high </w:t>
      </w:r>
      <w:r w:rsidRPr="00874BFF">
        <w:rPr>
          <w:b/>
        </w:rPr>
        <w:lastRenderedPageBreak/>
        <w:t xml:space="preserve">quality for SMEs in order to secure financial return. </w:t>
      </w:r>
      <w:r w:rsidRPr="00874BFF">
        <w:t>It will thus bridge the gap between an owner of the BF who lacks funds and know-how to revitalise it and SMEs interested in business real estates.</w:t>
      </w:r>
    </w:p>
    <w:p w14:paraId="4565F7EC" w14:textId="77777777" w:rsidR="006D3AD5" w:rsidRPr="00874BFF" w:rsidRDefault="006D3AD5" w:rsidP="006D3AD5"/>
    <w:p w14:paraId="73E4E17D" w14:textId="77777777" w:rsidR="006D3AD5" w:rsidRPr="00874BFF" w:rsidRDefault="006D3AD5" w:rsidP="006D3AD5">
      <w:pPr>
        <w:pStyle w:val="Nadpis3"/>
        <w:rPr>
          <w:rFonts w:ascii="Calibri" w:hAnsi="Calibri"/>
        </w:rPr>
      </w:pPr>
      <w:bookmarkStart w:id="858" w:name="_Toc416800448"/>
      <w:bookmarkStart w:id="859" w:name="_Toc422312115"/>
      <w:r w:rsidRPr="00874BFF">
        <w:rPr>
          <w:rFonts w:ascii="Calibri" w:hAnsi="Calibri"/>
        </w:rPr>
        <w:t>Assessment of added value of financial instruments</w:t>
      </w:r>
      <w:bookmarkEnd w:id="858"/>
      <w:bookmarkEnd w:id="859"/>
    </w:p>
    <w:p w14:paraId="2EAB6090" w14:textId="77777777" w:rsidR="006D3AD5" w:rsidRPr="00874BFF" w:rsidRDefault="006D3AD5" w:rsidP="006D3AD5">
      <w:pPr>
        <w:pStyle w:val="Nadpis4"/>
        <w:rPr>
          <w:rFonts w:ascii="Calibri" w:hAnsi="Calibri"/>
        </w:rPr>
      </w:pPr>
      <w:r w:rsidRPr="00874BFF">
        <w:rPr>
          <w:rFonts w:ascii="Calibri" w:hAnsi="Calibri"/>
        </w:rPr>
        <w:t>Introduction of model projects</w:t>
      </w:r>
    </w:p>
    <w:p w14:paraId="7FA43A5E" w14:textId="77777777" w:rsidR="006D3AD5" w:rsidRPr="00874BFF" w:rsidRDefault="006D3AD5" w:rsidP="006D3AD5">
      <w:r w:rsidRPr="00874BFF">
        <w:t>A typical project for SO 2.3 can take several forms.</w:t>
      </w:r>
    </w:p>
    <w:p w14:paraId="5A6021FB" w14:textId="77777777" w:rsidR="006D3AD5" w:rsidRPr="00874BFF" w:rsidRDefault="006D3AD5" w:rsidP="006D3AD5"/>
    <w:p w14:paraId="35048183" w14:textId="77777777" w:rsidR="006D3AD5" w:rsidRPr="00874BFF" w:rsidRDefault="006D3AD5" w:rsidP="006D3AD5">
      <w:pPr>
        <w:rPr>
          <w:b/>
        </w:rPr>
      </w:pPr>
      <w:r w:rsidRPr="00874BFF">
        <w:rPr>
          <w:b/>
        </w:rPr>
        <w:t>Model project 1:</w:t>
      </w:r>
    </w:p>
    <w:p w14:paraId="08E94494" w14:textId="77777777" w:rsidR="006D3AD5" w:rsidRPr="00874BFF" w:rsidRDefault="006D3AD5" w:rsidP="006D3AD5">
      <w:r w:rsidRPr="00874BFF">
        <w:t>The project was a BF revitalization at the expense of a medium sized enterprise focusing on production of motor vehicles and their engines. The company's plan was to build a modern manufacturing facility on a former military plot of land, where dilapidated buildings are situated. The project consists in removal of the existing buildings, land and infrastructure modification and construction of a new building. The total investment amounts to CZK 177 million. The area is 13,000 m</w:t>
      </w:r>
      <w:r w:rsidRPr="00874BFF">
        <w:rPr>
          <w:vertAlign w:val="superscript"/>
        </w:rPr>
        <w:t>2</w:t>
      </w:r>
      <w:r w:rsidRPr="00874BFF">
        <w:t>. The total eligible costs equal to the investment sum of which CZK 18 million is planned for reconstruction and construction of underground services and preparation of land for construction. The project thus includes complete revitalisation of the BF and construction of a new manufacturing premises in the location of the old, dilapidated military locality. With regard to the objective, it is a typical project that can be further supported primarily from SO 2.3, namely by means of the revitalisation subsidy (removal of buildings, preparation of land for construction, underground services) and a potential soft loan for construction.</w:t>
      </w:r>
    </w:p>
    <w:p w14:paraId="77F887E7" w14:textId="77777777" w:rsidR="006D3AD5" w:rsidRPr="00874BFF" w:rsidRDefault="006D3AD5" w:rsidP="006D3AD5"/>
    <w:p w14:paraId="14829438" w14:textId="77777777" w:rsidR="006D3AD5" w:rsidRPr="00874BFF" w:rsidRDefault="006D3AD5" w:rsidP="006D3AD5">
      <w:pPr>
        <w:rPr>
          <w:b/>
        </w:rPr>
      </w:pPr>
      <w:r w:rsidRPr="00874BFF">
        <w:rPr>
          <w:b/>
        </w:rPr>
        <w:t>Model project 2:</w:t>
      </w:r>
    </w:p>
    <w:p w14:paraId="707CE003" w14:textId="77777777" w:rsidR="006D3AD5" w:rsidRPr="00874BFF" w:rsidRDefault="006D3AD5" w:rsidP="006D3AD5">
      <w:r w:rsidRPr="00874BFF">
        <w:t>Reconstruction of a building of an SME (two-storey building) for convenient manufacturing space for the purpose of extending manufacturing space and widening of storage area. The costs of land is CZK 2 million, purchase of the building CZK 4.3 million and reconstruction CZK 2.2 million. In the past the project was supported by a soft loan by the CMZR Bank and represents thus a possible alternative for support of a real estate by soft loans. However, within the BF regeneration under SO 2.3, it is minimalistic in terms of its extent and costs.</w:t>
      </w:r>
    </w:p>
    <w:p w14:paraId="01AAD1B9" w14:textId="77777777" w:rsidR="006D3AD5" w:rsidRPr="00874BFF" w:rsidRDefault="006D3AD5" w:rsidP="006D3AD5"/>
    <w:tbl>
      <w:tblPr>
        <w:tblW w:w="8794" w:type="dxa"/>
        <w:tblInd w:w="55" w:type="dxa"/>
        <w:tblCellMar>
          <w:left w:w="0" w:type="dxa"/>
          <w:right w:w="0" w:type="dxa"/>
        </w:tblCellMar>
        <w:tblLook w:val="04A0" w:firstRow="1" w:lastRow="0" w:firstColumn="1" w:lastColumn="0" w:noHBand="0" w:noVBand="1"/>
      </w:tblPr>
      <w:tblGrid>
        <w:gridCol w:w="2372"/>
        <w:gridCol w:w="1546"/>
        <w:gridCol w:w="1538"/>
        <w:gridCol w:w="1708"/>
        <w:gridCol w:w="1686"/>
      </w:tblGrid>
      <w:tr w:rsidR="006D3AD5" w:rsidRPr="00874BFF" w14:paraId="17C28B64" w14:textId="77777777" w:rsidTr="00443B8F">
        <w:trPr>
          <w:trHeight w:val="20"/>
        </w:trPr>
        <w:tc>
          <w:tcPr>
            <w:tcW w:w="2356" w:type="dxa"/>
            <w:tcBorders>
              <w:top w:val="single" w:sz="4" w:space="0" w:color="002776"/>
              <w:left w:val="single" w:sz="4" w:space="0" w:color="002776"/>
              <w:bottom w:val="nil"/>
              <w:right w:val="nil"/>
            </w:tcBorders>
            <w:shd w:val="clear" w:color="000000" w:fill="002776"/>
            <w:noWrap/>
            <w:vAlign w:val="center"/>
            <w:hideMark/>
          </w:tcPr>
          <w:p w14:paraId="113C58C9" w14:textId="3403FEA7" w:rsidR="006D3AD5" w:rsidRPr="00874BFF" w:rsidRDefault="006D3AD5" w:rsidP="00443B8F">
            <w:pPr>
              <w:jc w:val="center"/>
              <w:rPr>
                <w:b/>
                <w:bCs/>
                <w:color w:val="FFFFFF"/>
                <w:sz w:val="18"/>
                <w:szCs w:val="18"/>
              </w:rPr>
            </w:pPr>
          </w:p>
        </w:tc>
        <w:tc>
          <w:tcPr>
            <w:tcW w:w="1530" w:type="dxa"/>
            <w:tcBorders>
              <w:top w:val="single" w:sz="4" w:space="0" w:color="002776"/>
              <w:left w:val="nil"/>
              <w:bottom w:val="nil"/>
              <w:right w:val="nil"/>
            </w:tcBorders>
            <w:shd w:val="clear" w:color="000000" w:fill="002776"/>
            <w:noWrap/>
            <w:vAlign w:val="bottom"/>
            <w:hideMark/>
          </w:tcPr>
          <w:p w14:paraId="5326E1CD" w14:textId="77777777" w:rsidR="006D3AD5" w:rsidRPr="00874BFF" w:rsidRDefault="006D3AD5" w:rsidP="00443B8F">
            <w:pPr>
              <w:jc w:val="left"/>
              <w:rPr>
                <w:b/>
                <w:bCs/>
                <w:color w:val="FFFFFF"/>
                <w:sz w:val="18"/>
                <w:szCs w:val="18"/>
              </w:rPr>
            </w:pPr>
            <w:r w:rsidRPr="00874BFF">
              <w:rPr>
                <w:b/>
                <w:color w:val="FFFFFF"/>
                <w:sz w:val="18"/>
              </w:rPr>
              <w:t> </w:t>
            </w:r>
          </w:p>
        </w:tc>
        <w:tc>
          <w:tcPr>
            <w:tcW w:w="4908" w:type="dxa"/>
            <w:gridSpan w:val="3"/>
            <w:tcBorders>
              <w:top w:val="single" w:sz="4" w:space="0" w:color="002776"/>
              <w:left w:val="nil"/>
              <w:bottom w:val="nil"/>
              <w:right w:val="single" w:sz="4" w:space="0" w:color="002776"/>
            </w:tcBorders>
            <w:shd w:val="clear" w:color="000000" w:fill="002776"/>
            <w:noWrap/>
            <w:vAlign w:val="bottom"/>
            <w:hideMark/>
          </w:tcPr>
          <w:p w14:paraId="15B14A98" w14:textId="77777777" w:rsidR="006D3AD5" w:rsidRPr="00874BFF" w:rsidRDefault="006D3AD5" w:rsidP="00443B8F">
            <w:pPr>
              <w:jc w:val="left"/>
              <w:rPr>
                <w:b/>
                <w:bCs/>
                <w:color w:val="FFFFFF"/>
                <w:sz w:val="18"/>
                <w:szCs w:val="18"/>
              </w:rPr>
            </w:pPr>
            <w:r w:rsidRPr="00874BFF">
              <w:rPr>
                <w:b/>
                <w:color w:val="FFFFFF"/>
                <w:sz w:val="18"/>
              </w:rPr>
              <w:t> </w:t>
            </w:r>
          </w:p>
          <w:p w14:paraId="4D8769E2" w14:textId="77777777" w:rsidR="006D3AD5" w:rsidRPr="00874BFF" w:rsidRDefault="006D3AD5" w:rsidP="00443B8F">
            <w:pPr>
              <w:jc w:val="right"/>
              <w:rPr>
                <w:b/>
                <w:bCs/>
                <w:i/>
                <w:iCs/>
                <w:color w:val="FFFFFF"/>
                <w:sz w:val="18"/>
                <w:szCs w:val="18"/>
              </w:rPr>
            </w:pPr>
            <w:r w:rsidRPr="00874BFF">
              <w:rPr>
                <w:b/>
                <w:i/>
                <w:color w:val="FFFFFF"/>
                <w:sz w:val="18"/>
              </w:rPr>
              <w:t>Investment: CZK 8,500,000</w:t>
            </w:r>
            <w:r w:rsidRPr="00874BFF">
              <w:rPr>
                <w:b/>
                <w:bCs/>
                <w:i/>
                <w:iCs/>
                <w:color w:val="FFFFFF"/>
                <w:sz w:val="18"/>
                <w:szCs w:val="18"/>
              </w:rPr>
              <w:br/>
            </w:r>
            <w:r w:rsidRPr="00874BFF">
              <w:rPr>
                <w:b/>
                <w:i/>
                <w:color w:val="FFFFFF"/>
                <w:sz w:val="18"/>
              </w:rPr>
              <w:t>Annual operating yield/saving: CZK  850,000</w:t>
            </w:r>
            <w:r w:rsidRPr="00874BFF">
              <w:rPr>
                <w:b/>
                <w:bCs/>
                <w:i/>
                <w:iCs/>
                <w:color w:val="FFFFFF"/>
                <w:sz w:val="18"/>
                <w:szCs w:val="18"/>
              </w:rPr>
              <w:br/>
            </w:r>
            <w:r w:rsidRPr="00874BFF">
              <w:rPr>
                <w:b/>
                <w:i/>
                <w:color w:val="FFFFFF"/>
                <w:sz w:val="18"/>
              </w:rPr>
              <w:t xml:space="preserve">Commercial loan – interest rate: 4.0 % </w:t>
            </w:r>
          </w:p>
          <w:p w14:paraId="5EF5D393" w14:textId="77777777" w:rsidR="006D3AD5" w:rsidRPr="00874BFF" w:rsidRDefault="006D3AD5" w:rsidP="00443B8F">
            <w:pPr>
              <w:jc w:val="right"/>
              <w:rPr>
                <w:b/>
                <w:bCs/>
                <w:i/>
                <w:iCs/>
                <w:color w:val="FFFFFF"/>
                <w:sz w:val="18"/>
                <w:szCs w:val="18"/>
              </w:rPr>
            </w:pPr>
            <w:r w:rsidRPr="00874BFF">
              <w:rPr>
                <w:b/>
                <w:i/>
                <w:color w:val="FFFFFF"/>
                <w:sz w:val="18"/>
              </w:rPr>
              <w:t>Soft loan: interest rate</w:t>
            </w:r>
            <w:r w:rsidRPr="00874BFF">
              <w:rPr>
                <w:rStyle w:val="Znakapoznpodarou"/>
                <w:b/>
                <w:i/>
                <w:color w:val="FFFFFF"/>
              </w:rPr>
              <w:footnoteReference w:id="30"/>
            </w:r>
            <w:r w:rsidRPr="00874BFF">
              <w:rPr>
                <w:b/>
                <w:i/>
                <w:color w:val="FFFFFF"/>
                <w:sz w:val="18"/>
              </w:rPr>
              <w:t xml:space="preserve">: 2.0 %  </w:t>
            </w:r>
          </w:p>
        </w:tc>
      </w:tr>
      <w:tr w:rsidR="006D3AD5" w:rsidRPr="00874BFF" w14:paraId="6E223CC9" w14:textId="77777777" w:rsidTr="00443B8F">
        <w:trPr>
          <w:trHeight w:val="20"/>
        </w:trPr>
        <w:tc>
          <w:tcPr>
            <w:tcW w:w="2356" w:type="dxa"/>
            <w:tcBorders>
              <w:top w:val="nil"/>
              <w:left w:val="single" w:sz="4" w:space="0" w:color="002776"/>
              <w:bottom w:val="single" w:sz="4" w:space="0" w:color="002776"/>
              <w:right w:val="nil"/>
            </w:tcBorders>
            <w:shd w:val="clear" w:color="000000" w:fill="002776"/>
            <w:noWrap/>
            <w:vAlign w:val="center"/>
            <w:hideMark/>
          </w:tcPr>
          <w:p w14:paraId="1D6A3EC4" w14:textId="77777777" w:rsidR="006D3AD5" w:rsidRPr="00874BFF" w:rsidRDefault="006D3AD5" w:rsidP="00443B8F">
            <w:pPr>
              <w:jc w:val="left"/>
              <w:rPr>
                <w:b/>
                <w:bCs/>
                <w:color w:val="FFFFFF"/>
                <w:sz w:val="18"/>
                <w:szCs w:val="18"/>
              </w:rPr>
            </w:pPr>
            <w:r w:rsidRPr="00874BFF">
              <w:rPr>
                <w:b/>
                <w:color w:val="FFFFFF"/>
                <w:sz w:val="18"/>
              </w:rPr>
              <w:t> </w:t>
            </w:r>
          </w:p>
        </w:tc>
        <w:tc>
          <w:tcPr>
            <w:tcW w:w="1530" w:type="dxa"/>
            <w:tcBorders>
              <w:top w:val="single" w:sz="4" w:space="0" w:color="FFFFFF"/>
              <w:left w:val="nil"/>
              <w:bottom w:val="single" w:sz="4" w:space="0" w:color="002776"/>
              <w:right w:val="nil"/>
            </w:tcBorders>
            <w:shd w:val="clear" w:color="000000" w:fill="002776"/>
            <w:noWrap/>
            <w:vAlign w:val="center"/>
            <w:hideMark/>
          </w:tcPr>
          <w:p w14:paraId="0FF6AAF7" w14:textId="77777777" w:rsidR="006D3AD5" w:rsidRPr="00874BFF" w:rsidRDefault="006D3AD5" w:rsidP="00443B8F">
            <w:pPr>
              <w:jc w:val="center"/>
              <w:rPr>
                <w:b/>
                <w:bCs/>
                <w:color w:val="FFFFFF"/>
                <w:sz w:val="18"/>
                <w:szCs w:val="18"/>
              </w:rPr>
            </w:pPr>
            <w:r w:rsidRPr="00874BFF">
              <w:rPr>
                <w:b/>
                <w:color w:val="FFFFFF"/>
                <w:sz w:val="18"/>
              </w:rPr>
              <w:t>100% market loan</w:t>
            </w:r>
          </w:p>
        </w:tc>
        <w:tc>
          <w:tcPr>
            <w:tcW w:w="1530" w:type="dxa"/>
            <w:tcBorders>
              <w:top w:val="single" w:sz="4" w:space="0" w:color="FFFFFF"/>
              <w:left w:val="nil"/>
              <w:bottom w:val="single" w:sz="4" w:space="0" w:color="002776"/>
              <w:right w:val="nil"/>
            </w:tcBorders>
            <w:shd w:val="clear" w:color="000000" w:fill="002776"/>
            <w:vAlign w:val="center"/>
            <w:hideMark/>
          </w:tcPr>
          <w:p w14:paraId="05097D55" w14:textId="77777777" w:rsidR="006D3AD5" w:rsidRPr="00874BFF" w:rsidRDefault="006D3AD5" w:rsidP="00443B8F">
            <w:pPr>
              <w:jc w:val="center"/>
              <w:rPr>
                <w:b/>
                <w:bCs/>
                <w:color w:val="FFFFFF"/>
                <w:sz w:val="18"/>
                <w:szCs w:val="18"/>
              </w:rPr>
            </w:pPr>
            <w:r w:rsidRPr="00874BFF">
              <w:rPr>
                <w:b/>
                <w:color w:val="FFFFFF"/>
                <w:sz w:val="18"/>
              </w:rPr>
              <w:t>50 % market loan, 50 % subsidy</w:t>
            </w:r>
          </w:p>
        </w:tc>
        <w:tc>
          <w:tcPr>
            <w:tcW w:w="1700" w:type="dxa"/>
            <w:tcBorders>
              <w:top w:val="single" w:sz="4" w:space="0" w:color="FFFFFF"/>
              <w:left w:val="nil"/>
              <w:bottom w:val="single" w:sz="4" w:space="0" w:color="002776"/>
              <w:right w:val="nil"/>
            </w:tcBorders>
            <w:shd w:val="clear" w:color="000000" w:fill="002776"/>
            <w:vAlign w:val="center"/>
            <w:hideMark/>
          </w:tcPr>
          <w:p w14:paraId="5819D0D0" w14:textId="77777777" w:rsidR="006D3AD5" w:rsidRPr="00874BFF" w:rsidRDefault="006D3AD5" w:rsidP="00443B8F">
            <w:pPr>
              <w:jc w:val="center"/>
              <w:rPr>
                <w:b/>
                <w:bCs/>
                <w:color w:val="FFFFFF"/>
                <w:sz w:val="18"/>
                <w:szCs w:val="18"/>
              </w:rPr>
            </w:pPr>
            <w:r w:rsidRPr="00874BFF">
              <w:rPr>
                <w:b/>
                <w:color w:val="FFFFFF"/>
                <w:sz w:val="18"/>
              </w:rPr>
              <w:t>20 % subsidy, 80 % soft loan</w:t>
            </w:r>
          </w:p>
        </w:tc>
        <w:tc>
          <w:tcPr>
            <w:tcW w:w="1678" w:type="dxa"/>
            <w:tcBorders>
              <w:top w:val="single" w:sz="4" w:space="0" w:color="FFFFFF"/>
              <w:left w:val="nil"/>
              <w:bottom w:val="single" w:sz="4" w:space="0" w:color="002776"/>
              <w:right w:val="single" w:sz="4" w:space="0" w:color="002776"/>
            </w:tcBorders>
            <w:shd w:val="clear" w:color="000000" w:fill="002776"/>
            <w:vAlign w:val="center"/>
            <w:hideMark/>
          </w:tcPr>
          <w:p w14:paraId="716C9879" w14:textId="77777777" w:rsidR="006D3AD5" w:rsidRPr="00874BFF" w:rsidRDefault="006D3AD5" w:rsidP="00443B8F">
            <w:pPr>
              <w:jc w:val="center"/>
              <w:rPr>
                <w:b/>
                <w:bCs/>
                <w:color w:val="FFFFFF"/>
                <w:sz w:val="18"/>
                <w:szCs w:val="18"/>
              </w:rPr>
            </w:pPr>
            <w:r w:rsidRPr="00874BFF">
              <w:rPr>
                <w:b/>
                <w:color w:val="FFFFFF"/>
                <w:sz w:val="18"/>
              </w:rPr>
              <w:t>100 % soft loan</w:t>
            </w:r>
          </w:p>
        </w:tc>
      </w:tr>
      <w:tr w:rsidR="006D3AD5" w:rsidRPr="00874BFF" w14:paraId="30FFE3DA" w14:textId="77777777" w:rsidTr="00443B8F">
        <w:trPr>
          <w:trHeight w:val="20"/>
        </w:trPr>
        <w:tc>
          <w:tcPr>
            <w:tcW w:w="2356" w:type="dxa"/>
            <w:tcBorders>
              <w:top w:val="nil"/>
              <w:left w:val="single" w:sz="4" w:space="0" w:color="002776"/>
              <w:bottom w:val="single" w:sz="4" w:space="0" w:color="002776"/>
              <w:right w:val="nil"/>
            </w:tcBorders>
            <w:shd w:val="clear" w:color="auto" w:fill="auto"/>
            <w:noWrap/>
            <w:vAlign w:val="center"/>
            <w:hideMark/>
          </w:tcPr>
          <w:p w14:paraId="3282DB57" w14:textId="77777777" w:rsidR="006D3AD5" w:rsidRPr="00874BFF" w:rsidRDefault="006D3AD5" w:rsidP="00443B8F">
            <w:pPr>
              <w:jc w:val="left"/>
              <w:rPr>
                <w:color w:val="000000"/>
                <w:sz w:val="18"/>
                <w:szCs w:val="18"/>
              </w:rPr>
            </w:pPr>
            <w:r w:rsidRPr="00874BFF">
              <w:rPr>
                <w:color w:val="000000"/>
                <w:sz w:val="18"/>
              </w:rPr>
              <w:t>Internal rate of return (IRR)</w:t>
            </w:r>
          </w:p>
        </w:tc>
        <w:tc>
          <w:tcPr>
            <w:tcW w:w="1530" w:type="dxa"/>
            <w:tcBorders>
              <w:top w:val="nil"/>
              <w:left w:val="nil"/>
              <w:bottom w:val="single" w:sz="4" w:space="0" w:color="002776"/>
              <w:right w:val="nil"/>
            </w:tcBorders>
            <w:shd w:val="clear" w:color="auto" w:fill="auto"/>
            <w:noWrap/>
            <w:vAlign w:val="center"/>
            <w:hideMark/>
          </w:tcPr>
          <w:p w14:paraId="612556DF" w14:textId="77777777" w:rsidR="006D3AD5" w:rsidRPr="00874BFF" w:rsidRDefault="006D3AD5" w:rsidP="00443B8F">
            <w:pPr>
              <w:jc w:val="right"/>
              <w:rPr>
                <w:color w:val="000000"/>
                <w:sz w:val="18"/>
                <w:szCs w:val="18"/>
              </w:rPr>
            </w:pPr>
            <w:r w:rsidRPr="00874BFF">
              <w:rPr>
                <w:sz w:val="18"/>
              </w:rPr>
              <w:t>7.75%</w:t>
            </w:r>
          </w:p>
        </w:tc>
        <w:tc>
          <w:tcPr>
            <w:tcW w:w="1530" w:type="dxa"/>
            <w:tcBorders>
              <w:top w:val="nil"/>
              <w:left w:val="nil"/>
              <w:bottom w:val="single" w:sz="4" w:space="0" w:color="002776"/>
              <w:right w:val="nil"/>
            </w:tcBorders>
            <w:shd w:val="clear" w:color="auto" w:fill="auto"/>
            <w:noWrap/>
            <w:vAlign w:val="center"/>
            <w:hideMark/>
          </w:tcPr>
          <w:p w14:paraId="708280AD" w14:textId="77777777" w:rsidR="006D3AD5" w:rsidRPr="00874BFF" w:rsidRDefault="006D3AD5" w:rsidP="00443B8F">
            <w:pPr>
              <w:jc w:val="right"/>
              <w:rPr>
                <w:color w:val="000000"/>
                <w:sz w:val="18"/>
                <w:szCs w:val="18"/>
              </w:rPr>
            </w:pPr>
            <w:r w:rsidRPr="00874BFF">
              <w:rPr>
                <w:sz w:val="18"/>
              </w:rPr>
              <w:t>19.43%</w:t>
            </w:r>
          </w:p>
        </w:tc>
        <w:tc>
          <w:tcPr>
            <w:tcW w:w="1700" w:type="dxa"/>
            <w:tcBorders>
              <w:top w:val="nil"/>
              <w:left w:val="nil"/>
              <w:bottom w:val="single" w:sz="4" w:space="0" w:color="002776"/>
              <w:right w:val="nil"/>
            </w:tcBorders>
            <w:shd w:val="clear" w:color="auto" w:fill="auto"/>
            <w:noWrap/>
            <w:vAlign w:val="center"/>
            <w:hideMark/>
          </w:tcPr>
          <w:p w14:paraId="598F5A9E" w14:textId="77777777" w:rsidR="006D3AD5" w:rsidRPr="00874BFF" w:rsidRDefault="006D3AD5" w:rsidP="00443B8F">
            <w:pPr>
              <w:jc w:val="right"/>
              <w:rPr>
                <w:color w:val="000000"/>
                <w:sz w:val="18"/>
                <w:szCs w:val="18"/>
              </w:rPr>
            </w:pPr>
            <w:r w:rsidRPr="00874BFF">
              <w:rPr>
                <w:sz w:val="18"/>
              </w:rPr>
              <w:t>10.93%</w:t>
            </w:r>
          </w:p>
        </w:tc>
        <w:tc>
          <w:tcPr>
            <w:tcW w:w="1678" w:type="dxa"/>
            <w:tcBorders>
              <w:top w:val="nil"/>
              <w:left w:val="nil"/>
              <w:bottom w:val="single" w:sz="4" w:space="0" w:color="002776"/>
              <w:right w:val="single" w:sz="4" w:space="0" w:color="002776"/>
            </w:tcBorders>
            <w:shd w:val="clear" w:color="auto" w:fill="auto"/>
            <w:noWrap/>
            <w:vAlign w:val="center"/>
            <w:hideMark/>
          </w:tcPr>
          <w:p w14:paraId="6B943D48" w14:textId="77777777" w:rsidR="006D3AD5" w:rsidRPr="00874BFF" w:rsidRDefault="006D3AD5" w:rsidP="00443B8F">
            <w:pPr>
              <w:jc w:val="right"/>
              <w:rPr>
                <w:color w:val="000000"/>
                <w:sz w:val="18"/>
                <w:szCs w:val="18"/>
              </w:rPr>
            </w:pPr>
            <w:r w:rsidRPr="00874BFF">
              <w:rPr>
                <w:sz w:val="18"/>
              </w:rPr>
              <w:t>7.75%</w:t>
            </w:r>
          </w:p>
        </w:tc>
      </w:tr>
      <w:tr w:rsidR="006D3AD5" w:rsidRPr="00874BFF" w14:paraId="11DA7619" w14:textId="77777777" w:rsidTr="00443B8F">
        <w:trPr>
          <w:trHeight w:val="20"/>
        </w:trPr>
        <w:tc>
          <w:tcPr>
            <w:tcW w:w="2356" w:type="dxa"/>
            <w:tcBorders>
              <w:top w:val="nil"/>
              <w:left w:val="single" w:sz="4" w:space="0" w:color="002776"/>
              <w:bottom w:val="single" w:sz="4" w:space="0" w:color="002776"/>
              <w:right w:val="nil"/>
            </w:tcBorders>
            <w:shd w:val="clear" w:color="auto" w:fill="auto"/>
            <w:noWrap/>
            <w:vAlign w:val="center"/>
            <w:hideMark/>
          </w:tcPr>
          <w:p w14:paraId="63D4DCDD" w14:textId="77777777" w:rsidR="006D3AD5" w:rsidRPr="00874BFF" w:rsidRDefault="006D3AD5" w:rsidP="00443B8F">
            <w:pPr>
              <w:jc w:val="left"/>
              <w:rPr>
                <w:color w:val="000000"/>
                <w:sz w:val="18"/>
                <w:szCs w:val="18"/>
              </w:rPr>
            </w:pPr>
            <w:r w:rsidRPr="00874BFF">
              <w:rPr>
                <w:color w:val="000000"/>
                <w:sz w:val="18"/>
              </w:rPr>
              <w:t>Net present value (NPV in CZK)</w:t>
            </w:r>
          </w:p>
        </w:tc>
        <w:tc>
          <w:tcPr>
            <w:tcW w:w="1530" w:type="dxa"/>
            <w:tcBorders>
              <w:top w:val="nil"/>
              <w:left w:val="nil"/>
              <w:bottom w:val="single" w:sz="4" w:space="0" w:color="002776"/>
              <w:right w:val="nil"/>
            </w:tcBorders>
            <w:shd w:val="clear" w:color="auto" w:fill="auto"/>
            <w:noWrap/>
            <w:vAlign w:val="center"/>
            <w:hideMark/>
          </w:tcPr>
          <w:p w14:paraId="7829ECBD" w14:textId="77777777" w:rsidR="006D3AD5" w:rsidRPr="00874BFF" w:rsidRDefault="006D3AD5" w:rsidP="00443B8F">
            <w:pPr>
              <w:jc w:val="right"/>
              <w:rPr>
                <w:color w:val="000000"/>
                <w:sz w:val="18"/>
                <w:szCs w:val="18"/>
              </w:rPr>
            </w:pPr>
            <w:r w:rsidRPr="00874BFF">
              <w:rPr>
                <w:sz w:val="18"/>
              </w:rPr>
              <w:t>2,934,401</w:t>
            </w:r>
          </w:p>
        </w:tc>
        <w:tc>
          <w:tcPr>
            <w:tcW w:w="1530" w:type="dxa"/>
            <w:tcBorders>
              <w:top w:val="nil"/>
              <w:left w:val="nil"/>
              <w:bottom w:val="single" w:sz="4" w:space="0" w:color="002776"/>
              <w:right w:val="nil"/>
            </w:tcBorders>
            <w:shd w:val="clear" w:color="auto" w:fill="auto"/>
            <w:noWrap/>
            <w:vAlign w:val="center"/>
            <w:hideMark/>
          </w:tcPr>
          <w:p w14:paraId="7B6C026C" w14:textId="77777777" w:rsidR="006D3AD5" w:rsidRPr="00874BFF" w:rsidRDefault="006D3AD5" w:rsidP="00443B8F">
            <w:pPr>
              <w:jc w:val="right"/>
              <w:rPr>
                <w:color w:val="000000"/>
                <w:sz w:val="18"/>
                <w:szCs w:val="18"/>
              </w:rPr>
            </w:pPr>
            <w:r w:rsidRPr="00874BFF">
              <w:rPr>
                <w:sz w:val="18"/>
              </w:rPr>
              <w:t>7,020,940</w:t>
            </w:r>
          </w:p>
        </w:tc>
        <w:tc>
          <w:tcPr>
            <w:tcW w:w="1700" w:type="dxa"/>
            <w:tcBorders>
              <w:top w:val="nil"/>
              <w:left w:val="nil"/>
              <w:bottom w:val="single" w:sz="4" w:space="0" w:color="002776"/>
              <w:right w:val="nil"/>
            </w:tcBorders>
            <w:shd w:val="clear" w:color="auto" w:fill="auto"/>
            <w:noWrap/>
            <w:vAlign w:val="center"/>
            <w:hideMark/>
          </w:tcPr>
          <w:p w14:paraId="79A5DB7F" w14:textId="77777777" w:rsidR="006D3AD5" w:rsidRPr="00874BFF" w:rsidRDefault="006D3AD5" w:rsidP="00443B8F">
            <w:pPr>
              <w:jc w:val="right"/>
              <w:rPr>
                <w:color w:val="000000"/>
                <w:sz w:val="18"/>
                <w:szCs w:val="18"/>
              </w:rPr>
            </w:pPr>
            <w:r w:rsidRPr="00874BFF">
              <w:rPr>
                <w:sz w:val="18"/>
              </w:rPr>
              <w:t>6,959,528</w:t>
            </w:r>
          </w:p>
        </w:tc>
        <w:tc>
          <w:tcPr>
            <w:tcW w:w="1678" w:type="dxa"/>
            <w:tcBorders>
              <w:top w:val="nil"/>
              <w:left w:val="nil"/>
              <w:bottom w:val="single" w:sz="4" w:space="0" w:color="002776"/>
              <w:right w:val="single" w:sz="4" w:space="0" w:color="002776"/>
            </w:tcBorders>
            <w:shd w:val="clear" w:color="auto" w:fill="auto"/>
            <w:noWrap/>
            <w:vAlign w:val="center"/>
            <w:hideMark/>
          </w:tcPr>
          <w:p w14:paraId="6AE2977D" w14:textId="77777777" w:rsidR="006D3AD5" w:rsidRPr="00874BFF" w:rsidRDefault="006D3AD5" w:rsidP="00443B8F">
            <w:pPr>
              <w:jc w:val="right"/>
              <w:rPr>
                <w:color w:val="000000"/>
                <w:sz w:val="18"/>
                <w:szCs w:val="18"/>
              </w:rPr>
            </w:pPr>
            <w:r w:rsidRPr="00874BFF">
              <w:rPr>
                <w:sz w:val="18"/>
              </w:rPr>
              <w:t>5,292,861</w:t>
            </w:r>
          </w:p>
        </w:tc>
      </w:tr>
      <w:tr w:rsidR="006D3AD5" w:rsidRPr="00874BFF" w14:paraId="7F54CD72" w14:textId="77777777" w:rsidTr="00443B8F">
        <w:trPr>
          <w:trHeight w:val="20"/>
        </w:trPr>
        <w:tc>
          <w:tcPr>
            <w:tcW w:w="2356" w:type="dxa"/>
            <w:tcBorders>
              <w:top w:val="nil"/>
              <w:left w:val="single" w:sz="4" w:space="0" w:color="002776"/>
              <w:bottom w:val="single" w:sz="4" w:space="0" w:color="002776"/>
              <w:right w:val="nil"/>
            </w:tcBorders>
            <w:shd w:val="clear" w:color="auto" w:fill="auto"/>
            <w:noWrap/>
            <w:vAlign w:val="center"/>
            <w:hideMark/>
          </w:tcPr>
          <w:p w14:paraId="04F14EEA" w14:textId="77777777" w:rsidR="006D3AD5" w:rsidRPr="00874BFF" w:rsidRDefault="006D3AD5" w:rsidP="00443B8F">
            <w:pPr>
              <w:jc w:val="left"/>
              <w:rPr>
                <w:color w:val="000000"/>
                <w:sz w:val="18"/>
                <w:szCs w:val="18"/>
              </w:rPr>
            </w:pPr>
            <w:r w:rsidRPr="00874BFF">
              <w:rPr>
                <w:color w:val="000000"/>
                <w:sz w:val="18"/>
              </w:rPr>
              <w:t>Simple payback period (years)</w:t>
            </w:r>
          </w:p>
        </w:tc>
        <w:tc>
          <w:tcPr>
            <w:tcW w:w="1530" w:type="dxa"/>
            <w:tcBorders>
              <w:top w:val="nil"/>
              <w:left w:val="nil"/>
              <w:bottom w:val="single" w:sz="4" w:space="0" w:color="002776"/>
              <w:right w:val="nil"/>
            </w:tcBorders>
            <w:shd w:val="clear" w:color="auto" w:fill="auto"/>
            <w:noWrap/>
            <w:vAlign w:val="center"/>
            <w:hideMark/>
          </w:tcPr>
          <w:p w14:paraId="386D1278" w14:textId="77777777" w:rsidR="006D3AD5" w:rsidRPr="00874BFF" w:rsidRDefault="006D3AD5" w:rsidP="00443B8F">
            <w:pPr>
              <w:jc w:val="right"/>
              <w:rPr>
                <w:color w:val="000000"/>
                <w:sz w:val="18"/>
                <w:szCs w:val="18"/>
              </w:rPr>
            </w:pPr>
            <w:r w:rsidRPr="00874BFF">
              <w:rPr>
                <w:sz w:val="18"/>
              </w:rPr>
              <w:t>10.00</w:t>
            </w:r>
          </w:p>
        </w:tc>
        <w:tc>
          <w:tcPr>
            <w:tcW w:w="1530" w:type="dxa"/>
            <w:tcBorders>
              <w:top w:val="nil"/>
              <w:left w:val="nil"/>
              <w:bottom w:val="single" w:sz="4" w:space="0" w:color="002776"/>
              <w:right w:val="nil"/>
            </w:tcBorders>
            <w:shd w:val="clear" w:color="auto" w:fill="auto"/>
            <w:noWrap/>
            <w:vAlign w:val="center"/>
            <w:hideMark/>
          </w:tcPr>
          <w:p w14:paraId="4B6A468E" w14:textId="77777777" w:rsidR="006D3AD5" w:rsidRPr="00874BFF" w:rsidRDefault="006D3AD5" w:rsidP="00443B8F">
            <w:pPr>
              <w:jc w:val="right"/>
              <w:rPr>
                <w:color w:val="000000"/>
                <w:sz w:val="18"/>
                <w:szCs w:val="18"/>
              </w:rPr>
            </w:pPr>
            <w:r w:rsidRPr="00874BFF">
              <w:rPr>
                <w:sz w:val="18"/>
              </w:rPr>
              <w:t>5.00</w:t>
            </w:r>
          </w:p>
        </w:tc>
        <w:tc>
          <w:tcPr>
            <w:tcW w:w="1700" w:type="dxa"/>
            <w:tcBorders>
              <w:top w:val="nil"/>
              <w:left w:val="nil"/>
              <w:bottom w:val="single" w:sz="4" w:space="0" w:color="002776"/>
              <w:right w:val="nil"/>
            </w:tcBorders>
            <w:shd w:val="clear" w:color="auto" w:fill="auto"/>
            <w:noWrap/>
            <w:vAlign w:val="center"/>
            <w:hideMark/>
          </w:tcPr>
          <w:p w14:paraId="4721A1EF" w14:textId="77777777" w:rsidR="006D3AD5" w:rsidRPr="00874BFF" w:rsidRDefault="006D3AD5" w:rsidP="00443B8F">
            <w:pPr>
              <w:jc w:val="right"/>
              <w:rPr>
                <w:color w:val="000000"/>
                <w:sz w:val="18"/>
                <w:szCs w:val="18"/>
              </w:rPr>
            </w:pPr>
            <w:r w:rsidRPr="00874BFF">
              <w:rPr>
                <w:sz w:val="18"/>
              </w:rPr>
              <w:t>8.00</w:t>
            </w:r>
          </w:p>
        </w:tc>
        <w:tc>
          <w:tcPr>
            <w:tcW w:w="1678" w:type="dxa"/>
            <w:tcBorders>
              <w:top w:val="nil"/>
              <w:left w:val="nil"/>
              <w:bottom w:val="single" w:sz="4" w:space="0" w:color="002776"/>
              <w:right w:val="single" w:sz="4" w:space="0" w:color="002776"/>
            </w:tcBorders>
            <w:shd w:val="clear" w:color="auto" w:fill="auto"/>
            <w:noWrap/>
            <w:vAlign w:val="center"/>
            <w:hideMark/>
          </w:tcPr>
          <w:p w14:paraId="704E1A53" w14:textId="77777777" w:rsidR="006D3AD5" w:rsidRPr="00874BFF" w:rsidRDefault="006D3AD5" w:rsidP="00443B8F">
            <w:pPr>
              <w:jc w:val="right"/>
              <w:rPr>
                <w:color w:val="000000"/>
                <w:sz w:val="18"/>
                <w:szCs w:val="18"/>
              </w:rPr>
            </w:pPr>
            <w:r w:rsidRPr="00874BFF">
              <w:rPr>
                <w:sz w:val="18"/>
              </w:rPr>
              <w:t>10.00</w:t>
            </w:r>
          </w:p>
        </w:tc>
      </w:tr>
      <w:tr w:rsidR="006D3AD5" w:rsidRPr="00874BFF" w14:paraId="04E439A8" w14:textId="77777777" w:rsidTr="00443B8F">
        <w:trPr>
          <w:trHeight w:val="20"/>
        </w:trPr>
        <w:tc>
          <w:tcPr>
            <w:tcW w:w="2356" w:type="dxa"/>
            <w:tcBorders>
              <w:top w:val="nil"/>
              <w:left w:val="single" w:sz="4" w:space="0" w:color="002776"/>
              <w:bottom w:val="single" w:sz="4" w:space="0" w:color="002776"/>
              <w:right w:val="nil"/>
            </w:tcBorders>
            <w:shd w:val="clear" w:color="auto" w:fill="auto"/>
            <w:noWrap/>
            <w:vAlign w:val="center"/>
            <w:hideMark/>
          </w:tcPr>
          <w:p w14:paraId="735A92CF" w14:textId="77777777" w:rsidR="006D3AD5" w:rsidRPr="00874BFF" w:rsidRDefault="006D3AD5" w:rsidP="00443B8F">
            <w:pPr>
              <w:jc w:val="left"/>
              <w:rPr>
                <w:color w:val="000000"/>
                <w:sz w:val="18"/>
                <w:szCs w:val="18"/>
              </w:rPr>
            </w:pPr>
            <w:r w:rsidRPr="00874BFF">
              <w:rPr>
                <w:color w:val="000000"/>
                <w:sz w:val="18"/>
              </w:rPr>
              <w:t>Discounted payback period (years)</w:t>
            </w:r>
          </w:p>
        </w:tc>
        <w:tc>
          <w:tcPr>
            <w:tcW w:w="1530" w:type="dxa"/>
            <w:tcBorders>
              <w:top w:val="nil"/>
              <w:left w:val="nil"/>
              <w:bottom w:val="single" w:sz="4" w:space="0" w:color="002776"/>
              <w:right w:val="nil"/>
            </w:tcBorders>
            <w:shd w:val="clear" w:color="auto" w:fill="auto"/>
            <w:noWrap/>
            <w:vAlign w:val="center"/>
            <w:hideMark/>
          </w:tcPr>
          <w:p w14:paraId="74BF0DE6" w14:textId="77777777" w:rsidR="006D3AD5" w:rsidRPr="00874BFF" w:rsidRDefault="006D3AD5" w:rsidP="00443B8F">
            <w:pPr>
              <w:jc w:val="right"/>
              <w:rPr>
                <w:color w:val="000000"/>
                <w:sz w:val="18"/>
                <w:szCs w:val="18"/>
              </w:rPr>
            </w:pPr>
            <w:r w:rsidRPr="00874BFF">
              <w:rPr>
                <w:sz w:val="18"/>
              </w:rPr>
              <w:t>14.0</w:t>
            </w:r>
          </w:p>
        </w:tc>
        <w:tc>
          <w:tcPr>
            <w:tcW w:w="1530" w:type="dxa"/>
            <w:tcBorders>
              <w:top w:val="nil"/>
              <w:left w:val="nil"/>
              <w:bottom w:val="single" w:sz="4" w:space="0" w:color="002776"/>
              <w:right w:val="nil"/>
            </w:tcBorders>
            <w:shd w:val="clear" w:color="auto" w:fill="auto"/>
            <w:noWrap/>
            <w:vAlign w:val="center"/>
            <w:hideMark/>
          </w:tcPr>
          <w:p w14:paraId="608536C0" w14:textId="77777777" w:rsidR="006D3AD5" w:rsidRPr="00874BFF" w:rsidRDefault="006D3AD5" w:rsidP="00443B8F">
            <w:pPr>
              <w:jc w:val="right"/>
              <w:rPr>
                <w:color w:val="000000"/>
                <w:sz w:val="18"/>
                <w:szCs w:val="18"/>
              </w:rPr>
            </w:pPr>
            <w:r w:rsidRPr="00874BFF">
              <w:rPr>
                <w:sz w:val="18"/>
              </w:rPr>
              <w:t>6.7</w:t>
            </w:r>
          </w:p>
        </w:tc>
        <w:tc>
          <w:tcPr>
            <w:tcW w:w="1700" w:type="dxa"/>
            <w:tcBorders>
              <w:top w:val="nil"/>
              <w:left w:val="nil"/>
              <w:bottom w:val="single" w:sz="4" w:space="0" w:color="002776"/>
              <w:right w:val="nil"/>
            </w:tcBorders>
            <w:shd w:val="clear" w:color="auto" w:fill="auto"/>
            <w:noWrap/>
            <w:vAlign w:val="center"/>
            <w:hideMark/>
          </w:tcPr>
          <w:p w14:paraId="719249E0" w14:textId="77777777" w:rsidR="006D3AD5" w:rsidRPr="00874BFF" w:rsidRDefault="006D3AD5" w:rsidP="00443B8F">
            <w:pPr>
              <w:jc w:val="right"/>
              <w:rPr>
                <w:color w:val="000000"/>
                <w:sz w:val="18"/>
                <w:szCs w:val="18"/>
              </w:rPr>
            </w:pPr>
            <w:r w:rsidRPr="00874BFF">
              <w:rPr>
                <w:sz w:val="18"/>
              </w:rPr>
              <w:t>9.8</w:t>
            </w:r>
          </w:p>
        </w:tc>
        <w:tc>
          <w:tcPr>
            <w:tcW w:w="1678" w:type="dxa"/>
            <w:tcBorders>
              <w:top w:val="nil"/>
              <w:left w:val="nil"/>
              <w:bottom w:val="single" w:sz="4" w:space="0" w:color="002776"/>
              <w:right w:val="single" w:sz="4" w:space="0" w:color="002776"/>
            </w:tcBorders>
            <w:shd w:val="clear" w:color="auto" w:fill="auto"/>
            <w:noWrap/>
            <w:vAlign w:val="center"/>
            <w:hideMark/>
          </w:tcPr>
          <w:p w14:paraId="14290652" w14:textId="77777777" w:rsidR="006D3AD5" w:rsidRPr="00874BFF" w:rsidRDefault="006D3AD5" w:rsidP="00443B8F">
            <w:pPr>
              <w:keepNext/>
              <w:jc w:val="right"/>
              <w:rPr>
                <w:color w:val="000000"/>
                <w:sz w:val="18"/>
                <w:szCs w:val="18"/>
              </w:rPr>
            </w:pPr>
            <w:r w:rsidRPr="00874BFF">
              <w:rPr>
                <w:sz w:val="18"/>
              </w:rPr>
              <w:t>12.27</w:t>
            </w:r>
          </w:p>
        </w:tc>
      </w:tr>
    </w:tbl>
    <w:p w14:paraId="4284888B" w14:textId="62708EF8" w:rsidR="006D3AD5" w:rsidRPr="00874BFF" w:rsidRDefault="006D3AD5" w:rsidP="006D3AD5">
      <w:pPr>
        <w:pStyle w:val="Titulek"/>
        <w:jc w:val="left"/>
        <w:rPr>
          <w:highlight w:val="yellow"/>
        </w:rPr>
      </w:pPr>
      <w:r w:rsidRPr="00874BFF">
        <w:t>Table</w:t>
      </w:r>
      <w:r w:rsidR="00001EEF">
        <w:t xml:space="preserve"> </w:t>
      </w:r>
      <w:r w:rsidR="00001EEF">
        <w:rPr>
          <w:noProof/>
        </w:rPr>
        <w:t>54</w:t>
      </w:r>
      <w:r w:rsidRPr="00874BFF">
        <w:t>: Impact of the support on the project economy</w:t>
      </w:r>
    </w:p>
    <w:p w14:paraId="71772445" w14:textId="77777777" w:rsidR="006D3AD5" w:rsidRPr="00874BFF" w:rsidRDefault="006D3AD5" w:rsidP="006D3AD5"/>
    <w:p w14:paraId="02B75ADD" w14:textId="77777777" w:rsidR="006D3AD5" w:rsidRPr="00874BFF" w:rsidRDefault="006D3AD5" w:rsidP="006D3AD5"/>
    <w:p w14:paraId="4F25840F" w14:textId="77777777" w:rsidR="006D3AD5" w:rsidRPr="00874BFF" w:rsidRDefault="006D3AD5" w:rsidP="006D3AD5">
      <w:pPr>
        <w:ind w:left="1416" w:hanging="1416"/>
        <w:rPr>
          <w:b/>
        </w:rPr>
      </w:pPr>
      <w:r w:rsidRPr="00874BFF">
        <w:rPr>
          <w:b/>
        </w:rPr>
        <w:t>Model project 3</w:t>
      </w:r>
    </w:p>
    <w:p w14:paraId="6D4820FF" w14:textId="77777777" w:rsidR="006D3AD5" w:rsidRPr="00874BFF" w:rsidRDefault="006D3AD5" w:rsidP="006D3AD5">
      <w:r w:rsidRPr="00874BFF">
        <w:t>Model project for subordinated loans FI It is a 10-hectare plot of neglected BF the development of which by the FI of the OP EIC should have the following parameters:</w:t>
      </w:r>
    </w:p>
    <w:p w14:paraId="0326B68D" w14:textId="77777777" w:rsidR="006D3AD5" w:rsidRPr="00874BFF" w:rsidRDefault="006D3AD5" w:rsidP="006D3AD5">
      <w:pPr>
        <w:rPr>
          <w:b/>
        </w:rPr>
      </w:pPr>
      <w:r w:rsidRPr="00874BFF">
        <w:rPr>
          <w:b/>
        </w:rPr>
        <w:t>Price for the purchase of land (10 ha):</w:t>
      </w:r>
      <w:r w:rsidRPr="00874BFF">
        <w:tab/>
      </w:r>
      <w:r w:rsidRPr="00874BFF">
        <w:tab/>
      </w:r>
      <w:r w:rsidRPr="00874BFF">
        <w:rPr>
          <w:b/>
        </w:rPr>
        <w:t>CZK 60 million (CZK 600/m2)</w:t>
      </w:r>
    </w:p>
    <w:p w14:paraId="7F35DF83" w14:textId="77777777" w:rsidR="006D3AD5" w:rsidRPr="00874BFF" w:rsidRDefault="006D3AD5" w:rsidP="006D3AD5">
      <w:pPr>
        <w:rPr>
          <w:b/>
        </w:rPr>
      </w:pPr>
      <w:r w:rsidRPr="00874BFF">
        <w:rPr>
          <w:b/>
        </w:rPr>
        <w:t>Price for land development (10 ha):</w:t>
      </w:r>
      <w:r w:rsidRPr="00874BFF">
        <w:tab/>
      </w:r>
      <w:r w:rsidRPr="00874BFF">
        <w:rPr>
          <w:b/>
        </w:rPr>
        <w:t>CZK 50 million (CZK 500/m2)</w:t>
      </w:r>
    </w:p>
    <w:p w14:paraId="50CCAFCF" w14:textId="77777777" w:rsidR="006D3AD5" w:rsidRPr="00874BFF" w:rsidRDefault="006D3AD5" w:rsidP="006D3AD5">
      <w:pPr>
        <w:rPr>
          <w:b/>
        </w:rPr>
      </w:pPr>
      <w:r w:rsidRPr="00874BFF">
        <w:rPr>
          <w:b/>
        </w:rPr>
        <w:lastRenderedPageBreak/>
        <w:t>Price of land at sale (10 ha):</w:t>
      </w:r>
      <w:r w:rsidRPr="00874BFF">
        <w:tab/>
      </w:r>
      <w:r w:rsidRPr="00874BFF">
        <w:rPr>
          <w:b/>
        </w:rPr>
        <w:t>CZK 100 – 110  million (CZK 1,000 - 1,100 /m2)</w:t>
      </w:r>
    </w:p>
    <w:p w14:paraId="5781757C" w14:textId="77777777" w:rsidR="006D3AD5" w:rsidRPr="00874BFF" w:rsidRDefault="006D3AD5" w:rsidP="006D3AD5">
      <w:pPr>
        <w:rPr>
          <w:b/>
        </w:rPr>
      </w:pPr>
    </w:p>
    <w:p w14:paraId="1C84F55C" w14:textId="77777777" w:rsidR="006D3AD5" w:rsidRPr="00874BFF" w:rsidRDefault="006D3AD5" w:rsidP="006D3AD5">
      <w:r w:rsidRPr="00874BFF">
        <w:t>(With regard to their size) business cases in the investment value as per the model example can be considered relatively easily feasible from the technical point of view, while the manager from the property developer can work on approx. five projects in parallel without a significant risk of threatening the determined costs.</w:t>
      </w:r>
    </w:p>
    <w:p w14:paraId="33C57FB2" w14:textId="77777777" w:rsidR="006D3AD5" w:rsidRPr="00874BFF" w:rsidRDefault="006D3AD5" w:rsidP="006D3AD5"/>
    <w:p w14:paraId="3AC0AF20" w14:textId="77777777" w:rsidR="006D3AD5" w:rsidRPr="00874BFF" w:rsidRDefault="006D3AD5" w:rsidP="006D3AD5">
      <w:pPr>
        <w:pStyle w:val="Nadpis4"/>
        <w:rPr>
          <w:rFonts w:ascii="Calibri" w:hAnsi="Calibri"/>
        </w:rPr>
      </w:pPr>
      <w:r w:rsidRPr="00874BFF">
        <w:rPr>
          <w:rFonts w:ascii="Calibri" w:hAnsi="Calibri"/>
        </w:rPr>
        <w:t>Added value of the financial instrument, problems, risks and comparison with other forms of support</w:t>
      </w:r>
    </w:p>
    <w:p w14:paraId="0D0B21D7" w14:textId="77777777" w:rsidR="006D3AD5" w:rsidRPr="00874BFF" w:rsidRDefault="006D3AD5" w:rsidP="006D3AD5"/>
    <w:p w14:paraId="2C926791" w14:textId="038F6815" w:rsidR="006D3AD5" w:rsidRPr="00874BFF" w:rsidRDefault="006D3AD5" w:rsidP="006D3AD5">
      <w:pPr>
        <w:rPr>
          <w:b/>
        </w:rPr>
      </w:pPr>
      <w:r w:rsidRPr="00874BFF">
        <w:t xml:space="preserve">The tables below show an overview of added value, problems and risks from the point of view of the final recipient and the MA and in terms of the overall impact on absorption capacity and achievement of the objectives  in SO 2.3 with attention paid to impacts on the market environment. </w:t>
      </w: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874BFF" w14:paraId="4E6F10B1" w14:textId="77777777" w:rsidTr="00443B8F">
        <w:trPr>
          <w:trHeight w:val="315"/>
        </w:trPr>
        <w:tc>
          <w:tcPr>
            <w:tcW w:w="960" w:type="dxa"/>
            <w:shd w:val="clear" w:color="auto" w:fill="365F91"/>
            <w:noWrap/>
            <w:vAlign w:val="bottom"/>
          </w:tcPr>
          <w:p w14:paraId="079BED16" w14:textId="21D1AE06" w:rsidR="006D3AD5" w:rsidRPr="00874BFF" w:rsidRDefault="006D3AD5" w:rsidP="00443B8F">
            <w:pPr>
              <w:jc w:val="left"/>
              <w:rPr>
                <w:sz w:val="24"/>
                <w:szCs w:val="24"/>
              </w:rPr>
            </w:pPr>
          </w:p>
        </w:tc>
        <w:tc>
          <w:tcPr>
            <w:tcW w:w="960" w:type="dxa"/>
            <w:shd w:val="clear" w:color="auto" w:fill="365F91"/>
            <w:noWrap/>
            <w:vAlign w:val="bottom"/>
          </w:tcPr>
          <w:p w14:paraId="03E31C71" w14:textId="77777777" w:rsidR="006D3AD5" w:rsidRPr="00874BFF" w:rsidRDefault="006D3AD5" w:rsidP="00443B8F">
            <w:pPr>
              <w:jc w:val="left"/>
              <w:rPr>
                <w:color w:val="000000"/>
                <w:sz w:val="24"/>
                <w:szCs w:val="24"/>
              </w:rPr>
            </w:pPr>
            <w:r w:rsidRPr="00874BFF">
              <w:rPr>
                <w:color w:val="000000"/>
                <w:sz w:val="24"/>
              </w:rPr>
              <w:t> </w:t>
            </w:r>
          </w:p>
        </w:tc>
        <w:tc>
          <w:tcPr>
            <w:tcW w:w="4744" w:type="dxa"/>
            <w:gridSpan w:val="2"/>
            <w:shd w:val="clear" w:color="auto" w:fill="365F91"/>
            <w:noWrap/>
            <w:vAlign w:val="center"/>
          </w:tcPr>
          <w:p w14:paraId="3AC6DE69" w14:textId="77777777" w:rsidR="006D3AD5" w:rsidRPr="00874BFF" w:rsidRDefault="006D3AD5" w:rsidP="00443B8F">
            <w:pPr>
              <w:jc w:val="center"/>
              <w:rPr>
                <w:b/>
                <w:bCs/>
                <w:color w:val="FFFFFF"/>
                <w:sz w:val="24"/>
                <w:szCs w:val="24"/>
              </w:rPr>
            </w:pPr>
            <w:r w:rsidRPr="00874BFF">
              <w:rPr>
                <w:b/>
                <w:color w:val="FFFFFF"/>
                <w:sz w:val="24"/>
              </w:rPr>
              <w:t>Financial instrument</w:t>
            </w:r>
          </w:p>
        </w:tc>
        <w:tc>
          <w:tcPr>
            <w:tcW w:w="2330" w:type="dxa"/>
            <w:shd w:val="clear" w:color="auto" w:fill="365F91"/>
          </w:tcPr>
          <w:p w14:paraId="7A4F474B" w14:textId="77777777" w:rsidR="006D3AD5" w:rsidRPr="00874BFF" w:rsidRDefault="006D3AD5" w:rsidP="00443B8F">
            <w:pPr>
              <w:jc w:val="center"/>
              <w:rPr>
                <w:b/>
                <w:bCs/>
                <w:color w:val="FFFFFF"/>
                <w:sz w:val="24"/>
                <w:szCs w:val="24"/>
              </w:rPr>
            </w:pPr>
            <w:r w:rsidRPr="00874BFF">
              <w:rPr>
                <w:b/>
                <w:color w:val="FFFFFF"/>
                <w:sz w:val="24"/>
              </w:rPr>
              <w:t>Subsidy</w:t>
            </w:r>
          </w:p>
        </w:tc>
      </w:tr>
      <w:tr w:rsidR="006D3AD5" w:rsidRPr="00874BFF" w14:paraId="3E981F60" w14:textId="77777777" w:rsidTr="00443B8F">
        <w:trPr>
          <w:trHeight w:val="315"/>
        </w:trPr>
        <w:tc>
          <w:tcPr>
            <w:tcW w:w="960" w:type="dxa"/>
            <w:shd w:val="clear" w:color="auto" w:fill="365F91"/>
            <w:noWrap/>
            <w:vAlign w:val="center"/>
          </w:tcPr>
          <w:p w14:paraId="15E0274D" w14:textId="77777777" w:rsidR="006D3AD5" w:rsidRPr="00874BFF" w:rsidRDefault="006D3AD5" w:rsidP="00443B8F">
            <w:pPr>
              <w:jc w:val="center"/>
              <w:rPr>
                <w:b/>
                <w:bCs/>
                <w:color w:val="000000"/>
                <w:sz w:val="24"/>
                <w:szCs w:val="24"/>
              </w:rPr>
            </w:pPr>
          </w:p>
        </w:tc>
        <w:tc>
          <w:tcPr>
            <w:tcW w:w="960" w:type="dxa"/>
            <w:shd w:val="clear" w:color="auto" w:fill="365F91"/>
            <w:noWrap/>
            <w:vAlign w:val="center"/>
          </w:tcPr>
          <w:p w14:paraId="53507602" w14:textId="77777777" w:rsidR="006D3AD5" w:rsidRPr="00874BFF" w:rsidRDefault="006D3AD5" w:rsidP="00443B8F">
            <w:pPr>
              <w:jc w:val="left"/>
              <w:rPr>
                <w:color w:val="000000"/>
                <w:sz w:val="24"/>
                <w:szCs w:val="24"/>
              </w:rPr>
            </w:pPr>
            <w:r w:rsidRPr="00874BFF">
              <w:rPr>
                <w:color w:val="000000"/>
                <w:sz w:val="24"/>
              </w:rPr>
              <w:t> </w:t>
            </w:r>
          </w:p>
        </w:tc>
        <w:tc>
          <w:tcPr>
            <w:tcW w:w="2414" w:type="dxa"/>
            <w:shd w:val="clear" w:color="auto" w:fill="365F91"/>
            <w:vAlign w:val="center"/>
          </w:tcPr>
          <w:p w14:paraId="50CC1E0A" w14:textId="77777777" w:rsidR="006D3AD5" w:rsidRPr="00874BFF" w:rsidRDefault="006D3AD5" w:rsidP="00443B8F">
            <w:pPr>
              <w:jc w:val="center"/>
              <w:rPr>
                <w:b/>
                <w:bCs/>
                <w:color w:val="FFFFFF"/>
                <w:sz w:val="24"/>
                <w:szCs w:val="24"/>
              </w:rPr>
            </w:pPr>
            <w:r w:rsidRPr="00874BFF">
              <w:rPr>
                <w:b/>
                <w:color w:val="FFFFFF"/>
                <w:sz w:val="24"/>
              </w:rPr>
              <w:t>Guarantees</w:t>
            </w:r>
          </w:p>
        </w:tc>
        <w:tc>
          <w:tcPr>
            <w:tcW w:w="2330" w:type="dxa"/>
            <w:shd w:val="clear" w:color="auto" w:fill="365F91"/>
            <w:vAlign w:val="center"/>
          </w:tcPr>
          <w:p w14:paraId="41A95461" w14:textId="77777777" w:rsidR="006D3AD5" w:rsidRPr="00874BFF" w:rsidRDefault="006D3AD5" w:rsidP="00443B8F">
            <w:pPr>
              <w:jc w:val="center"/>
              <w:rPr>
                <w:b/>
                <w:bCs/>
                <w:color w:val="FFFFFF"/>
                <w:sz w:val="24"/>
                <w:szCs w:val="24"/>
              </w:rPr>
            </w:pPr>
            <w:r w:rsidRPr="00874BFF">
              <w:rPr>
                <w:b/>
                <w:color w:val="FFFFFF"/>
                <w:sz w:val="24"/>
              </w:rPr>
              <w:t>Soft loan</w:t>
            </w:r>
          </w:p>
        </w:tc>
        <w:tc>
          <w:tcPr>
            <w:tcW w:w="2330" w:type="dxa"/>
            <w:shd w:val="clear" w:color="auto" w:fill="365F91"/>
          </w:tcPr>
          <w:p w14:paraId="1816D28D" w14:textId="77777777" w:rsidR="006D3AD5" w:rsidRPr="00874BFF" w:rsidRDefault="006D3AD5" w:rsidP="00443B8F">
            <w:pPr>
              <w:jc w:val="center"/>
              <w:rPr>
                <w:b/>
                <w:bCs/>
                <w:color w:val="FFFFFF"/>
                <w:sz w:val="24"/>
                <w:szCs w:val="24"/>
              </w:rPr>
            </w:pPr>
          </w:p>
        </w:tc>
      </w:tr>
      <w:tr w:rsidR="006D3AD5" w:rsidRPr="00874BFF" w14:paraId="52F1D985" w14:textId="77777777" w:rsidTr="00443B8F">
        <w:trPr>
          <w:trHeight w:val="720"/>
        </w:trPr>
        <w:tc>
          <w:tcPr>
            <w:tcW w:w="960" w:type="dxa"/>
            <w:vMerge w:val="restart"/>
            <w:shd w:val="clear" w:color="auto" w:fill="8DB3E2"/>
            <w:noWrap/>
            <w:textDirection w:val="btLr"/>
            <w:vAlign w:val="center"/>
          </w:tcPr>
          <w:p w14:paraId="6CF86988" w14:textId="56835EB3" w:rsidR="006D3AD5" w:rsidRPr="00874BFF" w:rsidRDefault="008F5F02" w:rsidP="00443B8F">
            <w:pPr>
              <w:jc w:val="center"/>
              <w:rPr>
                <w:b/>
                <w:bCs/>
                <w:color w:val="FFFFFF"/>
                <w:sz w:val="24"/>
                <w:szCs w:val="24"/>
              </w:rPr>
            </w:pPr>
            <w:r>
              <w:rPr>
                <w:b/>
                <w:color w:val="FFFFFF"/>
                <w:sz w:val="24"/>
              </w:rPr>
              <w:t>Added value of public support for final recipients</w:t>
            </w:r>
            <w:r w:rsidR="006D3AD5" w:rsidRPr="00874BFF">
              <w:rPr>
                <w:b/>
                <w:color w:val="FFFFFF"/>
                <w:sz w:val="24"/>
              </w:rPr>
              <w:t xml:space="preserve"> and the MA</w:t>
            </w:r>
          </w:p>
        </w:tc>
        <w:tc>
          <w:tcPr>
            <w:tcW w:w="960" w:type="dxa"/>
            <w:vMerge w:val="restart"/>
            <w:shd w:val="clear" w:color="auto" w:fill="8DB3E2"/>
            <w:noWrap/>
            <w:textDirection w:val="btLr"/>
            <w:vAlign w:val="center"/>
          </w:tcPr>
          <w:p w14:paraId="10F58770"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8DB3E2"/>
            <w:vAlign w:val="center"/>
          </w:tcPr>
          <w:p w14:paraId="36597F12" w14:textId="77777777" w:rsidR="006D3AD5" w:rsidRPr="00874BFF" w:rsidRDefault="006D3AD5" w:rsidP="00443B8F">
            <w:pPr>
              <w:jc w:val="center"/>
              <w:rPr>
                <w:b/>
                <w:color w:val="FFFFFF"/>
                <w:sz w:val="20"/>
              </w:rPr>
            </w:pPr>
            <w:r w:rsidRPr="00874BFF">
              <w:rPr>
                <w:b/>
                <w:color w:val="FFFFFF"/>
                <w:sz w:val="20"/>
              </w:rPr>
              <w:t>Making unreachable financing accessible</w:t>
            </w:r>
          </w:p>
        </w:tc>
        <w:tc>
          <w:tcPr>
            <w:tcW w:w="2330" w:type="dxa"/>
            <w:shd w:val="clear" w:color="auto" w:fill="8DB3E2"/>
            <w:vAlign w:val="center"/>
          </w:tcPr>
          <w:p w14:paraId="226CB5E6" w14:textId="77777777" w:rsidR="006D3AD5" w:rsidRPr="00874BFF" w:rsidRDefault="006D3AD5" w:rsidP="00443B8F">
            <w:pPr>
              <w:jc w:val="center"/>
              <w:rPr>
                <w:b/>
                <w:color w:val="FFFFFF"/>
                <w:sz w:val="20"/>
              </w:rPr>
            </w:pPr>
            <w:r w:rsidRPr="00874BFF">
              <w:rPr>
                <w:b/>
                <w:color w:val="FFFFFF"/>
                <w:sz w:val="20"/>
              </w:rPr>
              <w:t>Making a lot more external financing accessible</w:t>
            </w:r>
          </w:p>
        </w:tc>
        <w:tc>
          <w:tcPr>
            <w:tcW w:w="2330" w:type="dxa"/>
            <w:shd w:val="clear" w:color="auto" w:fill="8DB3E2"/>
          </w:tcPr>
          <w:p w14:paraId="3F8B02A9" w14:textId="77777777" w:rsidR="006D3AD5" w:rsidRPr="00874BFF" w:rsidRDefault="006D3AD5" w:rsidP="00443B8F">
            <w:pPr>
              <w:jc w:val="center"/>
              <w:rPr>
                <w:b/>
                <w:color w:val="FFFFFF"/>
                <w:sz w:val="20"/>
              </w:rPr>
            </w:pPr>
            <w:r w:rsidRPr="00874BFF">
              <w:rPr>
                <w:b/>
                <w:color w:val="FFFFFF"/>
                <w:sz w:val="20"/>
              </w:rPr>
              <w:t>Non-repayable contribution for the project of up to one third of eligible costs</w:t>
            </w:r>
          </w:p>
        </w:tc>
      </w:tr>
      <w:tr w:rsidR="006D3AD5" w:rsidRPr="00874BFF" w14:paraId="35F34A9A" w14:textId="77777777" w:rsidTr="00443B8F">
        <w:trPr>
          <w:trHeight w:val="480"/>
        </w:trPr>
        <w:tc>
          <w:tcPr>
            <w:tcW w:w="960" w:type="dxa"/>
            <w:vMerge/>
            <w:shd w:val="clear" w:color="auto" w:fill="8DB3E2"/>
            <w:vAlign w:val="center"/>
          </w:tcPr>
          <w:p w14:paraId="2332B223"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6AE8B4FD"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7C744AAA" w14:textId="77777777" w:rsidR="006D3AD5" w:rsidRPr="00874BFF" w:rsidRDefault="006D3AD5" w:rsidP="00443B8F">
            <w:pPr>
              <w:jc w:val="center"/>
              <w:rPr>
                <w:b/>
                <w:color w:val="FFFFFF"/>
                <w:sz w:val="20"/>
              </w:rPr>
            </w:pPr>
            <w:r w:rsidRPr="00874BFF">
              <w:rPr>
                <w:b/>
                <w:color w:val="FFFFFF"/>
                <w:sz w:val="20"/>
              </w:rPr>
              <w:t>Partial reduction of the interest rate by reducing the risk surcharge</w:t>
            </w:r>
          </w:p>
        </w:tc>
        <w:tc>
          <w:tcPr>
            <w:tcW w:w="2330" w:type="dxa"/>
            <w:shd w:val="clear" w:color="auto" w:fill="8DB3E2"/>
            <w:vAlign w:val="center"/>
          </w:tcPr>
          <w:p w14:paraId="1461463C" w14:textId="77777777" w:rsidR="006D3AD5" w:rsidRPr="00874BFF" w:rsidRDefault="006D3AD5" w:rsidP="00443B8F">
            <w:pPr>
              <w:jc w:val="center"/>
              <w:rPr>
                <w:b/>
                <w:color w:val="FFFFFF"/>
                <w:sz w:val="20"/>
              </w:rPr>
            </w:pPr>
            <w:r w:rsidRPr="00874BFF">
              <w:rPr>
                <w:b/>
                <w:color w:val="FFFFFF"/>
                <w:sz w:val="20"/>
              </w:rPr>
              <w:t>Reduction of the interest rate</w:t>
            </w:r>
          </w:p>
        </w:tc>
        <w:tc>
          <w:tcPr>
            <w:tcW w:w="2330" w:type="dxa"/>
            <w:shd w:val="clear" w:color="auto" w:fill="8DB3E2"/>
          </w:tcPr>
          <w:p w14:paraId="72D0239E" w14:textId="77777777" w:rsidR="006D3AD5" w:rsidRPr="00874BFF" w:rsidRDefault="006D3AD5" w:rsidP="00443B8F">
            <w:pPr>
              <w:jc w:val="center"/>
              <w:rPr>
                <w:b/>
                <w:color w:val="FFFFFF"/>
                <w:sz w:val="20"/>
              </w:rPr>
            </w:pPr>
            <w:r w:rsidRPr="00874BFF">
              <w:rPr>
                <w:b/>
                <w:color w:val="FFFFFF"/>
                <w:sz w:val="20"/>
              </w:rPr>
              <w:t xml:space="preserve">Highly reduced payback period </w:t>
            </w:r>
          </w:p>
        </w:tc>
      </w:tr>
      <w:tr w:rsidR="006D3AD5" w:rsidRPr="00874BFF" w14:paraId="477CEF94" w14:textId="77777777" w:rsidTr="00443B8F">
        <w:trPr>
          <w:trHeight w:val="720"/>
        </w:trPr>
        <w:tc>
          <w:tcPr>
            <w:tcW w:w="960" w:type="dxa"/>
            <w:vMerge/>
            <w:shd w:val="clear" w:color="auto" w:fill="8DB3E2"/>
            <w:vAlign w:val="center"/>
          </w:tcPr>
          <w:p w14:paraId="5181C67E"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7AA8B3B9"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3503CC40" w14:textId="77777777" w:rsidR="006D3AD5" w:rsidRPr="00874BFF" w:rsidRDefault="006D3AD5" w:rsidP="00443B8F">
            <w:pPr>
              <w:jc w:val="center"/>
              <w:rPr>
                <w:b/>
                <w:color w:val="FFFFFF"/>
                <w:sz w:val="20"/>
              </w:rPr>
            </w:pPr>
            <w:r w:rsidRPr="00874BFF">
              <w:rPr>
                <w:b/>
                <w:color w:val="FFFFFF"/>
                <w:sz w:val="20"/>
              </w:rPr>
              <w:t>Reduction of demands for pledge of the company</w:t>
            </w:r>
          </w:p>
        </w:tc>
        <w:tc>
          <w:tcPr>
            <w:tcW w:w="2330" w:type="dxa"/>
            <w:shd w:val="clear" w:color="auto" w:fill="8DB3E2"/>
            <w:vAlign w:val="center"/>
          </w:tcPr>
          <w:p w14:paraId="6DBF7975" w14:textId="77777777" w:rsidR="006D3AD5" w:rsidRPr="00874BFF" w:rsidRDefault="006D3AD5" w:rsidP="00443B8F">
            <w:pPr>
              <w:jc w:val="center"/>
              <w:rPr>
                <w:b/>
                <w:color w:val="FFFFFF"/>
                <w:sz w:val="20"/>
              </w:rPr>
            </w:pPr>
            <w:r w:rsidRPr="00874BFF">
              <w:rPr>
                <w:b/>
                <w:color w:val="FFFFFF"/>
                <w:sz w:val="20"/>
              </w:rPr>
              <w:t>Longer payback period</w:t>
            </w:r>
          </w:p>
        </w:tc>
        <w:tc>
          <w:tcPr>
            <w:tcW w:w="2330" w:type="dxa"/>
            <w:shd w:val="clear" w:color="auto" w:fill="8DB3E2"/>
          </w:tcPr>
          <w:p w14:paraId="65A35EE9" w14:textId="77777777" w:rsidR="006D3AD5" w:rsidRPr="00874BFF" w:rsidRDefault="006D3AD5" w:rsidP="00443B8F">
            <w:pPr>
              <w:jc w:val="center"/>
              <w:rPr>
                <w:b/>
                <w:color w:val="FFFFFF"/>
                <w:sz w:val="20"/>
              </w:rPr>
            </w:pPr>
            <w:r w:rsidRPr="00874BFF">
              <w:rPr>
                <w:b/>
                <w:color w:val="FFFFFF"/>
                <w:sz w:val="20"/>
              </w:rPr>
              <w:t>Easier finding a loan for the remaining costs of the project</w:t>
            </w:r>
          </w:p>
        </w:tc>
      </w:tr>
      <w:tr w:rsidR="006D3AD5" w:rsidRPr="00874BFF" w14:paraId="7979B8DB" w14:textId="77777777" w:rsidTr="00443B8F">
        <w:trPr>
          <w:trHeight w:val="478"/>
        </w:trPr>
        <w:tc>
          <w:tcPr>
            <w:tcW w:w="960" w:type="dxa"/>
            <w:vMerge/>
            <w:shd w:val="clear" w:color="auto" w:fill="8DB3E2"/>
            <w:vAlign w:val="center"/>
          </w:tcPr>
          <w:p w14:paraId="1EFFDFED"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593E54CC" w14:textId="77777777" w:rsidR="006D3AD5" w:rsidRPr="00874BFF" w:rsidRDefault="006D3AD5" w:rsidP="00443B8F">
            <w:pPr>
              <w:jc w:val="left"/>
              <w:rPr>
                <w:b/>
                <w:bCs/>
                <w:color w:val="FFFFFF"/>
                <w:sz w:val="24"/>
                <w:szCs w:val="24"/>
              </w:rPr>
            </w:pPr>
          </w:p>
        </w:tc>
        <w:tc>
          <w:tcPr>
            <w:tcW w:w="2414" w:type="dxa"/>
            <w:shd w:val="clear" w:color="auto" w:fill="8DB3E2"/>
            <w:noWrap/>
            <w:vAlign w:val="center"/>
          </w:tcPr>
          <w:p w14:paraId="4747FDCF" w14:textId="77777777" w:rsidR="006D3AD5" w:rsidRPr="00874BFF" w:rsidRDefault="006D3AD5" w:rsidP="00443B8F">
            <w:pPr>
              <w:jc w:val="center"/>
              <w:rPr>
                <w:b/>
                <w:color w:val="FFFFFF"/>
                <w:sz w:val="20"/>
              </w:rPr>
            </w:pPr>
          </w:p>
        </w:tc>
        <w:tc>
          <w:tcPr>
            <w:tcW w:w="2330" w:type="dxa"/>
            <w:shd w:val="clear" w:color="auto" w:fill="8DB3E2"/>
            <w:vAlign w:val="center"/>
          </w:tcPr>
          <w:p w14:paraId="2FE0D706" w14:textId="77777777" w:rsidR="006D3AD5" w:rsidRPr="00874BFF" w:rsidRDefault="006D3AD5" w:rsidP="00443B8F">
            <w:pPr>
              <w:jc w:val="center"/>
              <w:rPr>
                <w:b/>
                <w:color w:val="FFFFFF"/>
                <w:sz w:val="20"/>
              </w:rPr>
            </w:pPr>
            <w:r w:rsidRPr="00874BFF">
              <w:rPr>
                <w:b/>
                <w:color w:val="FFFFFF"/>
                <w:sz w:val="20"/>
              </w:rPr>
              <w:t>Reduced payback period</w:t>
            </w:r>
          </w:p>
        </w:tc>
        <w:tc>
          <w:tcPr>
            <w:tcW w:w="2330" w:type="dxa"/>
            <w:shd w:val="clear" w:color="auto" w:fill="8DB3E2"/>
          </w:tcPr>
          <w:p w14:paraId="5FA5DF70" w14:textId="77777777" w:rsidR="006D3AD5" w:rsidRPr="00874BFF" w:rsidRDefault="006D3AD5" w:rsidP="00443B8F">
            <w:pPr>
              <w:jc w:val="center"/>
              <w:rPr>
                <w:b/>
                <w:color w:val="FFFFFF"/>
                <w:sz w:val="20"/>
              </w:rPr>
            </w:pPr>
          </w:p>
        </w:tc>
      </w:tr>
      <w:tr w:rsidR="006D3AD5" w:rsidRPr="00874BFF" w14:paraId="7D3E8A47" w14:textId="77777777" w:rsidTr="00443B8F">
        <w:trPr>
          <w:trHeight w:val="680"/>
        </w:trPr>
        <w:tc>
          <w:tcPr>
            <w:tcW w:w="960" w:type="dxa"/>
            <w:vMerge/>
            <w:shd w:val="clear" w:color="auto" w:fill="8DB3E2"/>
            <w:vAlign w:val="center"/>
          </w:tcPr>
          <w:p w14:paraId="4DB59C59"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4B3BE6A9"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540CC38D"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vAlign w:val="center"/>
          </w:tcPr>
          <w:p w14:paraId="08B6D01E" w14:textId="77777777" w:rsidR="006D3AD5" w:rsidRPr="00874BFF" w:rsidRDefault="006D3AD5" w:rsidP="00443B8F">
            <w:pPr>
              <w:jc w:val="center"/>
              <w:rPr>
                <w:b/>
                <w:color w:val="FFFFFF"/>
                <w:sz w:val="20"/>
              </w:rPr>
            </w:pPr>
            <w:r w:rsidRPr="00874BFF">
              <w:rPr>
                <w:b/>
                <w:color w:val="FFFFFF"/>
                <w:sz w:val="20"/>
              </w:rPr>
              <w:t>Payment in advance in the form of a loan</w:t>
            </w:r>
          </w:p>
        </w:tc>
        <w:tc>
          <w:tcPr>
            <w:tcW w:w="2330" w:type="dxa"/>
            <w:shd w:val="clear" w:color="auto" w:fill="8DB3E2"/>
          </w:tcPr>
          <w:p w14:paraId="685AC4D8" w14:textId="77777777" w:rsidR="006D3AD5" w:rsidRPr="00874BFF" w:rsidRDefault="006D3AD5" w:rsidP="00443B8F">
            <w:pPr>
              <w:jc w:val="center"/>
              <w:rPr>
                <w:b/>
                <w:color w:val="FFFFFF"/>
                <w:sz w:val="20"/>
              </w:rPr>
            </w:pPr>
          </w:p>
        </w:tc>
      </w:tr>
      <w:tr w:rsidR="006D3AD5" w:rsidRPr="00874BFF" w14:paraId="35A4B87B" w14:textId="77777777" w:rsidTr="00443B8F">
        <w:trPr>
          <w:trHeight w:val="690"/>
        </w:trPr>
        <w:tc>
          <w:tcPr>
            <w:tcW w:w="960" w:type="dxa"/>
            <w:vMerge/>
            <w:shd w:val="clear" w:color="auto" w:fill="8DB3E2"/>
            <w:vAlign w:val="center"/>
          </w:tcPr>
          <w:p w14:paraId="634BB0A4"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69C45E50"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2D6321FE" w14:textId="77777777" w:rsidR="006D3AD5" w:rsidRPr="00874BFF" w:rsidRDefault="006D3AD5" w:rsidP="00443B8F">
            <w:pPr>
              <w:jc w:val="center"/>
              <w:rPr>
                <w:b/>
                <w:color w:val="FFFFFF"/>
                <w:sz w:val="20"/>
              </w:rPr>
            </w:pPr>
          </w:p>
        </w:tc>
        <w:tc>
          <w:tcPr>
            <w:tcW w:w="2330" w:type="dxa"/>
            <w:shd w:val="clear" w:color="auto" w:fill="8DB3E2"/>
            <w:vAlign w:val="center"/>
          </w:tcPr>
          <w:p w14:paraId="4F1BDB93" w14:textId="77777777" w:rsidR="006D3AD5" w:rsidRPr="00874BFF" w:rsidRDefault="006D3AD5" w:rsidP="00443B8F">
            <w:pPr>
              <w:jc w:val="center"/>
              <w:rPr>
                <w:b/>
                <w:color w:val="FFFFFF"/>
                <w:sz w:val="20"/>
              </w:rPr>
            </w:pPr>
            <w:r w:rsidRPr="00874BFF">
              <w:rPr>
                <w:b/>
                <w:color w:val="FFFFFF"/>
                <w:sz w:val="20"/>
              </w:rPr>
              <w:t>Contribution for project preparation</w:t>
            </w:r>
          </w:p>
        </w:tc>
        <w:tc>
          <w:tcPr>
            <w:tcW w:w="2330" w:type="dxa"/>
            <w:shd w:val="clear" w:color="auto" w:fill="8DB3E2"/>
          </w:tcPr>
          <w:p w14:paraId="7AC3691F" w14:textId="77777777" w:rsidR="006D3AD5" w:rsidRPr="00874BFF" w:rsidRDefault="006D3AD5" w:rsidP="00443B8F">
            <w:pPr>
              <w:jc w:val="left"/>
              <w:rPr>
                <w:b/>
                <w:color w:val="FFFFFF"/>
                <w:sz w:val="20"/>
              </w:rPr>
            </w:pPr>
          </w:p>
        </w:tc>
      </w:tr>
      <w:tr w:rsidR="006D3AD5" w:rsidRPr="00874BFF" w14:paraId="36309BB4" w14:textId="77777777" w:rsidTr="00443B8F">
        <w:trPr>
          <w:trHeight w:val="690"/>
        </w:trPr>
        <w:tc>
          <w:tcPr>
            <w:tcW w:w="960" w:type="dxa"/>
            <w:vMerge/>
            <w:shd w:val="clear" w:color="auto" w:fill="8DB3E2"/>
            <w:vAlign w:val="center"/>
          </w:tcPr>
          <w:p w14:paraId="0B462805" w14:textId="77777777" w:rsidR="006D3AD5" w:rsidRPr="00874BFF" w:rsidRDefault="006D3AD5" w:rsidP="00443B8F">
            <w:pPr>
              <w:jc w:val="left"/>
              <w:rPr>
                <w:b/>
                <w:bCs/>
                <w:color w:val="FFFFFF"/>
                <w:sz w:val="24"/>
                <w:szCs w:val="24"/>
              </w:rPr>
            </w:pPr>
          </w:p>
        </w:tc>
        <w:tc>
          <w:tcPr>
            <w:tcW w:w="960" w:type="dxa"/>
            <w:vMerge/>
            <w:shd w:val="clear" w:color="auto" w:fill="8DB3E2"/>
            <w:vAlign w:val="center"/>
          </w:tcPr>
          <w:p w14:paraId="1D79F96C" w14:textId="77777777" w:rsidR="006D3AD5" w:rsidRPr="00874BFF" w:rsidRDefault="006D3AD5" w:rsidP="00443B8F">
            <w:pPr>
              <w:jc w:val="left"/>
              <w:rPr>
                <w:b/>
                <w:bCs/>
                <w:color w:val="FFFFFF"/>
                <w:sz w:val="24"/>
                <w:szCs w:val="24"/>
              </w:rPr>
            </w:pPr>
          </w:p>
        </w:tc>
        <w:tc>
          <w:tcPr>
            <w:tcW w:w="2414" w:type="dxa"/>
            <w:shd w:val="clear" w:color="auto" w:fill="8DB3E2"/>
            <w:vAlign w:val="center"/>
          </w:tcPr>
          <w:p w14:paraId="6B626126"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vAlign w:val="center"/>
          </w:tcPr>
          <w:p w14:paraId="3835E27F" w14:textId="77777777" w:rsidR="006D3AD5" w:rsidRPr="00874BFF" w:rsidRDefault="006D3AD5" w:rsidP="00443B8F">
            <w:pPr>
              <w:jc w:val="center"/>
              <w:rPr>
                <w:b/>
                <w:color w:val="FFFFFF"/>
                <w:sz w:val="20"/>
              </w:rPr>
            </w:pPr>
            <w:r w:rsidRPr="00874BFF">
              <w:rPr>
                <w:b/>
                <w:color w:val="FFFFFF"/>
                <w:sz w:val="20"/>
              </w:rPr>
              <w:t>Lower administrative demands</w:t>
            </w:r>
          </w:p>
        </w:tc>
        <w:tc>
          <w:tcPr>
            <w:tcW w:w="2330" w:type="dxa"/>
            <w:shd w:val="clear" w:color="auto" w:fill="8DB3E2"/>
          </w:tcPr>
          <w:p w14:paraId="063EE700" w14:textId="77777777" w:rsidR="006D3AD5" w:rsidRPr="00874BFF" w:rsidRDefault="006D3AD5" w:rsidP="00443B8F">
            <w:pPr>
              <w:jc w:val="left"/>
              <w:rPr>
                <w:b/>
                <w:color w:val="FFFFFF"/>
                <w:sz w:val="20"/>
              </w:rPr>
            </w:pPr>
          </w:p>
        </w:tc>
      </w:tr>
      <w:tr w:rsidR="006D3AD5" w:rsidRPr="00874BFF" w14:paraId="7928D8E0" w14:textId="77777777" w:rsidTr="00443B8F">
        <w:trPr>
          <w:trHeight w:val="735"/>
        </w:trPr>
        <w:tc>
          <w:tcPr>
            <w:tcW w:w="960" w:type="dxa"/>
            <w:vMerge/>
            <w:shd w:val="clear" w:color="auto" w:fill="8DB3E2"/>
            <w:vAlign w:val="center"/>
          </w:tcPr>
          <w:p w14:paraId="01D224C8" w14:textId="77777777" w:rsidR="006D3AD5" w:rsidRPr="00874BFF" w:rsidRDefault="006D3AD5" w:rsidP="00443B8F">
            <w:pPr>
              <w:jc w:val="left"/>
              <w:rPr>
                <w:b/>
                <w:bCs/>
                <w:color w:val="FFFFFF"/>
                <w:sz w:val="24"/>
                <w:szCs w:val="24"/>
              </w:rPr>
            </w:pPr>
          </w:p>
        </w:tc>
        <w:tc>
          <w:tcPr>
            <w:tcW w:w="960" w:type="dxa"/>
            <w:vMerge w:val="restart"/>
            <w:shd w:val="clear" w:color="auto" w:fill="8DB3E2"/>
            <w:noWrap/>
            <w:textDirection w:val="btLr"/>
            <w:vAlign w:val="center"/>
          </w:tcPr>
          <w:p w14:paraId="75D9BEB5"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8DB3E2"/>
            <w:vAlign w:val="center"/>
          </w:tcPr>
          <w:p w14:paraId="3D760C7C" w14:textId="77777777" w:rsidR="006D3AD5" w:rsidRPr="00874BFF" w:rsidRDefault="006D3AD5" w:rsidP="00443B8F">
            <w:pPr>
              <w:jc w:val="center"/>
              <w:rPr>
                <w:b/>
                <w:color w:val="FFFFFF"/>
                <w:sz w:val="20"/>
              </w:rPr>
            </w:pPr>
            <w:r w:rsidRPr="00874BFF">
              <w:rPr>
                <w:b/>
                <w:color w:val="FFFFFF"/>
                <w:sz w:val="20"/>
              </w:rPr>
              <w:t>High leverage effect and a wider range of supported projects and investments</w:t>
            </w:r>
          </w:p>
        </w:tc>
        <w:tc>
          <w:tcPr>
            <w:tcW w:w="2330" w:type="dxa"/>
            <w:shd w:val="clear" w:color="auto" w:fill="8DB3E2"/>
            <w:vAlign w:val="center"/>
          </w:tcPr>
          <w:p w14:paraId="74C9BCA6" w14:textId="77777777" w:rsidR="006D3AD5" w:rsidRPr="00874BFF" w:rsidRDefault="006D3AD5" w:rsidP="00443B8F">
            <w:pPr>
              <w:jc w:val="center"/>
              <w:rPr>
                <w:b/>
                <w:color w:val="FFFFFF"/>
                <w:sz w:val="20"/>
              </w:rPr>
            </w:pPr>
            <w:r w:rsidRPr="00874BFF">
              <w:rPr>
                <w:b/>
                <w:color w:val="FFFFFF"/>
                <w:sz w:val="20"/>
              </w:rPr>
              <w:t>High revolving effect and supporting projects in further cycles</w:t>
            </w:r>
          </w:p>
        </w:tc>
        <w:tc>
          <w:tcPr>
            <w:tcW w:w="2330" w:type="dxa"/>
            <w:shd w:val="clear" w:color="auto" w:fill="8DB3E2"/>
          </w:tcPr>
          <w:p w14:paraId="7A5710B5" w14:textId="77777777" w:rsidR="006D3AD5" w:rsidRPr="00874BFF" w:rsidRDefault="006D3AD5" w:rsidP="00443B8F">
            <w:pPr>
              <w:jc w:val="center"/>
              <w:rPr>
                <w:b/>
                <w:color w:val="FFFFFF"/>
                <w:sz w:val="20"/>
              </w:rPr>
            </w:pPr>
            <w:r w:rsidRPr="00874BFF">
              <w:rPr>
                <w:b/>
                <w:color w:val="FFFFFF"/>
                <w:sz w:val="20"/>
              </w:rPr>
              <w:t>High absorption capacity</w:t>
            </w:r>
          </w:p>
        </w:tc>
      </w:tr>
      <w:tr w:rsidR="006D3AD5" w:rsidRPr="00874BFF" w14:paraId="642271DF" w14:textId="77777777" w:rsidTr="00443B8F">
        <w:trPr>
          <w:trHeight w:val="735"/>
        </w:trPr>
        <w:tc>
          <w:tcPr>
            <w:tcW w:w="960" w:type="dxa"/>
            <w:vMerge/>
            <w:shd w:val="clear" w:color="auto" w:fill="8DB3E2"/>
            <w:vAlign w:val="center"/>
          </w:tcPr>
          <w:p w14:paraId="2F150396"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vAlign w:val="center"/>
          </w:tcPr>
          <w:p w14:paraId="54374EDC" w14:textId="77777777" w:rsidR="006D3AD5" w:rsidRPr="00874BFF" w:rsidRDefault="006D3AD5" w:rsidP="00443B8F">
            <w:pPr>
              <w:jc w:val="center"/>
              <w:rPr>
                <w:b/>
                <w:bCs/>
                <w:color w:val="FFFFFF"/>
                <w:sz w:val="18"/>
                <w:szCs w:val="18"/>
              </w:rPr>
            </w:pPr>
          </w:p>
        </w:tc>
        <w:tc>
          <w:tcPr>
            <w:tcW w:w="2414" w:type="dxa"/>
            <w:shd w:val="clear" w:color="auto" w:fill="8DB3E2"/>
            <w:vAlign w:val="center"/>
          </w:tcPr>
          <w:p w14:paraId="68D91EB1" w14:textId="77777777" w:rsidR="006D3AD5" w:rsidRPr="00874BFF" w:rsidRDefault="006D3AD5" w:rsidP="00443B8F">
            <w:pPr>
              <w:jc w:val="center"/>
              <w:rPr>
                <w:b/>
                <w:color w:val="FFFFFF"/>
                <w:sz w:val="20"/>
              </w:rPr>
            </w:pPr>
            <w:r w:rsidRPr="00874BFF">
              <w:rPr>
                <w:b/>
                <w:color w:val="FFFFFF"/>
                <w:sz w:val="20"/>
              </w:rPr>
              <w:t>Possibility of revolving depending on the risk strategy</w:t>
            </w:r>
          </w:p>
        </w:tc>
        <w:tc>
          <w:tcPr>
            <w:tcW w:w="2330" w:type="dxa"/>
            <w:shd w:val="clear" w:color="auto" w:fill="8DB3E2"/>
            <w:vAlign w:val="center"/>
          </w:tcPr>
          <w:p w14:paraId="6C7B6528" w14:textId="77777777" w:rsidR="006D3AD5" w:rsidRPr="00874BFF" w:rsidRDefault="006D3AD5" w:rsidP="00443B8F">
            <w:pPr>
              <w:jc w:val="center"/>
              <w:rPr>
                <w:b/>
                <w:color w:val="FFFFFF"/>
                <w:sz w:val="20"/>
              </w:rPr>
            </w:pPr>
            <w:r w:rsidRPr="00874BFF">
              <w:rPr>
                <w:b/>
                <w:color w:val="FFFFFF"/>
                <w:sz w:val="20"/>
              </w:rPr>
              <w:t>Predictable instalments</w:t>
            </w:r>
          </w:p>
        </w:tc>
        <w:tc>
          <w:tcPr>
            <w:tcW w:w="2330" w:type="dxa"/>
            <w:shd w:val="clear" w:color="auto" w:fill="8DB3E2"/>
          </w:tcPr>
          <w:p w14:paraId="54E4AF35" w14:textId="77777777" w:rsidR="006D3AD5" w:rsidRPr="00874BFF" w:rsidRDefault="006D3AD5" w:rsidP="00443B8F">
            <w:pPr>
              <w:jc w:val="center"/>
              <w:rPr>
                <w:b/>
                <w:color w:val="FFFFFF"/>
                <w:sz w:val="20"/>
              </w:rPr>
            </w:pPr>
            <w:r w:rsidRPr="00874BFF">
              <w:rPr>
                <w:b/>
                <w:color w:val="FFFFFF"/>
                <w:sz w:val="20"/>
              </w:rPr>
              <w:t>Possibility to support commercially unfeasible BFs</w:t>
            </w:r>
          </w:p>
        </w:tc>
      </w:tr>
      <w:tr w:rsidR="006D3AD5" w:rsidRPr="00874BFF" w14:paraId="4F7FE15E" w14:textId="77777777" w:rsidTr="00443B8F">
        <w:trPr>
          <w:trHeight w:val="311"/>
        </w:trPr>
        <w:tc>
          <w:tcPr>
            <w:tcW w:w="960" w:type="dxa"/>
            <w:vMerge/>
            <w:shd w:val="clear" w:color="auto" w:fill="8DB3E2"/>
            <w:vAlign w:val="center"/>
          </w:tcPr>
          <w:p w14:paraId="18776E40" w14:textId="77777777" w:rsidR="006D3AD5" w:rsidRPr="00874BFF" w:rsidRDefault="006D3AD5" w:rsidP="00443B8F">
            <w:pPr>
              <w:jc w:val="left"/>
              <w:rPr>
                <w:b/>
                <w:bCs/>
                <w:color w:val="FFFFFF"/>
                <w:sz w:val="18"/>
                <w:szCs w:val="18"/>
              </w:rPr>
            </w:pPr>
          </w:p>
        </w:tc>
        <w:tc>
          <w:tcPr>
            <w:tcW w:w="960" w:type="dxa"/>
            <w:vMerge/>
            <w:shd w:val="clear" w:color="auto" w:fill="8DB3E2"/>
            <w:noWrap/>
            <w:textDirection w:val="btLr"/>
            <w:vAlign w:val="center"/>
          </w:tcPr>
          <w:p w14:paraId="38CD58DA" w14:textId="77777777" w:rsidR="006D3AD5" w:rsidRPr="00874BFF" w:rsidRDefault="006D3AD5" w:rsidP="00443B8F">
            <w:pPr>
              <w:jc w:val="center"/>
              <w:rPr>
                <w:b/>
                <w:bCs/>
                <w:color w:val="FFFFFF"/>
                <w:sz w:val="18"/>
                <w:szCs w:val="18"/>
              </w:rPr>
            </w:pPr>
          </w:p>
        </w:tc>
        <w:tc>
          <w:tcPr>
            <w:tcW w:w="2414" w:type="dxa"/>
            <w:shd w:val="clear" w:color="auto" w:fill="8DB3E2"/>
            <w:vAlign w:val="center"/>
          </w:tcPr>
          <w:p w14:paraId="38D6879A" w14:textId="77777777" w:rsidR="006D3AD5" w:rsidRPr="00874BFF" w:rsidRDefault="006D3AD5" w:rsidP="00443B8F">
            <w:pPr>
              <w:jc w:val="center"/>
              <w:rPr>
                <w:b/>
                <w:color w:val="FFFFFF"/>
                <w:sz w:val="20"/>
              </w:rPr>
            </w:pPr>
            <w:r w:rsidRPr="00874BFF">
              <w:rPr>
                <w:b/>
                <w:color w:val="FFFFFF"/>
                <w:sz w:val="20"/>
              </w:rPr>
              <w:t>Rapid absorption</w:t>
            </w:r>
          </w:p>
        </w:tc>
        <w:tc>
          <w:tcPr>
            <w:tcW w:w="2330" w:type="dxa"/>
            <w:shd w:val="clear" w:color="auto" w:fill="8DB3E2"/>
            <w:vAlign w:val="center"/>
          </w:tcPr>
          <w:p w14:paraId="191CE1B6" w14:textId="77777777" w:rsidR="006D3AD5" w:rsidRPr="00874BFF" w:rsidRDefault="006D3AD5" w:rsidP="00443B8F">
            <w:pPr>
              <w:jc w:val="center"/>
              <w:rPr>
                <w:b/>
                <w:color w:val="FFFFFF"/>
                <w:sz w:val="20"/>
              </w:rPr>
            </w:pPr>
            <w:r w:rsidRPr="00874BFF">
              <w:rPr>
                <w:b/>
                <w:color w:val="FFFFFF"/>
                <w:sz w:val="20"/>
              </w:rPr>
              <w:t>Rapid absorption</w:t>
            </w:r>
          </w:p>
        </w:tc>
        <w:tc>
          <w:tcPr>
            <w:tcW w:w="2330" w:type="dxa"/>
            <w:shd w:val="clear" w:color="auto" w:fill="8DB3E2"/>
          </w:tcPr>
          <w:p w14:paraId="040BB087" w14:textId="77777777" w:rsidR="006D3AD5" w:rsidRPr="00874BFF" w:rsidRDefault="006D3AD5" w:rsidP="00443B8F">
            <w:pPr>
              <w:jc w:val="center"/>
              <w:rPr>
                <w:b/>
                <w:color w:val="FFFFFF"/>
                <w:sz w:val="20"/>
              </w:rPr>
            </w:pPr>
          </w:p>
        </w:tc>
      </w:tr>
      <w:tr w:rsidR="006D3AD5" w:rsidRPr="00874BFF" w14:paraId="3395A94F" w14:textId="77777777" w:rsidTr="00443B8F">
        <w:trPr>
          <w:trHeight w:val="735"/>
        </w:trPr>
        <w:tc>
          <w:tcPr>
            <w:tcW w:w="960" w:type="dxa"/>
            <w:vMerge w:val="restart"/>
            <w:shd w:val="clear" w:color="auto" w:fill="FF0000"/>
            <w:textDirection w:val="btLr"/>
            <w:vAlign w:val="center"/>
          </w:tcPr>
          <w:p w14:paraId="77F5A112" w14:textId="77777777" w:rsidR="006D3AD5" w:rsidRPr="00874BFF" w:rsidRDefault="006D3AD5" w:rsidP="00443B8F">
            <w:pPr>
              <w:ind w:left="113" w:right="113"/>
              <w:jc w:val="center"/>
              <w:rPr>
                <w:b/>
                <w:bCs/>
                <w:color w:val="FFFFFF"/>
                <w:sz w:val="24"/>
                <w:szCs w:val="24"/>
              </w:rPr>
            </w:pPr>
            <w:r w:rsidRPr="00874BFF">
              <w:rPr>
                <w:b/>
                <w:color w:val="FFFFFF"/>
                <w:sz w:val="24"/>
              </w:rPr>
              <w:t>Disadvantages, problems and risks</w:t>
            </w:r>
          </w:p>
        </w:tc>
        <w:tc>
          <w:tcPr>
            <w:tcW w:w="960" w:type="dxa"/>
            <w:vMerge w:val="restart"/>
            <w:shd w:val="clear" w:color="auto" w:fill="FF0000"/>
            <w:noWrap/>
            <w:textDirection w:val="btLr"/>
            <w:vAlign w:val="center"/>
          </w:tcPr>
          <w:p w14:paraId="25312C26" w14:textId="77777777" w:rsidR="006D3AD5" w:rsidRPr="00874BFF" w:rsidRDefault="006D3AD5" w:rsidP="00443B8F">
            <w:pPr>
              <w:jc w:val="center"/>
              <w:rPr>
                <w:b/>
                <w:bCs/>
                <w:color w:val="FFFFFF"/>
                <w:sz w:val="24"/>
                <w:szCs w:val="24"/>
              </w:rPr>
            </w:pPr>
            <w:r w:rsidRPr="00874BFF">
              <w:rPr>
                <w:b/>
                <w:color w:val="FFFFFF"/>
                <w:sz w:val="24"/>
              </w:rPr>
              <w:t>Final recipient</w:t>
            </w:r>
          </w:p>
        </w:tc>
        <w:tc>
          <w:tcPr>
            <w:tcW w:w="2414" w:type="dxa"/>
            <w:shd w:val="clear" w:color="auto" w:fill="FF0000"/>
            <w:vAlign w:val="center"/>
          </w:tcPr>
          <w:p w14:paraId="6A7763FA" w14:textId="77777777" w:rsidR="006D3AD5" w:rsidRPr="00874BFF" w:rsidRDefault="006D3AD5" w:rsidP="00443B8F">
            <w:pPr>
              <w:jc w:val="center"/>
              <w:rPr>
                <w:b/>
                <w:color w:val="FFFFFF"/>
                <w:sz w:val="20"/>
              </w:rPr>
            </w:pPr>
            <w:r w:rsidRPr="00874BFF">
              <w:rPr>
                <w:b/>
                <w:color w:val="FFFFFF"/>
                <w:sz w:val="20"/>
              </w:rPr>
              <w:t>Minimum effect on  the return of the project</w:t>
            </w:r>
          </w:p>
        </w:tc>
        <w:tc>
          <w:tcPr>
            <w:tcW w:w="2330" w:type="dxa"/>
            <w:shd w:val="clear" w:color="auto" w:fill="FF0000"/>
            <w:vAlign w:val="center"/>
          </w:tcPr>
          <w:p w14:paraId="0143542D" w14:textId="77777777" w:rsidR="006D3AD5" w:rsidRPr="00874BFF" w:rsidRDefault="006D3AD5" w:rsidP="00443B8F">
            <w:pPr>
              <w:jc w:val="center"/>
              <w:rPr>
                <w:b/>
                <w:color w:val="FFFFFF"/>
                <w:sz w:val="20"/>
              </w:rPr>
            </w:pPr>
            <w:r w:rsidRPr="00874BFF">
              <w:rPr>
                <w:b/>
                <w:color w:val="FFFFFF"/>
                <w:sz w:val="20"/>
              </w:rPr>
              <w:t>Significantly lower effect on the return of the project when compared with  a subsidy</w:t>
            </w:r>
          </w:p>
        </w:tc>
        <w:tc>
          <w:tcPr>
            <w:tcW w:w="2330" w:type="dxa"/>
            <w:shd w:val="clear" w:color="auto" w:fill="FF0000"/>
          </w:tcPr>
          <w:p w14:paraId="0F00FA79" w14:textId="77777777" w:rsidR="006D3AD5" w:rsidRPr="00874BFF" w:rsidRDefault="006D3AD5" w:rsidP="00443B8F">
            <w:pPr>
              <w:jc w:val="center"/>
              <w:rPr>
                <w:b/>
                <w:color w:val="FFFFFF"/>
                <w:sz w:val="20"/>
              </w:rPr>
            </w:pPr>
            <w:r w:rsidRPr="00874BFF">
              <w:rPr>
                <w:b/>
                <w:color w:val="FFFFFF"/>
                <w:sz w:val="20"/>
              </w:rPr>
              <w:t>High administrative demands</w:t>
            </w:r>
          </w:p>
        </w:tc>
      </w:tr>
      <w:tr w:rsidR="006D3AD5" w:rsidRPr="00874BFF" w14:paraId="2C7C0427" w14:textId="77777777" w:rsidTr="00443B8F">
        <w:trPr>
          <w:trHeight w:val="735"/>
        </w:trPr>
        <w:tc>
          <w:tcPr>
            <w:tcW w:w="960" w:type="dxa"/>
            <w:vMerge/>
            <w:shd w:val="clear" w:color="auto" w:fill="FF0000"/>
            <w:vAlign w:val="center"/>
          </w:tcPr>
          <w:p w14:paraId="0F8D0745"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305C8971"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69118C0D" w14:textId="77777777" w:rsidR="006D3AD5" w:rsidRPr="00874BFF" w:rsidRDefault="006D3AD5" w:rsidP="00443B8F">
            <w:pPr>
              <w:jc w:val="center"/>
              <w:rPr>
                <w:b/>
                <w:color w:val="FFFFFF"/>
                <w:sz w:val="20"/>
              </w:rPr>
            </w:pPr>
          </w:p>
        </w:tc>
        <w:tc>
          <w:tcPr>
            <w:tcW w:w="2330" w:type="dxa"/>
            <w:shd w:val="clear" w:color="auto" w:fill="FF0000"/>
            <w:vAlign w:val="center"/>
          </w:tcPr>
          <w:p w14:paraId="6136C8AB" w14:textId="77777777" w:rsidR="006D3AD5" w:rsidRPr="00874BFF" w:rsidRDefault="006D3AD5" w:rsidP="00443B8F">
            <w:pPr>
              <w:jc w:val="center"/>
              <w:rPr>
                <w:b/>
                <w:color w:val="FFFFFF"/>
                <w:sz w:val="20"/>
              </w:rPr>
            </w:pPr>
          </w:p>
        </w:tc>
        <w:tc>
          <w:tcPr>
            <w:tcW w:w="2330" w:type="dxa"/>
            <w:shd w:val="clear" w:color="auto" w:fill="FF0000"/>
          </w:tcPr>
          <w:p w14:paraId="0DBD2689" w14:textId="77777777" w:rsidR="006D3AD5" w:rsidRPr="00874BFF" w:rsidRDefault="006D3AD5" w:rsidP="00443B8F">
            <w:pPr>
              <w:jc w:val="center"/>
              <w:rPr>
                <w:b/>
                <w:color w:val="FFFFFF"/>
                <w:sz w:val="20"/>
              </w:rPr>
            </w:pPr>
            <w:r w:rsidRPr="00874BFF">
              <w:rPr>
                <w:b/>
                <w:color w:val="FFFFFF"/>
                <w:sz w:val="20"/>
              </w:rPr>
              <w:t>Controlled process of tendering for suppliers – higher costs</w:t>
            </w:r>
          </w:p>
        </w:tc>
      </w:tr>
      <w:tr w:rsidR="006D3AD5" w:rsidRPr="00874BFF" w14:paraId="1BAB14E6" w14:textId="77777777" w:rsidTr="00443B8F">
        <w:trPr>
          <w:trHeight w:val="456"/>
        </w:trPr>
        <w:tc>
          <w:tcPr>
            <w:tcW w:w="960" w:type="dxa"/>
            <w:vMerge/>
            <w:shd w:val="clear" w:color="auto" w:fill="FF0000"/>
            <w:vAlign w:val="center"/>
          </w:tcPr>
          <w:p w14:paraId="2CB8105B"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2C5831C6"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4E7A540B" w14:textId="77777777" w:rsidR="006D3AD5" w:rsidRPr="00874BFF" w:rsidRDefault="006D3AD5" w:rsidP="00443B8F">
            <w:pPr>
              <w:jc w:val="center"/>
              <w:rPr>
                <w:b/>
                <w:color w:val="FFFFFF"/>
                <w:sz w:val="20"/>
              </w:rPr>
            </w:pPr>
          </w:p>
        </w:tc>
        <w:tc>
          <w:tcPr>
            <w:tcW w:w="2330" w:type="dxa"/>
            <w:shd w:val="clear" w:color="auto" w:fill="FF0000"/>
            <w:vAlign w:val="center"/>
          </w:tcPr>
          <w:p w14:paraId="45F6FF0A" w14:textId="77777777" w:rsidR="006D3AD5" w:rsidRPr="00874BFF" w:rsidRDefault="006D3AD5" w:rsidP="00443B8F">
            <w:pPr>
              <w:jc w:val="center"/>
              <w:rPr>
                <w:b/>
                <w:color w:val="FFFFFF"/>
                <w:sz w:val="20"/>
              </w:rPr>
            </w:pPr>
          </w:p>
        </w:tc>
        <w:tc>
          <w:tcPr>
            <w:tcW w:w="2330" w:type="dxa"/>
            <w:shd w:val="clear" w:color="auto" w:fill="FF0000"/>
          </w:tcPr>
          <w:p w14:paraId="2FA302B1" w14:textId="77777777" w:rsidR="006D3AD5" w:rsidRPr="00874BFF" w:rsidRDefault="006D3AD5" w:rsidP="00443B8F">
            <w:pPr>
              <w:jc w:val="center"/>
              <w:rPr>
                <w:b/>
                <w:color w:val="FFFFFF"/>
                <w:sz w:val="20"/>
              </w:rPr>
            </w:pPr>
            <w:r w:rsidRPr="00874BFF">
              <w:rPr>
                <w:b/>
                <w:color w:val="FFFFFF"/>
                <w:sz w:val="20"/>
              </w:rPr>
              <w:t>Necessity of pre-financing – ex post payment after completion of the project implementation or its stage.</w:t>
            </w:r>
          </w:p>
        </w:tc>
      </w:tr>
      <w:tr w:rsidR="006D3AD5" w:rsidRPr="00874BFF" w14:paraId="5E5A1EE1" w14:textId="77777777" w:rsidTr="00443B8F">
        <w:trPr>
          <w:trHeight w:val="735"/>
        </w:trPr>
        <w:tc>
          <w:tcPr>
            <w:tcW w:w="960" w:type="dxa"/>
            <w:vMerge/>
            <w:shd w:val="clear" w:color="auto" w:fill="FF0000"/>
            <w:vAlign w:val="center"/>
          </w:tcPr>
          <w:p w14:paraId="0D4D71CE"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6F13B2CA" w14:textId="77777777" w:rsidR="006D3AD5" w:rsidRPr="00874BFF" w:rsidRDefault="006D3AD5" w:rsidP="00443B8F">
            <w:pPr>
              <w:jc w:val="center"/>
              <w:rPr>
                <w:b/>
                <w:bCs/>
                <w:color w:val="000000"/>
                <w:sz w:val="24"/>
                <w:szCs w:val="24"/>
              </w:rPr>
            </w:pPr>
          </w:p>
        </w:tc>
        <w:tc>
          <w:tcPr>
            <w:tcW w:w="2414" w:type="dxa"/>
            <w:shd w:val="clear" w:color="auto" w:fill="FF0000"/>
            <w:vAlign w:val="center"/>
          </w:tcPr>
          <w:p w14:paraId="61BEF01C" w14:textId="77777777" w:rsidR="006D3AD5" w:rsidRPr="00874BFF" w:rsidRDefault="006D3AD5" w:rsidP="00443B8F">
            <w:pPr>
              <w:jc w:val="center"/>
              <w:rPr>
                <w:b/>
                <w:color w:val="FFFFFF"/>
                <w:sz w:val="20"/>
              </w:rPr>
            </w:pPr>
          </w:p>
        </w:tc>
        <w:tc>
          <w:tcPr>
            <w:tcW w:w="2330" w:type="dxa"/>
            <w:shd w:val="clear" w:color="auto" w:fill="FF0000"/>
            <w:vAlign w:val="center"/>
          </w:tcPr>
          <w:p w14:paraId="750E3E68" w14:textId="77777777" w:rsidR="006D3AD5" w:rsidRPr="00874BFF" w:rsidRDefault="006D3AD5" w:rsidP="00443B8F">
            <w:pPr>
              <w:jc w:val="center"/>
              <w:rPr>
                <w:b/>
                <w:color w:val="FFFFFF"/>
                <w:sz w:val="20"/>
              </w:rPr>
            </w:pPr>
          </w:p>
        </w:tc>
        <w:tc>
          <w:tcPr>
            <w:tcW w:w="2330" w:type="dxa"/>
            <w:shd w:val="clear" w:color="auto" w:fill="FF0000"/>
          </w:tcPr>
          <w:p w14:paraId="3E7D0CA0" w14:textId="77777777" w:rsidR="006D3AD5" w:rsidRPr="00874BFF" w:rsidRDefault="006D3AD5" w:rsidP="00443B8F">
            <w:pPr>
              <w:jc w:val="center"/>
              <w:rPr>
                <w:b/>
                <w:color w:val="FFFFFF"/>
                <w:sz w:val="20"/>
              </w:rPr>
            </w:pPr>
            <w:r w:rsidRPr="00874BFF">
              <w:rPr>
                <w:b/>
                <w:color w:val="FFFFFF"/>
                <w:sz w:val="20"/>
              </w:rPr>
              <w:t>Risk of subsequent  withdrawal of subsidy due to mistakes in the project and failure to meet the criteria.</w:t>
            </w:r>
          </w:p>
        </w:tc>
      </w:tr>
      <w:tr w:rsidR="006D3AD5" w:rsidRPr="00874BFF" w14:paraId="4A724426" w14:textId="77777777" w:rsidTr="00443B8F">
        <w:trPr>
          <w:trHeight w:val="735"/>
        </w:trPr>
        <w:tc>
          <w:tcPr>
            <w:tcW w:w="960" w:type="dxa"/>
            <w:vMerge/>
            <w:shd w:val="clear" w:color="auto" w:fill="FF0000"/>
            <w:vAlign w:val="center"/>
          </w:tcPr>
          <w:p w14:paraId="425F85E4" w14:textId="77777777" w:rsidR="006D3AD5" w:rsidRPr="00874BFF" w:rsidRDefault="006D3AD5" w:rsidP="00443B8F">
            <w:pPr>
              <w:jc w:val="left"/>
              <w:rPr>
                <w:b/>
                <w:bCs/>
                <w:color w:val="000000"/>
                <w:sz w:val="24"/>
                <w:szCs w:val="24"/>
              </w:rPr>
            </w:pPr>
          </w:p>
        </w:tc>
        <w:tc>
          <w:tcPr>
            <w:tcW w:w="960" w:type="dxa"/>
            <w:vMerge w:val="restart"/>
            <w:shd w:val="clear" w:color="auto" w:fill="FF0000"/>
            <w:noWrap/>
            <w:textDirection w:val="btLr"/>
            <w:vAlign w:val="center"/>
          </w:tcPr>
          <w:p w14:paraId="65A041BC" w14:textId="77777777" w:rsidR="006D3AD5" w:rsidRPr="00874BFF" w:rsidRDefault="006D3AD5" w:rsidP="00443B8F">
            <w:pPr>
              <w:jc w:val="center"/>
              <w:rPr>
                <w:b/>
                <w:bCs/>
                <w:color w:val="FFFFFF"/>
                <w:sz w:val="24"/>
                <w:szCs w:val="24"/>
              </w:rPr>
            </w:pPr>
            <w:r w:rsidRPr="00874BFF">
              <w:rPr>
                <w:b/>
                <w:color w:val="FFFFFF"/>
                <w:sz w:val="24"/>
              </w:rPr>
              <w:t>MA</w:t>
            </w:r>
          </w:p>
        </w:tc>
        <w:tc>
          <w:tcPr>
            <w:tcW w:w="2414" w:type="dxa"/>
            <w:shd w:val="clear" w:color="auto" w:fill="FF0000"/>
            <w:vAlign w:val="center"/>
          </w:tcPr>
          <w:p w14:paraId="5006B531" w14:textId="77777777" w:rsidR="006D3AD5" w:rsidRPr="00874BFF" w:rsidRDefault="006D3AD5" w:rsidP="00443B8F">
            <w:pPr>
              <w:jc w:val="center"/>
              <w:rPr>
                <w:b/>
                <w:color w:val="FFFFFF"/>
                <w:sz w:val="20"/>
              </w:rPr>
            </w:pPr>
            <w:r w:rsidRPr="00874BFF">
              <w:rPr>
                <w:b/>
                <w:color w:val="FFFFFF"/>
                <w:sz w:val="20"/>
              </w:rPr>
              <w:t>It supports commercially feasible entities.</w:t>
            </w:r>
          </w:p>
        </w:tc>
        <w:tc>
          <w:tcPr>
            <w:tcW w:w="2330" w:type="dxa"/>
            <w:shd w:val="clear" w:color="auto" w:fill="FF0000"/>
            <w:vAlign w:val="center"/>
          </w:tcPr>
          <w:p w14:paraId="2C620838" w14:textId="77777777" w:rsidR="006D3AD5" w:rsidRPr="00874BFF" w:rsidRDefault="006D3AD5" w:rsidP="00443B8F">
            <w:pPr>
              <w:jc w:val="center"/>
              <w:rPr>
                <w:b/>
                <w:color w:val="FFFFFF"/>
                <w:sz w:val="20"/>
              </w:rPr>
            </w:pPr>
            <w:r w:rsidRPr="00874BFF">
              <w:rPr>
                <w:b/>
                <w:color w:val="FFFFFF"/>
                <w:sz w:val="20"/>
              </w:rPr>
              <w:t xml:space="preserve">Limited absorption capacity for commercially difficult projects </w:t>
            </w:r>
          </w:p>
        </w:tc>
        <w:tc>
          <w:tcPr>
            <w:tcW w:w="2330" w:type="dxa"/>
            <w:shd w:val="clear" w:color="auto" w:fill="FF0000"/>
          </w:tcPr>
          <w:p w14:paraId="47E22A01" w14:textId="77777777" w:rsidR="006D3AD5" w:rsidRPr="00874BFF" w:rsidRDefault="006D3AD5" w:rsidP="00443B8F">
            <w:pPr>
              <w:jc w:val="center"/>
              <w:rPr>
                <w:b/>
                <w:color w:val="FFFFFF"/>
                <w:sz w:val="20"/>
              </w:rPr>
            </w:pPr>
            <w:r w:rsidRPr="00874BFF">
              <w:rPr>
                <w:b/>
                <w:color w:val="FFFFFF"/>
                <w:sz w:val="20"/>
              </w:rPr>
              <w:t>Non-repayable costs</w:t>
            </w:r>
          </w:p>
        </w:tc>
      </w:tr>
      <w:tr w:rsidR="006D3AD5" w:rsidRPr="00874BFF" w14:paraId="1BE54358" w14:textId="77777777" w:rsidTr="00443B8F">
        <w:trPr>
          <w:trHeight w:val="735"/>
        </w:trPr>
        <w:tc>
          <w:tcPr>
            <w:tcW w:w="960" w:type="dxa"/>
            <w:vMerge/>
            <w:shd w:val="clear" w:color="auto" w:fill="FF0000"/>
            <w:vAlign w:val="center"/>
          </w:tcPr>
          <w:p w14:paraId="1CAD5334" w14:textId="77777777" w:rsidR="006D3AD5" w:rsidRPr="00874BFF" w:rsidRDefault="006D3AD5" w:rsidP="00443B8F">
            <w:pPr>
              <w:jc w:val="left"/>
              <w:rPr>
                <w:b/>
                <w:bCs/>
                <w:color w:val="000000"/>
                <w:sz w:val="24"/>
                <w:szCs w:val="24"/>
              </w:rPr>
            </w:pPr>
          </w:p>
        </w:tc>
        <w:tc>
          <w:tcPr>
            <w:tcW w:w="960" w:type="dxa"/>
            <w:vMerge/>
            <w:shd w:val="clear" w:color="auto" w:fill="FF0000"/>
            <w:noWrap/>
            <w:textDirection w:val="btLr"/>
            <w:vAlign w:val="center"/>
          </w:tcPr>
          <w:p w14:paraId="405DACDC" w14:textId="77777777" w:rsidR="006D3AD5" w:rsidRPr="00874BFF" w:rsidRDefault="006D3AD5" w:rsidP="00443B8F">
            <w:pPr>
              <w:jc w:val="center"/>
              <w:rPr>
                <w:b/>
                <w:bCs/>
                <w:color w:val="FFFFFF"/>
                <w:sz w:val="24"/>
                <w:szCs w:val="24"/>
              </w:rPr>
            </w:pPr>
          </w:p>
        </w:tc>
        <w:tc>
          <w:tcPr>
            <w:tcW w:w="2414" w:type="dxa"/>
            <w:shd w:val="clear" w:color="auto" w:fill="FF0000"/>
            <w:vAlign w:val="center"/>
          </w:tcPr>
          <w:p w14:paraId="64BD4BE3" w14:textId="77777777" w:rsidR="006D3AD5" w:rsidRPr="00874BFF" w:rsidRDefault="006D3AD5" w:rsidP="00443B8F">
            <w:pPr>
              <w:jc w:val="center"/>
              <w:rPr>
                <w:b/>
                <w:color w:val="FFFFFF"/>
                <w:sz w:val="20"/>
              </w:rPr>
            </w:pPr>
            <w:r w:rsidRPr="00874BFF">
              <w:rPr>
                <w:b/>
                <w:color w:val="FFFFFF"/>
                <w:sz w:val="20"/>
              </w:rPr>
              <w:t>Very low revolving effect</w:t>
            </w:r>
          </w:p>
        </w:tc>
        <w:tc>
          <w:tcPr>
            <w:tcW w:w="2330" w:type="dxa"/>
            <w:shd w:val="clear" w:color="auto" w:fill="FF0000"/>
            <w:vAlign w:val="center"/>
          </w:tcPr>
          <w:p w14:paraId="4D1526BF" w14:textId="77777777" w:rsidR="006D3AD5" w:rsidRPr="00874BFF" w:rsidRDefault="006D3AD5" w:rsidP="00443B8F">
            <w:pPr>
              <w:jc w:val="center"/>
              <w:rPr>
                <w:b/>
                <w:color w:val="FFFFFF"/>
                <w:sz w:val="20"/>
              </w:rPr>
            </w:pPr>
            <w:r w:rsidRPr="00874BFF">
              <w:rPr>
                <w:b/>
                <w:color w:val="FFFFFF"/>
                <w:sz w:val="20"/>
              </w:rPr>
              <w:t>Lower leverage effect than guarantees</w:t>
            </w:r>
          </w:p>
        </w:tc>
        <w:tc>
          <w:tcPr>
            <w:tcW w:w="2330" w:type="dxa"/>
            <w:shd w:val="clear" w:color="auto" w:fill="FF0000"/>
          </w:tcPr>
          <w:p w14:paraId="3F7C3AB7" w14:textId="77777777" w:rsidR="006D3AD5" w:rsidRPr="00874BFF" w:rsidRDefault="006D3AD5" w:rsidP="00443B8F">
            <w:pPr>
              <w:jc w:val="center"/>
              <w:rPr>
                <w:b/>
                <w:color w:val="FFFFFF"/>
                <w:sz w:val="20"/>
              </w:rPr>
            </w:pPr>
            <w:r w:rsidRPr="00874BFF">
              <w:rPr>
                <w:b/>
                <w:color w:val="FFFFFF"/>
                <w:sz w:val="20"/>
              </w:rPr>
              <w:t>Lower number of supported projects</w:t>
            </w:r>
          </w:p>
        </w:tc>
      </w:tr>
      <w:tr w:rsidR="006D3AD5" w:rsidRPr="00874BFF" w14:paraId="58E31D01" w14:textId="77777777" w:rsidTr="00443B8F">
        <w:trPr>
          <w:trHeight w:val="566"/>
        </w:trPr>
        <w:tc>
          <w:tcPr>
            <w:tcW w:w="960" w:type="dxa"/>
            <w:vMerge/>
            <w:shd w:val="clear" w:color="auto" w:fill="FF0000"/>
            <w:vAlign w:val="center"/>
          </w:tcPr>
          <w:p w14:paraId="455537AC" w14:textId="77777777" w:rsidR="006D3AD5" w:rsidRPr="00874BFF" w:rsidRDefault="006D3AD5" w:rsidP="00443B8F">
            <w:pPr>
              <w:jc w:val="left"/>
              <w:rPr>
                <w:b/>
                <w:bCs/>
                <w:color w:val="000000"/>
                <w:sz w:val="18"/>
                <w:szCs w:val="18"/>
              </w:rPr>
            </w:pPr>
          </w:p>
        </w:tc>
        <w:tc>
          <w:tcPr>
            <w:tcW w:w="960" w:type="dxa"/>
            <w:vMerge/>
            <w:shd w:val="clear" w:color="auto" w:fill="FF0000"/>
            <w:noWrap/>
            <w:textDirection w:val="btLr"/>
            <w:vAlign w:val="center"/>
          </w:tcPr>
          <w:p w14:paraId="71459DDE" w14:textId="77777777" w:rsidR="006D3AD5" w:rsidRPr="00874BFF" w:rsidRDefault="006D3AD5" w:rsidP="00443B8F">
            <w:pPr>
              <w:jc w:val="center"/>
              <w:rPr>
                <w:b/>
                <w:bCs/>
                <w:color w:val="000000"/>
                <w:sz w:val="18"/>
                <w:szCs w:val="18"/>
              </w:rPr>
            </w:pPr>
          </w:p>
        </w:tc>
        <w:tc>
          <w:tcPr>
            <w:tcW w:w="2414" w:type="dxa"/>
            <w:shd w:val="clear" w:color="auto" w:fill="FF0000"/>
            <w:vAlign w:val="center"/>
          </w:tcPr>
          <w:p w14:paraId="16C64C6E"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shd w:val="clear" w:color="auto" w:fill="FF0000"/>
            <w:vAlign w:val="center"/>
          </w:tcPr>
          <w:p w14:paraId="506ED853" w14:textId="77777777" w:rsidR="006D3AD5" w:rsidRPr="00874BFF" w:rsidRDefault="006D3AD5" w:rsidP="00443B8F">
            <w:pPr>
              <w:jc w:val="center"/>
              <w:rPr>
                <w:b/>
                <w:color w:val="FFFFFF"/>
                <w:sz w:val="20"/>
              </w:rPr>
            </w:pPr>
            <w:r w:rsidRPr="00874BFF">
              <w:rPr>
                <w:b/>
                <w:color w:val="FFFFFF"/>
                <w:sz w:val="20"/>
              </w:rPr>
              <w:t>Revolving is impeded by fees of the intermediary</w:t>
            </w:r>
          </w:p>
        </w:tc>
        <w:tc>
          <w:tcPr>
            <w:tcW w:w="2330" w:type="dxa"/>
            <w:shd w:val="clear" w:color="auto" w:fill="FF0000"/>
          </w:tcPr>
          <w:p w14:paraId="476DC31D" w14:textId="77777777" w:rsidR="006D3AD5" w:rsidRPr="00874BFF" w:rsidRDefault="006D3AD5" w:rsidP="00443B8F">
            <w:pPr>
              <w:jc w:val="center"/>
              <w:rPr>
                <w:b/>
                <w:color w:val="FFFFFF"/>
                <w:sz w:val="20"/>
              </w:rPr>
            </w:pPr>
            <w:r w:rsidRPr="00874BFF">
              <w:rPr>
                <w:b/>
                <w:color w:val="FFFFFF"/>
                <w:sz w:val="20"/>
              </w:rPr>
              <w:t>Slower absorption</w:t>
            </w:r>
          </w:p>
        </w:tc>
      </w:tr>
      <w:tr w:rsidR="006D3AD5" w:rsidRPr="00874BFF" w14:paraId="04466EE0" w14:textId="77777777" w:rsidTr="00443B8F">
        <w:trPr>
          <w:trHeight w:val="264"/>
        </w:trPr>
        <w:tc>
          <w:tcPr>
            <w:tcW w:w="960" w:type="dxa"/>
            <w:vMerge/>
            <w:shd w:val="clear" w:color="auto" w:fill="FF0000"/>
            <w:vAlign w:val="center"/>
          </w:tcPr>
          <w:p w14:paraId="1BDC97AA" w14:textId="77777777" w:rsidR="006D3AD5" w:rsidRPr="00874BFF" w:rsidRDefault="006D3AD5" w:rsidP="00443B8F">
            <w:pPr>
              <w:jc w:val="left"/>
              <w:rPr>
                <w:b/>
                <w:bCs/>
                <w:color w:val="000000"/>
                <w:sz w:val="18"/>
                <w:szCs w:val="18"/>
              </w:rPr>
            </w:pPr>
          </w:p>
        </w:tc>
        <w:tc>
          <w:tcPr>
            <w:tcW w:w="960" w:type="dxa"/>
            <w:vMerge/>
            <w:shd w:val="clear" w:color="auto" w:fill="FF0000"/>
            <w:noWrap/>
            <w:textDirection w:val="btLr"/>
            <w:vAlign w:val="center"/>
          </w:tcPr>
          <w:p w14:paraId="78B32899" w14:textId="77777777" w:rsidR="006D3AD5" w:rsidRPr="00874BFF" w:rsidRDefault="006D3AD5" w:rsidP="00443B8F">
            <w:pPr>
              <w:jc w:val="center"/>
              <w:rPr>
                <w:b/>
                <w:bCs/>
                <w:color w:val="000000"/>
                <w:sz w:val="18"/>
                <w:szCs w:val="18"/>
              </w:rPr>
            </w:pPr>
          </w:p>
        </w:tc>
        <w:tc>
          <w:tcPr>
            <w:tcW w:w="2414" w:type="dxa"/>
            <w:shd w:val="clear" w:color="auto" w:fill="FF0000"/>
            <w:vAlign w:val="center"/>
          </w:tcPr>
          <w:p w14:paraId="0C297F9A" w14:textId="77777777" w:rsidR="006D3AD5" w:rsidRPr="00874BFF" w:rsidRDefault="006D3AD5" w:rsidP="00443B8F">
            <w:pPr>
              <w:jc w:val="center"/>
              <w:rPr>
                <w:b/>
                <w:color w:val="FFFFFF"/>
                <w:sz w:val="20"/>
              </w:rPr>
            </w:pPr>
          </w:p>
        </w:tc>
        <w:tc>
          <w:tcPr>
            <w:tcW w:w="2330" w:type="dxa"/>
            <w:shd w:val="clear" w:color="auto" w:fill="FF0000"/>
            <w:vAlign w:val="center"/>
          </w:tcPr>
          <w:p w14:paraId="2F1100E7" w14:textId="77777777" w:rsidR="006D3AD5" w:rsidRPr="00874BFF" w:rsidRDefault="006D3AD5" w:rsidP="00443B8F">
            <w:pPr>
              <w:jc w:val="center"/>
              <w:rPr>
                <w:b/>
                <w:color w:val="FFFFFF"/>
                <w:sz w:val="20"/>
              </w:rPr>
            </w:pPr>
            <w:r w:rsidRPr="00874BFF">
              <w:rPr>
                <w:b/>
                <w:color w:val="FFFFFF"/>
                <w:sz w:val="20"/>
              </w:rPr>
              <w:t>Reimbursement of fees to beneficiaries</w:t>
            </w:r>
          </w:p>
        </w:tc>
        <w:tc>
          <w:tcPr>
            <w:tcW w:w="2330" w:type="dxa"/>
            <w:shd w:val="clear" w:color="auto" w:fill="FF0000"/>
          </w:tcPr>
          <w:p w14:paraId="3A5C5C1C" w14:textId="77777777" w:rsidR="006D3AD5" w:rsidRPr="00874BFF" w:rsidRDefault="006D3AD5" w:rsidP="00443B8F">
            <w:pPr>
              <w:keepNext/>
              <w:jc w:val="center"/>
              <w:rPr>
                <w:b/>
                <w:color w:val="FFFFFF"/>
                <w:sz w:val="20"/>
              </w:rPr>
            </w:pPr>
          </w:p>
        </w:tc>
      </w:tr>
    </w:tbl>
    <w:p w14:paraId="1D182C8B" w14:textId="2DD0543A" w:rsidR="006D3AD5" w:rsidRPr="00874BFF" w:rsidRDefault="006D3AD5" w:rsidP="006D3AD5">
      <w:pPr>
        <w:pStyle w:val="Titulek"/>
      </w:pPr>
      <w:r w:rsidRPr="00874BFF">
        <w:t>Table 5</w:t>
      </w:r>
      <w:r w:rsidR="00001EEF">
        <w:t>5</w:t>
      </w:r>
      <w:r w:rsidRPr="00874BFF">
        <w:t xml:space="preserve">: Added value, disadvantages, problems and risks of public </w:t>
      </w:r>
      <w:r w:rsidR="008F5F02">
        <w:t>support for final recipients and MA</w:t>
      </w:r>
    </w:p>
    <w:p w14:paraId="43718792" w14:textId="77777777" w:rsidR="006D3AD5" w:rsidRPr="00874BFF" w:rsidRDefault="006D3AD5" w:rsidP="006D3AD5"/>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3AD5" w:rsidRPr="00874BFF" w14:paraId="180EF3ED" w14:textId="77777777" w:rsidTr="00443B8F">
        <w:tc>
          <w:tcPr>
            <w:tcW w:w="1729" w:type="dxa"/>
            <w:shd w:val="clear" w:color="auto" w:fill="4F81BD"/>
          </w:tcPr>
          <w:p w14:paraId="756AB2EB"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Market failure</w:t>
            </w:r>
          </w:p>
        </w:tc>
        <w:tc>
          <w:tcPr>
            <w:tcW w:w="2694" w:type="dxa"/>
            <w:shd w:val="clear" w:color="auto" w:fill="4F81BD"/>
          </w:tcPr>
          <w:p w14:paraId="195EDB22"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Guarantee instrument</w:t>
            </w:r>
          </w:p>
        </w:tc>
        <w:tc>
          <w:tcPr>
            <w:tcW w:w="2268" w:type="dxa"/>
            <w:shd w:val="clear" w:color="auto" w:fill="4F81BD"/>
          </w:tcPr>
          <w:p w14:paraId="67096145" w14:textId="77777777" w:rsidR="006D3AD5" w:rsidRPr="00874BFF" w:rsidRDefault="006D3AD5" w:rsidP="00443B8F">
            <w:pPr>
              <w:pStyle w:val="Highlight2"/>
              <w:jc w:val="center"/>
              <w:rPr>
                <w:rFonts w:ascii="Calibri" w:hAnsi="Calibri" w:cs="Calibri"/>
                <w:color w:val="FFFFFF"/>
                <w:sz w:val="22"/>
                <w:szCs w:val="22"/>
              </w:rPr>
            </w:pPr>
            <w:r w:rsidRPr="00874BFF">
              <w:rPr>
                <w:rFonts w:ascii="Calibri" w:hAnsi="Calibri"/>
                <w:color w:val="FFFFFF"/>
                <w:sz w:val="22"/>
              </w:rPr>
              <w:t>Soft loan</w:t>
            </w:r>
          </w:p>
        </w:tc>
        <w:tc>
          <w:tcPr>
            <w:tcW w:w="2268" w:type="dxa"/>
            <w:shd w:val="clear" w:color="auto" w:fill="4F81BD"/>
          </w:tcPr>
          <w:p w14:paraId="6DE57D90" w14:textId="77777777" w:rsidR="006D3AD5" w:rsidRPr="00874BFF" w:rsidRDefault="006D3AD5" w:rsidP="00443B8F">
            <w:pPr>
              <w:pStyle w:val="Highlight2"/>
              <w:jc w:val="center"/>
              <w:rPr>
                <w:rFonts w:ascii="Calibri" w:hAnsi="Calibri" w:cs="Calibri"/>
                <w:bCs/>
                <w:color w:val="FFFFFF"/>
                <w:sz w:val="22"/>
                <w:szCs w:val="22"/>
              </w:rPr>
            </w:pPr>
            <w:r w:rsidRPr="00874BFF">
              <w:rPr>
                <w:rFonts w:ascii="Calibri" w:hAnsi="Calibri"/>
                <w:color w:val="FFFFFF"/>
                <w:sz w:val="22"/>
              </w:rPr>
              <w:t>Subsidy</w:t>
            </w:r>
          </w:p>
        </w:tc>
      </w:tr>
      <w:tr w:rsidR="006D3AD5" w:rsidRPr="00874BFF" w14:paraId="4CA0FB8D" w14:textId="77777777" w:rsidTr="00443B8F">
        <w:trPr>
          <w:trHeight w:val="793"/>
        </w:trPr>
        <w:tc>
          <w:tcPr>
            <w:tcW w:w="1729" w:type="dxa"/>
          </w:tcPr>
          <w:p w14:paraId="10B09342" w14:textId="77777777" w:rsidR="006D3AD5" w:rsidRPr="00874BFF" w:rsidRDefault="006D3AD5" w:rsidP="00443B8F">
            <w:pPr>
              <w:pStyle w:val="Highlight2"/>
              <w:jc w:val="left"/>
              <w:rPr>
                <w:rFonts w:ascii="Calibri" w:hAnsi="Calibri" w:cs="Calibri"/>
              </w:rPr>
            </w:pPr>
            <w:r w:rsidRPr="00874BFF">
              <w:rPr>
                <w:rFonts w:ascii="Calibri" w:hAnsi="Calibri"/>
                <w:color w:val="auto"/>
              </w:rPr>
              <w:t>Project costs and  return</w:t>
            </w:r>
          </w:p>
        </w:tc>
        <w:tc>
          <w:tcPr>
            <w:tcW w:w="2694" w:type="dxa"/>
          </w:tcPr>
          <w:p w14:paraId="610DFB61"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auto"/>
              </w:rPr>
              <w:t>It has not a great influence on reduction of project costs and return on the project.</w:t>
            </w:r>
          </w:p>
        </w:tc>
        <w:tc>
          <w:tcPr>
            <w:tcW w:w="2268" w:type="dxa"/>
          </w:tcPr>
          <w:p w14:paraId="70719F1D"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auto"/>
              </w:rPr>
              <w:t>It partially reduces interest costs and initial costs of preparation, however, it does not radically change return parameters.</w:t>
            </w:r>
          </w:p>
        </w:tc>
        <w:tc>
          <w:tcPr>
            <w:tcW w:w="2268" w:type="dxa"/>
          </w:tcPr>
          <w:p w14:paraId="51F2046F"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auto"/>
              </w:rPr>
              <w:t>It  reduces costs for applicants significantly, improving thus the return on the project.</w:t>
            </w:r>
          </w:p>
        </w:tc>
      </w:tr>
      <w:tr w:rsidR="006D3AD5" w:rsidRPr="00874BFF" w14:paraId="7346BEA1" w14:textId="77777777" w:rsidTr="00443B8F">
        <w:trPr>
          <w:trHeight w:val="1521"/>
        </w:trPr>
        <w:tc>
          <w:tcPr>
            <w:tcW w:w="1729" w:type="dxa"/>
          </w:tcPr>
          <w:p w14:paraId="56DF3945"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t>Project risk</w:t>
            </w:r>
          </w:p>
        </w:tc>
        <w:tc>
          <w:tcPr>
            <w:tcW w:w="2694" w:type="dxa"/>
          </w:tcPr>
          <w:p w14:paraId="4CA4FF3B" w14:textId="7569EAE3"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In terms of crediting, </w:t>
            </w:r>
            <w:r w:rsidR="008F5F02">
              <w:rPr>
                <w:rFonts w:ascii="Calibri" w:hAnsi="Calibri"/>
                <w:b w:val="0"/>
                <w:color w:val="000000"/>
              </w:rPr>
              <w:t>It spreads the risk among the final recipient</w:t>
            </w:r>
            <w:r w:rsidRPr="00874BFF">
              <w:rPr>
                <w:rFonts w:ascii="Calibri" w:hAnsi="Calibri"/>
                <w:b w:val="0"/>
                <w:color w:val="000000"/>
              </w:rPr>
              <w:t>, the bank and the FI. More liquid collateral, a marked reduction of the risk for the lending institution</w:t>
            </w:r>
          </w:p>
          <w:p w14:paraId="70E05B3D" w14:textId="77777777" w:rsidR="006D3AD5" w:rsidRPr="00874BFF" w:rsidRDefault="006D3AD5" w:rsidP="00443B8F">
            <w:pPr>
              <w:pStyle w:val="Highlight2"/>
              <w:jc w:val="center"/>
              <w:rPr>
                <w:rFonts w:ascii="Calibri" w:hAnsi="Calibri" w:cs="Calibri"/>
                <w:b w:val="0"/>
                <w:color w:val="000000"/>
              </w:rPr>
            </w:pPr>
          </w:p>
          <w:p w14:paraId="6A192712" w14:textId="33F38420"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Risk of i</w:t>
            </w:r>
            <w:r w:rsidR="00CF3F95">
              <w:rPr>
                <w:rFonts w:ascii="Calibri" w:hAnsi="Calibri"/>
                <w:b w:val="0"/>
                <w:color w:val="000000"/>
              </w:rPr>
              <w:t>ncreased costs for final recipient remains</w:t>
            </w:r>
            <w:r w:rsidRPr="00874BFF">
              <w:rPr>
                <w:rFonts w:ascii="Calibri" w:hAnsi="Calibri"/>
                <w:b w:val="0"/>
                <w:color w:val="000000"/>
              </w:rPr>
              <w:t>.</w:t>
            </w:r>
          </w:p>
          <w:p w14:paraId="61FCDDBD" w14:textId="77777777" w:rsidR="006D3AD5" w:rsidRPr="00874BFF" w:rsidRDefault="006D3AD5" w:rsidP="00443B8F">
            <w:pPr>
              <w:pStyle w:val="Highlight2"/>
              <w:jc w:val="center"/>
              <w:rPr>
                <w:rFonts w:ascii="Calibri" w:hAnsi="Calibri" w:cs="Calibri"/>
                <w:b w:val="0"/>
                <w:color w:val="000000"/>
              </w:rPr>
            </w:pPr>
          </w:p>
          <w:p w14:paraId="3CD393B2" w14:textId="77777777" w:rsidR="006D3AD5" w:rsidRPr="00874BFF" w:rsidRDefault="006D3AD5" w:rsidP="00443B8F">
            <w:pPr>
              <w:pStyle w:val="Highlight2"/>
              <w:jc w:val="center"/>
              <w:rPr>
                <w:rFonts w:ascii="Calibri" w:hAnsi="Calibri" w:cs="Calibri"/>
                <w:b w:val="0"/>
                <w:color w:val="000000"/>
              </w:rPr>
            </w:pPr>
          </w:p>
        </w:tc>
        <w:tc>
          <w:tcPr>
            <w:tcW w:w="2268" w:type="dxa"/>
          </w:tcPr>
          <w:p w14:paraId="1BD5ED0E" w14:textId="6AAFC30B" w:rsidR="006D3AD5" w:rsidRPr="00874BFF" w:rsidRDefault="008F5F02" w:rsidP="00443B8F">
            <w:pPr>
              <w:pStyle w:val="Highlight2"/>
              <w:jc w:val="center"/>
              <w:rPr>
                <w:rFonts w:ascii="Calibri" w:hAnsi="Calibri" w:cs="Calibri"/>
                <w:b w:val="0"/>
                <w:color w:val="000000"/>
              </w:rPr>
            </w:pPr>
            <w:r>
              <w:rPr>
                <w:rFonts w:ascii="Calibri" w:hAnsi="Calibri"/>
                <w:b w:val="0"/>
                <w:color w:val="000000"/>
              </w:rPr>
              <w:t>It spreads the risk among the final recipient</w:t>
            </w:r>
            <w:r w:rsidR="006D3AD5" w:rsidRPr="00874BFF">
              <w:rPr>
                <w:rFonts w:ascii="Calibri" w:hAnsi="Calibri"/>
                <w:b w:val="0"/>
                <w:color w:val="000000"/>
              </w:rPr>
              <w:t>, the bank and the FI.</w:t>
            </w:r>
          </w:p>
          <w:p w14:paraId="78F4004F" w14:textId="77777777" w:rsidR="006D3AD5" w:rsidRPr="00874BFF" w:rsidRDefault="006D3AD5" w:rsidP="00443B8F">
            <w:pPr>
              <w:pStyle w:val="Highlight2"/>
              <w:jc w:val="center"/>
              <w:rPr>
                <w:rFonts w:ascii="Calibri" w:hAnsi="Calibri" w:cs="Calibri"/>
                <w:b w:val="0"/>
                <w:color w:val="000000"/>
              </w:rPr>
            </w:pPr>
          </w:p>
          <w:p w14:paraId="43BCC8D1" w14:textId="1B4DB731"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Risk of i</w:t>
            </w:r>
            <w:r w:rsidR="00CF3F95">
              <w:rPr>
                <w:rFonts w:ascii="Calibri" w:hAnsi="Calibri"/>
                <w:b w:val="0"/>
                <w:color w:val="000000"/>
              </w:rPr>
              <w:t>ncreased costs for final recipient remains</w:t>
            </w:r>
            <w:r w:rsidRPr="00874BFF">
              <w:rPr>
                <w:rFonts w:ascii="Calibri" w:hAnsi="Calibri"/>
                <w:b w:val="0"/>
                <w:color w:val="000000"/>
              </w:rPr>
              <w:t>.</w:t>
            </w:r>
          </w:p>
          <w:p w14:paraId="3C70C5FB" w14:textId="77777777" w:rsidR="006D3AD5" w:rsidRPr="00874BFF" w:rsidRDefault="006D3AD5" w:rsidP="00443B8F">
            <w:pPr>
              <w:pStyle w:val="Highlight2"/>
              <w:jc w:val="center"/>
              <w:rPr>
                <w:rFonts w:ascii="Calibri" w:hAnsi="Calibri" w:cs="Calibri"/>
                <w:b w:val="0"/>
                <w:color w:val="000000"/>
              </w:rPr>
            </w:pPr>
          </w:p>
          <w:p w14:paraId="4D67EFAC" w14:textId="77777777" w:rsidR="006D3AD5" w:rsidRPr="00874BFF" w:rsidRDefault="006D3AD5" w:rsidP="00443B8F">
            <w:pPr>
              <w:pStyle w:val="Highlight2"/>
              <w:jc w:val="center"/>
              <w:rPr>
                <w:rFonts w:ascii="Calibri" w:hAnsi="Calibri" w:cs="Calibri"/>
                <w:b w:val="0"/>
                <w:color w:val="000000"/>
              </w:rPr>
            </w:pPr>
          </w:p>
        </w:tc>
        <w:tc>
          <w:tcPr>
            <w:tcW w:w="2268" w:type="dxa"/>
          </w:tcPr>
          <w:p w14:paraId="276269E2" w14:textId="20FCD5A3" w:rsidR="006D3AD5" w:rsidRPr="00874BFF" w:rsidRDefault="00CF3F95" w:rsidP="00443B8F">
            <w:pPr>
              <w:pStyle w:val="Highlight2"/>
              <w:jc w:val="center"/>
              <w:rPr>
                <w:rFonts w:ascii="Calibri" w:hAnsi="Calibri" w:cs="Calibri"/>
                <w:b w:val="0"/>
                <w:color w:val="000000"/>
              </w:rPr>
            </w:pPr>
            <w:r>
              <w:rPr>
                <w:rFonts w:ascii="Calibri" w:hAnsi="Calibri"/>
                <w:b w:val="0"/>
                <w:color w:val="000000"/>
              </w:rPr>
              <w:t>Subsidy of part of the costs reduces the final recipient</w:t>
            </w:r>
            <w:r w:rsidR="006D3AD5" w:rsidRPr="00874BFF">
              <w:rPr>
                <w:rFonts w:ascii="Calibri" w:hAnsi="Calibri"/>
                <w:b w:val="0"/>
                <w:color w:val="000000"/>
              </w:rPr>
              <w:t xml:space="preserve">'s risks of negative development in revitalization. </w:t>
            </w:r>
            <w:r w:rsidR="008F5F02">
              <w:rPr>
                <w:rFonts w:ascii="Calibri" w:hAnsi="Calibri"/>
                <w:b w:val="0"/>
                <w:color w:val="000000"/>
              </w:rPr>
              <w:t>The final recipient assumes the risk only</w:t>
            </w:r>
            <w:r w:rsidR="006D3AD5" w:rsidRPr="00874BFF">
              <w:rPr>
                <w:rFonts w:ascii="Calibri" w:hAnsi="Calibri"/>
                <w:b w:val="0"/>
                <w:color w:val="000000"/>
              </w:rPr>
              <w:t xml:space="preserve"> to the amount of participation of eligible and ineligible costs (also at the amount of the subsidy if sustainability of the project is not reached).</w:t>
            </w:r>
          </w:p>
          <w:p w14:paraId="0584D920" w14:textId="77777777" w:rsidR="006D3AD5" w:rsidRPr="00874BFF" w:rsidRDefault="006D3AD5" w:rsidP="00443B8F">
            <w:pPr>
              <w:pStyle w:val="Highlight2"/>
              <w:jc w:val="center"/>
              <w:rPr>
                <w:rFonts w:ascii="Calibri" w:hAnsi="Calibri" w:cs="Calibri"/>
                <w:b w:val="0"/>
                <w:color w:val="000000"/>
              </w:rPr>
            </w:pPr>
          </w:p>
          <w:p w14:paraId="548A41D1"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Improved creditworthiness of the subsidized projects.</w:t>
            </w:r>
          </w:p>
          <w:p w14:paraId="570BDAAC" w14:textId="77777777" w:rsidR="006D3AD5" w:rsidRPr="00874BFF" w:rsidRDefault="006D3AD5" w:rsidP="00443B8F">
            <w:pPr>
              <w:pStyle w:val="Highlight2"/>
              <w:jc w:val="center"/>
              <w:rPr>
                <w:rFonts w:ascii="Calibri" w:hAnsi="Calibri" w:cs="Calibri"/>
                <w:b w:val="0"/>
                <w:color w:val="000000"/>
              </w:rPr>
            </w:pPr>
          </w:p>
          <w:p w14:paraId="7CD0D9F6"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 xml:space="preserve"> The MA has predefined losses up to the absolute amount of the subsidy.</w:t>
            </w:r>
          </w:p>
        </w:tc>
      </w:tr>
      <w:tr w:rsidR="006D3AD5" w:rsidRPr="00874BFF" w14:paraId="6C142C24" w14:textId="77777777" w:rsidTr="00443B8F">
        <w:tc>
          <w:tcPr>
            <w:tcW w:w="1729" w:type="dxa"/>
          </w:tcPr>
          <w:p w14:paraId="7C0C27E3" w14:textId="77777777" w:rsidR="006D3AD5" w:rsidRPr="00874BFF" w:rsidRDefault="006D3AD5" w:rsidP="00443B8F">
            <w:pPr>
              <w:pStyle w:val="Highlight2"/>
              <w:jc w:val="left"/>
              <w:rPr>
                <w:rFonts w:ascii="Calibri" w:hAnsi="Calibri" w:cs="Calibri"/>
                <w:color w:val="auto"/>
                <w:szCs w:val="20"/>
              </w:rPr>
            </w:pPr>
          </w:p>
        </w:tc>
        <w:tc>
          <w:tcPr>
            <w:tcW w:w="2694" w:type="dxa"/>
          </w:tcPr>
          <w:p w14:paraId="796323FA" w14:textId="77777777" w:rsidR="006D3AD5" w:rsidRPr="00874BFF" w:rsidRDefault="006D3AD5" w:rsidP="00443B8F">
            <w:pPr>
              <w:pStyle w:val="Highlight2"/>
              <w:jc w:val="center"/>
              <w:rPr>
                <w:rFonts w:ascii="Calibri" w:hAnsi="Calibri" w:cs="Calibri"/>
                <w:b w:val="0"/>
                <w:color w:val="auto"/>
                <w:szCs w:val="20"/>
              </w:rPr>
            </w:pPr>
          </w:p>
        </w:tc>
        <w:tc>
          <w:tcPr>
            <w:tcW w:w="2268" w:type="dxa"/>
          </w:tcPr>
          <w:p w14:paraId="6B68190A" w14:textId="77777777" w:rsidR="006D3AD5" w:rsidRPr="00874BFF" w:rsidRDefault="006D3AD5" w:rsidP="00443B8F">
            <w:pPr>
              <w:pStyle w:val="Highlight2"/>
              <w:jc w:val="center"/>
              <w:rPr>
                <w:rFonts w:ascii="Calibri" w:hAnsi="Calibri" w:cs="Calibri"/>
                <w:b w:val="0"/>
                <w:color w:val="auto"/>
                <w:szCs w:val="20"/>
              </w:rPr>
            </w:pPr>
          </w:p>
        </w:tc>
        <w:tc>
          <w:tcPr>
            <w:tcW w:w="2268" w:type="dxa"/>
          </w:tcPr>
          <w:p w14:paraId="13959224" w14:textId="77777777" w:rsidR="006D3AD5" w:rsidRPr="00874BFF" w:rsidRDefault="006D3AD5" w:rsidP="00443B8F">
            <w:pPr>
              <w:pStyle w:val="Highlight2"/>
              <w:jc w:val="center"/>
              <w:rPr>
                <w:rFonts w:ascii="Calibri" w:hAnsi="Calibri" w:cs="Calibri"/>
                <w:b w:val="0"/>
                <w:color w:val="auto"/>
                <w:szCs w:val="20"/>
              </w:rPr>
            </w:pPr>
          </w:p>
        </w:tc>
      </w:tr>
      <w:tr w:rsidR="006D3AD5" w:rsidRPr="00874BFF" w14:paraId="49486A7E" w14:textId="77777777" w:rsidTr="00443B8F">
        <w:tc>
          <w:tcPr>
            <w:tcW w:w="1729" w:type="dxa"/>
          </w:tcPr>
          <w:p w14:paraId="5CEE62B4" w14:textId="77777777" w:rsidR="006D3AD5" w:rsidRPr="00874BFF" w:rsidRDefault="006D3AD5" w:rsidP="00443B8F">
            <w:pPr>
              <w:pStyle w:val="Highlight2"/>
              <w:jc w:val="left"/>
              <w:rPr>
                <w:rFonts w:ascii="Calibri" w:hAnsi="Calibri" w:cs="Calibri"/>
              </w:rPr>
            </w:pPr>
            <w:r w:rsidRPr="00874BFF">
              <w:rPr>
                <w:rFonts w:ascii="Calibri" w:hAnsi="Calibri"/>
                <w:color w:val="000000"/>
              </w:rPr>
              <w:t>Administrative burden</w:t>
            </w:r>
          </w:p>
        </w:tc>
        <w:tc>
          <w:tcPr>
            <w:tcW w:w="2694" w:type="dxa"/>
          </w:tcPr>
          <w:p w14:paraId="404D7685"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Simple administration, without any risk of withdrawal of support due to technical mistakes</w:t>
            </w:r>
          </w:p>
          <w:p w14:paraId="76C8B211" w14:textId="77777777" w:rsidR="006D3AD5" w:rsidRPr="00874BFF" w:rsidRDefault="006D3AD5" w:rsidP="00443B8F">
            <w:pPr>
              <w:pStyle w:val="Highlight2"/>
              <w:jc w:val="center"/>
              <w:rPr>
                <w:rFonts w:ascii="Calibri" w:hAnsi="Calibri" w:cs="Calibri"/>
                <w:b w:val="0"/>
                <w:color w:val="000000"/>
              </w:rPr>
            </w:pPr>
          </w:p>
        </w:tc>
        <w:tc>
          <w:tcPr>
            <w:tcW w:w="2268" w:type="dxa"/>
          </w:tcPr>
          <w:p w14:paraId="0C6429A5" w14:textId="77777777" w:rsidR="006D3AD5" w:rsidRPr="00874BFF" w:rsidRDefault="006D3AD5" w:rsidP="00443B8F">
            <w:pPr>
              <w:pStyle w:val="Highlight2"/>
              <w:jc w:val="center"/>
              <w:rPr>
                <w:rFonts w:ascii="Calibri" w:hAnsi="Calibri" w:cs="Calibri"/>
                <w:b w:val="0"/>
              </w:rPr>
            </w:pPr>
            <w:r w:rsidRPr="00874BFF">
              <w:rPr>
                <w:rFonts w:ascii="Calibri" w:hAnsi="Calibri"/>
                <w:b w:val="0"/>
                <w:color w:val="000000"/>
              </w:rPr>
              <w:t>Simple administration, without any risk of withdrawal of support due to technical mistakes</w:t>
            </w:r>
          </w:p>
        </w:tc>
        <w:tc>
          <w:tcPr>
            <w:tcW w:w="2268" w:type="dxa"/>
          </w:tcPr>
          <w:p w14:paraId="799E4EF8" w14:textId="54B805A0" w:rsidR="006D3AD5" w:rsidRPr="00874BFF" w:rsidRDefault="00CF3F95" w:rsidP="00443B8F">
            <w:pPr>
              <w:pStyle w:val="Highlight2"/>
              <w:jc w:val="center"/>
              <w:rPr>
                <w:rFonts w:ascii="Calibri" w:hAnsi="Calibri" w:cs="Calibri"/>
                <w:b w:val="0"/>
                <w:color w:val="000000"/>
              </w:rPr>
            </w:pPr>
            <w:r>
              <w:rPr>
                <w:rFonts w:ascii="Calibri" w:hAnsi="Calibri"/>
                <w:b w:val="0"/>
                <w:color w:val="000000"/>
              </w:rPr>
              <w:t>High administrative and regulatory burden limits final recipients</w:t>
            </w:r>
            <w:r w:rsidR="006D3AD5" w:rsidRPr="00874BFF">
              <w:rPr>
                <w:rFonts w:ascii="Calibri" w:hAnsi="Calibri"/>
                <w:b w:val="0"/>
                <w:color w:val="000000"/>
              </w:rPr>
              <w:t>, increases costs and poses a risk of withdrawal of subsidy.</w:t>
            </w:r>
          </w:p>
        </w:tc>
      </w:tr>
      <w:tr w:rsidR="006D3AD5" w:rsidRPr="00874BFF" w14:paraId="5A2CD528" w14:textId="77777777" w:rsidTr="00443B8F">
        <w:trPr>
          <w:trHeight w:val="1474"/>
        </w:trPr>
        <w:tc>
          <w:tcPr>
            <w:tcW w:w="1729" w:type="dxa"/>
          </w:tcPr>
          <w:p w14:paraId="7A2A3AE9" w14:textId="77777777" w:rsidR="006D3AD5" w:rsidRPr="00874BFF" w:rsidRDefault="006D3AD5" w:rsidP="00443B8F">
            <w:pPr>
              <w:rPr>
                <w:sz w:val="19"/>
              </w:rPr>
            </w:pPr>
            <w:r w:rsidRPr="00874BFF">
              <w:rPr>
                <w:b/>
                <w:sz w:val="20"/>
              </w:rPr>
              <w:t>Overall effect on investment activity and absorption in SO</w:t>
            </w:r>
          </w:p>
        </w:tc>
        <w:tc>
          <w:tcPr>
            <w:tcW w:w="2694" w:type="dxa"/>
          </w:tcPr>
          <w:p w14:paraId="4123065D" w14:textId="77777777" w:rsidR="006D3AD5" w:rsidRPr="00874BFF" w:rsidRDefault="006D3AD5" w:rsidP="00443B8F">
            <w:pPr>
              <w:pStyle w:val="Highlight2"/>
              <w:jc w:val="center"/>
              <w:rPr>
                <w:rFonts w:ascii="Calibri" w:hAnsi="Calibri" w:cs="Calibri"/>
                <w:b w:val="0"/>
                <w:bCs/>
                <w:color w:val="000000"/>
              </w:rPr>
            </w:pPr>
            <w:r w:rsidRPr="00874BFF">
              <w:rPr>
                <w:rFonts w:ascii="Calibri" w:hAnsi="Calibri"/>
                <w:b w:val="0"/>
                <w:color w:val="000000"/>
              </w:rPr>
              <w:t>Guarantees affect expansion of BF-related investment activities only in terms of making financing accessible to high-risk SMEs.</w:t>
            </w:r>
          </w:p>
        </w:tc>
        <w:tc>
          <w:tcPr>
            <w:tcW w:w="2268" w:type="dxa"/>
          </w:tcPr>
          <w:p w14:paraId="77B7F23A" w14:textId="77777777" w:rsidR="006D3AD5" w:rsidRPr="00874BFF" w:rsidRDefault="006D3AD5" w:rsidP="00443B8F">
            <w:pPr>
              <w:rPr>
                <w:sz w:val="20"/>
              </w:rPr>
            </w:pPr>
            <w:r w:rsidRPr="00874BFF">
              <w:rPr>
                <w:sz w:val="20"/>
              </w:rPr>
              <w:t>Moderate shortening of the payback period, access to higher external financing, contribution for project preparation</w:t>
            </w:r>
          </w:p>
          <w:p w14:paraId="66D4901B" w14:textId="77777777" w:rsidR="006D3AD5" w:rsidRPr="00874BFF" w:rsidRDefault="006D3AD5" w:rsidP="00443B8F">
            <w:pPr>
              <w:rPr>
                <w:sz w:val="20"/>
              </w:rPr>
            </w:pPr>
            <w:r w:rsidRPr="00874BFF">
              <w:rPr>
                <w:sz w:val="20"/>
              </w:rPr>
              <w:t>will enable partially higher investment activity in the reconstruction segment  with a profitable outlook.</w:t>
            </w:r>
          </w:p>
          <w:p w14:paraId="03A95186" w14:textId="77777777" w:rsidR="006D3AD5" w:rsidRPr="00874BFF" w:rsidRDefault="006D3AD5" w:rsidP="00443B8F">
            <w:pPr>
              <w:rPr>
                <w:sz w:val="20"/>
              </w:rPr>
            </w:pPr>
            <w:r w:rsidRPr="00874BFF">
              <w:rPr>
                <w:sz w:val="20"/>
              </w:rPr>
              <w:t>The motivational effect on investments in BFs is small.</w:t>
            </w:r>
          </w:p>
          <w:p w14:paraId="11A942DF" w14:textId="77777777" w:rsidR="006D3AD5" w:rsidRPr="00874BFF" w:rsidRDefault="006D3AD5" w:rsidP="00443B8F">
            <w:pPr>
              <w:rPr>
                <w:b/>
                <w:sz w:val="19"/>
              </w:rPr>
            </w:pPr>
            <w:r w:rsidRPr="00874BFF">
              <w:rPr>
                <w:sz w:val="20"/>
              </w:rPr>
              <w:t>Inefficiency for high-cost BFs with a primary market failure – low added value in terms of SO 2.3.</w:t>
            </w:r>
          </w:p>
        </w:tc>
        <w:tc>
          <w:tcPr>
            <w:tcW w:w="2268" w:type="dxa"/>
          </w:tcPr>
          <w:p w14:paraId="2577198A" w14:textId="77777777" w:rsidR="006D3AD5" w:rsidRPr="00874BFF" w:rsidRDefault="006D3AD5" w:rsidP="00443B8F">
            <w:pPr>
              <w:rPr>
                <w:color w:val="000000"/>
                <w:sz w:val="20"/>
              </w:rPr>
            </w:pPr>
            <w:r w:rsidRPr="00874BFF">
              <w:rPr>
                <w:color w:val="000000"/>
                <w:sz w:val="20"/>
              </w:rPr>
              <w:t>A significant effect on cost-efficiency of and return on the project substantially increases absorption even for commercially not revitisable BFs – however, due to constraints to one third of eligible costs not for all of them,</w:t>
            </w:r>
          </w:p>
          <w:p w14:paraId="651B8345" w14:textId="77777777" w:rsidR="006D3AD5" w:rsidRPr="00874BFF" w:rsidRDefault="006D3AD5" w:rsidP="00443B8F">
            <w:pPr>
              <w:rPr>
                <w:color w:val="000000"/>
                <w:sz w:val="19"/>
              </w:rPr>
            </w:pPr>
            <w:r w:rsidRPr="00874BFF">
              <w:rPr>
                <w:color w:val="000000"/>
                <w:sz w:val="20"/>
              </w:rPr>
              <w:t>Partial limitation due to administrative complexity.</w:t>
            </w:r>
          </w:p>
          <w:p w14:paraId="6B87DA7C" w14:textId="77777777" w:rsidR="006D3AD5" w:rsidRPr="00874BFF" w:rsidRDefault="006D3AD5" w:rsidP="00443B8F">
            <w:pPr>
              <w:rPr>
                <w:b/>
                <w:color w:val="000000"/>
                <w:sz w:val="19"/>
              </w:rPr>
            </w:pPr>
            <w:r w:rsidRPr="00874BFF">
              <w:rPr>
                <w:color w:val="000000"/>
                <w:sz w:val="20"/>
              </w:rPr>
              <w:t xml:space="preserve">Constraints due to a lack of available resources. </w:t>
            </w:r>
          </w:p>
          <w:p w14:paraId="55D5C0E1" w14:textId="77777777" w:rsidR="006D3AD5" w:rsidRPr="00874BFF" w:rsidRDefault="006D3AD5" w:rsidP="00443B8F">
            <w:pPr>
              <w:rPr>
                <w:color w:val="000000"/>
                <w:sz w:val="19"/>
              </w:rPr>
            </w:pPr>
            <w:r w:rsidRPr="00874BFF">
              <w:rPr>
                <w:color w:val="000000"/>
                <w:sz w:val="19"/>
              </w:rPr>
              <w:t>It should boost investment activity in target BFs.</w:t>
            </w:r>
          </w:p>
          <w:p w14:paraId="04555F12" w14:textId="77777777" w:rsidR="006D3AD5" w:rsidRPr="00874BFF" w:rsidRDefault="006D3AD5" w:rsidP="00443B8F">
            <w:pPr>
              <w:rPr>
                <w:b/>
                <w:color w:val="000000"/>
                <w:sz w:val="19"/>
              </w:rPr>
            </w:pPr>
          </w:p>
        </w:tc>
      </w:tr>
      <w:tr w:rsidR="006D3AD5" w:rsidRPr="00874BFF" w14:paraId="0E5065FC" w14:textId="77777777" w:rsidTr="00443B8F">
        <w:tc>
          <w:tcPr>
            <w:tcW w:w="1729" w:type="dxa"/>
          </w:tcPr>
          <w:p w14:paraId="04FA5266" w14:textId="77777777" w:rsidR="006D3AD5" w:rsidRPr="00874BFF" w:rsidRDefault="006D3AD5" w:rsidP="00443B8F">
            <w:pPr>
              <w:pStyle w:val="Highlight2"/>
              <w:jc w:val="left"/>
              <w:rPr>
                <w:rFonts w:ascii="Calibri" w:hAnsi="Calibri" w:cs="Calibri"/>
                <w:bCs/>
                <w:color w:val="000000"/>
              </w:rPr>
            </w:pPr>
            <w:r w:rsidRPr="00874BFF">
              <w:rPr>
                <w:rFonts w:ascii="Calibri" w:hAnsi="Calibri"/>
                <w:color w:val="000000"/>
              </w:rPr>
              <w:lastRenderedPageBreak/>
              <w:t>Effect on disruption of the market environment</w:t>
            </w:r>
          </w:p>
        </w:tc>
        <w:tc>
          <w:tcPr>
            <w:tcW w:w="2694" w:type="dxa"/>
          </w:tcPr>
          <w:p w14:paraId="1237D7FE"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A minimum impact on the market environment, increasing competitiveness by removing financial barriers for smaller stakeholders.</w:t>
            </w:r>
          </w:p>
        </w:tc>
        <w:tc>
          <w:tcPr>
            <w:tcW w:w="2268" w:type="dxa"/>
          </w:tcPr>
          <w:p w14:paraId="0365E2F3"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Little effect on the market environment, repayable support encourages stakeholders to act economically and efficiently.</w:t>
            </w:r>
          </w:p>
          <w:p w14:paraId="76C0362D"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Supplement to the private financial market.</w:t>
            </w:r>
          </w:p>
          <w:p w14:paraId="46EB5B80"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Little advantage of BFs over GFs</w:t>
            </w:r>
          </w:p>
        </w:tc>
        <w:tc>
          <w:tcPr>
            <w:tcW w:w="2268" w:type="dxa"/>
          </w:tcPr>
          <w:p w14:paraId="4E2220C8" w14:textId="77777777" w:rsidR="006D3AD5" w:rsidRPr="00874BFF" w:rsidRDefault="006D3AD5" w:rsidP="00443B8F">
            <w:pPr>
              <w:pStyle w:val="Highlight2"/>
              <w:jc w:val="center"/>
              <w:rPr>
                <w:rFonts w:ascii="Calibri" w:hAnsi="Calibri" w:cs="Calibri"/>
                <w:b w:val="0"/>
                <w:color w:val="000000"/>
              </w:rPr>
            </w:pPr>
            <w:r w:rsidRPr="00874BFF">
              <w:rPr>
                <w:rFonts w:ascii="Calibri" w:hAnsi="Calibri"/>
                <w:b w:val="0"/>
                <w:color w:val="000000"/>
              </w:rPr>
              <w:t>Heavy subsidising of project costs  interferes in the real estate market and discriminates in favour of some rather old real estates against GFs, or levels market failures in accordance with the objective SO 2.3. When used across the board, problem of inadequate support of even commercially feasible projects.</w:t>
            </w:r>
          </w:p>
        </w:tc>
      </w:tr>
    </w:tbl>
    <w:p w14:paraId="3D653968" w14:textId="77777777" w:rsidR="006D3AD5" w:rsidRPr="00874BFF" w:rsidRDefault="006D3AD5" w:rsidP="006D3AD5"/>
    <w:p w14:paraId="6F5821D8" w14:textId="0C49E76B" w:rsidR="006D3AD5" w:rsidRPr="00874BFF" w:rsidRDefault="006D3AD5" w:rsidP="006D3AD5">
      <w:pPr>
        <w:pStyle w:val="Titulek"/>
      </w:pPr>
      <w:r w:rsidRPr="00874BFF">
        <w:t>Table 5</w:t>
      </w:r>
      <w:r w:rsidR="00001EEF">
        <w:t>6</w:t>
      </w:r>
      <w:r w:rsidRPr="00874BFF">
        <w:t xml:space="preserve"> – Added value of support for the objectives of SO 2.3 (established SMEs), OP EIC, and impact on the market environment</w:t>
      </w:r>
    </w:p>
    <w:p w14:paraId="23175E39" w14:textId="77777777" w:rsidR="006D3AD5" w:rsidRPr="00874BFF" w:rsidRDefault="006D3AD5" w:rsidP="006D3AD5"/>
    <w:p w14:paraId="528662D5" w14:textId="77777777" w:rsidR="006D3AD5" w:rsidRPr="00874BFF" w:rsidRDefault="006D3AD5" w:rsidP="006D3AD5">
      <w:r w:rsidRPr="00874BFF">
        <w:t>It follows from comparison of the added value of the FI and subsidy support that a crucial effect on investment activity in the field with typical market failures for BFs has the subsidy support. The loan instrument primarily addresses approach to financing of SMEs and partial preferential treatment of projects with commercially feasible outlook.</w:t>
      </w:r>
    </w:p>
    <w:p w14:paraId="088A7314" w14:textId="77777777" w:rsidR="006D3AD5" w:rsidRPr="00874BFF" w:rsidRDefault="006D3AD5" w:rsidP="006D3AD5"/>
    <w:p w14:paraId="426D76BF" w14:textId="77777777" w:rsidR="006D3AD5" w:rsidRPr="00874BFF" w:rsidRDefault="006D3AD5" w:rsidP="006D3AD5">
      <w:pPr>
        <w:pStyle w:val="Nadpis4"/>
        <w:rPr>
          <w:rFonts w:ascii="Calibri" w:hAnsi="Calibri"/>
        </w:rPr>
      </w:pPr>
      <w:r w:rsidRPr="00874BFF">
        <w:rPr>
          <w:rFonts w:ascii="Calibri" w:hAnsi="Calibri"/>
        </w:rPr>
        <w:t>Compliance with other forms of public interventions</w:t>
      </w:r>
    </w:p>
    <w:p w14:paraId="7C7144DD" w14:textId="77777777" w:rsidR="006D3AD5" w:rsidRPr="00874BFF" w:rsidRDefault="006D3AD5" w:rsidP="006D3AD5"/>
    <w:p w14:paraId="206BDD6E" w14:textId="77777777" w:rsidR="006D3AD5" w:rsidRPr="00874BFF" w:rsidRDefault="006D3AD5" w:rsidP="006D3AD5">
      <w:r w:rsidRPr="00874BFF">
        <w:t>Financial instruments in SO 2.3 are complementary to the subsidy support of the OP EIC provided that supported groups are defined as proposed. Projects for support need to be defined even in relation to SO 2.1.</w:t>
      </w:r>
    </w:p>
    <w:p w14:paraId="651A8446" w14:textId="77777777" w:rsidR="006D3AD5" w:rsidRPr="00874BFF" w:rsidRDefault="006D3AD5" w:rsidP="006D3AD5"/>
    <w:p w14:paraId="45515DED" w14:textId="77777777" w:rsidR="006D3AD5" w:rsidRPr="00874BFF" w:rsidRDefault="006D3AD5" w:rsidP="006D3AD5">
      <w:r w:rsidRPr="00874BFF">
        <w:t>In addition to the OP EIC, the BF issue is also being addressed by the OP Environment (OPE) and indirectly by the Rural Development Programme (RDP). The subject of support under OPE is remediation of contaminated localities in which risks are proven to human health and ecosystems. Under the OP EIC, remediation of environmental burdens will not be supported, but support will be given to demolition and disposal of construction materials of which some will fall under the higher-risk categories. Complementarity also exists with the RDP, when in some measures of the RDP selection of projects will be take into account potential revitalisation of BFs. With regard to the different focus of support, absorption capacity for the OP EIC will not limited.</w:t>
      </w:r>
    </w:p>
    <w:p w14:paraId="5D8D2789" w14:textId="77777777" w:rsidR="006D3AD5" w:rsidRPr="00874BFF" w:rsidRDefault="006D3AD5" w:rsidP="006D3AD5"/>
    <w:p w14:paraId="0B3295D4" w14:textId="77777777" w:rsidR="006D3AD5" w:rsidRPr="00874BFF" w:rsidRDefault="006D3AD5" w:rsidP="006D3AD5">
      <w:r w:rsidRPr="00874BFF">
        <w:t>An important complementarity is also the possibility to employ the Investment Plan for Europe and the European Fund for Strategic Investments.</w:t>
      </w:r>
    </w:p>
    <w:p w14:paraId="2EAA9E70" w14:textId="77777777" w:rsidR="006D3AD5" w:rsidRPr="00874BFF" w:rsidRDefault="006D3AD5" w:rsidP="006D3AD5">
      <w:pPr>
        <w:pStyle w:val="Nadpis4"/>
        <w:rPr>
          <w:rFonts w:ascii="Calibri" w:hAnsi="Calibri"/>
        </w:rPr>
      </w:pPr>
      <w:r w:rsidRPr="00874BFF">
        <w:rPr>
          <w:rFonts w:ascii="Calibri" w:hAnsi="Calibri"/>
        </w:rPr>
        <w:t>Possible solution for public support</w:t>
      </w:r>
    </w:p>
    <w:p w14:paraId="628CFFE8" w14:textId="77777777" w:rsidR="006D3AD5" w:rsidRPr="00874BFF" w:rsidRDefault="006D3AD5" w:rsidP="006D3AD5"/>
    <w:p w14:paraId="56426396" w14:textId="77777777" w:rsidR="006D3AD5" w:rsidRPr="00874BFF" w:rsidRDefault="006D3AD5" w:rsidP="006D3AD5"/>
    <w:p w14:paraId="4BF35871" w14:textId="77777777" w:rsidR="006D3AD5" w:rsidRPr="00874BFF" w:rsidRDefault="006D3AD5" w:rsidP="006D3AD5">
      <w:r w:rsidRPr="00874BFF">
        <w:t>Public support for the loan financial instrument can be resolved by providing the de minimis aid or support according to the General Regulation No 651/2014 on block exemptions. Public support is expected at the level of final recipients only.</w:t>
      </w:r>
    </w:p>
    <w:p w14:paraId="5194D6EB" w14:textId="77777777" w:rsidR="006D3AD5" w:rsidRPr="00874BFF" w:rsidRDefault="006D3AD5" w:rsidP="006D3AD5"/>
    <w:p w14:paraId="5605D67A" w14:textId="77777777" w:rsidR="006D3AD5" w:rsidRPr="00874BFF" w:rsidRDefault="006D3AD5" w:rsidP="006D3AD5">
      <w:r w:rsidRPr="00874BFF">
        <w:t>In case of designing a development company, we propose to apply a model in which public support is not present, see below.</w:t>
      </w:r>
    </w:p>
    <w:p w14:paraId="3901EFBF" w14:textId="77777777" w:rsidR="006D3AD5" w:rsidRPr="00874BFF" w:rsidRDefault="006D3AD5" w:rsidP="006D3AD5"/>
    <w:tbl>
      <w:tblPr>
        <w:tblW w:w="0" w:type="auto"/>
        <w:tblBorders>
          <w:bottom w:val="single" w:sz="4" w:space="0" w:color="72C7E7"/>
          <w:insideH w:val="single" w:sz="4" w:space="0" w:color="72C7E7"/>
        </w:tblBorders>
        <w:tblCellMar>
          <w:top w:w="28" w:type="dxa"/>
          <w:left w:w="28" w:type="dxa"/>
          <w:bottom w:w="28" w:type="dxa"/>
          <w:right w:w="28" w:type="dxa"/>
        </w:tblCellMar>
        <w:tblLook w:val="00A0" w:firstRow="1" w:lastRow="0" w:firstColumn="1" w:lastColumn="0" w:noHBand="0" w:noVBand="0"/>
      </w:tblPr>
      <w:tblGrid>
        <w:gridCol w:w="3461"/>
        <w:gridCol w:w="5611"/>
      </w:tblGrid>
      <w:tr w:rsidR="006D3AD5" w:rsidRPr="00874BFF" w14:paraId="4622CE94" w14:textId="77777777" w:rsidTr="00443B8F">
        <w:tc>
          <w:tcPr>
            <w:tcW w:w="3510" w:type="dxa"/>
            <w:shd w:val="clear" w:color="auto" w:fill="4F81BD"/>
          </w:tcPr>
          <w:p w14:paraId="1A573BAB" w14:textId="77777777" w:rsidR="006D3AD5" w:rsidRPr="00874BFF" w:rsidRDefault="006D3AD5" w:rsidP="00443B8F">
            <w:pPr>
              <w:jc w:val="center"/>
              <w:rPr>
                <w:b/>
                <w:color w:val="FFFFFF"/>
                <w:sz w:val="19"/>
              </w:rPr>
            </w:pPr>
            <w:r w:rsidRPr="00874BFF">
              <w:rPr>
                <w:b/>
                <w:color w:val="FFFFFF"/>
                <w:sz w:val="19"/>
              </w:rPr>
              <w:t>Activity</w:t>
            </w:r>
          </w:p>
        </w:tc>
        <w:tc>
          <w:tcPr>
            <w:tcW w:w="5702" w:type="dxa"/>
            <w:shd w:val="clear" w:color="auto" w:fill="4F81BD"/>
          </w:tcPr>
          <w:p w14:paraId="1F98DB53" w14:textId="77777777" w:rsidR="006D3AD5" w:rsidRPr="00874BFF" w:rsidRDefault="006D3AD5" w:rsidP="00443B8F">
            <w:pPr>
              <w:jc w:val="center"/>
              <w:rPr>
                <w:b/>
                <w:color w:val="FFFFFF"/>
                <w:sz w:val="19"/>
              </w:rPr>
            </w:pPr>
            <w:r w:rsidRPr="00874BFF">
              <w:rPr>
                <w:b/>
                <w:color w:val="FFFFFF"/>
                <w:sz w:val="19"/>
              </w:rPr>
              <w:t>Measures for elimination of public support</w:t>
            </w:r>
          </w:p>
        </w:tc>
      </w:tr>
      <w:tr w:rsidR="006D3AD5" w:rsidRPr="00874BFF" w14:paraId="654C5C60" w14:textId="77777777" w:rsidTr="00443B8F">
        <w:tc>
          <w:tcPr>
            <w:tcW w:w="3510" w:type="dxa"/>
            <w:shd w:val="clear" w:color="auto" w:fill="FFFFFF"/>
          </w:tcPr>
          <w:p w14:paraId="405BCBEC" w14:textId="77777777" w:rsidR="006D3AD5" w:rsidRPr="00874BFF" w:rsidRDefault="006D3AD5" w:rsidP="00443B8F">
            <w:pPr>
              <w:rPr>
                <w:sz w:val="19"/>
              </w:rPr>
            </w:pPr>
            <w:r w:rsidRPr="00874BFF">
              <w:rPr>
                <w:sz w:val="19"/>
              </w:rPr>
              <w:t>Selection of the financial instrument administrator</w:t>
            </w:r>
          </w:p>
        </w:tc>
        <w:tc>
          <w:tcPr>
            <w:tcW w:w="5702" w:type="dxa"/>
            <w:shd w:val="clear" w:color="auto" w:fill="FFFFFF"/>
          </w:tcPr>
          <w:p w14:paraId="1CAAF381" w14:textId="77777777" w:rsidR="006D3AD5" w:rsidRPr="00874BFF" w:rsidRDefault="006D3AD5" w:rsidP="00443B8F">
            <w:pPr>
              <w:rPr>
                <w:sz w:val="19"/>
              </w:rPr>
            </w:pPr>
            <w:r w:rsidRPr="00874BFF">
              <w:rPr>
                <w:sz w:val="19"/>
              </w:rPr>
              <w:t>Public contract, implemented in compliance with the current legislation; remuneration by means of a fee for financial instrument administration cannot be considered public support.</w:t>
            </w:r>
          </w:p>
        </w:tc>
      </w:tr>
      <w:tr w:rsidR="006D3AD5" w:rsidRPr="00874BFF" w14:paraId="253A4395" w14:textId="77777777" w:rsidTr="00443B8F">
        <w:tc>
          <w:tcPr>
            <w:tcW w:w="3510" w:type="dxa"/>
            <w:shd w:val="clear" w:color="auto" w:fill="FFFFFF"/>
          </w:tcPr>
          <w:p w14:paraId="3D80B7C6" w14:textId="77777777" w:rsidR="006D3AD5" w:rsidRPr="00874BFF" w:rsidRDefault="006D3AD5" w:rsidP="00443B8F">
            <w:pPr>
              <w:rPr>
                <w:sz w:val="19"/>
              </w:rPr>
            </w:pPr>
            <w:r w:rsidRPr="00874BFF">
              <w:rPr>
                <w:sz w:val="19"/>
              </w:rPr>
              <w:t>Purchase of land, investment activity</w:t>
            </w:r>
          </w:p>
        </w:tc>
        <w:tc>
          <w:tcPr>
            <w:tcW w:w="5702" w:type="dxa"/>
            <w:shd w:val="clear" w:color="auto" w:fill="FFFFFF"/>
          </w:tcPr>
          <w:p w14:paraId="0E170C29" w14:textId="77777777" w:rsidR="006D3AD5" w:rsidRPr="00874BFF" w:rsidRDefault="006D3AD5" w:rsidP="00443B8F">
            <w:pPr>
              <w:rPr>
                <w:sz w:val="19"/>
              </w:rPr>
            </w:pPr>
            <w:r w:rsidRPr="00874BFF">
              <w:rPr>
                <w:sz w:val="19"/>
              </w:rPr>
              <w:t>Based on the practice up to now, the financial instrument manager is not regarded as a public order party, since it is an entity to whom the contract was assigned by the public order party. However, this interpretation requires further examination on whether the investment activity should follow the public procurement law, or not (the order party is neither public nor subsidised).</w:t>
            </w:r>
          </w:p>
        </w:tc>
      </w:tr>
      <w:tr w:rsidR="006D3AD5" w:rsidRPr="00874BFF" w14:paraId="450B129E" w14:textId="77777777" w:rsidTr="00443B8F">
        <w:tc>
          <w:tcPr>
            <w:tcW w:w="3510" w:type="dxa"/>
            <w:shd w:val="clear" w:color="auto" w:fill="FFFFFF"/>
          </w:tcPr>
          <w:p w14:paraId="473F77EE" w14:textId="77777777" w:rsidR="006D3AD5" w:rsidRPr="00874BFF" w:rsidRDefault="006D3AD5" w:rsidP="00443B8F">
            <w:pPr>
              <w:rPr>
                <w:sz w:val="19"/>
              </w:rPr>
            </w:pPr>
            <w:r w:rsidRPr="00874BFF">
              <w:rPr>
                <w:sz w:val="19"/>
              </w:rPr>
              <w:t>Sale of land</w:t>
            </w:r>
          </w:p>
        </w:tc>
        <w:tc>
          <w:tcPr>
            <w:tcW w:w="5702" w:type="dxa"/>
            <w:shd w:val="clear" w:color="auto" w:fill="FFFFFF"/>
          </w:tcPr>
          <w:p w14:paraId="68E8C644" w14:textId="77777777" w:rsidR="006D3AD5" w:rsidRPr="00874BFF" w:rsidRDefault="006D3AD5" w:rsidP="00443B8F">
            <w:pPr>
              <w:keepNext/>
            </w:pPr>
            <w:r w:rsidRPr="00874BFF">
              <w:rPr>
                <w:sz w:val="19"/>
              </w:rPr>
              <w:t>At a sale of land, a market price of the offered plots of land will be employed. For this purpose, market appraisals of real estates and other forms, such as public auctions, will be employed.</w:t>
            </w:r>
          </w:p>
        </w:tc>
      </w:tr>
    </w:tbl>
    <w:p w14:paraId="54D61129" w14:textId="0A3F9D03" w:rsidR="006D67F1" w:rsidRPr="002C224A" w:rsidRDefault="006D3AD5">
      <w:pPr>
        <w:pStyle w:val="Titulek"/>
      </w:pPr>
      <w:r w:rsidRPr="00874BFF">
        <w:t>Table 5</w:t>
      </w:r>
      <w:r w:rsidR="00001EEF">
        <w:t>7</w:t>
      </w:r>
      <w:r w:rsidRPr="00874BFF">
        <w:t>: Compliance with public support of individual FIs by development company</w:t>
      </w:r>
    </w:p>
    <w:p w14:paraId="335D42F6" w14:textId="77777777" w:rsidR="006D67F1" w:rsidRPr="00A50943" w:rsidRDefault="006D67F1" w:rsidP="001B56F4">
      <w:pPr>
        <w:rPr>
          <w:lang w:eastAsia="en-US"/>
        </w:rPr>
      </w:pPr>
    </w:p>
    <w:p w14:paraId="1BDEB4E1" w14:textId="77777777" w:rsidR="006D3AD5" w:rsidRPr="0073014D" w:rsidRDefault="006D3AD5" w:rsidP="006D3AD5">
      <w:pPr>
        <w:pStyle w:val="Nadpis3"/>
        <w:rPr>
          <w:rFonts w:ascii="Calibri" w:hAnsi="Calibri"/>
          <w:color w:val="000000"/>
        </w:rPr>
      </w:pPr>
      <w:bookmarkStart w:id="860" w:name="_Toc422312116"/>
      <w:r>
        <w:rPr>
          <w:rFonts w:ascii="Calibri" w:hAnsi="Calibri"/>
          <w:color w:val="000000"/>
        </w:rPr>
        <w:t>Estimate of additional public and private resources</w:t>
      </w:r>
      <w:bookmarkEnd w:id="860"/>
    </w:p>
    <w:p w14:paraId="49CDE997" w14:textId="5B8C1B99" w:rsidR="006D3AD5" w:rsidRPr="0073014D" w:rsidRDefault="006D3AD5" w:rsidP="006D3AD5">
      <w:pPr>
        <w:pStyle w:val="Nadpis4"/>
        <w:rPr>
          <w:rFonts w:ascii="Calibri" w:hAnsi="Calibri"/>
          <w:color w:val="000000"/>
        </w:rPr>
      </w:pPr>
      <w:r>
        <w:rPr>
          <w:rFonts w:ascii="Calibri" w:hAnsi="Calibri"/>
          <w:color w:val="000000"/>
        </w:rPr>
        <w:t xml:space="preserve">Co-financing from private resources up to the level of a </w:t>
      </w:r>
      <w:r w:rsidR="00CF3F95">
        <w:rPr>
          <w:rFonts w:ascii="Calibri" w:hAnsi="Calibri"/>
          <w:color w:val="000000"/>
        </w:rPr>
        <w:t>final recipient</w:t>
      </w:r>
    </w:p>
    <w:p w14:paraId="7B871520" w14:textId="77777777" w:rsidR="006D3AD5" w:rsidRPr="0073014D" w:rsidRDefault="006D3AD5" w:rsidP="006D3AD5">
      <w:r>
        <w:rPr>
          <w:b/>
        </w:rPr>
        <w:t xml:space="preserve">An instrument in the form of soft loans </w:t>
      </w:r>
      <w:r>
        <w:t>assumes co-financing in the form of a commercial loan, which will be a presumption of granting a soft loan. The share of private bank resources in financing a project can move in amount depending on the instrument and the share of the internal resources in 20-80% of project expenses. In order to preserve sufficient rate of advantage in the form of a lower compound interest rate, the maximum proportion of a commercial loan 1:1 to the soft loan is recommended. In the model example, at the commercial banks' rate of 3.5% and FN rate of 0.5%, thus, the result rate will be at the level of 2%.</w:t>
      </w:r>
    </w:p>
    <w:p w14:paraId="08427393" w14:textId="77777777" w:rsidR="006D3AD5" w:rsidRPr="0073014D" w:rsidRDefault="006D3AD5" w:rsidP="006D3AD5"/>
    <w:p w14:paraId="7858871F" w14:textId="1A2EA742" w:rsidR="006D3AD5" w:rsidRPr="0073014D" w:rsidRDefault="006D3AD5" w:rsidP="006D3AD5">
      <w:r>
        <w:t xml:space="preserve">The precondition for the application of soft loans is the preservation of the share of the </w:t>
      </w:r>
      <w:r w:rsidR="003213A1">
        <w:t>final recipient’s own resources</w:t>
      </w:r>
      <w:r>
        <w:t>, which may significantly oscillate depending on the financial strategy of the business and its needs. Our resources will be applied to finance eligible expenses and, in particular, for non-eligible project expenses.</w:t>
      </w:r>
    </w:p>
    <w:p w14:paraId="77449D5B" w14:textId="77777777" w:rsidR="006D3AD5" w:rsidRPr="0073014D" w:rsidRDefault="006D3AD5" w:rsidP="006D3AD5"/>
    <w:p w14:paraId="1E5597E2" w14:textId="469348F8" w:rsidR="006D3AD5" w:rsidRPr="0073014D" w:rsidRDefault="006D3AD5" w:rsidP="006D3AD5">
      <w:r>
        <w:t xml:space="preserve">In the case of loans, upon </w:t>
      </w:r>
      <w:r w:rsidR="00A97232">
        <w:t>CMGDB</w:t>
      </w:r>
      <w:r>
        <w:t xml:space="preserve">'s experience, we estimate applicant's own resources at the level </w:t>
      </w:r>
      <w:r w:rsidR="008A6F19">
        <w:t>of 10-30% of the project costs.</w:t>
      </w:r>
    </w:p>
    <w:p w14:paraId="54B07B43" w14:textId="77777777" w:rsidR="006D3AD5" w:rsidRPr="0073014D" w:rsidRDefault="006D3AD5" w:rsidP="006D3AD5"/>
    <w:p w14:paraId="1175A218" w14:textId="77777777" w:rsidR="006D3AD5" w:rsidRPr="0073014D" w:rsidRDefault="006D3AD5" w:rsidP="006D3AD5">
      <w:r>
        <w:rPr>
          <w:b/>
        </w:rPr>
        <w:t xml:space="preserve">The instrument in the form of subordinated loan to the purposefully developing entity </w:t>
      </w:r>
      <w:r>
        <w:t>should enable the employment of private resources, which would be drawn be the entity typically for covering non-eligible expenses, in particular, part of costs for purchasing land. An alternative could be also the employment of own resources of the instrument administrator. The employment of private resources in these forms is proposed roughly between 30-50% of the investment expenses.</w:t>
      </w:r>
    </w:p>
    <w:p w14:paraId="68D823A5" w14:textId="77777777" w:rsidR="006D3AD5" w:rsidRPr="0073014D" w:rsidRDefault="006D3AD5" w:rsidP="006D3AD5">
      <w:pPr>
        <w:rPr>
          <w:b/>
        </w:rPr>
      </w:pPr>
    </w:p>
    <w:p w14:paraId="46DC623C" w14:textId="2101F006" w:rsidR="006D3AD5" w:rsidRPr="0073014D" w:rsidRDefault="00CF3F95" w:rsidP="006D3AD5">
      <w:pPr>
        <w:rPr>
          <w:b/>
        </w:rPr>
      </w:pPr>
      <w:r>
        <w:rPr>
          <w:b/>
        </w:rPr>
        <w:t>Final recipient</w:t>
      </w:r>
      <w:r w:rsidR="006D3AD5">
        <w:rPr>
          <w:b/>
        </w:rPr>
        <w:t xml:space="preserve">' own resources will be employed in the amount of the sales price of prepared lands. That is typically only at the level of 100% of investment expenses in the case of the optimally implemented project. </w:t>
      </w:r>
      <w:r w:rsidR="006D3AD5">
        <w:t xml:space="preserve">The instrument indirectly stimulates also follow-up investments of </w:t>
      </w:r>
      <w:r>
        <w:t>final recipients</w:t>
      </w:r>
      <w:r w:rsidR="006D3AD5">
        <w:t xml:space="preserve"> for the construction of business buildings. If commercial buildings are built on such incurred 100ha of the development area, we can consider establishment of halls and buildings of the total area of ca. 300,000m</w:t>
      </w:r>
      <w:r w:rsidR="006D3AD5">
        <w:rPr>
          <w:vertAlign w:val="superscript"/>
        </w:rPr>
        <w:t>2</w:t>
      </w:r>
      <w:r w:rsidR="006D3AD5">
        <w:t xml:space="preserve">. </w:t>
      </w:r>
      <w:r w:rsidR="006D3AD5">
        <w:rPr>
          <w:b/>
        </w:rPr>
        <w:t>Consequently, the total amount of follow-up investments (induced investment effect) my be ca. CZK 5 billion, which represents ca. 100 multiple of the original investment.</w:t>
      </w:r>
    </w:p>
    <w:p w14:paraId="0FB163DA" w14:textId="77777777" w:rsidR="006D3AD5" w:rsidRPr="0073014D" w:rsidRDefault="006D3AD5" w:rsidP="006D3AD5"/>
    <w:p w14:paraId="235063AF" w14:textId="77777777" w:rsidR="006D3AD5" w:rsidRPr="0073014D" w:rsidRDefault="006D3AD5" w:rsidP="006D3AD5">
      <w:pPr>
        <w:pStyle w:val="Nadpis4"/>
        <w:rPr>
          <w:rFonts w:ascii="Calibri" w:hAnsi="Calibri"/>
          <w:color w:val="000000"/>
        </w:rPr>
      </w:pPr>
      <w:r>
        <w:rPr>
          <w:rFonts w:ascii="Calibri" w:hAnsi="Calibri"/>
          <w:color w:val="000000"/>
        </w:rPr>
        <w:lastRenderedPageBreak/>
        <w:t>Identification of the key entities</w:t>
      </w:r>
    </w:p>
    <w:p w14:paraId="5E0D00F9" w14:textId="77777777" w:rsidR="006D3AD5" w:rsidRPr="0073014D" w:rsidRDefault="006D3AD5" w:rsidP="006D3AD5"/>
    <w:p w14:paraId="33EB267A" w14:textId="5E8D2C2A" w:rsidR="006D3AD5" w:rsidRPr="0073014D" w:rsidRDefault="006D3AD5" w:rsidP="006D3AD5">
      <w:r>
        <w:t xml:space="preserve">A key private entity for the instrument of soft loans are private credit institutions – commercial banks which ensure private co-financing.  The FI (Financial Instrument) will be implemented through the credit fund with a selected administrator. The </w:t>
      </w:r>
      <w:r w:rsidR="00CF3F95">
        <w:t>final recipients</w:t>
      </w:r>
      <w:r>
        <w:t xml:space="preserve"> are SMEs or municipalities, where appropriate.</w:t>
      </w:r>
    </w:p>
    <w:p w14:paraId="5F2FDDE0" w14:textId="77777777" w:rsidR="006D3AD5" w:rsidRPr="0073014D" w:rsidRDefault="006D3AD5" w:rsidP="006D3AD5"/>
    <w:p w14:paraId="4A5FC61F" w14:textId="155A70CA" w:rsidR="006D3AD5" w:rsidRPr="0073014D" w:rsidRDefault="006D3AD5" w:rsidP="006D3AD5">
      <w:r>
        <w:t xml:space="preserve">The key private entities for the instrument of subordinated loans are private credit institutions ensuring the private co-financing of projects. A private entity can also be an administrator of the financial instrument, who can participate also by co-financing. SMEs are the </w:t>
      </w:r>
      <w:r w:rsidR="00CF3F95">
        <w:t>final recipients</w:t>
      </w:r>
      <w:r>
        <w:t>.</w:t>
      </w:r>
    </w:p>
    <w:p w14:paraId="574074BE" w14:textId="77777777" w:rsidR="006D3AD5" w:rsidRPr="0073014D" w:rsidRDefault="006D3AD5" w:rsidP="006D3AD5"/>
    <w:p w14:paraId="5ECB82ED" w14:textId="77777777" w:rsidR="006D3AD5" w:rsidRPr="0073014D" w:rsidRDefault="006D3AD5" w:rsidP="006D3AD5">
      <w:pPr>
        <w:pStyle w:val="Nadpis4"/>
        <w:rPr>
          <w:rFonts w:ascii="Calibri" w:hAnsi="Calibri"/>
          <w:color w:val="000000"/>
        </w:rPr>
      </w:pPr>
      <w:r>
        <w:rPr>
          <w:rFonts w:ascii="Calibri" w:hAnsi="Calibri"/>
          <w:color w:val="000000"/>
        </w:rPr>
        <w:t>Estimation of additional resources which may be potentially attracted by the financial instrument – estimated leverage effect</w:t>
      </w:r>
    </w:p>
    <w:p w14:paraId="406A9923" w14:textId="77777777" w:rsidR="006D3AD5" w:rsidRPr="0073014D" w:rsidRDefault="006D3AD5" w:rsidP="006D3AD5">
      <w:r>
        <w:t>Additional resources activated by the financial instrument and, therefore, also the resulting leverage effect are always dependent on the concrete setting of the investment strategy from the viewpoint of the required private co-financing.</w:t>
      </w:r>
    </w:p>
    <w:p w14:paraId="5481A1CA" w14:textId="77777777" w:rsidR="006D3AD5" w:rsidRPr="0073014D" w:rsidRDefault="006D3AD5" w:rsidP="006D3AD5"/>
    <w:p w14:paraId="0C28A691" w14:textId="77777777" w:rsidR="006D3AD5" w:rsidRPr="0073014D" w:rsidRDefault="006D3AD5" w:rsidP="006D3AD5">
      <w:r>
        <w:t>The leverage effect of the credit instrument has direct proportional effects on the rate of employment of private bank co-financing, which will be given by a specific setting of the SB (Steering Body) and the agreement with private credit institutions. These parameters should be subject to flexible arrangement reflecting the results of the instrument.</w:t>
      </w:r>
    </w:p>
    <w:p w14:paraId="0E8AB689" w14:textId="065F17E6" w:rsidR="006D3AD5" w:rsidRPr="0073014D" w:rsidRDefault="006D3AD5" w:rsidP="006D3AD5">
      <w:pPr>
        <w:rPr>
          <w:b/>
        </w:rPr>
      </w:pPr>
      <w:r>
        <w:t xml:space="preserve">Upon the estimated range of co-financing and limit values specified above, in the case of soft loans, the leverage effect, may range from 1.125-9 (without the applicant's own resources and revolving effect). Where the credit instrument for the </w:t>
      </w:r>
      <w:r w:rsidR="00CF3F95">
        <w:t>final recipient</w:t>
      </w:r>
      <w:r>
        <w:t xml:space="preserve"> is to be sufficiently advantageous and substantiated, </w:t>
      </w:r>
      <w:r>
        <w:rPr>
          <w:b/>
        </w:rPr>
        <w:t>we cannot expect the leverage effect exceeding value 2 (i.e. the share of the FI and private loan in the proportion 1:1).</w:t>
      </w:r>
    </w:p>
    <w:p w14:paraId="7A895F89" w14:textId="77777777" w:rsidR="006D3AD5" w:rsidRPr="0073014D" w:rsidRDefault="006D3AD5" w:rsidP="006D3AD5">
      <w:pPr>
        <w:rPr>
          <w:b/>
        </w:rPr>
      </w:pPr>
    </w:p>
    <w:p w14:paraId="03230CB3" w14:textId="77777777" w:rsidR="006D3AD5" w:rsidRPr="0073014D" w:rsidRDefault="006D3AD5" w:rsidP="006D3AD5">
      <w:pPr>
        <w:rPr>
          <w:b/>
        </w:rPr>
      </w:pPr>
      <w:r>
        <w:rPr>
          <w:b/>
        </w:rPr>
        <w:t>The leverage effect of the subordinated loan depends on the rate of the employment of the commercial loan or administrator's own resources, where appropriate. Optimally, we estimate the leverage effect at the level of 1.4-2.</w:t>
      </w:r>
    </w:p>
    <w:p w14:paraId="72AAE14D" w14:textId="77777777" w:rsidR="006D3AD5" w:rsidRPr="0073014D" w:rsidRDefault="006D3AD5" w:rsidP="006D3AD5"/>
    <w:p w14:paraId="2092429C" w14:textId="77777777" w:rsidR="006D3AD5" w:rsidRPr="0073014D" w:rsidRDefault="006D3AD5" w:rsidP="006D3AD5">
      <w:pPr>
        <w:pStyle w:val="Nadpis4"/>
        <w:rPr>
          <w:rFonts w:ascii="Calibri" w:hAnsi="Calibri"/>
          <w:color w:val="000000"/>
        </w:rPr>
      </w:pPr>
      <w:r>
        <w:rPr>
          <w:rFonts w:ascii="Calibri" w:hAnsi="Calibri"/>
          <w:color w:val="000000"/>
        </w:rPr>
        <w:t>Evaluation of the need and level of preferential remuneration</w:t>
      </w:r>
    </w:p>
    <w:p w14:paraId="261219FD" w14:textId="587BDAFC" w:rsidR="006D3AD5" w:rsidRPr="0073014D" w:rsidRDefault="006D3AD5" w:rsidP="006D3AD5">
      <w:r>
        <w:t xml:space="preserve">Within soft loans, we propose to apply setting a longer period of maturity and a secondary right of lien to liable assets in order to motivate sufficient leverage effect and employment of private bank resources in the supported project. This way we can considerably increase an additional credit possibility of the supported entities, the risk of private banks in the provision of an additional private loan decreases and the private capital is not crowded out by the financial instrument. It is not a preferential remuneration of credit institutions, the effects of the instrument should be fully transferred to the </w:t>
      </w:r>
      <w:r w:rsidR="00CF3F95">
        <w:t>final recipient</w:t>
      </w:r>
      <w:r>
        <w:t>. Preferential remuneration is not proposed.</w:t>
      </w:r>
    </w:p>
    <w:p w14:paraId="1F7BC50C" w14:textId="77777777" w:rsidR="006D3AD5" w:rsidRPr="0073014D" w:rsidRDefault="006D3AD5" w:rsidP="006D3AD5"/>
    <w:p w14:paraId="6A43116F" w14:textId="77777777" w:rsidR="006D3AD5" w:rsidRPr="0073014D" w:rsidRDefault="006D3AD5" w:rsidP="006D3AD5">
      <w:r>
        <w:t xml:space="preserve">The instrument of the subordinated loan counts on the employment of senior commercial loans under the marker conditions. </w:t>
      </w:r>
    </w:p>
    <w:p w14:paraId="2A00B262" w14:textId="77777777" w:rsidR="006D3AD5" w:rsidRPr="0073014D" w:rsidRDefault="006D3AD5" w:rsidP="006D3AD5"/>
    <w:p w14:paraId="77C81205" w14:textId="77777777" w:rsidR="003B6DE3" w:rsidRPr="002C224A" w:rsidRDefault="006D3AD5" w:rsidP="006D3AD5">
      <w:pPr>
        <w:rPr>
          <w:lang w:eastAsia="en-US"/>
        </w:rPr>
      </w:pPr>
      <w:r>
        <w:t>In none of the cases we propose preferential remuneration.</w:t>
      </w:r>
    </w:p>
    <w:p w14:paraId="51684167" w14:textId="77777777" w:rsidR="006D67F1" w:rsidRPr="002C224A" w:rsidRDefault="006D67F1" w:rsidP="001B56F4">
      <w:pPr>
        <w:rPr>
          <w:lang w:eastAsia="en-US"/>
        </w:rPr>
      </w:pPr>
    </w:p>
    <w:p w14:paraId="27A1E25D" w14:textId="77777777" w:rsidR="006D3AD5" w:rsidRPr="0073014D" w:rsidRDefault="006D3AD5" w:rsidP="006D3AD5">
      <w:pPr>
        <w:pStyle w:val="Nadpis2"/>
        <w:rPr>
          <w:rFonts w:ascii="Calibri" w:hAnsi="Calibri"/>
          <w:color w:val="000000"/>
        </w:rPr>
      </w:pPr>
      <w:bookmarkStart w:id="861" w:name="_Toc416447833"/>
      <w:bookmarkStart w:id="862" w:name="_Toc416383845"/>
      <w:bookmarkStart w:id="863" w:name="_Toc416447834"/>
      <w:bookmarkStart w:id="864" w:name="_Toc413824148"/>
      <w:bookmarkStart w:id="865" w:name="_Toc413831131"/>
      <w:bookmarkStart w:id="866" w:name="_Toc413831161"/>
      <w:bookmarkStart w:id="867" w:name="_Toc416800449"/>
      <w:bookmarkStart w:id="868" w:name="_Toc422312117"/>
      <w:bookmarkEnd w:id="861"/>
      <w:bookmarkEnd w:id="862"/>
      <w:bookmarkEnd w:id="863"/>
      <w:bookmarkEnd w:id="864"/>
      <w:bookmarkEnd w:id="865"/>
      <w:bookmarkEnd w:id="866"/>
      <w:r>
        <w:rPr>
          <w:rFonts w:ascii="Calibri" w:hAnsi="Calibri"/>
          <w:color w:val="000000"/>
        </w:rPr>
        <w:lastRenderedPageBreak/>
        <w:t>Specific objective 3.1 – Increase the share of energy production from RES in the gross final consumption of the Czech Republic</w:t>
      </w:r>
      <w:bookmarkEnd w:id="867"/>
      <w:bookmarkEnd w:id="868"/>
    </w:p>
    <w:p w14:paraId="0875CA61" w14:textId="77777777" w:rsidR="006D3AD5" w:rsidRPr="0073014D" w:rsidRDefault="006D3AD5" w:rsidP="006D3AD5">
      <w:pPr>
        <w:pStyle w:val="Nadpis3"/>
        <w:rPr>
          <w:rFonts w:ascii="Calibri" w:hAnsi="Calibri"/>
          <w:color w:val="000000"/>
        </w:rPr>
      </w:pPr>
      <w:bookmarkStart w:id="869" w:name="_Toc416800450"/>
      <w:bookmarkStart w:id="870" w:name="_Toc422312118"/>
      <w:r>
        <w:rPr>
          <w:rFonts w:ascii="Calibri" w:hAnsi="Calibri"/>
          <w:color w:val="000000"/>
        </w:rPr>
        <w:t>Goal orientation</w:t>
      </w:r>
      <w:bookmarkEnd w:id="869"/>
      <w:bookmarkEnd w:id="870"/>
    </w:p>
    <w:p w14:paraId="29E18E62" w14:textId="77777777" w:rsidR="006D3AD5" w:rsidRPr="0073014D" w:rsidRDefault="006D3AD5" w:rsidP="006D3AD5">
      <w:pPr>
        <w:pStyle w:val="Neslovannadpisy"/>
        <w:rPr>
          <w:color w:val="000000"/>
        </w:rPr>
      </w:pPr>
      <w:r>
        <w:rPr>
          <w:color w:val="000000"/>
        </w:rPr>
        <w:t>Supported activities:</w:t>
      </w:r>
    </w:p>
    <w:p w14:paraId="4D200058" w14:textId="77777777" w:rsidR="006D3AD5" w:rsidRPr="0073014D" w:rsidRDefault="006D3AD5" w:rsidP="006D3AD5">
      <w:pPr>
        <w:pStyle w:val="Odstavecseseznamem1"/>
        <w:numPr>
          <w:ilvl w:val="0"/>
          <w:numId w:val="7"/>
        </w:numPr>
      </w:pPr>
      <w:r>
        <w:t>Construction of new and reconstruction/modernisation of the existing production plants of electricity and heat from RES providing that the produced energy will be primarily used for distribution, not for own consumption; this will include particularly:</w:t>
      </w:r>
    </w:p>
    <w:p w14:paraId="5FBA1964" w14:textId="77777777" w:rsidR="006D3AD5" w:rsidRPr="0073014D" w:rsidRDefault="006D3AD5" w:rsidP="006D3AD5">
      <w:pPr>
        <w:pStyle w:val="Odstavecseseznamem1"/>
        <w:numPr>
          <w:ilvl w:val="1"/>
          <w:numId w:val="7"/>
        </w:numPr>
      </w:pPr>
      <w:r>
        <w:t>support of the construction and reconstruction/modernisation of small hydroelectric power plants (no more than 10MWe of installed capacity),</w:t>
      </w:r>
    </w:p>
    <w:p w14:paraId="016D00FA" w14:textId="77777777" w:rsidR="006D3AD5" w:rsidRPr="0073014D" w:rsidRDefault="006D3AD5" w:rsidP="006D3AD5">
      <w:pPr>
        <w:pStyle w:val="Odstavecseseznamem1"/>
        <w:numPr>
          <w:ilvl w:val="1"/>
          <w:numId w:val="7"/>
        </w:numPr>
      </w:pPr>
      <w:r>
        <w:t xml:space="preserve">carrying off heat from the existing biogas station through thermal distribution plants to the places of consumption, </w:t>
      </w:r>
    </w:p>
    <w:p w14:paraId="4DCB1CA9" w14:textId="77777777" w:rsidR="006D3AD5" w:rsidRPr="0073014D" w:rsidRDefault="006D3AD5" w:rsidP="006D3AD5">
      <w:pPr>
        <w:pStyle w:val="Odstavecseseznamem1"/>
        <w:numPr>
          <w:ilvl w:val="1"/>
          <w:numId w:val="7"/>
        </w:numPr>
      </w:pPr>
      <w:r>
        <w:t xml:space="preserve">installation of a distant  co-generation unit utilising biogas from the existing biogas station to utilise useful heat in the system of supplying by heat or in another highly effective manner, </w:t>
      </w:r>
    </w:p>
    <w:p w14:paraId="04174ED3" w14:textId="77777777" w:rsidR="006D3AD5" w:rsidRPr="0073014D" w:rsidRDefault="006D3AD5" w:rsidP="006D3AD5">
      <w:pPr>
        <w:pStyle w:val="Odstavecseseznamem1"/>
        <w:numPr>
          <w:ilvl w:val="1"/>
          <w:numId w:val="7"/>
        </w:numPr>
      </w:pPr>
      <w:r>
        <w:t>construction and reconstruction of sources of heat and combined production of electricity and heat from biomass and carrying off heat.</w:t>
      </w:r>
    </w:p>
    <w:p w14:paraId="0D37A1EA" w14:textId="77777777" w:rsidR="006D3AD5" w:rsidRPr="0073014D" w:rsidRDefault="006D3AD5" w:rsidP="006D3AD5">
      <w:pPr>
        <w:pStyle w:val="Neslovannadpisy"/>
        <w:ind w:left="720"/>
        <w:rPr>
          <w:color w:val="000000"/>
        </w:rPr>
      </w:pPr>
    </w:p>
    <w:p w14:paraId="2A4B3665" w14:textId="77777777" w:rsidR="006D3AD5" w:rsidRPr="0073014D" w:rsidRDefault="006D3AD5" w:rsidP="006D3AD5">
      <w:pPr>
        <w:pStyle w:val="Neslovannadpisy"/>
        <w:rPr>
          <w:color w:val="000000"/>
        </w:rPr>
      </w:pPr>
      <w:r>
        <w:rPr>
          <w:color w:val="000000"/>
        </w:rPr>
        <w:t xml:space="preserve">Main target group: </w:t>
      </w:r>
    </w:p>
    <w:p w14:paraId="227296DC" w14:textId="77777777" w:rsidR="006D3AD5" w:rsidRPr="0073014D" w:rsidRDefault="006D3AD5" w:rsidP="006D3AD5">
      <w:r>
        <w:t>Business entities (small, medium-sized or large enterprises)</w:t>
      </w:r>
    </w:p>
    <w:p w14:paraId="21124B6B" w14:textId="77777777" w:rsidR="006D3AD5" w:rsidRPr="0073014D" w:rsidRDefault="006D3AD5" w:rsidP="006D3AD5">
      <w:pPr>
        <w:pStyle w:val="Neslovannadpisy"/>
        <w:rPr>
          <w:color w:val="000000"/>
        </w:rPr>
      </w:pPr>
    </w:p>
    <w:p w14:paraId="55E40503" w14:textId="77777777" w:rsidR="006D3AD5" w:rsidRPr="0073014D" w:rsidRDefault="006D3AD5" w:rsidP="006D3AD5">
      <w:pPr>
        <w:pStyle w:val="Neslovannadpisy"/>
        <w:rPr>
          <w:color w:val="000000"/>
        </w:rPr>
      </w:pPr>
      <w:r>
        <w:rPr>
          <w:color w:val="000000"/>
        </w:rPr>
        <w:t>Target area:</w:t>
      </w:r>
    </w:p>
    <w:p w14:paraId="27A12653" w14:textId="77777777" w:rsidR="006D3AD5" w:rsidRPr="0073014D" w:rsidRDefault="006D3AD5" w:rsidP="006D3AD5">
      <w:r>
        <w:t>All the regions in CZ, except for the capital city of Prague</w:t>
      </w:r>
    </w:p>
    <w:p w14:paraId="6C47F6A5" w14:textId="77777777" w:rsidR="006D3AD5" w:rsidRPr="0073014D" w:rsidRDefault="006D3AD5" w:rsidP="006D3AD5"/>
    <w:p w14:paraId="1FCE167F" w14:textId="77777777" w:rsidR="006D3AD5" w:rsidRPr="0073014D" w:rsidRDefault="006D3AD5" w:rsidP="006D3AD5">
      <w:pPr>
        <w:pStyle w:val="Neslovannadpisy"/>
        <w:rPr>
          <w:color w:val="000000"/>
        </w:rPr>
      </w:pPr>
      <w:r>
        <w:rPr>
          <w:color w:val="000000"/>
        </w:rPr>
        <w:t>Selection of activities to evaluate suitability of the financial instrument</w:t>
      </w:r>
    </w:p>
    <w:p w14:paraId="4041D809" w14:textId="10990214" w:rsidR="006D3AD5" w:rsidRPr="0073014D" w:rsidRDefault="006D3AD5" w:rsidP="006D3AD5">
      <w:r>
        <w:t xml:space="preserve">All the supported activities of Objective </w:t>
      </w:r>
      <w:r w:rsidR="00685AEF">
        <w:t xml:space="preserve">SO </w:t>
      </w:r>
      <w:r>
        <w:t>3.1. were selected for preliminary evaluation. Supported projects with their investment and profitable character create a potentially suitable group for the return form of the support.</w:t>
      </w:r>
    </w:p>
    <w:p w14:paraId="39099934" w14:textId="77777777" w:rsidR="006D3AD5" w:rsidRPr="0073014D" w:rsidRDefault="006D3AD5" w:rsidP="006D3AD5"/>
    <w:p w14:paraId="404721C1" w14:textId="77777777" w:rsidR="006D3AD5" w:rsidRPr="0073014D" w:rsidRDefault="006D3AD5" w:rsidP="006D3AD5">
      <w:pPr>
        <w:pStyle w:val="Nadpis3"/>
        <w:rPr>
          <w:rFonts w:ascii="Calibri" w:hAnsi="Calibri"/>
          <w:color w:val="000000"/>
        </w:rPr>
      </w:pPr>
      <w:bookmarkStart w:id="871" w:name="_Toc422312119"/>
      <w:r>
        <w:rPr>
          <w:rFonts w:ascii="Calibri" w:hAnsi="Calibri"/>
          <w:color w:val="000000"/>
        </w:rPr>
        <w:t>Analysis of market failures</w:t>
      </w:r>
      <w:bookmarkEnd w:id="871"/>
    </w:p>
    <w:p w14:paraId="03E6B5FE" w14:textId="77777777" w:rsidR="006D3AD5" w:rsidRPr="0073014D" w:rsidRDefault="006D3AD5" w:rsidP="006D3AD5">
      <w:pPr>
        <w:pStyle w:val="Nadpis4"/>
        <w:rPr>
          <w:rFonts w:ascii="Calibri" w:hAnsi="Calibri"/>
          <w:color w:val="000000"/>
        </w:rPr>
      </w:pPr>
      <w:r>
        <w:rPr>
          <w:rFonts w:ascii="Calibri" w:hAnsi="Calibri"/>
          <w:color w:val="000000"/>
        </w:rPr>
        <w:t>Market analysis</w:t>
      </w:r>
    </w:p>
    <w:p w14:paraId="44E092B0" w14:textId="77777777" w:rsidR="006D3AD5" w:rsidRPr="0073014D" w:rsidRDefault="006D3AD5" w:rsidP="006D3AD5"/>
    <w:p w14:paraId="7668335D" w14:textId="77777777" w:rsidR="006D3AD5" w:rsidRPr="0073014D" w:rsidRDefault="006D3AD5" w:rsidP="006D3AD5">
      <w:r>
        <w:t>As per market statistics, in 2013, the share of electricity production from RES in gross final consumption of the Czech Republic  increased to 14.53%. The existing obligation of the Czech Republic against the EU is to achieve a 13% share by 2020, which implies that the goal has been met seven years in advance. Energies consumption in CZ is dropping every year, which contributes to the growth of the share of electricity consumption produced from RES.</w:t>
      </w:r>
      <w:r>
        <w:rPr>
          <w:rStyle w:val="Znakapoznpodarou"/>
          <w:rFonts w:ascii="Calibri" w:hAnsi="Calibri"/>
        </w:rPr>
        <w:footnoteReference w:id="31"/>
      </w:r>
      <w:r>
        <w:t xml:space="preserve"> With respect to the additional received obligations of the EU in 2014 (the goals until 2030, the Europe-wide goal of 27% of produced energy from RES)</w:t>
      </w:r>
      <w:r>
        <w:rPr>
          <w:rStyle w:val="Znakapoznpodarou"/>
          <w:rFonts w:ascii="Calibri" w:hAnsi="Calibri"/>
        </w:rPr>
        <w:footnoteReference w:id="32"/>
      </w:r>
      <w:r>
        <w:t>), the evolution and sustainable growth of energy production from RES will remain one of the goals of CZ. After the rapid development, in particular, in the area of solar energy , in previous years, a potential can be seen, above all, in the area of small hydroelectric power plants (SHPP), biomass and biogas stations (BGS), in general, improving effectiveness of the existing establishments.</w:t>
      </w:r>
    </w:p>
    <w:p w14:paraId="1687774A" w14:textId="77777777" w:rsidR="006D3AD5" w:rsidRPr="0073014D" w:rsidRDefault="006D3AD5" w:rsidP="006D3AD5"/>
    <w:p w14:paraId="65F81923" w14:textId="77777777" w:rsidR="006D3AD5" w:rsidRPr="0073014D" w:rsidRDefault="006D3AD5" w:rsidP="006D3AD5">
      <w:pPr>
        <w:rPr>
          <w:b/>
        </w:rPr>
      </w:pPr>
      <w:r>
        <w:t>The space for the construction of large hydroelectric power plants in CZ has been exhausted and their further construction means a great intervention in the environment, therefore, small hydroelectric power plants (SHPP) for which suitable localities are still available are supported</w:t>
      </w:r>
      <w:r>
        <w:rPr>
          <w:b/>
        </w:rPr>
        <w:t>.</w:t>
      </w:r>
      <w:r>
        <w:t xml:space="preserve"> The reconstruction of the existing establishments represents the largest space for the increase in the installed capacity of SHPPs. </w:t>
      </w:r>
      <w:r>
        <w:rPr>
          <w:b/>
        </w:rPr>
        <w:t>In Quarter 1/2014, a total of 1,572 SHPP's with the total capacity of 348MW were reported. In 2013, SHPP's produced a total of 1,420GWh, an increase to 1,420 GWh</w:t>
      </w:r>
      <w:r>
        <w:rPr>
          <w:rStyle w:val="Znakapoznpodarou"/>
          <w:rFonts w:ascii="Calibri" w:hAnsi="Calibri"/>
          <w:b/>
        </w:rPr>
        <w:footnoteReference w:id="33"/>
      </w:r>
      <w:r>
        <w:rPr>
          <w:b/>
        </w:rPr>
        <w:t xml:space="preserve"> is estimated by 2020 according to the MIT's (Ministry of Industry and Trade) analyses.</w:t>
      </w:r>
      <w:r>
        <w:rPr>
          <w:rStyle w:val="Znakapoznpodarou"/>
          <w:rFonts w:ascii="Calibri" w:hAnsi="Calibri"/>
          <w:b/>
        </w:rPr>
        <w:footnoteReference w:id="34"/>
      </w:r>
      <w:r>
        <w:rPr>
          <w:b/>
        </w:rPr>
        <w:t>.</w:t>
      </w:r>
    </w:p>
    <w:p w14:paraId="79E949F3" w14:textId="77777777" w:rsidR="006D3AD5" w:rsidRPr="0073014D" w:rsidRDefault="006D3AD5" w:rsidP="006D3AD5"/>
    <w:p w14:paraId="05C6E13F" w14:textId="77777777" w:rsidR="006D3AD5" w:rsidRPr="0073014D" w:rsidRDefault="006D3AD5" w:rsidP="006D3AD5">
      <w:r>
        <w:t>The second supported area of SC 3.1 will be the utilisation of the heat from biogas stations (BGS). Within OPEI, we will not support the construction of new BGS's but primarily we will support the adjustment for heat utilisation at the existing BGS's. Currently, a lot of biogas stations (BGS) only serve for generating profit from the sale of subsidised electricity as a result of inappropriate legislative conditions.  Produced heat is wasted and the energetic potential of biomass, grown very often in a demanding way, is not utilised. In 2013, the biogas share in the total electricity production was 2.6% and BGS's share in electricity production from RES achieves almost 22.1%.</w:t>
      </w:r>
      <w:r>
        <w:rPr>
          <w:rStyle w:val="Znakapoznpodarou"/>
          <w:rFonts w:ascii="Calibri" w:hAnsi="Calibri"/>
        </w:rPr>
        <w:footnoteReference w:id="35"/>
      </w:r>
      <w:r>
        <w:rPr>
          <w:b/>
        </w:rPr>
        <w:t>Electricity production from BGS's increased by 47% in 2013.</w:t>
      </w:r>
      <w:r>
        <w:rPr>
          <w:rStyle w:val="Znakapoznpodarou"/>
          <w:rFonts w:ascii="Calibri" w:hAnsi="Calibri"/>
        </w:rPr>
        <w:footnoteReference w:id="36"/>
      </w:r>
      <w:r>
        <w:rPr>
          <w:b/>
        </w:rPr>
        <w:t>As of 31/12/2013, the number of BGS's was 487</w:t>
      </w:r>
      <w:r>
        <w:t xml:space="preserve"> with the total production of 2,243GWh (+ 837GWh when compared to 2012). The plan until 2020 estimates the electricity production at the level of 3,000GWh annually, which will be most probably exceeded and the estimated electricity production from BGS's is 8,500TJ. </w:t>
      </w:r>
      <w:r>
        <w:rPr>
          <w:b/>
        </w:rPr>
        <w:t>BGS's are localised in the places in which we cannot find effective application of all heat.</w:t>
      </w:r>
      <w:r>
        <w:t xml:space="preserve"> </w:t>
      </w:r>
      <w:r>
        <w:rPr>
          <w:b/>
        </w:rPr>
        <w:t>Up to one third of energy from biomass (mainly heat) is not consumed</w:t>
      </w:r>
      <w:r>
        <w:t>, owing to the fact that input raw materials for BGS's are grown on the arable land separated from larger collection places. Limitation of these leakages would proportionally decrease a necessary claim of arable land for industrial crops. The way to increase produced electricity is to implement a co-generation unit /(CU) directly to the station. Without CU, the effectiveness of BGS's utilisation would be only one third (ca. 35%).</w:t>
      </w:r>
    </w:p>
    <w:p w14:paraId="39BBEC01" w14:textId="77777777" w:rsidR="006D3AD5" w:rsidRPr="0073014D" w:rsidRDefault="006D3AD5" w:rsidP="006D3AD5"/>
    <w:p w14:paraId="7959AC17" w14:textId="77777777" w:rsidR="006D3AD5" w:rsidRPr="0073014D" w:rsidRDefault="006D3AD5" w:rsidP="006D3AD5">
      <w:pPr>
        <w:keepNext/>
      </w:pPr>
      <w:r>
        <w:rPr>
          <w:noProof/>
        </w:rPr>
        <w:drawing>
          <wp:inline distT="0" distB="0" distL="0" distR="0" wp14:anchorId="26507427" wp14:editId="7784C765">
            <wp:extent cx="3317240" cy="15627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7240" cy="1562735"/>
                    </a:xfrm>
                    <a:prstGeom prst="rect">
                      <a:avLst/>
                    </a:prstGeom>
                    <a:noFill/>
                    <a:ln>
                      <a:noFill/>
                    </a:ln>
                  </pic:spPr>
                </pic:pic>
              </a:graphicData>
            </a:graphic>
          </wp:inline>
        </w:drawing>
      </w:r>
    </w:p>
    <w:p w14:paraId="002BE45F" w14:textId="06CD91D8" w:rsidR="006D3AD5" w:rsidRPr="00685AEF" w:rsidRDefault="006D3AD5">
      <w:pPr>
        <w:pStyle w:val="Titulek"/>
      </w:pPr>
      <w:r w:rsidRPr="00685AEF">
        <w:t>Figure</w:t>
      </w:r>
      <w:r w:rsidR="00F473EE">
        <w:t xml:space="preserve"> 2</w:t>
      </w:r>
      <w:r w:rsidR="000C64DE">
        <w:t>6</w:t>
      </w:r>
      <w:r w:rsidRPr="00685AEF">
        <w:t>: Implementation of Co-generation Unit to BGS</w:t>
      </w:r>
    </w:p>
    <w:p w14:paraId="2EE4C749" w14:textId="77777777" w:rsidR="006D3AD5" w:rsidRPr="00685AEF" w:rsidRDefault="006D3AD5">
      <w:pPr>
        <w:pStyle w:val="Titulek"/>
      </w:pPr>
      <w:r w:rsidRPr="00685AEF">
        <w:t>Source: Czech Biogas Association</w:t>
      </w:r>
    </w:p>
    <w:p w14:paraId="19BE0CE5" w14:textId="77777777" w:rsidR="006D3AD5" w:rsidRPr="0073014D" w:rsidRDefault="006D3AD5" w:rsidP="006D3AD5"/>
    <w:p w14:paraId="2B017918" w14:textId="3FCBD35F" w:rsidR="006D3AD5" w:rsidRPr="0073014D" w:rsidRDefault="006D3AD5" w:rsidP="006D3AD5">
      <w:r>
        <w:t xml:space="preserve">The second option is carrying off the heat by the heat line from the co-generation  unit to the neighbouring residential zone or industrial area, which must be situated within 1km. For bigger distances the heat supply is problematic owing to high investment as well as operating costs. Both alternatives of the increase in energetic efficiency of BGS's meet the orientation of supported activities in the area of support </w:t>
      </w:r>
      <w:r w:rsidR="00685AEF">
        <w:t xml:space="preserve">SO </w:t>
      </w:r>
      <w:r>
        <w:t>3.1.</w:t>
      </w:r>
    </w:p>
    <w:p w14:paraId="728F67A1" w14:textId="77777777" w:rsidR="006D3AD5" w:rsidRPr="0073014D" w:rsidRDefault="006D3AD5" w:rsidP="006D3AD5"/>
    <w:p w14:paraId="02878A7F" w14:textId="77777777" w:rsidR="006D3AD5" w:rsidRPr="0073014D" w:rsidRDefault="006D3AD5" w:rsidP="006D3AD5">
      <w:r>
        <w:lastRenderedPageBreak/>
        <w:t>Not all BGS's are suitable for the implementation of co-generation and local carrying off heat. In many cases, there is no suitable beneficiary in the surroundings. The list of selected suitable buildings is shown in Table 12, which marks probable absorption capacity in this area.</w:t>
      </w:r>
    </w:p>
    <w:p w14:paraId="24D8D91E" w14:textId="77777777" w:rsidR="006D3AD5" w:rsidRPr="0073014D" w:rsidRDefault="006D3AD5" w:rsidP="006D3AD5"/>
    <w:p w14:paraId="2E0E2978" w14:textId="77777777" w:rsidR="006D3AD5" w:rsidRPr="0073014D" w:rsidRDefault="006D3AD5" w:rsidP="006D3AD5">
      <w:pPr>
        <w:keepNext/>
      </w:pPr>
      <w:r>
        <w:rPr>
          <w:noProof/>
        </w:rPr>
        <w:drawing>
          <wp:inline distT="0" distB="0" distL="0" distR="0" wp14:anchorId="3BE2559E" wp14:editId="74FB65D6">
            <wp:extent cx="4646295" cy="2647315"/>
            <wp:effectExtent l="0" t="0" r="1905" b="63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6">
                      <a:extLst>
                        <a:ext uri="{28A0092B-C50C-407E-A947-70E740481C1C}">
                          <a14:useLocalDpi xmlns:a14="http://schemas.microsoft.com/office/drawing/2010/main" val="0"/>
                        </a:ext>
                      </a:extLst>
                    </a:blip>
                    <a:srcRect l="17125" t="45059" r="27625" b="16263"/>
                    <a:stretch>
                      <a:fillRect/>
                    </a:stretch>
                  </pic:blipFill>
                  <pic:spPr bwMode="auto">
                    <a:xfrm>
                      <a:off x="0" y="0"/>
                      <a:ext cx="4646295" cy="2647315"/>
                    </a:xfrm>
                    <a:prstGeom prst="rect">
                      <a:avLst/>
                    </a:prstGeom>
                    <a:noFill/>
                    <a:ln>
                      <a:noFill/>
                    </a:ln>
                  </pic:spPr>
                </pic:pic>
              </a:graphicData>
            </a:graphic>
          </wp:inline>
        </w:drawing>
      </w:r>
    </w:p>
    <w:p w14:paraId="7059BBB4" w14:textId="1760CC5C" w:rsidR="006D3AD5" w:rsidRPr="0073014D" w:rsidRDefault="006D3AD5" w:rsidP="00685AEF">
      <w:pPr>
        <w:pStyle w:val="Titulek"/>
      </w:pPr>
      <w:r>
        <w:t>Table 5</w:t>
      </w:r>
      <w:r w:rsidR="00001EEF">
        <w:t>8</w:t>
      </w:r>
      <w:r>
        <w:t xml:space="preserve">: Options of heat utilisation/distant co-generation at the existing biogas stations from the point of individual regions in CZ </w:t>
      </w:r>
    </w:p>
    <w:p w14:paraId="3D82E3CC" w14:textId="77777777" w:rsidR="006D3AD5" w:rsidRPr="0073014D" w:rsidRDefault="006D3AD5" w:rsidP="00685AEF">
      <w:pPr>
        <w:pStyle w:val="Titulek"/>
      </w:pPr>
      <w:r>
        <w:t>Source: MIT, OPEI</w:t>
      </w:r>
    </w:p>
    <w:p w14:paraId="6169E93E" w14:textId="77777777" w:rsidR="006D3AD5" w:rsidRPr="0073014D" w:rsidRDefault="006D3AD5" w:rsidP="006D3AD5">
      <w:pPr>
        <w:pStyle w:val="Titulek"/>
        <w:rPr>
          <w:color w:val="000000"/>
        </w:rPr>
      </w:pPr>
    </w:p>
    <w:p w14:paraId="3725CB16" w14:textId="77777777" w:rsidR="006D3AD5" w:rsidRPr="0073014D" w:rsidRDefault="006D3AD5" w:rsidP="006D3AD5">
      <w:pPr>
        <w:pStyle w:val="Neslovannadpisy"/>
        <w:rPr>
          <w:color w:val="000000"/>
        </w:rPr>
      </w:pPr>
      <w:r>
        <w:rPr>
          <w:color w:val="000000"/>
        </w:rPr>
        <w:t>Source of funding</w:t>
      </w:r>
    </w:p>
    <w:p w14:paraId="3FECE37C" w14:textId="77777777" w:rsidR="006D3AD5" w:rsidRPr="0073014D" w:rsidRDefault="006D3AD5" w:rsidP="006D3AD5">
      <w:pPr>
        <w:rPr>
          <w:b/>
        </w:rPr>
      </w:pPr>
      <w:r>
        <w:rPr>
          <w:b/>
        </w:rPr>
        <w:t xml:space="preserve">Investments in RES are in a large extent financed through a loan from commercial banks, typically in the form of project financing. </w:t>
      </w:r>
      <w:r>
        <w:t xml:space="preserve"> Legislation advantage by operating support and guaranteed purchase of electricity from SHPP's, BGS's and biomass reduces to a certain extent sales risks and, thus, partially makes the access to financing more advantageous. Big banks offer specialised products and expertise for energetic projects. The offered loans were from a large extent combined also with a subsidy support.</w:t>
      </w:r>
    </w:p>
    <w:p w14:paraId="7DDFD360" w14:textId="77777777" w:rsidR="006D3AD5" w:rsidRPr="0073014D" w:rsidRDefault="006D3AD5" w:rsidP="006D3AD5">
      <w:pPr>
        <w:rPr>
          <w:b/>
        </w:rPr>
      </w:pPr>
    </w:p>
    <w:p w14:paraId="0EBD0715" w14:textId="77777777" w:rsidR="006D3AD5" w:rsidRPr="0073014D" w:rsidRDefault="006D3AD5" w:rsidP="006D3AD5">
      <w:r>
        <w:rPr>
          <w:b/>
        </w:rPr>
        <w:t xml:space="preserve">Public support in the form of subsidies meant a significant resource of funding RES projects in the previous period. </w:t>
      </w:r>
      <w:r>
        <w:t>Regarding OPEI projects, an analogical programme of the support in OPEI ECO-ENERGY, which supported several SME's,  is of utmost relevance. The activity of carrying off heat from BGS's in OPEI was not supported.</w:t>
      </w:r>
    </w:p>
    <w:p w14:paraId="04C57830" w14:textId="77777777" w:rsidR="006D3AD5" w:rsidRPr="0073014D" w:rsidRDefault="006D3AD5" w:rsidP="006D3AD5"/>
    <w:p w14:paraId="26A08ED3" w14:textId="77777777" w:rsidR="006D3AD5" w:rsidRPr="0073014D" w:rsidRDefault="006D3AD5" w:rsidP="006D3AD5"/>
    <w:p w14:paraId="7893EFC5" w14:textId="77777777" w:rsidR="006D3AD5" w:rsidRPr="0073014D" w:rsidRDefault="006D3AD5" w:rsidP="006D3AD5">
      <w:r>
        <w:t>Within Call III, according to CZECHINVEST,  within Call III-extended, a total of 69 eligible SHPPs were approved and accepted. The approved projects could not have IRR of more than 20%.</w:t>
      </w:r>
    </w:p>
    <w:p w14:paraId="5E623E78" w14:textId="77777777" w:rsidR="006D3AD5" w:rsidRPr="0073014D" w:rsidRDefault="006D3AD5" w:rsidP="006D3AD5">
      <w:pPr>
        <w:pStyle w:val="Odstavecseseznamem1"/>
        <w:numPr>
          <w:ilvl w:val="0"/>
          <w:numId w:val="7"/>
        </w:numPr>
      </w:pPr>
      <w:r>
        <w:t>The average IRR in these approved projects amounts to 9.43%.</w:t>
      </w:r>
    </w:p>
    <w:p w14:paraId="7A035CA1" w14:textId="77777777" w:rsidR="006D3AD5" w:rsidRPr="0073014D" w:rsidRDefault="006D3AD5" w:rsidP="006D3AD5">
      <w:pPr>
        <w:pStyle w:val="Odstavecseseznamem1"/>
        <w:numPr>
          <w:ilvl w:val="0"/>
          <w:numId w:val="7"/>
        </w:numPr>
      </w:pPr>
      <w:r>
        <w:t>The maximum IRR in these approved projects amounts to ca. 18.43%.</w:t>
      </w:r>
    </w:p>
    <w:p w14:paraId="6E0580ED" w14:textId="77777777" w:rsidR="006D3AD5" w:rsidRPr="0073014D" w:rsidRDefault="006D3AD5" w:rsidP="006D3AD5">
      <w:pPr>
        <w:pStyle w:val="Odstavecseseznamem1"/>
        <w:numPr>
          <w:ilvl w:val="0"/>
          <w:numId w:val="7"/>
        </w:numPr>
      </w:pPr>
      <w:r>
        <w:t>The minimum IRR in these approved projects amounts to ca. 3.01%.</w:t>
      </w:r>
    </w:p>
    <w:p w14:paraId="642FE86D" w14:textId="77777777" w:rsidR="006D3AD5" w:rsidRPr="0073014D" w:rsidRDefault="006D3AD5" w:rsidP="006D3AD5">
      <w:pPr>
        <w:pStyle w:val="Odstavecseseznamem1"/>
        <w:numPr>
          <w:ilvl w:val="0"/>
          <w:numId w:val="7"/>
        </w:numPr>
      </w:pPr>
      <w:r>
        <w:t>The IRR median in these approved projects amounts to 9.52%.</w:t>
      </w:r>
    </w:p>
    <w:p w14:paraId="1CF47FD5" w14:textId="77777777" w:rsidR="006D3AD5" w:rsidRPr="0073014D" w:rsidRDefault="006D3AD5" w:rsidP="006D3AD5"/>
    <w:p w14:paraId="6AD8C6DF" w14:textId="77777777" w:rsidR="006D3AD5" w:rsidRPr="0073014D" w:rsidRDefault="006D3AD5" w:rsidP="006D3AD5">
      <w:r>
        <w:t>Within Call III-extended, as per CZECHINVEST statistics, a total of 48 SHPP projects were supported with the total eligible costs of ca. CZK 1.2 billion and 42 projects of CPEH from RES with eligible expenses in the amount of CZK 3 billion.</w:t>
      </w:r>
    </w:p>
    <w:p w14:paraId="19525791" w14:textId="77777777" w:rsidR="006D3AD5" w:rsidRPr="0073014D" w:rsidRDefault="006D3AD5" w:rsidP="006D3AD5">
      <w:pPr>
        <w:pStyle w:val="BodyText1"/>
        <w:jc w:val="both"/>
        <w:rPr>
          <w:rFonts w:ascii="Calibri" w:hAnsi="Calibri"/>
          <w:b/>
        </w:rPr>
      </w:pPr>
    </w:p>
    <w:p w14:paraId="06F62794" w14:textId="77777777" w:rsidR="006D3AD5" w:rsidRPr="0073014D" w:rsidRDefault="006D3AD5" w:rsidP="006D3AD5">
      <w:r>
        <w:t xml:space="preserve">The investment support for RES was also provided by the EOP, nevertheless, wit respect to the limitation to public services, universities and non-profit organisations, this investment demand falls </w:t>
      </w:r>
      <w:r>
        <w:lastRenderedPageBreak/>
        <w:t>beyond the OPEI goal.  EFEKT Programme (MIT) by its allocation and a wide orientation for the investment activity is negligible in this area.</w:t>
      </w:r>
    </w:p>
    <w:p w14:paraId="2C58FA56" w14:textId="77777777" w:rsidR="006D3AD5" w:rsidRPr="0073014D" w:rsidRDefault="006D3AD5" w:rsidP="006D3AD5"/>
    <w:p w14:paraId="6C88771A" w14:textId="77777777" w:rsidR="006D3AD5" w:rsidRPr="0073014D" w:rsidRDefault="006D3AD5" w:rsidP="006D3AD5">
      <w:pPr>
        <w:pStyle w:val="Neslovannadpisy"/>
        <w:rPr>
          <w:color w:val="000000"/>
        </w:rPr>
      </w:pPr>
      <w:r>
        <w:rPr>
          <w:color w:val="000000"/>
        </w:rPr>
        <w:t>Operational support</w:t>
      </w:r>
    </w:p>
    <w:p w14:paraId="4A4E13AF" w14:textId="77777777" w:rsidR="006D3AD5" w:rsidRPr="0073014D" w:rsidRDefault="006D3AD5" w:rsidP="006D3AD5">
      <w:r>
        <w:rPr>
          <w:b/>
        </w:rPr>
        <w:t>Unlike wind and solar energy, SHPP's  draw the operational support for the electricity supplied to the line and as per the up-dated price decision, the purchase prise for new resources connected across the line amounts to 3.23 CZK/kWh.</w:t>
      </w:r>
      <w:r>
        <w:t xml:space="preserve"> We need to emphasise that the current </w:t>
      </w:r>
      <w:r>
        <w:rPr>
          <w:b/>
        </w:rPr>
        <w:t>setting of OPEI does not allow drawing the investment support concurrently with the operational support.</w:t>
      </w:r>
      <w:r>
        <w:t xml:space="preserve"> With respect to the amount of the current operational support, this regulation considerably limits the absorption capacity not only for the financial instruments, but also for the subsidies within the limit of public support. There was also a reduction in a maximum rate subsidy  for the applicants for the investment subsidy from the EFEKT national programme, if they want to draw the operational subsidy. A percentage reduction in the support for the operators who received a subsidy for the construction of SHPP is higher than e.g. at CPEH, which produces energy from fossil fuel – gas.</w:t>
      </w:r>
    </w:p>
    <w:p w14:paraId="30560880" w14:textId="77777777" w:rsidR="006D3AD5" w:rsidRPr="0073014D" w:rsidRDefault="006D3AD5" w:rsidP="006D3AD5"/>
    <w:p w14:paraId="6F90EDDD" w14:textId="778CA46F" w:rsidR="006D3AD5" w:rsidRPr="0073014D" w:rsidRDefault="006D3AD5" w:rsidP="006D3AD5">
      <w:r>
        <w:t>Also the majority of BGS's receives the operational support for the purchase of energy. However, in the case of the support of investments in the co-generation production of heat from BGS's, in OPEI,  there is no conflict with the operational support when compared to SHPP's. This relates to the purchase of electricity, not heat.</w:t>
      </w:r>
    </w:p>
    <w:p w14:paraId="26022F8C" w14:textId="77777777" w:rsidR="006D3AD5" w:rsidRPr="0073014D" w:rsidRDefault="006D3AD5" w:rsidP="006D3AD5">
      <w:pPr>
        <w:pStyle w:val="Nadpis4"/>
        <w:rPr>
          <w:rFonts w:ascii="Calibri" w:hAnsi="Calibri"/>
          <w:color w:val="000000"/>
        </w:rPr>
      </w:pPr>
      <w:r>
        <w:rPr>
          <w:rFonts w:ascii="Calibri" w:hAnsi="Calibri"/>
          <w:color w:val="000000"/>
        </w:rPr>
        <w:t>A questionnaire inquiry</w:t>
      </w:r>
    </w:p>
    <w:p w14:paraId="3CE6D5DE" w14:textId="77777777" w:rsidR="006D3AD5" w:rsidRPr="0073014D" w:rsidRDefault="006D3AD5" w:rsidP="006D3AD5"/>
    <w:p w14:paraId="7EA76E7A" w14:textId="698D2D4F" w:rsidR="006D3AD5" w:rsidRPr="0073014D" w:rsidRDefault="006D3AD5" w:rsidP="003D68AA">
      <w:pPr>
        <w:pStyle w:val="Titulek"/>
      </w:pPr>
      <w:r>
        <w:t>Table 5</w:t>
      </w:r>
      <w:r w:rsidR="00001EEF">
        <w:t>9</w:t>
      </w:r>
      <w:r>
        <w:t>: Structure of respondents from the point of the size of the enterprise</w:t>
      </w:r>
    </w:p>
    <w:tbl>
      <w:tblPr>
        <w:tblW w:w="3313" w:type="dxa"/>
        <w:tblInd w:w="55" w:type="dxa"/>
        <w:tblCellMar>
          <w:left w:w="70" w:type="dxa"/>
          <w:right w:w="70" w:type="dxa"/>
        </w:tblCellMar>
        <w:tblLook w:val="00A0" w:firstRow="1" w:lastRow="0" w:firstColumn="1" w:lastColumn="0" w:noHBand="0" w:noVBand="0"/>
      </w:tblPr>
      <w:tblGrid>
        <w:gridCol w:w="1387"/>
        <w:gridCol w:w="963"/>
        <w:gridCol w:w="963"/>
      </w:tblGrid>
      <w:tr w:rsidR="006D3AD5" w:rsidRPr="0073014D" w14:paraId="5F28FFBF" w14:textId="77777777" w:rsidTr="00443B8F">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14:paraId="78462D70" w14:textId="77777777" w:rsidR="006D3AD5" w:rsidRPr="0073014D" w:rsidRDefault="006D3AD5" w:rsidP="00443B8F">
            <w:pPr>
              <w:overflowPunct/>
              <w:autoSpaceDE/>
              <w:autoSpaceDN/>
              <w:adjustRightInd/>
              <w:jc w:val="left"/>
              <w:textAlignment w:val="auto"/>
              <w:rPr>
                <w:rFonts w:cs="Arial"/>
                <w:b/>
                <w:bCs/>
                <w:sz w:val="20"/>
              </w:rPr>
            </w:pPr>
            <w:r>
              <w:rPr>
                <w:b/>
                <w:sz w:val="20"/>
              </w:rPr>
              <w:t>Structure of respondents from the point of the size of the enterprise</w:t>
            </w:r>
          </w:p>
        </w:tc>
        <w:tc>
          <w:tcPr>
            <w:tcW w:w="963" w:type="dxa"/>
            <w:tcBorders>
              <w:top w:val="single" w:sz="4" w:space="0" w:color="auto"/>
              <w:left w:val="nil"/>
              <w:bottom w:val="single" w:sz="4" w:space="0" w:color="auto"/>
              <w:right w:val="single" w:sz="4" w:space="0" w:color="auto"/>
            </w:tcBorders>
            <w:noWrap/>
            <w:vAlign w:val="bottom"/>
          </w:tcPr>
          <w:p w14:paraId="374A09EA" w14:textId="77777777" w:rsidR="006D3AD5" w:rsidRPr="0073014D" w:rsidRDefault="006D3AD5" w:rsidP="00443B8F">
            <w:pPr>
              <w:overflowPunct/>
              <w:autoSpaceDE/>
              <w:autoSpaceDN/>
              <w:adjustRightInd/>
              <w:jc w:val="left"/>
              <w:textAlignment w:val="auto"/>
              <w:rPr>
                <w:rFonts w:cs="Arial"/>
                <w:sz w:val="20"/>
              </w:rPr>
            </w:pPr>
            <w:r>
              <w:rPr>
                <w:sz w:val="20"/>
              </w:rPr>
              <w:t>Share</w:t>
            </w:r>
          </w:p>
        </w:tc>
        <w:tc>
          <w:tcPr>
            <w:tcW w:w="963" w:type="dxa"/>
            <w:tcBorders>
              <w:top w:val="single" w:sz="4" w:space="0" w:color="auto"/>
              <w:left w:val="nil"/>
              <w:bottom w:val="single" w:sz="4" w:space="0" w:color="auto"/>
              <w:right w:val="single" w:sz="4" w:space="0" w:color="auto"/>
            </w:tcBorders>
            <w:noWrap/>
            <w:vAlign w:val="bottom"/>
          </w:tcPr>
          <w:p w14:paraId="2E6B22F6"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r>
      <w:tr w:rsidR="006D3AD5" w:rsidRPr="0073014D" w14:paraId="0783A8FF"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42E82E0F" w14:textId="77777777" w:rsidR="006D3AD5" w:rsidRPr="0073014D" w:rsidRDefault="006D3AD5" w:rsidP="00443B8F">
            <w:pPr>
              <w:overflowPunct/>
              <w:autoSpaceDE/>
              <w:autoSpaceDN/>
              <w:adjustRightInd/>
              <w:jc w:val="left"/>
              <w:textAlignment w:val="auto"/>
              <w:rPr>
                <w:rFonts w:cs="Arial"/>
                <w:sz w:val="20"/>
              </w:rPr>
            </w:pPr>
            <w:r>
              <w:rPr>
                <w:sz w:val="20"/>
              </w:rPr>
              <w:t>small enterprises</w:t>
            </w:r>
          </w:p>
        </w:tc>
        <w:tc>
          <w:tcPr>
            <w:tcW w:w="963" w:type="dxa"/>
            <w:tcBorders>
              <w:top w:val="nil"/>
              <w:left w:val="nil"/>
              <w:bottom w:val="single" w:sz="4" w:space="0" w:color="auto"/>
              <w:right w:val="single" w:sz="4" w:space="0" w:color="auto"/>
            </w:tcBorders>
            <w:noWrap/>
            <w:vAlign w:val="bottom"/>
          </w:tcPr>
          <w:p w14:paraId="603BCFF6" w14:textId="77777777" w:rsidR="006D3AD5" w:rsidRPr="0073014D" w:rsidRDefault="006D3AD5" w:rsidP="00443B8F">
            <w:pPr>
              <w:overflowPunct/>
              <w:autoSpaceDE/>
              <w:autoSpaceDN/>
              <w:adjustRightInd/>
              <w:jc w:val="right"/>
              <w:textAlignment w:val="auto"/>
              <w:rPr>
                <w:rFonts w:cs="Arial"/>
                <w:sz w:val="20"/>
              </w:rPr>
            </w:pPr>
            <w:r>
              <w:rPr>
                <w:sz w:val="20"/>
              </w:rPr>
              <w:t>38.5%</w:t>
            </w:r>
          </w:p>
        </w:tc>
        <w:tc>
          <w:tcPr>
            <w:tcW w:w="963" w:type="dxa"/>
            <w:tcBorders>
              <w:top w:val="nil"/>
              <w:left w:val="nil"/>
              <w:bottom w:val="single" w:sz="4" w:space="0" w:color="auto"/>
              <w:right w:val="single" w:sz="4" w:space="0" w:color="auto"/>
            </w:tcBorders>
            <w:noWrap/>
            <w:vAlign w:val="bottom"/>
          </w:tcPr>
          <w:p w14:paraId="71A5FA63" w14:textId="77777777" w:rsidR="006D3AD5" w:rsidRPr="0073014D" w:rsidRDefault="006D3AD5" w:rsidP="00443B8F">
            <w:pPr>
              <w:overflowPunct/>
              <w:autoSpaceDE/>
              <w:autoSpaceDN/>
              <w:adjustRightInd/>
              <w:jc w:val="right"/>
              <w:textAlignment w:val="auto"/>
              <w:rPr>
                <w:rFonts w:cs="Arial"/>
                <w:sz w:val="20"/>
              </w:rPr>
            </w:pPr>
            <w:r>
              <w:rPr>
                <w:sz w:val="20"/>
              </w:rPr>
              <w:t>40</w:t>
            </w:r>
          </w:p>
        </w:tc>
      </w:tr>
      <w:tr w:rsidR="006D3AD5" w:rsidRPr="0073014D" w14:paraId="2DDBC858"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60F6EA05" w14:textId="77777777" w:rsidR="006D3AD5" w:rsidRPr="0073014D" w:rsidRDefault="006D3AD5" w:rsidP="00443B8F">
            <w:pPr>
              <w:overflowPunct/>
              <w:autoSpaceDE/>
              <w:autoSpaceDN/>
              <w:adjustRightInd/>
              <w:jc w:val="left"/>
              <w:textAlignment w:val="auto"/>
              <w:rPr>
                <w:rFonts w:cs="Arial"/>
                <w:sz w:val="20"/>
              </w:rPr>
            </w:pPr>
            <w:r>
              <w:rPr>
                <w:sz w:val="20"/>
              </w:rPr>
              <w:t>micro enterprises</w:t>
            </w:r>
          </w:p>
        </w:tc>
        <w:tc>
          <w:tcPr>
            <w:tcW w:w="963" w:type="dxa"/>
            <w:tcBorders>
              <w:top w:val="nil"/>
              <w:left w:val="nil"/>
              <w:bottom w:val="single" w:sz="4" w:space="0" w:color="auto"/>
              <w:right w:val="single" w:sz="4" w:space="0" w:color="auto"/>
            </w:tcBorders>
            <w:noWrap/>
            <w:vAlign w:val="bottom"/>
          </w:tcPr>
          <w:p w14:paraId="7B7CA22C" w14:textId="77777777" w:rsidR="006D3AD5" w:rsidRPr="0073014D" w:rsidRDefault="006D3AD5" w:rsidP="00443B8F">
            <w:pPr>
              <w:overflowPunct/>
              <w:autoSpaceDE/>
              <w:autoSpaceDN/>
              <w:adjustRightInd/>
              <w:jc w:val="right"/>
              <w:textAlignment w:val="auto"/>
              <w:rPr>
                <w:rFonts w:cs="Arial"/>
                <w:sz w:val="20"/>
              </w:rPr>
            </w:pPr>
            <w:r>
              <w:rPr>
                <w:sz w:val="20"/>
              </w:rPr>
              <w:t>25.0%</w:t>
            </w:r>
          </w:p>
        </w:tc>
        <w:tc>
          <w:tcPr>
            <w:tcW w:w="963" w:type="dxa"/>
            <w:tcBorders>
              <w:top w:val="nil"/>
              <w:left w:val="nil"/>
              <w:bottom w:val="single" w:sz="4" w:space="0" w:color="auto"/>
              <w:right w:val="single" w:sz="4" w:space="0" w:color="auto"/>
            </w:tcBorders>
            <w:noWrap/>
            <w:vAlign w:val="bottom"/>
          </w:tcPr>
          <w:p w14:paraId="77666273" w14:textId="77777777" w:rsidR="006D3AD5" w:rsidRPr="0073014D" w:rsidRDefault="006D3AD5" w:rsidP="00443B8F">
            <w:pPr>
              <w:overflowPunct/>
              <w:autoSpaceDE/>
              <w:autoSpaceDN/>
              <w:adjustRightInd/>
              <w:jc w:val="right"/>
              <w:textAlignment w:val="auto"/>
              <w:rPr>
                <w:rFonts w:cs="Arial"/>
                <w:sz w:val="20"/>
              </w:rPr>
            </w:pPr>
            <w:r>
              <w:rPr>
                <w:sz w:val="20"/>
              </w:rPr>
              <w:t>26</w:t>
            </w:r>
          </w:p>
        </w:tc>
      </w:tr>
      <w:tr w:rsidR="006D3AD5" w:rsidRPr="0073014D" w14:paraId="15B930AA"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63A1A777" w14:textId="77777777" w:rsidR="006D3AD5" w:rsidRPr="0073014D" w:rsidRDefault="006D3AD5" w:rsidP="00443B8F">
            <w:pPr>
              <w:overflowPunct/>
              <w:autoSpaceDE/>
              <w:autoSpaceDN/>
              <w:adjustRightInd/>
              <w:jc w:val="left"/>
              <w:textAlignment w:val="auto"/>
              <w:rPr>
                <w:rFonts w:cs="Arial"/>
                <w:sz w:val="20"/>
              </w:rPr>
            </w:pPr>
            <w:r>
              <w:rPr>
                <w:sz w:val="20"/>
              </w:rPr>
              <w:t>medium-size enterprises</w:t>
            </w:r>
          </w:p>
        </w:tc>
        <w:tc>
          <w:tcPr>
            <w:tcW w:w="963" w:type="dxa"/>
            <w:tcBorders>
              <w:top w:val="nil"/>
              <w:left w:val="nil"/>
              <w:bottom w:val="single" w:sz="4" w:space="0" w:color="auto"/>
              <w:right w:val="single" w:sz="4" w:space="0" w:color="auto"/>
            </w:tcBorders>
            <w:noWrap/>
            <w:vAlign w:val="bottom"/>
          </w:tcPr>
          <w:p w14:paraId="4BA275B8" w14:textId="77777777" w:rsidR="006D3AD5" w:rsidRPr="0073014D" w:rsidRDefault="006D3AD5" w:rsidP="00443B8F">
            <w:pPr>
              <w:overflowPunct/>
              <w:autoSpaceDE/>
              <w:autoSpaceDN/>
              <w:adjustRightInd/>
              <w:jc w:val="right"/>
              <w:textAlignment w:val="auto"/>
              <w:rPr>
                <w:rFonts w:cs="Arial"/>
                <w:sz w:val="20"/>
              </w:rPr>
            </w:pPr>
            <w:r>
              <w:rPr>
                <w:sz w:val="20"/>
              </w:rPr>
              <w:t>26.0%</w:t>
            </w:r>
          </w:p>
        </w:tc>
        <w:tc>
          <w:tcPr>
            <w:tcW w:w="963" w:type="dxa"/>
            <w:tcBorders>
              <w:top w:val="nil"/>
              <w:left w:val="nil"/>
              <w:bottom w:val="single" w:sz="4" w:space="0" w:color="auto"/>
              <w:right w:val="single" w:sz="4" w:space="0" w:color="auto"/>
            </w:tcBorders>
            <w:noWrap/>
            <w:vAlign w:val="bottom"/>
          </w:tcPr>
          <w:p w14:paraId="328AE67E" w14:textId="77777777" w:rsidR="006D3AD5" w:rsidRPr="0073014D" w:rsidRDefault="006D3AD5" w:rsidP="00443B8F">
            <w:pPr>
              <w:overflowPunct/>
              <w:autoSpaceDE/>
              <w:autoSpaceDN/>
              <w:adjustRightInd/>
              <w:jc w:val="right"/>
              <w:textAlignment w:val="auto"/>
              <w:rPr>
                <w:rFonts w:cs="Arial"/>
                <w:sz w:val="20"/>
              </w:rPr>
            </w:pPr>
            <w:r>
              <w:rPr>
                <w:sz w:val="20"/>
              </w:rPr>
              <w:t>27</w:t>
            </w:r>
          </w:p>
        </w:tc>
      </w:tr>
      <w:tr w:rsidR="006D3AD5" w:rsidRPr="0073014D" w14:paraId="041F6D01"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7C8CA8C5" w14:textId="77777777" w:rsidR="006D3AD5" w:rsidRPr="0073014D" w:rsidRDefault="006D3AD5" w:rsidP="00443B8F">
            <w:pPr>
              <w:overflowPunct/>
              <w:autoSpaceDE/>
              <w:autoSpaceDN/>
              <w:adjustRightInd/>
              <w:jc w:val="left"/>
              <w:textAlignment w:val="auto"/>
              <w:rPr>
                <w:rFonts w:cs="Arial"/>
                <w:sz w:val="20"/>
              </w:rPr>
            </w:pPr>
            <w:r>
              <w:rPr>
                <w:sz w:val="20"/>
              </w:rPr>
              <w:t>large enterprises</w:t>
            </w:r>
          </w:p>
        </w:tc>
        <w:tc>
          <w:tcPr>
            <w:tcW w:w="963" w:type="dxa"/>
            <w:tcBorders>
              <w:top w:val="nil"/>
              <w:left w:val="nil"/>
              <w:bottom w:val="single" w:sz="4" w:space="0" w:color="auto"/>
              <w:right w:val="single" w:sz="4" w:space="0" w:color="auto"/>
            </w:tcBorders>
            <w:noWrap/>
            <w:vAlign w:val="bottom"/>
          </w:tcPr>
          <w:p w14:paraId="3B33848E" w14:textId="77777777" w:rsidR="006D3AD5" w:rsidRPr="0073014D" w:rsidRDefault="006D3AD5" w:rsidP="00443B8F">
            <w:pPr>
              <w:overflowPunct/>
              <w:autoSpaceDE/>
              <w:autoSpaceDN/>
              <w:adjustRightInd/>
              <w:jc w:val="right"/>
              <w:textAlignment w:val="auto"/>
              <w:rPr>
                <w:rFonts w:cs="Arial"/>
                <w:sz w:val="20"/>
              </w:rPr>
            </w:pPr>
            <w:r>
              <w:rPr>
                <w:sz w:val="20"/>
              </w:rPr>
              <w:t>10.58%</w:t>
            </w:r>
          </w:p>
        </w:tc>
        <w:tc>
          <w:tcPr>
            <w:tcW w:w="963" w:type="dxa"/>
            <w:tcBorders>
              <w:top w:val="nil"/>
              <w:left w:val="nil"/>
              <w:bottom w:val="single" w:sz="4" w:space="0" w:color="auto"/>
              <w:right w:val="single" w:sz="4" w:space="0" w:color="auto"/>
            </w:tcBorders>
            <w:noWrap/>
            <w:vAlign w:val="bottom"/>
          </w:tcPr>
          <w:p w14:paraId="42710025" w14:textId="77777777" w:rsidR="006D3AD5" w:rsidRPr="0073014D" w:rsidRDefault="006D3AD5" w:rsidP="00443B8F">
            <w:pPr>
              <w:overflowPunct/>
              <w:autoSpaceDE/>
              <w:autoSpaceDN/>
              <w:adjustRightInd/>
              <w:jc w:val="right"/>
              <w:textAlignment w:val="auto"/>
              <w:rPr>
                <w:rFonts w:cs="Arial"/>
                <w:sz w:val="20"/>
              </w:rPr>
            </w:pPr>
            <w:r>
              <w:rPr>
                <w:sz w:val="20"/>
              </w:rPr>
              <w:t>11</w:t>
            </w:r>
          </w:p>
        </w:tc>
      </w:tr>
      <w:tr w:rsidR="006D3AD5" w:rsidRPr="0073014D" w14:paraId="576C9D7C" w14:textId="77777777" w:rsidTr="00443B8F">
        <w:trPr>
          <w:trHeight w:val="255"/>
        </w:trPr>
        <w:tc>
          <w:tcPr>
            <w:tcW w:w="1387" w:type="dxa"/>
            <w:tcBorders>
              <w:top w:val="nil"/>
              <w:left w:val="nil"/>
              <w:bottom w:val="nil"/>
              <w:right w:val="nil"/>
            </w:tcBorders>
            <w:noWrap/>
            <w:vAlign w:val="bottom"/>
          </w:tcPr>
          <w:p w14:paraId="44A55F82"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174DD525" w14:textId="77777777" w:rsidR="006D3AD5" w:rsidRPr="0073014D" w:rsidRDefault="006D3AD5" w:rsidP="00443B8F">
            <w:pPr>
              <w:overflowPunct/>
              <w:autoSpaceDE/>
              <w:autoSpaceDN/>
              <w:adjustRightInd/>
              <w:jc w:val="left"/>
              <w:textAlignment w:val="auto"/>
              <w:rPr>
                <w:rFonts w:cs="Arial"/>
                <w:sz w:val="20"/>
              </w:rPr>
            </w:pPr>
            <w:r>
              <w:rPr>
                <w:sz w:val="20"/>
              </w:rPr>
              <w:t>104</w:t>
            </w:r>
          </w:p>
        </w:tc>
        <w:tc>
          <w:tcPr>
            <w:tcW w:w="963" w:type="dxa"/>
            <w:tcBorders>
              <w:top w:val="nil"/>
              <w:left w:val="nil"/>
              <w:bottom w:val="nil"/>
              <w:right w:val="nil"/>
            </w:tcBorders>
            <w:noWrap/>
            <w:vAlign w:val="bottom"/>
          </w:tcPr>
          <w:p w14:paraId="1FF6BAE5" w14:textId="77777777" w:rsidR="006D3AD5" w:rsidRPr="0073014D" w:rsidRDefault="006D3AD5" w:rsidP="00443B8F">
            <w:pPr>
              <w:overflowPunct/>
              <w:autoSpaceDE/>
              <w:autoSpaceDN/>
              <w:adjustRightInd/>
              <w:jc w:val="right"/>
              <w:textAlignment w:val="auto"/>
              <w:rPr>
                <w:rFonts w:cs="Arial"/>
                <w:sz w:val="20"/>
              </w:rPr>
            </w:pPr>
          </w:p>
        </w:tc>
      </w:tr>
    </w:tbl>
    <w:p w14:paraId="7CE28405" w14:textId="77777777" w:rsidR="006D3AD5" w:rsidRPr="0073014D" w:rsidRDefault="006D3AD5" w:rsidP="006D3AD5"/>
    <w:p w14:paraId="18EFBC30" w14:textId="77777777" w:rsidR="006D3AD5" w:rsidRPr="0073014D" w:rsidRDefault="006D3AD5" w:rsidP="006D3AD5">
      <w:r>
        <w:t>Over 63% of respondents with the RES investment plan included small enterprises and micro enterprises.</w:t>
      </w:r>
    </w:p>
    <w:p w14:paraId="40134764" w14:textId="4CDA2751" w:rsidR="006D3AD5" w:rsidRPr="0073014D" w:rsidRDefault="006D3AD5" w:rsidP="003D68AA">
      <w:pPr>
        <w:pStyle w:val="Titulek"/>
      </w:pPr>
      <w:r>
        <w:t xml:space="preserve">Table </w:t>
      </w:r>
      <w:r w:rsidR="00001EEF">
        <w:t>60</w:t>
      </w:r>
      <w:r>
        <w:t>: Stages of business</w:t>
      </w:r>
    </w:p>
    <w:tbl>
      <w:tblPr>
        <w:tblW w:w="5748" w:type="dxa"/>
        <w:tblInd w:w="55" w:type="dxa"/>
        <w:tblCellMar>
          <w:left w:w="70" w:type="dxa"/>
          <w:right w:w="70" w:type="dxa"/>
        </w:tblCellMar>
        <w:tblLook w:val="00A0" w:firstRow="1" w:lastRow="0" w:firstColumn="1" w:lastColumn="0" w:noHBand="0" w:noVBand="0"/>
      </w:tblPr>
      <w:tblGrid>
        <w:gridCol w:w="3822"/>
        <w:gridCol w:w="963"/>
        <w:gridCol w:w="963"/>
      </w:tblGrid>
      <w:tr w:rsidR="006D3AD5" w:rsidRPr="0073014D" w14:paraId="6F69C66F" w14:textId="77777777" w:rsidTr="00443B8F">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14:paraId="3EA6ABE2" w14:textId="77777777" w:rsidR="006D3AD5" w:rsidRPr="0073014D" w:rsidRDefault="006D3AD5" w:rsidP="00443B8F">
            <w:pPr>
              <w:overflowPunct/>
              <w:autoSpaceDE/>
              <w:autoSpaceDN/>
              <w:adjustRightInd/>
              <w:jc w:val="left"/>
              <w:textAlignment w:val="auto"/>
              <w:rPr>
                <w:rFonts w:cs="Arial"/>
                <w:b/>
                <w:bCs/>
                <w:sz w:val="20"/>
              </w:rPr>
            </w:pPr>
            <w:r>
              <w:rPr>
                <w:b/>
                <w:sz w:val="20"/>
              </w:rPr>
              <w:t>Stages of business</w:t>
            </w:r>
          </w:p>
        </w:tc>
        <w:tc>
          <w:tcPr>
            <w:tcW w:w="963" w:type="dxa"/>
            <w:tcBorders>
              <w:top w:val="single" w:sz="4" w:space="0" w:color="auto"/>
              <w:left w:val="nil"/>
              <w:bottom w:val="single" w:sz="4" w:space="0" w:color="auto"/>
              <w:right w:val="single" w:sz="4" w:space="0" w:color="auto"/>
            </w:tcBorders>
            <w:noWrap/>
            <w:vAlign w:val="bottom"/>
          </w:tcPr>
          <w:p w14:paraId="1B1CCDCD" w14:textId="77777777" w:rsidR="006D3AD5" w:rsidRPr="0073014D" w:rsidRDefault="006D3AD5" w:rsidP="00443B8F">
            <w:pPr>
              <w:overflowPunct/>
              <w:autoSpaceDE/>
              <w:autoSpaceDN/>
              <w:adjustRightInd/>
              <w:jc w:val="left"/>
              <w:textAlignment w:val="auto"/>
              <w:rPr>
                <w:rFonts w:cs="Arial"/>
                <w:sz w:val="20"/>
              </w:rPr>
            </w:pPr>
            <w:r>
              <w:rPr>
                <w:sz w:val="20"/>
              </w:rPr>
              <w:t>Share</w:t>
            </w:r>
          </w:p>
        </w:tc>
        <w:tc>
          <w:tcPr>
            <w:tcW w:w="963" w:type="dxa"/>
            <w:tcBorders>
              <w:top w:val="single" w:sz="4" w:space="0" w:color="auto"/>
              <w:left w:val="nil"/>
              <w:bottom w:val="single" w:sz="4" w:space="0" w:color="auto"/>
              <w:right w:val="single" w:sz="4" w:space="0" w:color="auto"/>
            </w:tcBorders>
            <w:noWrap/>
            <w:vAlign w:val="bottom"/>
          </w:tcPr>
          <w:p w14:paraId="3B0FFD00"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r>
      <w:tr w:rsidR="006D3AD5" w:rsidRPr="0073014D" w14:paraId="2C2616B8"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47EE7D92" w14:textId="77777777" w:rsidR="006D3AD5" w:rsidRPr="0073014D" w:rsidRDefault="006D3AD5" w:rsidP="00443B8F">
            <w:pPr>
              <w:overflowPunct/>
              <w:autoSpaceDE/>
              <w:autoSpaceDN/>
              <w:adjustRightInd/>
              <w:jc w:val="left"/>
              <w:textAlignment w:val="auto"/>
              <w:rPr>
                <w:rFonts w:cs="Arial"/>
                <w:sz w:val="20"/>
              </w:rPr>
            </w:pPr>
            <w:r>
              <w:rPr>
                <w:sz w:val="20"/>
              </w:rPr>
              <w:t>Initial stage: postcreation, seed, startup</w:t>
            </w:r>
          </w:p>
        </w:tc>
        <w:tc>
          <w:tcPr>
            <w:tcW w:w="963" w:type="dxa"/>
            <w:tcBorders>
              <w:top w:val="nil"/>
              <w:left w:val="nil"/>
              <w:bottom w:val="single" w:sz="4" w:space="0" w:color="auto"/>
              <w:right w:val="single" w:sz="4" w:space="0" w:color="auto"/>
            </w:tcBorders>
            <w:noWrap/>
            <w:vAlign w:val="bottom"/>
          </w:tcPr>
          <w:p w14:paraId="23541D96" w14:textId="77777777" w:rsidR="006D3AD5" w:rsidRPr="0073014D" w:rsidRDefault="006D3AD5" w:rsidP="00443B8F">
            <w:pPr>
              <w:overflowPunct/>
              <w:autoSpaceDE/>
              <w:autoSpaceDN/>
              <w:adjustRightInd/>
              <w:jc w:val="right"/>
              <w:textAlignment w:val="auto"/>
              <w:rPr>
                <w:rFonts w:cs="Arial"/>
                <w:sz w:val="20"/>
              </w:rPr>
            </w:pPr>
            <w:r>
              <w:rPr>
                <w:sz w:val="20"/>
              </w:rPr>
              <w:t>6.7%</w:t>
            </w:r>
          </w:p>
        </w:tc>
        <w:tc>
          <w:tcPr>
            <w:tcW w:w="963" w:type="dxa"/>
            <w:tcBorders>
              <w:top w:val="nil"/>
              <w:left w:val="nil"/>
              <w:bottom w:val="single" w:sz="4" w:space="0" w:color="auto"/>
              <w:right w:val="single" w:sz="4" w:space="0" w:color="auto"/>
            </w:tcBorders>
            <w:noWrap/>
            <w:vAlign w:val="bottom"/>
          </w:tcPr>
          <w:p w14:paraId="6CFFCB45" w14:textId="77777777" w:rsidR="006D3AD5" w:rsidRPr="0073014D" w:rsidRDefault="006D3AD5" w:rsidP="00443B8F">
            <w:pPr>
              <w:overflowPunct/>
              <w:autoSpaceDE/>
              <w:autoSpaceDN/>
              <w:adjustRightInd/>
              <w:jc w:val="right"/>
              <w:textAlignment w:val="auto"/>
              <w:rPr>
                <w:rFonts w:cs="Arial"/>
                <w:sz w:val="20"/>
              </w:rPr>
            </w:pPr>
            <w:r>
              <w:rPr>
                <w:sz w:val="20"/>
              </w:rPr>
              <w:t>7</w:t>
            </w:r>
          </w:p>
        </w:tc>
      </w:tr>
      <w:tr w:rsidR="006D3AD5" w:rsidRPr="0073014D" w14:paraId="0C939C73"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4C426609" w14:textId="77777777" w:rsidR="006D3AD5" w:rsidRPr="0073014D" w:rsidRDefault="006D3AD5" w:rsidP="00443B8F">
            <w:pPr>
              <w:overflowPunct/>
              <w:autoSpaceDE/>
              <w:autoSpaceDN/>
              <w:adjustRightInd/>
              <w:jc w:val="left"/>
              <w:textAlignment w:val="auto"/>
              <w:rPr>
                <w:rFonts w:cs="Arial"/>
                <w:sz w:val="20"/>
              </w:rPr>
            </w:pPr>
            <w:r>
              <w:rPr>
                <w:sz w:val="20"/>
              </w:rPr>
              <w:t>Expansion stage (expansion)</w:t>
            </w:r>
          </w:p>
        </w:tc>
        <w:tc>
          <w:tcPr>
            <w:tcW w:w="963" w:type="dxa"/>
            <w:tcBorders>
              <w:top w:val="nil"/>
              <w:left w:val="nil"/>
              <w:bottom w:val="single" w:sz="4" w:space="0" w:color="auto"/>
              <w:right w:val="single" w:sz="4" w:space="0" w:color="auto"/>
            </w:tcBorders>
            <w:noWrap/>
            <w:vAlign w:val="bottom"/>
          </w:tcPr>
          <w:p w14:paraId="2A515544" w14:textId="77777777" w:rsidR="006D3AD5" w:rsidRPr="0073014D" w:rsidRDefault="006D3AD5" w:rsidP="00443B8F">
            <w:pPr>
              <w:overflowPunct/>
              <w:autoSpaceDE/>
              <w:autoSpaceDN/>
              <w:adjustRightInd/>
              <w:jc w:val="right"/>
              <w:textAlignment w:val="auto"/>
              <w:rPr>
                <w:rFonts w:cs="Arial"/>
                <w:sz w:val="20"/>
              </w:rPr>
            </w:pPr>
            <w:r>
              <w:rPr>
                <w:sz w:val="20"/>
              </w:rPr>
              <w:t>66.3%</w:t>
            </w:r>
          </w:p>
        </w:tc>
        <w:tc>
          <w:tcPr>
            <w:tcW w:w="963" w:type="dxa"/>
            <w:tcBorders>
              <w:top w:val="nil"/>
              <w:left w:val="nil"/>
              <w:bottom w:val="single" w:sz="4" w:space="0" w:color="auto"/>
              <w:right w:val="single" w:sz="4" w:space="0" w:color="auto"/>
            </w:tcBorders>
            <w:noWrap/>
            <w:vAlign w:val="bottom"/>
          </w:tcPr>
          <w:p w14:paraId="0D40DE0F" w14:textId="77777777" w:rsidR="006D3AD5" w:rsidRPr="0073014D" w:rsidRDefault="006D3AD5" w:rsidP="00443B8F">
            <w:pPr>
              <w:overflowPunct/>
              <w:autoSpaceDE/>
              <w:autoSpaceDN/>
              <w:adjustRightInd/>
              <w:jc w:val="right"/>
              <w:textAlignment w:val="auto"/>
              <w:rPr>
                <w:rFonts w:cs="Arial"/>
                <w:sz w:val="20"/>
              </w:rPr>
            </w:pPr>
            <w:r>
              <w:rPr>
                <w:sz w:val="20"/>
              </w:rPr>
              <w:t>69</w:t>
            </w:r>
          </w:p>
        </w:tc>
      </w:tr>
      <w:tr w:rsidR="006D3AD5" w:rsidRPr="0073014D" w14:paraId="4B030D87"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15E5A7B2" w14:textId="77777777" w:rsidR="006D3AD5" w:rsidRPr="0073014D" w:rsidRDefault="006D3AD5" w:rsidP="00443B8F">
            <w:pPr>
              <w:overflowPunct/>
              <w:autoSpaceDE/>
              <w:autoSpaceDN/>
              <w:adjustRightInd/>
              <w:jc w:val="left"/>
              <w:textAlignment w:val="auto"/>
              <w:rPr>
                <w:rFonts w:cs="Arial"/>
                <w:sz w:val="20"/>
              </w:rPr>
            </w:pPr>
            <w:r>
              <w:rPr>
                <w:sz w:val="20"/>
              </w:rPr>
              <w:t>Stable stage (buyout or maturity)</w:t>
            </w:r>
          </w:p>
        </w:tc>
        <w:tc>
          <w:tcPr>
            <w:tcW w:w="963" w:type="dxa"/>
            <w:tcBorders>
              <w:top w:val="nil"/>
              <w:left w:val="nil"/>
              <w:bottom w:val="single" w:sz="4" w:space="0" w:color="auto"/>
              <w:right w:val="single" w:sz="4" w:space="0" w:color="auto"/>
            </w:tcBorders>
            <w:noWrap/>
            <w:vAlign w:val="bottom"/>
          </w:tcPr>
          <w:p w14:paraId="265F08D2" w14:textId="77777777" w:rsidR="006D3AD5" w:rsidRPr="0073014D" w:rsidRDefault="006D3AD5" w:rsidP="00443B8F">
            <w:pPr>
              <w:overflowPunct/>
              <w:autoSpaceDE/>
              <w:autoSpaceDN/>
              <w:adjustRightInd/>
              <w:jc w:val="right"/>
              <w:textAlignment w:val="auto"/>
              <w:rPr>
                <w:rFonts w:cs="Arial"/>
                <w:sz w:val="20"/>
              </w:rPr>
            </w:pPr>
            <w:r>
              <w:rPr>
                <w:sz w:val="20"/>
              </w:rPr>
              <w:t>20.2%</w:t>
            </w:r>
          </w:p>
        </w:tc>
        <w:tc>
          <w:tcPr>
            <w:tcW w:w="963" w:type="dxa"/>
            <w:tcBorders>
              <w:top w:val="nil"/>
              <w:left w:val="nil"/>
              <w:bottom w:val="single" w:sz="4" w:space="0" w:color="auto"/>
              <w:right w:val="single" w:sz="4" w:space="0" w:color="auto"/>
            </w:tcBorders>
            <w:noWrap/>
            <w:vAlign w:val="bottom"/>
          </w:tcPr>
          <w:p w14:paraId="26E219C3" w14:textId="77777777" w:rsidR="006D3AD5" w:rsidRPr="0073014D" w:rsidRDefault="006D3AD5" w:rsidP="00443B8F">
            <w:pPr>
              <w:overflowPunct/>
              <w:autoSpaceDE/>
              <w:autoSpaceDN/>
              <w:adjustRightInd/>
              <w:jc w:val="right"/>
              <w:textAlignment w:val="auto"/>
              <w:rPr>
                <w:rFonts w:cs="Arial"/>
                <w:sz w:val="20"/>
              </w:rPr>
            </w:pPr>
            <w:r>
              <w:rPr>
                <w:sz w:val="20"/>
              </w:rPr>
              <w:t>21</w:t>
            </w:r>
          </w:p>
        </w:tc>
      </w:tr>
      <w:tr w:rsidR="006D3AD5" w:rsidRPr="0073014D" w14:paraId="365919F9"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4F2ADD04" w14:textId="77777777" w:rsidR="006D3AD5" w:rsidRPr="0073014D" w:rsidRDefault="006D3AD5" w:rsidP="00443B8F">
            <w:pPr>
              <w:overflowPunct/>
              <w:autoSpaceDE/>
              <w:autoSpaceDN/>
              <w:adjustRightInd/>
              <w:jc w:val="left"/>
              <w:textAlignment w:val="auto"/>
              <w:rPr>
                <w:rFonts w:cs="Arial"/>
                <w:sz w:val="20"/>
              </w:rPr>
            </w:pPr>
            <w:r>
              <w:rPr>
                <w:sz w:val="20"/>
              </w:rPr>
              <w:t>Renewal of activities (redeployment)</w:t>
            </w:r>
          </w:p>
        </w:tc>
        <w:tc>
          <w:tcPr>
            <w:tcW w:w="963" w:type="dxa"/>
            <w:tcBorders>
              <w:top w:val="nil"/>
              <w:left w:val="nil"/>
              <w:bottom w:val="single" w:sz="4" w:space="0" w:color="auto"/>
              <w:right w:val="single" w:sz="4" w:space="0" w:color="auto"/>
            </w:tcBorders>
            <w:noWrap/>
            <w:vAlign w:val="bottom"/>
          </w:tcPr>
          <w:p w14:paraId="3A6DCEA6" w14:textId="77777777" w:rsidR="006D3AD5" w:rsidRPr="0073014D" w:rsidRDefault="006D3AD5" w:rsidP="00443B8F">
            <w:pPr>
              <w:overflowPunct/>
              <w:autoSpaceDE/>
              <w:autoSpaceDN/>
              <w:adjustRightInd/>
              <w:jc w:val="right"/>
              <w:textAlignment w:val="auto"/>
              <w:rPr>
                <w:rFonts w:cs="Arial"/>
                <w:sz w:val="20"/>
              </w:rPr>
            </w:pPr>
            <w:r>
              <w:rPr>
                <w:sz w:val="20"/>
              </w:rPr>
              <w:t>6.7%</w:t>
            </w:r>
          </w:p>
        </w:tc>
        <w:tc>
          <w:tcPr>
            <w:tcW w:w="963" w:type="dxa"/>
            <w:tcBorders>
              <w:top w:val="nil"/>
              <w:left w:val="nil"/>
              <w:bottom w:val="single" w:sz="4" w:space="0" w:color="auto"/>
              <w:right w:val="single" w:sz="4" w:space="0" w:color="auto"/>
            </w:tcBorders>
            <w:noWrap/>
            <w:vAlign w:val="bottom"/>
          </w:tcPr>
          <w:p w14:paraId="219D9B3C" w14:textId="77777777" w:rsidR="006D3AD5" w:rsidRPr="0073014D" w:rsidRDefault="006D3AD5" w:rsidP="00443B8F">
            <w:pPr>
              <w:overflowPunct/>
              <w:autoSpaceDE/>
              <w:autoSpaceDN/>
              <w:adjustRightInd/>
              <w:jc w:val="right"/>
              <w:textAlignment w:val="auto"/>
              <w:rPr>
                <w:rFonts w:cs="Arial"/>
                <w:sz w:val="20"/>
              </w:rPr>
            </w:pPr>
            <w:r>
              <w:rPr>
                <w:sz w:val="20"/>
              </w:rPr>
              <w:t>7</w:t>
            </w:r>
          </w:p>
        </w:tc>
      </w:tr>
      <w:tr w:rsidR="006D3AD5" w:rsidRPr="0073014D" w14:paraId="6B5A4169" w14:textId="77777777" w:rsidTr="00443B8F">
        <w:trPr>
          <w:trHeight w:val="255"/>
        </w:trPr>
        <w:tc>
          <w:tcPr>
            <w:tcW w:w="3822" w:type="dxa"/>
            <w:tcBorders>
              <w:top w:val="nil"/>
              <w:left w:val="nil"/>
              <w:bottom w:val="nil"/>
              <w:right w:val="nil"/>
            </w:tcBorders>
            <w:noWrap/>
            <w:vAlign w:val="bottom"/>
          </w:tcPr>
          <w:p w14:paraId="134642BF"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097B5256" w14:textId="77777777" w:rsidR="006D3AD5" w:rsidRPr="0073014D" w:rsidRDefault="006D3AD5" w:rsidP="00443B8F">
            <w:pPr>
              <w:overflowPunct/>
              <w:autoSpaceDE/>
              <w:autoSpaceDN/>
              <w:adjustRightInd/>
              <w:jc w:val="left"/>
              <w:textAlignment w:val="auto"/>
              <w:rPr>
                <w:rFonts w:cs="Arial"/>
                <w:sz w:val="20"/>
              </w:rPr>
            </w:pPr>
            <w:r>
              <w:rPr>
                <w:sz w:val="20"/>
              </w:rPr>
              <w:t>104</w:t>
            </w:r>
          </w:p>
        </w:tc>
        <w:tc>
          <w:tcPr>
            <w:tcW w:w="963" w:type="dxa"/>
            <w:tcBorders>
              <w:top w:val="nil"/>
              <w:left w:val="nil"/>
              <w:bottom w:val="nil"/>
              <w:right w:val="nil"/>
            </w:tcBorders>
            <w:noWrap/>
            <w:vAlign w:val="bottom"/>
          </w:tcPr>
          <w:p w14:paraId="5B126284" w14:textId="77777777" w:rsidR="006D3AD5" w:rsidRPr="0073014D" w:rsidRDefault="006D3AD5" w:rsidP="00443B8F">
            <w:pPr>
              <w:overflowPunct/>
              <w:autoSpaceDE/>
              <w:autoSpaceDN/>
              <w:adjustRightInd/>
              <w:jc w:val="left"/>
              <w:textAlignment w:val="auto"/>
              <w:rPr>
                <w:rFonts w:cs="Arial"/>
                <w:sz w:val="20"/>
              </w:rPr>
            </w:pPr>
          </w:p>
        </w:tc>
      </w:tr>
    </w:tbl>
    <w:p w14:paraId="008C42B9" w14:textId="77777777" w:rsidR="006D3AD5" w:rsidRPr="0073014D" w:rsidRDefault="006D3AD5" w:rsidP="006D3AD5">
      <w:r>
        <w:t>These again included, above all, well-established companies, with the age median of 17 year, the most often they ranked their stage to the expansion stage, namely in 66% of cases.</w:t>
      </w:r>
    </w:p>
    <w:p w14:paraId="1FE86423" w14:textId="68233B4B" w:rsidR="006D3AD5" w:rsidRPr="0073014D" w:rsidRDefault="006D3AD5" w:rsidP="003D68AA">
      <w:pPr>
        <w:pStyle w:val="Titulek"/>
      </w:pPr>
      <w:r>
        <w:t xml:space="preserve">Table </w:t>
      </w:r>
      <w:r w:rsidR="00001EEF">
        <w:t>61</w:t>
      </w:r>
      <w:r>
        <w:t>: Investment expenses of enterprises</w:t>
      </w:r>
    </w:p>
    <w:tbl>
      <w:tblPr>
        <w:tblW w:w="7731" w:type="dxa"/>
        <w:tblInd w:w="55" w:type="dxa"/>
        <w:tblCellMar>
          <w:left w:w="70" w:type="dxa"/>
          <w:right w:w="70" w:type="dxa"/>
        </w:tblCellMar>
        <w:tblLook w:val="00A0" w:firstRow="1" w:lastRow="0" w:firstColumn="1" w:lastColumn="0" w:noHBand="0" w:noVBand="0"/>
      </w:tblPr>
      <w:tblGrid>
        <w:gridCol w:w="4510"/>
        <w:gridCol w:w="1298"/>
        <w:gridCol w:w="960"/>
        <w:gridCol w:w="963"/>
      </w:tblGrid>
      <w:tr w:rsidR="006D3AD5" w:rsidRPr="0073014D" w14:paraId="019C7035" w14:textId="77777777" w:rsidTr="00443B8F">
        <w:trPr>
          <w:trHeight w:val="255"/>
        </w:trPr>
        <w:tc>
          <w:tcPr>
            <w:tcW w:w="5808" w:type="dxa"/>
            <w:gridSpan w:val="2"/>
            <w:tcBorders>
              <w:top w:val="single" w:sz="4" w:space="0" w:color="auto"/>
              <w:left w:val="single" w:sz="4" w:space="0" w:color="auto"/>
              <w:bottom w:val="single" w:sz="4" w:space="0" w:color="auto"/>
              <w:right w:val="single" w:sz="4" w:space="0" w:color="000000"/>
            </w:tcBorders>
            <w:noWrap/>
            <w:vAlign w:val="bottom"/>
          </w:tcPr>
          <w:p w14:paraId="31565DA5" w14:textId="77777777" w:rsidR="006D3AD5" w:rsidRPr="0073014D" w:rsidRDefault="006D3AD5" w:rsidP="00443B8F">
            <w:pPr>
              <w:overflowPunct/>
              <w:autoSpaceDE/>
              <w:autoSpaceDN/>
              <w:adjustRightInd/>
              <w:jc w:val="left"/>
              <w:textAlignment w:val="auto"/>
              <w:rPr>
                <w:rFonts w:cs="Arial"/>
                <w:b/>
                <w:bCs/>
                <w:sz w:val="20"/>
              </w:rPr>
            </w:pPr>
            <w:r>
              <w:rPr>
                <w:b/>
                <w:sz w:val="20"/>
              </w:rPr>
              <w:lastRenderedPageBreak/>
              <w:t>Investment expenses of enterprises</w:t>
            </w:r>
          </w:p>
        </w:tc>
        <w:tc>
          <w:tcPr>
            <w:tcW w:w="960" w:type="dxa"/>
            <w:tcBorders>
              <w:top w:val="single" w:sz="4" w:space="0" w:color="auto"/>
              <w:left w:val="nil"/>
              <w:bottom w:val="single" w:sz="4" w:space="0" w:color="auto"/>
              <w:right w:val="single" w:sz="4" w:space="0" w:color="auto"/>
            </w:tcBorders>
            <w:noWrap/>
            <w:vAlign w:val="bottom"/>
          </w:tcPr>
          <w:p w14:paraId="59535A7E" w14:textId="77777777" w:rsidR="006D3AD5" w:rsidRPr="0073014D" w:rsidRDefault="006D3AD5" w:rsidP="00443B8F">
            <w:pPr>
              <w:overflowPunct/>
              <w:autoSpaceDE/>
              <w:autoSpaceDN/>
              <w:adjustRightInd/>
              <w:jc w:val="left"/>
              <w:textAlignment w:val="auto"/>
              <w:rPr>
                <w:rFonts w:cs="Arial"/>
                <w:sz w:val="20"/>
              </w:rPr>
            </w:pPr>
            <w:r>
              <w:rPr>
                <w:sz w:val="20"/>
              </w:rPr>
              <w:t>Share</w:t>
            </w:r>
          </w:p>
        </w:tc>
        <w:tc>
          <w:tcPr>
            <w:tcW w:w="963" w:type="dxa"/>
            <w:tcBorders>
              <w:top w:val="single" w:sz="4" w:space="0" w:color="auto"/>
              <w:left w:val="nil"/>
              <w:bottom w:val="single" w:sz="4" w:space="0" w:color="auto"/>
              <w:right w:val="single" w:sz="4" w:space="0" w:color="auto"/>
            </w:tcBorders>
            <w:noWrap/>
            <w:vAlign w:val="bottom"/>
          </w:tcPr>
          <w:p w14:paraId="6DC38A45"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r>
      <w:tr w:rsidR="006D3AD5" w:rsidRPr="0073014D" w14:paraId="732E3E36" w14:textId="77777777" w:rsidTr="00443B8F">
        <w:trPr>
          <w:trHeight w:val="255"/>
        </w:trPr>
        <w:tc>
          <w:tcPr>
            <w:tcW w:w="4510" w:type="dxa"/>
            <w:vMerge w:val="restart"/>
            <w:tcBorders>
              <w:top w:val="nil"/>
              <w:left w:val="single" w:sz="4" w:space="0" w:color="auto"/>
              <w:bottom w:val="single" w:sz="4" w:space="0" w:color="auto"/>
              <w:right w:val="single" w:sz="4" w:space="0" w:color="auto"/>
            </w:tcBorders>
            <w:noWrap/>
            <w:vAlign w:val="bottom"/>
          </w:tcPr>
          <w:p w14:paraId="69894D89" w14:textId="77777777" w:rsidR="006D3AD5" w:rsidRPr="0073014D" w:rsidRDefault="006D3AD5" w:rsidP="00443B8F">
            <w:pPr>
              <w:overflowPunct/>
              <w:autoSpaceDE/>
              <w:autoSpaceDN/>
              <w:adjustRightInd/>
              <w:jc w:val="left"/>
              <w:textAlignment w:val="auto"/>
              <w:rPr>
                <w:rFonts w:cs="Arial"/>
                <w:sz w:val="20"/>
              </w:rPr>
            </w:pPr>
            <w:r>
              <w:rPr>
                <w:sz w:val="20"/>
              </w:rPr>
              <w:t xml:space="preserve">Investments in previous three years </w:t>
            </w:r>
          </w:p>
        </w:tc>
        <w:tc>
          <w:tcPr>
            <w:tcW w:w="1298" w:type="dxa"/>
            <w:tcBorders>
              <w:top w:val="nil"/>
              <w:left w:val="nil"/>
              <w:bottom w:val="single" w:sz="4" w:space="0" w:color="auto"/>
              <w:right w:val="single" w:sz="4" w:space="0" w:color="auto"/>
            </w:tcBorders>
            <w:noWrap/>
            <w:vAlign w:val="bottom"/>
          </w:tcPr>
          <w:p w14:paraId="53706805" w14:textId="77777777" w:rsidR="006D3AD5" w:rsidRPr="0073014D" w:rsidRDefault="006D3AD5" w:rsidP="00443B8F">
            <w:pPr>
              <w:overflowPunct/>
              <w:autoSpaceDE/>
              <w:autoSpaceDN/>
              <w:adjustRightInd/>
              <w:jc w:val="left"/>
              <w:textAlignment w:val="auto"/>
              <w:rPr>
                <w:rFonts w:cs="Arial"/>
                <w:sz w:val="20"/>
              </w:rPr>
            </w:pPr>
            <w:r>
              <w:rPr>
                <w:sz w:val="20"/>
              </w:rPr>
              <w:t>no more than CZK 10 million</w:t>
            </w:r>
          </w:p>
        </w:tc>
        <w:tc>
          <w:tcPr>
            <w:tcW w:w="960" w:type="dxa"/>
            <w:tcBorders>
              <w:top w:val="nil"/>
              <w:left w:val="nil"/>
              <w:bottom w:val="single" w:sz="4" w:space="0" w:color="auto"/>
              <w:right w:val="single" w:sz="4" w:space="0" w:color="auto"/>
            </w:tcBorders>
            <w:noWrap/>
            <w:vAlign w:val="bottom"/>
          </w:tcPr>
          <w:p w14:paraId="1A5378A9" w14:textId="77777777" w:rsidR="006D3AD5" w:rsidRPr="0073014D" w:rsidRDefault="006D3AD5" w:rsidP="00443B8F">
            <w:pPr>
              <w:overflowPunct/>
              <w:autoSpaceDE/>
              <w:autoSpaceDN/>
              <w:adjustRightInd/>
              <w:jc w:val="right"/>
              <w:textAlignment w:val="auto"/>
              <w:rPr>
                <w:rFonts w:cs="Arial"/>
                <w:sz w:val="20"/>
              </w:rPr>
            </w:pPr>
            <w:r>
              <w:rPr>
                <w:sz w:val="20"/>
              </w:rPr>
              <w:t>40.8%</w:t>
            </w:r>
          </w:p>
        </w:tc>
        <w:tc>
          <w:tcPr>
            <w:tcW w:w="963" w:type="dxa"/>
            <w:tcBorders>
              <w:top w:val="nil"/>
              <w:left w:val="nil"/>
              <w:bottom w:val="single" w:sz="4" w:space="0" w:color="auto"/>
              <w:right w:val="single" w:sz="4" w:space="0" w:color="auto"/>
            </w:tcBorders>
            <w:noWrap/>
            <w:vAlign w:val="bottom"/>
          </w:tcPr>
          <w:p w14:paraId="0F48B401" w14:textId="77777777" w:rsidR="006D3AD5" w:rsidRPr="0073014D" w:rsidRDefault="006D3AD5" w:rsidP="00443B8F">
            <w:pPr>
              <w:overflowPunct/>
              <w:autoSpaceDE/>
              <w:autoSpaceDN/>
              <w:adjustRightInd/>
              <w:jc w:val="right"/>
              <w:textAlignment w:val="auto"/>
              <w:rPr>
                <w:rFonts w:cs="Arial"/>
                <w:sz w:val="20"/>
              </w:rPr>
            </w:pPr>
            <w:r>
              <w:rPr>
                <w:sz w:val="20"/>
              </w:rPr>
              <w:t>42</w:t>
            </w:r>
          </w:p>
        </w:tc>
      </w:tr>
      <w:tr w:rsidR="006D3AD5" w:rsidRPr="0073014D" w14:paraId="0102B7C9" w14:textId="77777777" w:rsidTr="00443B8F">
        <w:trPr>
          <w:trHeight w:val="255"/>
        </w:trPr>
        <w:tc>
          <w:tcPr>
            <w:tcW w:w="4510" w:type="dxa"/>
            <w:vMerge/>
            <w:tcBorders>
              <w:top w:val="nil"/>
              <w:left w:val="single" w:sz="4" w:space="0" w:color="auto"/>
              <w:bottom w:val="single" w:sz="4" w:space="0" w:color="auto"/>
              <w:right w:val="single" w:sz="4" w:space="0" w:color="auto"/>
            </w:tcBorders>
            <w:vAlign w:val="center"/>
          </w:tcPr>
          <w:p w14:paraId="50159221"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6693E735" w14:textId="77777777" w:rsidR="006D3AD5" w:rsidRPr="0073014D" w:rsidRDefault="006D3AD5" w:rsidP="00443B8F">
            <w:pPr>
              <w:overflowPunct/>
              <w:autoSpaceDE/>
              <w:autoSpaceDN/>
              <w:adjustRightInd/>
              <w:jc w:val="left"/>
              <w:textAlignment w:val="auto"/>
              <w:rPr>
                <w:rFonts w:cs="Arial"/>
                <w:sz w:val="20"/>
              </w:rPr>
            </w:pPr>
            <w:r>
              <w:rPr>
                <w:sz w:val="20"/>
              </w:rPr>
              <w:t>CZK 10-30 million</w:t>
            </w:r>
          </w:p>
        </w:tc>
        <w:tc>
          <w:tcPr>
            <w:tcW w:w="960" w:type="dxa"/>
            <w:tcBorders>
              <w:top w:val="nil"/>
              <w:left w:val="nil"/>
              <w:bottom w:val="single" w:sz="4" w:space="0" w:color="auto"/>
              <w:right w:val="single" w:sz="4" w:space="0" w:color="auto"/>
            </w:tcBorders>
            <w:noWrap/>
            <w:vAlign w:val="bottom"/>
          </w:tcPr>
          <w:p w14:paraId="5319D9AF" w14:textId="77777777" w:rsidR="006D3AD5" w:rsidRPr="0073014D" w:rsidRDefault="006D3AD5" w:rsidP="00443B8F">
            <w:pPr>
              <w:overflowPunct/>
              <w:autoSpaceDE/>
              <w:autoSpaceDN/>
              <w:adjustRightInd/>
              <w:jc w:val="right"/>
              <w:textAlignment w:val="auto"/>
              <w:rPr>
                <w:rFonts w:cs="Arial"/>
                <w:sz w:val="20"/>
              </w:rPr>
            </w:pPr>
            <w:r>
              <w:rPr>
                <w:sz w:val="20"/>
              </w:rPr>
              <w:t>31.1%</w:t>
            </w:r>
          </w:p>
        </w:tc>
        <w:tc>
          <w:tcPr>
            <w:tcW w:w="963" w:type="dxa"/>
            <w:tcBorders>
              <w:top w:val="nil"/>
              <w:left w:val="nil"/>
              <w:bottom w:val="single" w:sz="4" w:space="0" w:color="auto"/>
              <w:right w:val="single" w:sz="4" w:space="0" w:color="auto"/>
            </w:tcBorders>
            <w:noWrap/>
            <w:vAlign w:val="bottom"/>
          </w:tcPr>
          <w:p w14:paraId="21C0EAF7" w14:textId="77777777" w:rsidR="006D3AD5" w:rsidRPr="0073014D" w:rsidRDefault="006D3AD5" w:rsidP="00443B8F">
            <w:pPr>
              <w:overflowPunct/>
              <w:autoSpaceDE/>
              <w:autoSpaceDN/>
              <w:adjustRightInd/>
              <w:jc w:val="right"/>
              <w:textAlignment w:val="auto"/>
              <w:rPr>
                <w:rFonts w:cs="Arial"/>
                <w:sz w:val="20"/>
              </w:rPr>
            </w:pPr>
            <w:r>
              <w:rPr>
                <w:sz w:val="20"/>
              </w:rPr>
              <w:t>32</w:t>
            </w:r>
          </w:p>
        </w:tc>
      </w:tr>
      <w:tr w:rsidR="006D3AD5" w:rsidRPr="0073014D" w14:paraId="2C68A91F" w14:textId="77777777" w:rsidTr="00443B8F">
        <w:trPr>
          <w:trHeight w:val="255"/>
        </w:trPr>
        <w:tc>
          <w:tcPr>
            <w:tcW w:w="4510" w:type="dxa"/>
            <w:vMerge/>
            <w:tcBorders>
              <w:top w:val="nil"/>
              <w:left w:val="single" w:sz="4" w:space="0" w:color="auto"/>
              <w:bottom w:val="single" w:sz="4" w:space="0" w:color="auto"/>
              <w:right w:val="single" w:sz="4" w:space="0" w:color="auto"/>
            </w:tcBorders>
            <w:vAlign w:val="center"/>
          </w:tcPr>
          <w:p w14:paraId="60515A62"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2C053C91" w14:textId="77777777" w:rsidR="006D3AD5" w:rsidRPr="0073014D" w:rsidRDefault="006D3AD5" w:rsidP="00443B8F">
            <w:pPr>
              <w:overflowPunct/>
              <w:autoSpaceDE/>
              <w:autoSpaceDN/>
              <w:adjustRightInd/>
              <w:jc w:val="left"/>
              <w:textAlignment w:val="auto"/>
              <w:rPr>
                <w:rFonts w:cs="Arial"/>
                <w:sz w:val="20"/>
              </w:rPr>
            </w:pPr>
            <w:r>
              <w:rPr>
                <w:sz w:val="20"/>
              </w:rPr>
              <w:t>over CZK 30 million</w:t>
            </w:r>
          </w:p>
        </w:tc>
        <w:tc>
          <w:tcPr>
            <w:tcW w:w="960" w:type="dxa"/>
            <w:tcBorders>
              <w:top w:val="nil"/>
              <w:left w:val="nil"/>
              <w:bottom w:val="single" w:sz="4" w:space="0" w:color="auto"/>
              <w:right w:val="single" w:sz="4" w:space="0" w:color="auto"/>
            </w:tcBorders>
            <w:noWrap/>
            <w:vAlign w:val="bottom"/>
          </w:tcPr>
          <w:p w14:paraId="5FF1593F" w14:textId="77777777" w:rsidR="006D3AD5" w:rsidRPr="0073014D" w:rsidRDefault="006D3AD5" w:rsidP="00443B8F">
            <w:pPr>
              <w:overflowPunct/>
              <w:autoSpaceDE/>
              <w:autoSpaceDN/>
              <w:adjustRightInd/>
              <w:jc w:val="right"/>
              <w:textAlignment w:val="auto"/>
              <w:rPr>
                <w:rFonts w:cs="Arial"/>
                <w:sz w:val="20"/>
              </w:rPr>
            </w:pPr>
            <w:r>
              <w:rPr>
                <w:sz w:val="20"/>
              </w:rPr>
              <w:t>28.2%</w:t>
            </w:r>
          </w:p>
        </w:tc>
        <w:tc>
          <w:tcPr>
            <w:tcW w:w="963" w:type="dxa"/>
            <w:tcBorders>
              <w:top w:val="nil"/>
              <w:left w:val="nil"/>
              <w:bottom w:val="single" w:sz="4" w:space="0" w:color="auto"/>
              <w:right w:val="single" w:sz="4" w:space="0" w:color="auto"/>
            </w:tcBorders>
            <w:noWrap/>
            <w:vAlign w:val="bottom"/>
          </w:tcPr>
          <w:p w14:paraId="48F9A62B" w14:textId="77777777" w:rsidR="006D3AD5" w:rsidRPr="0073014D" w:rsidRDefault="006D3AD5" w:rsidP="00443B8F">
            <w:pPr>
              <w:overflowPunct/>
              <w:autoSpaceDE/>
              <w:autoSpaceDN/>
              <w:adjustRightInd/>
              <w:jc w:val="right"/>
              <w:textAlignment w:val="auto"/>
              <w:rPr>
                <w:rFonts w:cs="Arial"/>
                <w:sz w:val="20"/>
              </w:rPr>
            </w:pPr>
            <w:r>
              <w:rPr>
                <w:sz w:val="20"/>
              </w:rPr>
              <w:t>29</w:t>
            </w:r>
          </w:p>
        </w:tc>
      </w:tr>
      <w:tr w:rsidR="006D3AD5" w:rsidRPr="0073014D" w14:paraId="2A954EB2" w14:textId="77777777" w:rsidTr="00443B8F">
        <w:trPr>
          <w:trHeight w:val="255"/>
        </w:trPr>
        <w:tc>
          <w:tcPr>
            <w:tcW w:w="4510" w:type="dxa"/>
            <w:tcBorders>
              <w:top w:val="nil"/>
              <w:left w:val="nil"/>
              <w:bottom w:val="nil"/>
              <w:right w:val="nil"/>
            </w:tcBorders>
            <w:noWrap/>
            <w:vAlign w:val="bottom"/>
          </w:tcPr>
          <w:p w14:paraId="462CDA83"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1298" w:type="dxa"/>
            <w:tcBorders>
              <w:top w:val="nil"/>
              <w:left w:val="nil"/>
              <w:bottom w:val="nil"/>
              <w:right w:val="nil"/>
            </w:tcBorders>
            <w:noWrap/>
            <w:vAlign w:val="bottom"/>
          </w:tcPr>
          <w:p w14:paraId="41C79BAC" w14:textId="77777777" w:rsidR="006D3AD5" w:rsidRPr="0073014D" w:rsidRDefault="006D3AD5" w:rsidP="00443B8F">
            <w:pPr>
              <w:overflowPunct/>
              <w:autoSpaceDE/>
              <w:autoSpaceDN/>
              <w:adjustRightInd/>
              <w:jc w:val="left"/>
              <w:textAlignment w:val="auto"/>
              <w:rPr>
                <w:rFonts w:cs="Arial"/>
                <w:sz w:val="20"/>
              </w:rPr>
            </w:pPr>
            <w:r>
              <w:rPr>
                <w:sz w:val="20"/>
              </w:rPr>
              <w:t>103</w:t>
            </w:r>
          </w:p>
        </w:tc>
        <w:tc>
          <w:tcPr>
            <w:tcW w:w="960" w:type="dxa"/>
            <w:tcBorders>
              <w:top w:val="nil"/>
              <w:left w:val="nil"/>
              <w:bottom w:val="single" w:sz="4" w:space="0" w:color="auto"/>
              <w:right w:val="nil"/>
            </w:tcBorders>
            <w:noWrap/>
            <w:vAlign w:val="bottom"/>
          </w:tcPr>
          <w:p w14:paraId="21ABE549" w14:textId="77777777" w:rsidR="006D3AD5" w:rsidRPr="0073014D" w:rsidRDefault="006D3AD5" w:rsidP="00443B8F">
            <w:pPr>
              <w:overflowPunct/>
              <w:autoSpaceDE/>
              <w:autoSpaceDN/>
              <w:adjustRightInd/>
              <w:jc w:val="left"/>
              <w:textAlignment w:val="auto"/>
              <w:rPr>
                <w:rFonts w:cs="Arial"/>
                <w:sz w:val="20"/>
              </w:rPr>
            </w:pPr>
            <w:r>
              <w:rPr>
                <w:sz w:val="20"/>
              </w:rPr>
              <w:t> </w:t>
            </w:r>
          </w:p>
        </w:tc>
        <w:tc>
          <w:tcPr>
            <w:tcW w:w="963" w:type="dxa"/>
            <w:tcBorders>
              <w:top w:val="nil"/>
              <w:left w:val="nil"/>
              <w:bottom w:val="single" w:sz="4" w:space="0" w:color="auto"/>
              <w:right w:val="nil"/>
            </w:tcBorders>
            <w:noWrap/>
            <w:vAlign w:val="bottom"/>
          </w:tcPr>
          <w:p w14:paraId="5A87E627" w14:textId="77777777" w:rsidR="006D3AD5" w:rsidRPr="0073014D" w:rsidRDefault="006D3AD5" w:rsidP="00443B8F">
            <w:pPr>
              <w:overflowPunct/>
              <w:autoSpaceDE/>
              <w:autoSpaceDN/>
              <w:adjustRightInd/>
              <w:jc w:val="left"/>
              <w:textAlignment w:val="auto"/>
              <w:rPr>
                <w:rFonts w:cs="Arial"/>
                <w:sz w:val="20"/>
              </w:rPr>
            </w:pPr>
            <w:r>
              <w:rPr>
                <w:sz w:val="20"/>
              </w:rPr>
              <w:t> </w:t>
            </w:r>
          </w:p>
        </w:tc>
      </w:tr>
      <w:tr w:rsidR="006D3AD5" w:rsidRPr="0073014D" w14:paraId="5630E884" w14:textId="77777777" w:rsidTr="00443B8F">
        <w:trPr>
          <w:trHeight w:val="255"/>
        </w:trPr>
        <w:tc>
          <w:tcPr>
            <w:tcW w:w="4510" w:type="dxa"/>
            <w:vMerge w:val="restart"/>
            <w:tcBorders>
              <w:top w:val="single" w:sz="4" w:space="0" w:color="auto"/>
              <w:left w:val="single" w:sz="4" w:space="0" w:color="auto"/>
              <w:bottom w:val="single" w:sz="4" w:space="0" w:color="auto"/>
              <w:right w:val="single" w:sz="4" w:space="0" w:color="auto"/>
            </w:tcBorders>
            <w:noWrap/>
            <w:vAlign w:val="bottom"/>
          </w:tcPr>
          <w:p w14:paraId="3CF8C50D" w14:textId="77777777" w:rsidR="006D3AD5" w:rsidRPr="0073014D" w:rsidRDefault="006D3AD5" w:rsidP="00443B8F">
            <w:pPr>
              <w:overflowPunct/>
              <w:autoSpaceDE/>
              <w:autoSpaceDN/>
              <w:adjustRightInd/>
              <w:jc w:val="left"/>
              <w:textAlignment w:val="auto"/>
              <w:rPr>
                <w:rFonts w:cs="Arial"/>
                <w:sz w:val="20"/>
              </w:rPr>
            </w:pPr>
            <w:r>
              <w:rPr>
                <w:sz w:val="20"/>
              </w:rPr>
              <w:t xml:space="preserve">Planned investments in RES in next three years </w:t>
            </w:r>
          </w:p>
        </w:tc>
        <w:tc>
          <w:tcPr>
            <w:tcW w:w="1298" w:type="dxa"/>
            <w:tcBorders>
              <w:top w:val="single" w:sz="4" w:space="0" w:color="auto"/>
              <w:left w:val="nil"/>
              <w:bottom w:val="single" w:sz="4" w:space="0" w:color="auto"/>
              <w:right w:val="single" w:sz="4" w:space="0" w:color="auto"/>
            </w:tcBorders>
            <w:noWrap/>
            <w:vAlign w:val="bottom"/>
          </w:tcPr>
          <w:p w14:paraId="2EAC5B04" w14:textId="77777777" w:rsidR="006D3AD5" w:rsidRPr="0073014D" w:rsidRDefault="006D3AD5" w:rsidP="00443B8F">
            <w:pPr>
              <w:overflowPunct/>
              <w:autoSpaceDE/>
              <w:autoSpaceDN/>
              <w:adjustRightInd/>
              <w:jc w:val="left"/>
              <w:textAlignment w:val="auto"/>
              <w:rPr>
                <w:rFonts w:cs="Arial"/>
                <w:sz w:val="20"/>
              </w:rPr>
            </w:pPr>
            <w:r>
              <w:rPr>
                <w:sz w:val="20"/>
              </w:rPr>
              <w:t>no more than CZK 10 million</w:t>
            </w:r>
          </w:p>
        </w:tc>
        <w:tc>
          <w:tcPr>
            <w:tcW w:w="960" w:type="dxa"/>
            <w:tcBorders>
              <w:top w:val="nil"/>
              <w:left w:val="nil"/>
              <w:bottom w:val="single" w:sz="4" w:space="0" w:color="auto"/>
              <w:right w:val="single" w:sz="4" w:space="0" w:color="auto"/>
            </w:tcBorders>
            <w:noWrap/>
            <w:vAlign w:val="bottom"/>
          </w:tcPr>
          <w:p w14:paraId="252C7362" w14:textId="77777777" w:rsidR="006D3AD5" w:rsidRPr="0073014D" w:rsidRDefault="006D3AD5" w:rsidP="00443B8F">
            <w:pPr>
              <w:overflowPunct/>
              <w:autoSpaceDE/>
              <w:autoSpaceDN/>
              <w:adjustRightInd/>
              <w:jc w:val="right"/>
              <w:textAlignment w:val="auto"/>
              <w:rPr>
                <w:rFonts w:cs="Arial"/>
                <w:sz w:val="20"/>
              </w:rPr>
            </w:pPr>
            <w:r>
              <w:rPr>
                <w:sz w:val="20"/>
              </w:rPr>
              <w:t>79.6%</w:t>
            </w:r>
          </w:p>
        </w:tc>
        <w:tc>
          <w:tcPr>
            <w:tcW w:w="963" w:type="dxa"/>
            <w:tcBorders>
              <w:top w:val="nil"/>
              <w:left w:val="nil"/>
              <w:bottom w:val="single" w:sz="4" w:space="0" w:color="auto"/>
              <w:right w:val="single" w:sz="4" w:space="0" w:color="auto"/>
            </w:tcBorders>
            <w:noWrap/>
            <w:vAlign w:val="bottom"/>
          </w:tcPr>
          <w:p w14:paraId="355342A8" w14:textId="77777777" w:rsidR="006D3AD5" w:rsidRPr="0073014D" w:rsidRDefault="006D3AD5" w:rsidP="00443B8F">
            <w:pPr>
              <w:overflowPunct/>
              <w:autoSpaceDE/>
              <w:autoSpaceDN/>
              <w:adjustRightInd/>
              <w:jc w:val="right"/>
              <w:textAlignment w:val="auto"/>
              <w:rPr>
                <w:rFonts w:cs="Arial"/>
                <w:sz w:val="20"/>
              </w:rPr>
            </w:pPr>
            <w:r>
              <w:rPr>
                <w:sz w:val="20"/>
              </w:rPr>
              <w:t>82</w:t>
            </w:r>
          </w:p>
        </w:tc>
      </w:tr>
      <w:tr w:rsidR="006D3AD5" w:rsidRPr="0073014D" w14:paraId="721C96DC" w14:textId="77777777" w:rsidTr="00443B8F">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14:paraId="2D5506B7"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31EF7080" w14:textId="77777777" w:rsidR="006D3AD5" w:rsidRPr="0073014D" w:rsidRDefault="006D3AD5" w:rsidP="00443B8F">
            <w:pPr>
              <w:overflowPunct/>
              <w:autoSpaceDE/>
              <w:autoSpaceDN/>
              <w:adjustRightInd/>
              <w:jc w:val="left"/>
              <w:textAlignment w:val="auto"/>
              <w:rPr>
                <w:rFonts w:cs="Arial"/>
                <w:sz w:val="20"/>
              </w:rPr>
            </w:pPr>
            <w:r>
              <w:rPr>
                <w:sz w:val="20"/>
              </w:rPr>
              <w:t>CZK 10-30 million</w:t>
            </w:r>
          </w:p>
        </w:tc>
        <w:tc>
          <w:tcPr>
            <w:tcW w:w="960" w:type="dxa"/>
            <w:tcBorders>
              <w:top w:val="nil"/>
              <w:left w:val="nil"/>
              <w:bottom w:val="single" w:sz="4" w:space="0" w:color="auto"/>
              <w:right w:val="single" w:sz="4" w:space="0" w:color="auto"/>
            </w:tcBorders>
            <w:noWrap/>
            <w:vAlign w:val="bottom"/>
          </w:tcPr>
          <w:p w14:paraId="49BBA60E" w14:textId="77777777" w:rsidR="006D3AD5" w:rsidRPr="0073014D" w:rsidRDefault="006D3AD5" w:rsidP="00443B8F">
            <w:pPr>
              <w:overflowPunct/>
              <w:autoSpaceDE/>
              <w:autoSpaceDN/>
              <w:adjustRightInd/>
              <w:jc w:val="right"/>
              <w:textAlignment w:val="auto"/>
              <w:rPr>
                <w:rFonts w:cs="Arial"/>
                <w:sz w:val="20"/>
              </w:rPr>
            </w:pPr>
            <w:r>
              <w:rPr>
                <w:sz w:val="20"/>
              </w:rPr>
              <w:t>13.6%</w:t>
            </w:r>
          </w:p>
        </w:tc>
        <w:tc>
          <w:tcPr>
            <w:tcW w:w="963" w:type="dxa"/>
            <w:tcBorders>
              <w:top w:val="nil"/>
              <w:left w:val="nil"/>
              <w:bottom w:val="single" w:sz="4" w:space="0" w:color="auto"/>
              <w:right w:val="single" w:sz="4" w:space="0" w:color="auto"/>
            </w:tcBorders>
            <w:noWrap/>
            <w:vAlign w:val="bottom"/>
          </w:tcPr>
          <w:p w14:paraId="3EDE52D5" w14:textId="77777777" w:rsidR="006D3AD5" w:rsidRPr="0073014D" w:rsidRDefault="006D3AD5" w:rsidP="00443B8F">
            <w:pPr>
              <w:overflowPunct/>
              <w:autoSpaceDE/>
              <w:autoSpaceDN/>
              <w:adjustRightInd/>
              <w:jc w:val="right"/>
              <w:textAlignment w:val="auto"/>
              <w:rPr>
                <w:rFonts w:cs="Arial"/>
                <w:sz w:val="20"/>
              </w:rPr>
            </w:pPr>
            <w:r>
              <w:rPr>
                <w:sz w:val="20"/>
              </w:rPr>
              <w:t>14</w:t>
            </w:r>
          </w:p>
        </w:tc>
      </w:tr>
      <w:tr w:rsidR="006D3AD5" w:rsidRPr="0073014D" w14:paraId="63C8544E" w14:textId="77777777" w:rsidTr="00443B8F">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14:paraId="4DD45BD3"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66D388B0" w14:textId="77777777" w:rsidR="006D3AD5" w:rsidRPr="0073014D" w:rsidRDefault="006D3AD5" w:rsidP="00443B8F">
            <w:pPr>
              <w:overflowPunct/>
              <w:autoSpaceDE/>
              <w:autoSpaceDN/>
              <w:adjustRightInd/>
              <w:jc w:val="left"/>
              <w:textAlignment w:val="auto"/>
              <w:rPr>
                <w:rFonts w:cs="Arial"/>
                <w:sz w:val="20"/>
              </w:rPr>
            </w:pPr>
            <w:r>
              <w:rPr>
                <w:sz w:val="20"/>
              </w:rPr>
              <w:t>over CZK 30 million</w:t>
            </w:r>
          </w:p>
        </w:tc>
        <w:tc>
          <w:tcPr>
            <w:tcW w:w="960" w:type="dxa"/>
            <w:tcBorders>
              <w:top w:val="nil"/>
              <w:left w:val="nil"/>
              <w:bottom w:val="single" w:sz="4" w:space="0" w:color="auto"/>
              <w:right w:val="single" w:sz="4" w:space="0" w:color="auto"/>
            </w:tcBorders>
            <w:noWrap/>
            <w:vAlign w:val="bottom"/>
          </w:tcPr>
          <w:p w14:paraId="5C2FBC60" w14:textId="77777777" w:rsidR="006D3AD5" w:rsidRPr="0073014D" w:rsidRDefault="006D3AD5" w:rsidP="00443B8F">
            <w:pPr>
              <w:overflowPunct/>
              <w:autoSpaceDE/>
              <w:autoSpaceDN/>
              <w:adjustRightInd/>
              <w:jc w:val="right"/>
              <w:textAlignment w:val="auto"/>
              <w:rPr>
                <w:rFonts w:cs="Arial"/>
                <w:sz w:val="20"/>
              </w:rPr>
            </w:pPr>
            <w:r>
              <w:rPr>
                <w:sz w:val="20"/>
              </w:rPr>
              <w:t>7.8%</w:t>
            </w:r>
          </w:p>
        </w:tc>
        <w:tc>
          <w:tcPr>
            <w:tcW w:w="963" w:type="dxa"/>
            <w:tcBorders>
              <w:top w:val="nil"/>
              <w:left w:val="nil"/>
              <w:bottom w:val="single" w:sz="4" w:space="0" w:color="auto"/>
              <w:right w:val="single" w:sz="4" w:space="0" w:color="auto"/>
            </w:tcBorders>
            <w:noWrap/>
            <w:vAlign w:val="bottom"/>
          </w:tcPr>
          <w:p w14:paraId="2E5A930E" w14:textId="77777777" w:rsidR="006D3AD5" w:rsidRPr="0073014D" w:rsidRDefault="006D3AD5" w:rsidP="00443B8F">
            <w:pPr>
              <w:overflowPunct/>
              <w:autoSpaceDE/>
              <w:autoSpaceDN/>
              <w:adjustRightInd/>
              <w:jc w:val="right"/>
              <w:textAlignment w:val="auto"/>
              <w:rPr>
                <w:rFonts w:cs="Arial"/>
                <w:sz w:val="20"/>
              </w:rPr>
            </w:pPr>
            <w:r>
              <w:rPr>
                <w:sz w:val="20"/>
              </w:rPr>
              <w:t>8</w:t>
            </w:r>
          </w:p>
        </w:tc>
      </w:tr>
      <w:tr w:rsidR="006D3AD5" w:rsidRPr="0073014D" w14:paraId="7601BE6F" w14:textId="77777777" w:rsidTr="00443B8F">
        <w:trPr>
          <w:trHeight w:val="255"/>
        </w:trPr>
        <w:tc>
          <w:tcPr>
            <w:tcW w:w="4510" w:type="dxa"/>
            <w:tcBorders>
              <w:top w:val="nil"/>
              <w:left w:val="nil"/>
              <w:bottom w:val="nil"/>
              <w:right w:val="nil"/>
            </w:tcBorders>
            <w:noWrap/>
            <w:vAlign w:val="bottom"/>
          </w:tcPr>
          <w:p w14:paraId="17571479"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1298" w:type="dxa"/>
            <w:tcBorders>
              <w:top w:val="nil"/>
              <w:left w:val="nil"/>
              <w:bottom w:val="nil"/>
              <w:right w:val="nil"/>
            </w:tcBorders>
            <w:noWrap/>
            <w:vAlign w:val="bottom"/>
          </w:tcPr>
          <w:p w14:paraId="02B91B29" w14:textId="77777777" w:rsidR="006D3AD5" w:rsidRPr="0073014D" w:rsidRDefault="006D3AD5" w:rsidP="00443B8F">
            <w:pPr>
              <w:overflowPunct/>
              <w:autoSpaceDE/>
              <w:autoSpaceDN/>
              <w:adjustRightInd/>
              <w:jc w:val="left"/>
              <w:textAlignment w:val="auto"/>
              <w:rPr>
                <w:rFonts w:cs="Arial"/>
                <w:sz w:val="20"/>
              </w:rPr>
            </w:pPr>
            <w:r>
              <w:rPr>
                <w:sz w:val="20"/>
              </w:rPr>
              <w:t>103</w:t>
            </w:r>
          </w:p>
        </w:tc>
        <w:tc>
          <w:tcPr>
            <w:tcW w:w="960" w:type="dxa"/>
            <w:tcBorders>
              <w:top w:val="nil"/>
              <w:left w:val="nil"/>
              <w:bottom w:val="nil"/>
              <w:right w:val="nil"/>
            </w:tcBorders>
            <w:noWrap/>
            <w:vAlign w:val="bottom"/>
          </w:tcPr>
          <w:p w14:paraId="1253A606" w14:textId="77777777" w:rsidR="006D3AD5" w:rsidRPr="0073014D" w:rsidRDefault="006D3AD5" w:rsidP="00443B8F">
            <w:pPr>
              <w:overflowPunct/>
              <w:autoSpaceDE/>
              <w:autoSpaceDN/>
              <w:adjustRightInd/>
              <w:jc w:val="left"/>
              <w:textAlignment w:val="auto"/>
              <w:rPr>
                <w:rFonts w:cs="Arial"/>
                <w:sz w:val="20"/>
              </w:rPr>
            </w:pPr>
          </w:p>
        </w:tc>
        <w:tc>
          <w:tcPr>
            <w:tcW w:w="963" w:type="dxa"/>
            <w:tcBorders>
              <w:top w:val="nil"/>
              <w:left w:val="nil"/>
              <w:bottom w:val="nil"/>
              <w:right w:val="nil"/>
            </w:tcBorders>
            <w:noWrap/>
            <w:vAlign w:val="bottom"/>
          </w:tcPr>
          <w:p w14:paraId="2E14FB84" w14:textId="77777777" w:rsidR="006D3AD5" w:rsidRPr="0073014D" w:rsidRDefault="006D3AD5" w:rsidP="00443B8F">
            <w:pPr>
              <w:overflowPunct/>
              <w:autoSpaceDE/>
              <w:autoSpaceDN/>
              <w:adjustRightInd/>
              <w:jc w:val="left"/>
              <w:textAlignment w:val="auto"/>
              <w:rPr>
                <w:rFonts w:cs="Arial"/>
                <w:sz w:val="20"/>
              </w:rPr>
            </w:pPr>
          </w:p>
        </w:tc>
      </w:tr>
    </w:tbl>
    <w:p w14:paraId="3BF38D1A" w14:textId="3E1222B3" w:rsidR="006D3AD5" w:rsidRDefault="00994667" w:rsidP="006D3AD5">
      <w:r>
        <w:t xml:space="preserve">The main source of funding for the projects of renewable sources of energy of the companies in the past three years were bank </w:t>
      </w:r>
      <w:r w:rsidR="00674FCB">
        <w:t>loans</w:t>
      </w:r>
      <w:r>
        <w:t xml:space="preserve">, </w:t>
      </w:r>
      <w:r w:rsidR="00674FCB">
        <w:t>subsidies</w:t>
      </w:r>
      <w:r>
        <w:t xml:space="preserve"> and their own recourses.</w:t>
      </w:r>
    </w:p>
    <w:p w14:paraId="42558473" w14:textId="77777777" w:rsidR="00994667" w:rsidRDefault="00994667" w:rsidP="008A6F7C"/>
    <w:p w14:paraId="42A32364" w14:textId="4D0BEC9D" w:rsidR="00211F99" w:rsidRPr="0073014D" w:rsidRDefault="00211F99" w:rsidP="003D68AA">
      <w:pPr>
        <w:pStyle w:val="Titulek"/>
      </w:pPr>
      <w:r>
        <w:t xml:space="preserve">Table </w:t>
      </w:r>
      <w:r w:rsidR="00001EEF">
        <w:t>62</w:t>
      </w:r>
      <w:r>
        <w:t xml:space="preserve">: </w:t>
      </w:r>
      <w:r w:rsidRPr="00211F99">
        <w:t>Availability of funding for investments in last three years</w:t>
      </w:r>
    </w:p>
    <w:p w14:paraId="7463C0CE" w14:textId="0E53DF1D" w:rsidR="008A6F7C" w:rsidRPr="003429E9" w:rsidRDefault="008A6F7C" w:rsidP="00685AEF">
      <w:pPr>
        <w:pStyle w:val="Titulek"/>
      </w:pPr>
    </w:p>
    <w:tbl>
      <w:tblPr>
        <w:tblW w:w="8997" w:type="dxa"/>
        <w:tblInd w:w="65" w:type="dxa"/>
        <w:tblCellMar>
          <w:left w:w="70" w:type="dxa"/>
          <w:right w:w="70" w:type="dxa"/>
        </w:tblCellMar>
        <w:tblLook w:val="0000" w:firstRow="0" w:lastRow="0" w:firstColumn="0" w:lastColumn="0" w:noHBand="0" w:noVBand="0"/>
      </w:tblPr>
      <w:tblGrid>
        <w:gridCol w:w="3872"/>
        <w:gridCol w:w="919"/>
        <w:gridCol w:w="1310"/>
        <w:gridCol w:w="585"/>
        <w:gridCol w:w="992"/>
        <w:gridCol w:w="1319"/>
      </w:tblGrid>
      <w:tr w:rsidR="00994667" w:rsidRPr="003429E9" w14:paraId="4B192645"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31E8A422"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919" w:type="dxa"/>
            <w:tcBorders>
              <w:top w:val="nil"/>
              <w:left w:val="nil"/>
              <w:bottom w:val="single" w:sz="4" w:space="0" w:color="auto"/>
              <w:right w:val="single" w:sz="4" w:space="0" w:color="auto"/>
            </w:tcBorders>
            <w:shd w:val="clear" w:color="auto" w:fill="auto"/>
            <w:noWrap/>
            <w:vAlign w:val="bottom"/>
          </w:tcPr>
          <w:p w14:paraId="44ED8B96"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Úspěšný</w:t>
            </w:r>
          </w:p>
        </w:tc>
        <w:tc>
          <w:tcPr>
            <w:tcW w:w="1310" w:type="dxa"/>
            <w:tcBorders>
              <w:top w:val="nil"/>
              <w:left w:val="nil"/>
              <w:bottom w:val="single" w:sz="4" w:space="0" w:color="auto"/>
              <w:right w:val="single" w:sz="4" w:space="0" w:color="auto"/>
            </w:tcBorders>
            <w:shd w:val="clear" w:color="auto" w:fill="auto"/>
            <w:noWrap/>
            <w:vAlign w:val="bottom"/>
          </w:tcPr>
          <w:p w14:paraId="6810CE29"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Neúspěšný nebo částečně úspěšný</w:t>
            </w:r>
          </w:p>
        </w:tc>
        <w:tc>
          <w:tcPr>
            <w:tcW w:w="585" w:type="dxa"/>
            <w:tcBorders>
              <w:top w:val="nil"/>
              <w:left w:val="nil"/>
              <w:bottom w:val="single" w:sz="4" w:space="0" w:color="auto"/>
              <w:right w:val="nil"/>
            </w:tcBorders>
          </w:tcPr>
          <w:p w14:paraId="17EC4E7C" w14:textId="77777777" w:rsidR="00994667" w:rsidRPr="003429E9" w:rsidRDefault="00994667" w:rsidP="007A67F5">
            <w:pPr>
              <w:overflowPunct/>
              <w:autoSpaceDE/>
              <w:autoSpaceDN/>
              <w:adjustRightInd/>
              <w:jc w:val="lef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67C1DE79" w14:textId="6587704E"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Celkem</w:t>
            </w:r>
          </w:p>
        </w:tc>
        <w:tc>
          <w:tcPr>
            <w:tcW w:w="1319" w:type="dxa"/>
            <w:tcBorders>
              <w:top w:val="nil"/>
              <w:left w:val="nil"/>
              <w:bottom w:val="single" w:sz="4" w:space="0" w:color="auto"/>
              <w:right w:val="single" w:sz="4" w:space="0" w:color="auto"/>
            </w:tcBorders>
            <w:shd w:val="clear" w:color="auto" w:fill="auto"/>
            <w:noWrap/>
            <w:vAlign w:val="bottom"/>
          </w:tcPr>
          <w:p w14:paraId="1380B129"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Podíl neúspěšných</w:t>
            </w:r>
          </w:p>
        </w:tc>
      </w:tr>
      <w:tr w:rsidR="00994667" w:rsidRPr="003429E9" w14:paraId="52F8E060"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1EDDFDA2" w14:textId="35394122"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Short-term loans, overdrafts, credit lines</w:t>
            </w:r>
          </w:p>
        </w:tc>
        <w:tc>
          <w:tcPr>
            <w:tcW w:w="919" w:type="dxa"/>
            <w:tcBorders>
              <w:top w:val="nil"/>
              <w:left w:val="nil"/>
              <w:bottom w:val="single" w:sz="4" w:space="0" w:color="auto"/>
              <w:right w:val="single" w:sz="4" w:space="0" w:color="auto"/>
            </w:tcBorders>
            <w:shd w:val="clear" w:color="auto" w:fill="auto"/>
            <w:noWrap/>
            <w:vAlign w:val="bottom"/>
          </w:tcPr>
          <w:p w14:paraId="4557FE27"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51</w:t>
            </w:r>
          </w:p>
        </w:tc>
        <w:tc>
          <w:tcPr>
            <w:tcW w:w="1310" w:type="dxa"/>
            <w:tcBorders>
              <w:top w:val="nil"/>
              <w:left w:val="nil"/>
              <w:bottom w:val="single" w:sz="4" w:space="0" w:color="auto"/>
              <w:right w:val="single" w:sz="4" w:space="0" w:color="auto"/>
            </w:tcBorders>
            <w:shd w:val="clear" w:color="auto" w:fill="auto"/>
            <w:noWrap/>
            <w:vAlign w:val="bottom"/>
          </w:tcPr>
          <w:p w14:paraId="5BBDF0E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20</w:t>
            </w:r>
          </w:p>
        </w:tc>
        <w:tc>
          <w:tcPr>
            <w:tcW w:w="585" w:type="dxa"/>
            <w:tcBorders>
              <w:top w:val="nil"/>
              <w:left w:val="nil"/>
              <w:bottom w:val="single" w:sz="4" w:space="0" w:color="auto"/>
              <w:right w:val="nil"/>
            </w:tcBorders>
          </w:tcPr>
          <w:p w14:paraId="0A5E8B94"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20CF22B0" w14:textId="5F8B9EF8"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71</w:t>
            </w:r>
          </w:p>
        </w:tc>
        <w:tc>
          <w:tcPr>
            <w:tcW w:w="1319" w:type="dxa"/>
            <w:tcBorders>
              <w:top w:val="nil"/>
              <w:left w:val="nil"/>
              <w:bottom w:val="single" w:sz="4" w:space="0" w:color="auto"/>
              <w:right w:val="single" w:sz="4" w:space="0" w:color="auto"/>
            </w:tcBorders>
            <w:shd w:val="clear" w:color="auto" w:fill="auto"/>
            <w:noWrap/>
            <w:vAlign w:val="bottom"/>
          </w:tcPr>
          <w:p w14:paraId="457274D5"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28,2%</w:t>
            </w:r>
          </w:p>
        </w:tc>
      </w:tr>
      <w:tr w:rsidR="00994667" w:rsidRPr="003429E9" w14:paraId="1226BC7E"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30C4AA47" w14:textId="2473B5F1"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Long-term and medium-term loans</w:t>
            </w:r>
          </w:p>
        </w:tc>
        <w:tc>
          <w:tcPr>
            <w:tcW w:w="919" w:type="dxa"/>
            <w:tcBorders>
              <w:top w:val="nil"/>
              <w:left w:val="nil"/>
              <w:bottom w:val="single" w:sz="4" w:space="0" w:color="auto"/>
              <w:right w:val="single" w:sz="4" w:space="0" w:color="auto"/>
            </w:tcBorders>
            <w:shd w:val="clear" w:color="auto" w:fill="auto"/>
            <w:noWrap/>
            <w:vAlign w:val="bottom"/>
          </w:tcPr>
          <w:p w14:paraId="03C532C0"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53</w:t>
            </w:r>
          </w:p>
        </w:tc>
        <w:tc>
          <w:tcPr>
            <w:tcW w:w="1310" w:type="dxa"/>
            <w:tcBorders>
              <w:top w:val="nil"/>
              <w:left w:val="nil"/>
              <w:bottom w:val="single" w:sz="4" w:space="0" w:color="auto"/>
              <w:right w:val="single" w:sz="4" w:space="0" w:color="auto"/>
            </w:tcBorders>
            <w:shd w:val="clear" w:color="auto" w:fill="auto"/>
            <w:noWrap/>
            <w:vAlign w:val="bottom"/>
          </w:tcPr>
          <w:p w14:paraId="3F3891C5"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20</w:t>
            </w:r>
          </w:p>
        </w:tc>
        <w:tc>
          <w:tcPr>
            <w:tcW w:w="585" w:type="dxa"/>
            <w:tcBorders>
              <w:top w:val="nil"/>
              <w:left w:val="nil"/>
              <w:bottom w:val="single" w:sz="4" w:space="0" w:color="auto"/>
              <w:right w:val="nil"/>
            </w:tcBorders>
          </w:tcPr>
          <w:p w14:paraId="4BFBE56F"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783CF7DF" w14:textId="681D6D6D"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73</w:t>
            </w:r>
          </w:p>
        </w:tc>
        <w:tc>
          <w:tcPr>
            <w:tcW w:w="1319" w:type="dxa"/>
            <w:tcBorders>
              <w:top w:val="nil"/>
              <w:left w:val="nil"/>
              <w:bottom w:val="single" w:sz="4" w:space="0" w:color="auto"/>
              <w:right w:val="single" w:sz="4" w:space="0" w:color="auto"/>
            </w:tcBorders>
            <w:shd w:val="clear" w:color="auto" w:fill="auto"/>
            <w:noWrap/>
            <w:vAlign w:val="bottom"/>
          </w:tcPr>
          <w:p w14:paraId="55FE26E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27,4%</w:t>
            </w:r>
          </w:p>
        </w:tc>
      </w:tr>
      <w:tr w:rsidR="00994667" w:rsidRPr="003429E9" w14:paraId="66EDAD6D"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7319E212" w14:textId="5D5F0B9A"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Family, friends and relatives</w:t>
            </w:r>
          </w:p>
        </w:tc>
        <w:tc>
          <w:tcPr>
            <w:tcW w:w="919" w:type="dxa"/>
            <w:tcBorders>
              <w:top w:val="nil"/>
              <w:left w:val="nil"/>
              <w:bottom w:val="single" w:sz="4" w:space="0" w:color="auto"/>
              <w:right w:val="single" w:sz="4" w:space="0" w:color="auto"/>
            </w:tcBorders>
            <w:shd w:val="clear" w:color="auto" w:fill="auto"/>
            <w:noWrap/>
            <w:vAlign w:val="bottom"/>
          </w:tcPr>
          <w:p w14:paraId="4302C480"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15</w:t>
            </w:r>
          </w:p>
        </w:tc>
        <w:tc>
          <w:tcPr>
            <w:tcW w:w="1310" w:type="dxa"/>
            <w:tcBorders>
              <w:top w:val="nil"/>
              <w:left w:val="nil"/>
              <w:bottom w:val="single" w:sz="4" w:space="0" w:color="auto"/>
              <w:right w:val="single" w:sz="4" w:space="0" w:color="auto"/>
            </w:tcBorders>
            <w:shd w:val="clear" w:color="auto" w:fill="auto"/>
            <w:noWrap/>
            <w:vAlign w:val="bottom"/>
          </w:tcPr>
          <w:p w14:paraId="5C3934FF"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585" w:type="dxa"/>
            <w:tcBorders>
              <w:top w:val="nil"/>
              <w:left w:val="nil"/>
              <w:bottom w:val="single" w:sz="4" w:space="0" w:color="auto"/>
              <w:right w:val="nil"/>
            </w:tcBorders>
          </w:tcPr>
          <w:p w14:paraId="5181B07F"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19B2F3F4" w14:textId="199DB050"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17</w:t>
            </w:r>
          </w:p>
        </w:tc>
        <w:tc>
          <w:tcPr>
            <w:tcW w:w="1319" w:type="dxa"/>
            <w:tcBorders>
              <w:top w:val="nil"/>
              <w:left w:val="nil"/>
              <w:bottom w:val="single" w:sz="4" w:space="0" w:color="auto"/>
              <w:right w:val="single" w:sz="4" w:space="0" w:color="auto"/>
            </w:tcBorders>
            <w:shd w:val="clear" w:color="auto" w:fill="auto"/>
            <w:noWrap/>
            <w:vAlign w:val="bottom"/>
          </w:tcPr>
          <w:p w14:paraId="01459EE7"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11,8%</w:t>
            </w:r>
          </w:p>
        </w:tc>
      </w:tr>
      <w:tr w:rsidR="00994667" w:rsidRPr="003429E9" w14:paraId="25DDE406"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47232091" w14:textId="6864074D"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Own financing resources</w:t>
            </w:r>
          </w:p>
        </w:tc>
        <w:tc>
          <w:tcPr>
            <w:tcW w:w="919" w:type="dxa"/>
            <w:tcBorders>
              <w:top w:val="nil"/>
              <w:left w:val="nil"/>
              <w:bottom w:val="single" w:sz="4" w:space="0" w:color="auto"/>
              <w:right w:val="single" w:sz="4" w:space="0" w:color="auto"/>
            </w:tcBorders>
            <w:shd w:val="clear" w:color="auto" w:fill="auto"/>
            <w:noWrap/>
            <w:vAlign w:val="bottom"/>
          </w:tcPr>
          <w:p w14:paraId="29A5242F"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58</w:t>
            </w:r>
          </w:p>
        </w:tc>
        <w:tc>
          <w:tcPr>
            <w:tcW w:w="1310" w:type="dxa"/>
            <w:tcBorders>
              <w:top w:val="nil"/>
              <w:left w:val="nil"/>
              <w:bottom w:val="single" w:sz="4" w:space="0" w:color="auto"/>
              <w:right w:val="single" w:sz="4" w:space="0" w:color="auto"/>
            </w:tcBorders>
            <w:shd w:val="clear" w:color="auto" w:fill="auto"/>
            <w:noWrap/>
            <w:vAlign w:val="bottom"/>
          </w:tcPr>
          <w:p w14:paraId="3F69D9D2"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5</w:t>
            </w:r>
          </w:p>
        </w:tc>
        <w:tc>
          <w:tcPr>
            <w:tcW w:w="585" w:type="dxa"/>
            <w:tcBorders>
              <w:top w:val="nil"/>
              <w:left w:val="nil"/>
              <w:bottom w:val="single" w:sz="4" w:space="0" w:color="auto"/>
              <w:right w:val="nil"/>
            </w:tcBorders>
          </w:tcPr>
          <w:p w14:paraId="41AD95F0"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5AD61059" w14:textId="775CE441"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63</w:t>
            </w:r>
          </w:p>
        </w:tc>
        <w:tc>
          <w:tcPr>
            <w:tcW w:w="1319" w:type="dxa"/>
            <w:tcBorders>
              <w:top w:val="nil"/>
              <w:left w:val="nil"/>
              <w:bottom w:val="single" w:sz="4" w:space="0" w:color="auto"/>
              <w:right w:val="single" w:sz="4" w:space="0" w:color="auto"/>
            </w:tcBorders>
            <w:shd w:val="clear" w:color="auto" w:fill="auto"/>
            <w:noWrap/>
            <w:vAlign w:val="bottom"/>
          </w:tcPr>
          <w:p w14:paraId="613E15F9"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7,9%</w:t>
            </w:r>
          </w:p>
        </w:tc>
      </w:tr>
      <w:tr w:rsidR="00994667" w:rsidRPr="003429E9" w14:paraId="6AE555A3"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4C81899A" w14:textId="09A4372E"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Subsidy or another support of public institution</w:t>
            </w:r>
          </w:p>
        </w:tc>
        <w:tc>
          <w:tcPr>
            <w:tcW w:w="919" w:type="dxa"/>
            <w:tcBorders>
              <w:top w:val="nil"/>
              <w:left w:val="nil"/>
              <w:bottom w:val="single" w:sz="4" w:space="0" w:color="auto"/>
              <w:right w:val="single" w:sz="4" w:space="0" w:color="auto"/>
            </w:tcBorders>
            <w:shd w:val="clear" w:color="auto" w:fill="auto"/>
            <w:noWrap/>
            <w:vAlign w:val="bottom"/>
          </w:tcPr>
          <w:p w14:paraId="2088C777"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48</w:t>
            </w:r>
          </w:p>
        </w:tc>
        <w:tc>
          <w:tcPr>
            <w:tcW w:w="1310" w:type="dxa"/>
            <w:tcBorders>
              <w:top w:val="nil"/>
              <w:left w:val="nil"/>
              <w:bottom w:val="single" w:sz="4" w:space="0" w:color="auto"/>
              <w:right w:val="single" w:sz="4" w:space="0" w:color="auto"/>
            </w:tcBorders>
            <w:shd w:val="clear" w:color="auto" w:fill="auto"/>
            <w:noWrap/>
            <w:vAlign w:val="bottom"/>
          </w:tcPr>
          <w:p w14:paraId="3A58F700"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28</w:t>
            </w:r>
          </w:p>
        </w:tc>
        <w:tc>
          <w:tcPr>
            <w:tcW w:w="585" w:type="dxa"/>
            <w:tcBorders>
              <w:top w:val="nil"/>
              <w:left w:val="nil"/>
              <w:bottom w:val="single" w:sz="4" w:space="0" w:color="auto"/>
              <w:right w:val="nil"/>
            </w:tcBorders>
          </w:tcPr>
          <w:p w14:paraId="1CD8D6B4"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02087B84" w14:textId="3B5DE9A3"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76</w:t>
            </w:r>
          </w:p>
        </w:tc>
        <w:tc>
          <w:tcPr>
            <w:tcW w:w="1319" w:type="dxa"/>
            <w:tcBorders>
              <w:top w:val="nil"/>
              <w:left w:val="nil"/>
              <w:bottom w:val="single" w:sz="4" w:space="0" w:color="auto"/>
              <w:right w:val="single" w:sz="4" w:space="0" w:color="auto"/>
            </w:tcBorders>
            <w:shd w:val="clear" w:color="auto" w:fill="auto"/>
            <w:noWrap/>
            <w:vAlign w:val="bottom"/>
          </w:tcPr>
          <w:p w14:paraId="1A77397E"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36,8%</w:t>
            </w:r>
          </w:p>
        </w:tc>
      </w:tr>
      <w:tr w:rsidR="00994667" w:rsidRPr="003429E9" w14:paraId="6CACC3D2"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7B134E44"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Leasing</w:t>
            </w:r>
          </w:p>
        </w:tc>
        <w:tc>
          <w:tcPr>
            <w:tcW w:w="919" w:type="dxa"/>
            <w:tcBorders>
              <w:top w:val="nil"/>
              <w:left w:val="nil"/>
              <w:bottom w:val="single" w:sz="4" w:space="0" w:color="auto"/>
              <w:right w:val="single" w:sz="4" w:space="0" w:color="auto"/>
            </w:tcBorders>
            <w:shd w:val="clear" w:color="auto" w:fill="auto"/>
            <w:noWrap/>
            <w:vAlign w:val="bottom"/>
          </w:tcPr>
          <w:p w14:paraId="2EAE70E1"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41</w:t>
            </w:r>
          </w:p>
        </w:tc>
        <w:tc>
          <w:tcPr>
            <w:tcW w:w="1310" w:type="dxa"/>
            <w:tcBorders>
              <w:top w:val="nil"/>
              <w:left w:val="nil"/>
              <w:bottom w:val="single" w:sz="4" w:space="0" w:color="auto"/>
              <w:right w:val="single" w:sz="4" w:space="0" w:color="auto"/>
            </w:tcBorders>
            <w:shd w:val="clear" w:color="auto" w:fill="auto"/>
            <w:noWrap/>
            <w:vAlign w:val="bottom"/>
          </w:tcPr>
          <w:p w14:paraId="752D2A0C"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585" w:type="dxa"/>
            <w:tcBorders>
              <w:top w:val="nil"/>
              <w:left w:val="nil"/>
              <w:bottom w:val="single" w:sz="4" w:space="0" w:color="auto"/>
              <w:right w:val="nil"/>
            </w:tcBorders>
          </w:tcPr>
          <w:p w14:paraId="427A5707"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60B3050B" w14:textId="45B16B9E"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45</w:t>
            </w:r>
          </w:p>
        </w:tc>
        <w:tc>
          <w:tcPr>
            <w:tcW w:w="1319" w:type="dxa"/>
            <w:tcBorders>
              <w:top w:val="nil"/>
              <w:left w:val="nil"/>
              <w:bottom w:val="single" w:sz="4" w:space="0" w:color="auto"/>
              <w:right w:val="single" w:sz="4" w:space="0" w:color="auto"/>
            </w:tcBorders>
            <w:shd w:val="clear" w:color="auto" w:fill="auto"/>
            <w:noWrap/>
            <w:vAlign w:val="bottom"/>
          </w:tcPr>
          <w:p w14:paraId="4ED56C68"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8,9%</w:t>
            </w:r>
          </w:p>
        </w:tc>
      </w:tr>
      <w:tr w:rsidR="00994667" w:rsidRPr="003429E9" w14:paraId="438E23E7"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3AE13AA9" w14:textId="33D32D03" w:rsidR="00994667" w:rsidRPr="003429E9" w:rsidRDefault="00994667">
            <w:pPr>
              <w:overflowPunct/>
              <w:autoSpaceDE/>
              <w:autoSpaceDN/>
              <w:adjustRightInd/>
              <w:jc w:val="left"/>
              <w:textAlignment w:val="auto"/>
              <w:rPr>
                <w:rFonts w:ascii="Arial" w:hAnsi="Arial" w:cs="Arial"/>
                <w:sz w:val="20"/>
              </w:rPr>
            </w:pPr>
            <w:r w:rsidRPr="003429E9">
              <w:rPr>
                <w:rFonts w:ascii="Arial" w:hAnsi="Arial" w:cs="Arial"/>
                <w:sz w:val="20"/>
              </w:rPr>
              <w:t>Fa</w:t>
            </w:r>
            <w:r>
              <w:rPr>
                <w:rFonts w:ascii="Arial" w:hAnsi="Arial" w:cs="Arial"/>
                <w:sz w:val="20"/>
              </w:rPr>
              <w:t>c</w:t>
            </w:r>
            <w:r w:rsidRPr="003429E9">
              <w:rPr>
                <w:rFonts w:ascii="Arial" w:hAnsi="Arial" w:cs="Arial"/>
                <w:sz w:val="20"/>
              </w:rPr>
              <w:t>toring</w:t>
            </w:r>
          </w:p>
        </w:tc>
        <w:tc>
          <w:tcPr>
            <w:tcW w:w="919" w:type="dxa"/>
            <w:tcBorders>
              <w:top w:val="nil"/>
              <w:left w:val="nil"/>
              <w:bottom w:val="single" w:sz="4" w:space="0" w:color="auto"/>
              <w:right w:val="single" w:sz="4" w:space="0" w:color="auto"/>
            </w:tcBorders>
            <w:shd w:val="clear" w:color="auto" w:fill="auto"/>
            <w:noWrap/>
            <w:vAlign w:val="bottom"/>
          </w:tcPr>
          <w:p w14:paraId="6D944A78"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8</w:t>
            </w:r>
          </w:p>
        </w:tc>
        <w:tc>
          <w:tcPr>
            <w:tcW w:w="1310" w:type="dxa"/>
            <w:tcBorders>
              <w:top w:val="nil"/>
              <w:left w:val="nil"/>
              <w:bottom w:val="single" w:sz="4" w:space="0" w:color="auto"/>
              <w:right w:val="single" w:sz="4" w:space="0" w:color="auto"/>
            </w:tcBorders>
            <w:shd w:val="clear" w:color="auto" w:fill="auto"/>
            <w:noWrap/>
            <w:vAlign w:val="bottom"/>
          </w:tcPr>
          <w:p w14:paraId="6CF9DF11"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585" w:type="dxa"/>
            <w:tcBorders>
              <w:top w:val="nil"/>
              <w:left w:val="nil"/>
              <w:bottom w:val="single" w:sz="4" w:space="0" w:color="auto"/>
              <w:right w:val="nil"/>
            </w:tcBorders>
          </w:tcPr>
          <w:p w14:paraId="6C16E3F6"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48EF8A95" w14:textId="6A697E15"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10</w:t>
            </w:r>
          </w:p>
        </w:tc>
        <w:tc>
          <w:tcPr>
            <w:tcW w:w="1319" w:type="dxa"/>
            <w:tcBorders>
              <w:top w:val="nil"/>
              <w:left w:val="nil"/>
              <w:bottom w:val="single" w:sz="4" w:space="0" w:color="auto"/>
              <w:right w:val="single" w:sz="4" w:space="0" w:color="auto"/>
            </w:tcBorders>
            <w:shd w:val="clear" w:color="auto" w:fill="auto"/>
            <w:noWrap/>
            <w:vAlign w:val="bottom"/>
          </w:tcPr>
          <w:p w14:paraId="28A4564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20,0%</w:t>
            </w:r>
          </w:p>
        </w:tc>
      </w:tr>
      <w:tr w:rsidR="00994667" w:rsidRPr="003429E9" w14:paraId="393D024A"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3F042D69" w14:textId="134BF909" w:rsidR="00994667" w:rsidRPr="003429E9" w:rsidRDefault="00994667" w:rsidP="007A67F5">
            <w:pPr>
              <w:overflowPunct/>
              <w:autoSpaceDE/>
              <w:autoSpaceDN/>
              <w:adjustRightInd/>
              <w:jc w:val="left"/>
              <w:textAlignment w:val="auto"/>
              <w:rPr>
                <w:rFonts w:ascii="Arial" w:hAnsi="Arial" w:cs="Arial"/>
                <w:sz w:val="20"/>
              </w:rPr>
            </w:pPr>
            <w:r>
              <w:rPr>
                <w:rFonts w:ascii="Arial" w:hAnsi="Arial" w:cs="Arial"/>
                <w:sz w:val="20"/>
              </w:rPr>
              <w:t>Guarantees</w:t>
            </w:r>
          </w:p>
        </w:tc>
        <w:tc>
          <w:tcPr>
            <w:tcW w:w="919" w:type="dxa"/>
            <w:tcBorders>
              <w:top w:val="nil"/>
              <w:left w:val="nil"/>
              <w:bottom w:val="single" w:sz="4" w:space="0" w:color="auto"/>
              <w:right w:val="single" w:sz="4" w:space="0" w:color="auto"/>
            </w:tcBorders>
            <w:shd w:val="clear" w:color="auto" w:fill="auto"/>
            <w:noWrap/>
            <w:vAlign w:val="bottom"/>
          </w:tcPr>
          <w:p w14:paraId="1E4EDC7B"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15</w:t>
            </w:r>
          </w:p>
        </w:tc>
        <w:tc>
          <w:tcPr>
            <w:tcW w:w="1310" w:type="dxa"/>
            <w:tcBorders>
              <w:top w:val="nil"/>
              <w:left w:val="nil"/>
              <w:bottom w:val="single" w:sz="4" w:space="0" w:color="auto"/>
              <w:right w:val="single" w:sz="4" w:space="0" w:color="auto"/>
            </w:tcBorders>
            <w:shd w:val="clear" w:color="auto" w:fill="auto"/>
            <w:noWrap/>
            <w:vAlign w:val="bottom"/>
          </w:tcPr>
          <w:p w14:paraId="526D0B29"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6</w:t>
            </w:r>
          </w:p>
        </w:tc>
        <w:tc>
          <w:tcPr>
            <w:tcW w:w="585" w:type="dxa"/>
            <w:tcBorders>
              <w:top w:val="nil"/>
              <w:left w:val="nil"/>
              <w:bottom w:val="single" w:sz="4" w:space="0" w:color="auto"/>
              <w:right w:val="nil"/>
            </w:tcBorders>
          </w:tcPr>
          <w:p w14:paraId="01F989AC"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3C5211BD" w14:textId="453449A1"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21</w:t>
            </w:r>
          </w:p>
        </w:tc>
        <w:tc>
          <w:tcPr>
            <w:tcW w:w="1319" w:type="dxa"/>
            <w:tcBorders>
              <w:top w:val="nil"/>
              <w:left w:val="nil"/>
              <w:bottom w:val="single" w:sz="4" w:space="0" w:color="auto"/>
              <w:right w:val="single" w:sz="4" w:space="0" w:color="auto"/>
            </w:tcBorders>
            <w:shd w:val="clear" w:color="auto" w:fill="auto"/>
            <w:noWrap/>
            <w:vAlign w:val="bottom"/>
          </w:tcPr>
          <w:p w14:paraId="337F6471"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28,6%</w:t>
            </w:r>
          </w:p>
        </w:tc>
      </w:tr>
      <w:tr w:rsidR="00994667" w:rsidRPr="003429E9" w14:paraId="63D0ADF9"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748DB668" w14:textId="4F2EE38C"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Venture capital, incl. Business angels</w:t>
            </w:r>
          </w:p>
        </w:tc>
        <w:tc>
          <w:tcPr>
            <w:tcW w:w="919" w:type="dxa"/>
            <w:tcBorders>
              <w:top w:val="nil"/>
              <w:left w:val="nil"/>
              <w:bottom w:val="single" w:sz="4" w:space="0" w:color="auto"/>
              <w:right w:val="single" w:sz="4" w:space="0" w:color="auto"/>
            </w:tcBorders>
            <w:shd w:val="clear" w:color="auto" w:fill="auto"/>
            <w:noWrap/>
            <w:vAlign w:val="bottom"/>
          </w:tcPr>
          <w:p w14:paraId="7B9BB8B3"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14:paraId="2009B439"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585" w:type="dxa"/>
            <w:tcBorders>
              <w:top w:val="nil"/>
              <w:left w:val="nil"/>
              <w:bottom w:val="single" w:sz="4" w:space="0" w:color="auto"/>
              <w:right w:val="nil"/>
            </w:tcBorders>
          </w:tcPr>
          <w:p w14:paraId="2B5B9EBE"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2F53B8AA" w14:textId="5D23395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4</w:t>
            </w:r>
          </w:p>
        </w:tc>
        <w:tc>
          <w:tcPr>
            <w:tcW w:w="1319" w:type="dxa"/>
            <w:tcBorders>
              <w:top w:val="nil"/>
              <w:left w:val="nil"/>
              <w:bottom w:val="single" w:sz="4" w:space="0" w:color="auto"/>
              <w:right w:val="single" w:sz="4" w:space="0" w:color="auto"/>
            </w:tcBorders>
            <w:shd w:val="clear" w:color="auto" w:fill="auto"/>
            <w:noWrap/>
            <w:vAlign w:val="bottom"/>
          </w:tcPr>
          <w:p w14:paraId="39E00FF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994667" w:rsidRPr="003429E9" w14:paraId="3F3C8B1D"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57AF1B59" w14:textId="048E589B" w:rsidR="00994667" w:rsidRPr="003429E9" w:rsidRDefault="00994667" w:rsidP="007A67F5">
            <w:pPr>
              <w:overflowPunct/>
              <w:autoSpaceDE/>
              <w:autoSpaceDN/>
              <w:adjustRightInd/>
              <w:jc w:val="left"/>
              <w:textAlignment w:val="auto"/>
              <w:rPr>
                <w:rFonts w:ascii="Arial" w:hAnsi="Arial" w:cs="Arial"/>
                <w:sz w:val="20"/>
              </w:rPr>
            </w:pPr>
            <w:r>
              <w:rPr>
                <w:rFonts w:ascii="Arial" w:hAnsi="Arial" w:cs="Arial"/>
                <w:sz w:val="20"/>
              </w:rPr>
              <w:t>Private equity</w:t>
            </w:r>
          </w:p>
        </w:tc>
        <w:tc>
          <w:tcPr>
            <w:tcW w:w="919" w:type="dxa"/>
            <w:tcBorders>
              <w:top w:val="nil"/>
              <w:left w:val="nil"/>
              <w:bottom w:val="single" w:sz="4" w:space="0" w:color="auto"/>
              <w:right w:val="single" w:sz="4" w:space="0" w:color="auto"/>
            </w:tcBorders>
            <w:shd w:val="clear" w:color="auto" w:fill="auto"/>
            <w:noWrap/>
            <w:vAlign w:val="bottom"/>
          </w:tcPr>
          <w:p w14:paraId="73B902C4"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14:paraId="1BAC067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585" w:type="dxa"/>
            <w:tcBorders>
              <w:top w:val="nil"/>
              <w:left w:val="nil"/>
              <w:bottom w:val="single" w:sz="4" w:space="0" w:color="auto"/>
              <w:right w:val="nil"/>
            </w:tcBorders>
          </w:tcPr>
          <w:p w14:paraId="29E69F7F"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31803D53" w14:textId="74E5AB39"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319" w:type="dxa"/>
            <w:tcBorders>
              <w:top w:val="nil"/>
              <w:left w:val="nil"/>
              <w:bottom w:val="single" w:sz="4" w:space="0" w:color="auto"/>
              <w:right w:val="single" w:sz="4" w:space="0" w:color="auto"/>
            </w:tcBorders>
            <w:shd w:val="clear" w:color="auto" w:fill="auto"/>
            <w:noWrap/>
            <w:vAlign w:val="bottom"/>
          </w:tcPr>
          <w:p w14:paraId="1FBD60F0"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994667" w:rsidRPr="003429E9" w14:paraId="6E3533C5"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10B1ACA8" w14:textId="7AE126F1"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Mezzanine financing or subordinated loans</w:t>
            </w:r>
          </w:p>
        </w:tc>
        <w:tc>
          <w:tcPr>
            <w:tcW w:w="919" w:type="dxa"/>
            <w:tcBorders>
              <w:top w:val="nil"/>
              <w:left w:val="nil"/>
              <w:bottom w:val="single" w:sz="4" w:space="0" w:color="auto"/>
              <w:right w:val="single" w:sz="4" w:space="0" w:color="auto"/>
            </w:tcBorders>
            <w:shd w:val="clear" w:color="auto" w:fill="auto"/>
            <w:noWrap/>
            <w:vAlign w:val="bottom"/>
          </w:tcPr>
          <w:p w14:paraId="0B3969B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310" w:type="dxa"/>
            <w:tcBorders>
              <w:top w:val="nil"/>
              <w:left w:val="nil"/>
              <w:bottom w:val="single" w:sz="4" w:space="0" w:color="auto"/>
              <w:right w:val="single" w:sz="4" w:space="0" w:color="auto"/>
            </w:tcBorders>
            <w:shd w:val="clear" w:color="auto" w:fill="auto"/>
            <w:noWrap/>
            <w:vAlign w:val="bottom"/>
          </w:tcPr>
          <w:p w14:paraId="3498A22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585" w:type="dxa"/>
            <w:tcBorders>
              <w:top w:val="nil"/>
              <w:left w:val="nil"/>
              <w:bottom w:val="single" w:sz="4" w:space="0" w:color="auto"/>
              <w:right w:val="nil"/>
            </w:tcBorders>
          </w:tcPr>
          <w:p w14:paraId="78FC7B03"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5E90F5B3" w14:textId="0F81934C"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3</w:t>
            </w:r>
          </w:p>
        </w:tc>
        <w:tc>
          <w:tcPr>
            <w:tcW w:w="1319" w:type="dxa"/>
            <w:tcBorders>
              <w:top w:val="nil"/>
              <w:left w:val="nil"/>
              <w:bottom w:val="single" w:sz="4" w:space="0" w:color="auto"/>
              <w:right w:val="single" w:sz="4" w:space="0" w:color="auto"/>
            </w:tcBorders>
            <w:shd w:val="clear" w:color="auto" w:fill="auto"/>
            <w:noWrap/>
            <w:vAlign w:val="bottom"/>
          </w:tcPr>
          <w:p w14:paraId="7A2EBDD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33,3%</w:t>
            </w:r>
          </w:p>
        </w:tc>
      </w:tr>
      <w:tr w:rsidR="00994667" w:rsidRPr="003429E9" w14:paraId="077DED84"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0A1010F8" w14:textId="041A244F"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Corporate bonds</w:t>
            </w:r>
          </w:p>
        </w:tc>
        <w:tc>
          <w:tcPr>
            <w:tcW w:w="919" w:type="dxa"/>
            <w:tcBorders>
              <w:top w:val="nil"/>
              <w:left w:val="nil"/>
              <w:bottom w:val="single" w:sz="4" w:space="0" w:color="auto"/>
              <w:right w:val="single" w:sz="4" w:space="0" w:color="auto"/>
            </w:tcBorders>
            <w:shd w:val="clear" w:color="auto" w:fill="auto"/>
            <w:noWrap/>
            <w:vAlign w:val="bottom"/>
          </w:tcPr>
          <w:p w14:paraId="2567AC1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0" w:type="dxa"/>
            <w:tcBorders>
              <w:top w:val="nil"/>
              <w:left w:val="nil"/>
              <w:bottom w:val="single" w:sz="4" w:space="0" w:color="auto"/>
              <w:right w:val="single" w:sz="4" w:space="0" w:color="auto"/>
            </w:tcBorders>
            <w:shd w:val="clear" w:color="auto" w:fill="auto"/>
            <w:noWrap/>
            <w:vAlign w:val="bottom"/>
          </w:tcPr>
          <w:p w14:paraId="15410E4D"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0</w:t>
            </w:r>
          </w:p>
        </w:tc>
        <w:tc>
          <w:tcPr>
            <w:tcW w:w="585" w:type="dxa"/>
            <w:tcBorders>
              <w:top w:val="nil"/>
              <w:left w:val="nil"/>
              <w:bottom w:val="single" w:sz="4" w:space="0" w:color="auto"/>
              <w:right w:val="nil"/>
            </w:tcBorders>
          </w:tcPr>
          <w:p w14:paraId="144CD4B5"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7BCE58B1" w14:textId="090808F8"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9" w:type="dxa"/>
            <w:tcBorders>
              <w:top w:val="nil"/>
              <w:left w:val="nil"/>
              <w:bottom w:val="single" w:sz="4" w:space="0" w:color="auto"/>
              <w:right w:val="single" w:sz="4" w:space="0" w:color="auto"/>
            </w:tcBorders>
            <w:shd w:val="clear" w:color="auto" w:fill="auto"/>
            <w:noWrap/>
            <w:vAlign w:val="bottom"/>
          </w:tcPr>
          <w:p w14:paraId="362D6B66"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0,0%</w:t>
            </w:r>
          </w:p>
        </w:tc>
      </w:tr>
      <w:tr w:rsidR="00994667" w:rsidRPr="003429E9" w14:paraId="7A981D98"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050DA30B" w14:textId="7A825FC6" w:rsidR="00994667" w:rsidRPr="003429E9" w:rsidRDefault="00994667" w:rsidP="007A67F5">
            <w:pPr>
              <w:overflowPunct/>
              <w:autoSpaceDE/>
              <w:autoSpaceDN/>
              <w:adjustRightInd/>
              <w:jc w:val="left"/>
              <w:textAlignment w:val="auto"/>
              <w:rPr>
                <w:rFonts w:ascii="Arial" w:hAnsi="Arial" w:cs="Arial"/>
                <w:sz w:val="20"/>
              </w:rPr>
            </w:pPr>
            <w:r>
              <w:rPr>
                <w:rFonts w:ascii="Arial" w:hAnsi="Arial" w:cs="Arial"/>
                <w:sz w:val="20"/>
              </w:rPr>
              <w:t>Mikroc</w:t>
            </w:r>
            <w:r w:rsidRPr="003429E9">
              <w:rPr>
                <w:rFonts w:ascii="Arial" w:hAnsi="Arial" w:cs="Arial"/>
                <w:sz w:val="20"/>
              </w:rPr>
              <w:t>redit</w:t>
            </w:r>
          </w:p>
        </w:tc>
        <w:tc>
          <w:tcPr>
            <w:tcW w:w="919" w:type="dxa"/>
            <w:tcBorders>
              <w:top w:val="nil"/>
              <w:left w:val="nil"/>
              <w:bottom w:val="single" w:sz="4" w:space="0" w:color="auto"/>
              <w:right w:val="single" w:sz="4" w:space="0" w:color="auto"/>
            </w:tcBorders>
            <w:shd w:val="clear" w:color="auto" w:fill="auto"/>
            <w:noWrap/>
            <w:vAlign w:val="bottom"/>
          </w:tcPr>
          <w:p w14:paraId="77349869"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14:paraId="37C7F5EC"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585" w:type="dxa"/>
            <w:tcBorders>
              <w:top w:val="nil"/>
              <w:left w:val="nil"/>
              <w:bottom w:val="single" w:sz="4" w:space="0" w:color="auto"/>
              <w:right w:val="nil"/>
            </w:tcBorders>
          </w:tcPr>
          <w:p w14:paraId="3976046C"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0D32294B" w14:textId="6288E996"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319" w:type="dxa"/>
            <w:tcBorders>
              <w:top w:val="nil"/>
              <w:left w:val="nil"/>
              <w:bottom w:val="single" w:sz="4" w:space="0" w:color="auto"/>
              <w:right w:val="single" w:sz="4" w:space="0" w:color="auto"/>
            </w:tcBorders>
            <w:shd w:val="clear" w:color="auto" w:fill="auto"/>
            <w:noWrap/>
            <w:vAlign w:val="bottom"/>
          </w:tcPr>
          <w:p w14:paraId="5866CB75"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100,0%</w:t>
            </w:r>
          </w:p>
        </w:tc>
      </w:tr>
      <w:tr w:rsidR="00994667" w:rsidRPr="003429E9" w14:paraId="04FD15E7"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38B4451C"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Energy performance contracting (EPC)</w:t>
            </w:r>
          </w:p>
        </w:tc>
        <w:tc>
          <w:tcPr>
            <w:tcW w:w="919" w:type="dxa"/>
            <w:tcBorders>
              <w:top w:val="nil"/>
              <w:left w:val="nil"/>
              <w:bottom w:val="single" w:sz="4" w:space="0" w:color="auto"/>
              <w:right w:val="single" w:sz="4" w:space="0" w:color="auto"/>
            </w:tcBorders>
            <w:shd w:val="clear" w:color="auto" w:fill="auto"/>
            <w:noWrap/>
            <w:vAlign w:val="bottom"/>
          </w:tcPr>
          <w:p w14:paraId="76CC046E"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0" w:type="dxa"/>
            <w:tcBorders>
              <w:top w:val="nil"/>
              <w:left w:val="nil"/>
              <w:bottom w:val="single" w:sz="4" w:space="0" w:color="auto"/>
              <w:right w:val="single" w:sz="4" w:space="0" w:color="auto"/>
            </w:tcBorders>
            <w:shd w:val="clear" w:color="auto" w:fill="auto"/>
            <w:noWrap/>
            <w:vAlign w:val="bottom"/>
          </w:tcPr>
          <w:p w14:paraId="0BD2F82F"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585" w:type="dxa"/>
            <w:tcBorders>
              <w:top w:val="nil"/>
              <w:left w:val="nil"/>
              <w:bottom w:val="single" w:sz="4" w:space="0" w:color="auto"/>
              <w:right w:val="nil"/>
            </w:tcBorders>
          </w:tcPr>
          <w:p w14:paraId="7CA9496D"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3787DF3E" w14:textId="7F947068"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2</w:t>
            </w:r>
          </w:p>
        </w:tc>
        <w:tc>
          <w:tcPr>
            <w:tcW w:w="1319" w:type="dxa"/>
            <w:tcBorders>
              <w:top w:val="nil"/>
              <w:left w:val="nil"/>
              <w:bottom w:val="single" w:sz="4" w:space="0" w:color="auto"/>
              <w:right w:val="single" w:sz="4" w:space="0" w:color="auto"/>
            </w:tcBorders>
            <w:shd w:val="clear" w:color="auto" w:fill="auto"/>
            <w:noWrap/>
            <w:vAlign w:val="bottom"/>
          </w:tcPr>
          <w:p w14:paraId="728C21E4"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50,0%</w:t>
            </w:r>
          </w:p>
        </w:tc>
      </w:tr>
      <w:tr w:rsidR="00994667" w:rsidRPr="003429E9" w14:paraId="62497872" w14:textId="77777777" w:rsidTr="00685AEF">
        <w:trPr>
          <w:trHeight w:val="255"/>
        </w:trPr>
        <w:tc>
          <w:tcPr>
            <w:tcW w:w="3872" w:type="dxa"/>
            <w:tcBorders>
              <w:top w:val="nil"/>
              <w:left w:val="single" w:sz="4" w:space="0" w:color="auto"/>
              <w:bottom w:val="single" w:sz="4" w:space="0" w:color="auto"/>
              <w:right w:val="single" w:sz="4" w:space="0" w:color="auto"/>
            </w:tcBorders>
            <w:shd w:val="clear" w:color="auto" w:fill="auto"/>
            <w:noWrap/>
            <w:vAlign w:val="bottom"/>
          </w:tcPr>
          <w:p w14:paraId="7C3DEBF2" w14:textId="395EF325" w:rsidR="00994667" w:rsidRPr="003429E9" w:rsidRDefault="00994667" w:rsidP="007A67F5">
            <w:pPr>
              <w:overflowPunct/>
              <w:autoSpaceDE/>
              <w:autoSpaceDN/>
              <w:adjustRightInd/>
              <w:jc w:val="left"/>
              <w:textAlignment w:val="auto"/>
              <w:rPr>
                <w:rFonts w:ascii="Arial" w:hAnsi="Arial" w:cs="Arial"/>
                <w:sz w:val="20"/>
              </w:rPr>
            </w:pPr>
            <w:r w:rsidRPr="00994667">
              <w:rPr>
                <w:rFonts w:ascii="Arial" w:hAnsi="Arial" w:cs="Arial"/>
                <w:sz w:val="20"/>
              </w:rPr>
              <w:t>Issue of shares at public traded market (stock exchange)</w:t>
            </w:r>
          </w:p>
        </w:tc>
        <w:tc>
          <w:tcPr>
            <w:tcW w:w="919" w:type="dxa"/>
            <w:tcBorders>
              <w:top w:val="nil"/>
              <w:left w:val="nil"/>
              <w:bottom w:val="single" w:sz="4" w:space="0" w:color="auto"/>
              <w:right w:val="single" w:sz="4" w:space="0" w:color="auto"/>
            </w:tcBorders>
            <w:shd w:val="clear" w:color="auto" w:fill="auto"/>
            <w:noWrap/>
            <w:vAlign w:val="bottom"/>
          </w:tcPr>
          <w:p w14:paraId="6E91A97C" w14:textId="77777777" w:rsidR="00994667" w:rsidRPr="003429E9" w:rsidRDefault="00994667" w:rsidP="007A67F5">
            <w:pPr>
              <w:overflowPunct/>
              <w:autoSpaceDE/>
              <w:autoSpaceDN/>
              <w:adjustRightInd/>
              <w:jc w:val="left"/>
              <w:textAlignment w:val="auto"/>
              <w:rPr>
                <w:rFonts w:ascii="Arial" w:hAnsi="Arial" w:cs="Arial"/>
                <w:sz w:val="20"/>
              </w:rPr>
            </w:pPr>
            <w:r w:rsidRPr="003429E9">
              <w:rPr>
                <w:rFonts w:ascii="Arial" w:hAnsi="Arial" w:cs="Arial"/>
                <w:sz w:val="20"/>
              </w:rPr>
              <w:t> </w:t>
            </w:r>
          </w:p>
        </w:tc>
        <w:tc>
          <w:tcPr>
            <w:tcW w:w="1310" w:type="dxa"/>
            <w:tcBorders>
              <w:top w:val="nil"/>
              <w:left w:val="nil"/>
              <w:bottom w:val="single" w:sz="4" w:space="0" w:color="auto"/>
              <w:right w:val="single" w:sz="4" w:space="0" w:color="auto"/>
            </w:tcBorders>
            <w:shd w:val="clear" w:color="auto" w:fill="auto"/>
            <w:noWrap/>
            <w:vAlign w:val="bottom"/>
          </w:tcPr>
          <w:p w14:paraId="651FDC93"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585" w:type="dxa"/>
            <w:tcBorders>
              <w:top w:val="nil"/>
              <w:left w:val="nil"/>
              <w:bottom w:val="single" w:sz="4" w:space="0" w:color="auto"/>
              <w:right w:val="nil"/>
            </w:tcBorders>
          </w:tcPr>
          <w:p w14:paraId="231572A7" w14:textId="77777777" w:rsidR="00994667" w:rsidRPr="003429E9" w:rsidRDefault="00994667" w:rsidP="007A67F5">
            <w:pPr>
              <w:overflowPunct/>
              <w:autoSpaceDE/>
              <w:autoSpaceDN/>
              <w:adjustRightInd/>
              <w:jc w:val="right"/>
              <w:textAlignment w:val="auto"/>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tcPr>
          <w:p w14:paraId="125DEE37" w14:textId="0572E059"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w:t>
            </w:r>
          </w:p>
        </w:tc>
        <w:tc>
          <w:tcPr>
            <w:tcW w:w="1319" w:type="dxa"/>
            <w:tcBorders>
              <w:top w:val="nil"/>
              <w:left w:val="nil"/>
              <w:bottom w:val="single" w:sz="4" w:space="0" w:color="auto"/>
              <w:right w:val="single" w:sz="4" w:space="0" w:color="auto"/>
            </w:tcBorders>
            <w:shd w:val="clear" w:color="auto" w:fill="auto"/>
            <w:noWrap/>
            <w:vAlign w:val="bottom"/>
          </w:tcPr>
          <w:p w14:paraId="38885C4B" w14:textId="77777777" w:rsidR="00994667" w:rsidRPr="003429E9" w:rsidRDefault="00994667" w:rsidP="007A67F5">
            <w:pPr>
              <w:overflowPunct/>
              <w:autoSpaceDE/>
              <w:autoSpaceDN/>
              <w:adjustRightInd/>
              <w:jc w:val="right"/>
              <w:textAlignment w:val="auto"/>
              <w:rPr>
                <w:rFonts w:ascii="Arial" w:hAnsi="Arial" w:cs="Arial"/>
                <w:sz w:val="20"/>
              </w:rPr>
            </w:pPr>
            <w:r w:rsidRPr="003429E9">
              <w:rPr>
                <w:rFonts w:ascii="Arial" w:hAnsi="Arial" w:cs="Arial"/>
                <w:sz w:val="20"/>
              </w:rPr>
              <w:t>100,0%</w:t>
            </w:r>
          </w:p>
        </w:tc>
      </w:tr>
    </w:tbl>
    <w:p w14:paraId="379E8707" w14:textId="77777777" w:rsidR="008A6F7C" w:rsidRDefault="008A6F7C" w:rsidP="008A6F7C">
      <w:r>
        <w:t>n=104</w:t>
      </w:r>
    </w:p>
    <w:p w14:paraId="2763D6FB" w14:textId="77777777" w:rsidR="008A6F7C" w:rsidRDefault="008A6F7C" w:rsidP="006D3AD5"/>
    <w:p w14:paraId="3C3B21D7" w14:textId="77777777" w:rsidR="008A6F7C" w:rsidRPr="0073014D" w:rsidRDefault="008A6F7C" w:rsidP="006D3AD5"/>
    <w:p w14:paraId="09790420" w14:textId="77777777" w:rsidR="006D3AD5" w:rsidRPr="0073014D" w:rsidRDefault="006D3AD5" w:rsidP="006D3AD5">
      <w:r>
        <w:t>The interviewed companies prefer from the viewpoint of the extent of their planned investments in RES, above all, minor projects of no more than CZK 10 million, namely in 80% of the cases.</w:t>
      </w:r>
    </w:p>
    <w:p w14:paraId="02A005C3" w14:textId="77777777" w:rsidR="006D3AD5" w:rsidRPr="0073014D" w:rsidRDefault="006D3AD5" w:rsidP="006D3AD5"/>
    <w:p w14:paraId="5009BDEA" w14:textId="2AA6A987" w:rsidR="006D3AD5" w:rsidRPr="0073014D" w:rsidRDefault="006D3AD5" w:rsidP="003D68AA">
      <w:pPr>
        <w:pStyle w:val="Titulek"/>
      </w:pPr>
      <w:r>
        <w:t xml:space="preserve">Table </w:t>
      </w:r>
      <w:r w:rsidR="00001EEF">
        <w:t>63</w:t>
      </w:r>
      <w:r>
        <w:t>: Estimated payback period of planned investments</w:t>
      </w:r>
    </w:p>
    <w:tbl>
      <w:tblPr>
        <w:tblW w:w="5088" w:type="dxa"/>
        <w:tblInd w:w="55" w:type="dxa"/>
        <w:tblCellMar>
          <w:left w:w="70" w:type="dxa"/>
          <w:right w:w="70" w:type="dxa"/>
        </w:tblCellMar>
        <w:tblLook w:val="00A0" w:firstRow="1" w:lastRow="0" w:firstColumn="1" w:lastColumn="0" w:noHBand="0" w:noVBand="0"/>
      </w:tblPr>
      <w:tblGrid>
        <w:gridCol w:w="3165"/>
        <w:gridCol w:w="963"/>
        <w:gridCol w:w="960"/>
      </w:tblGrid>
      <w:tr w:rsidR="006D3AD5" w:rsidRPr="0073014D" w14:paraId="418B2C36" w14:textId="77777777" w:rsidTr="00443B8F">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14:paraId="20C79D11" w14:textId="77777777" w:rsidR="006D3AD5" w:rsidRPr="0073014D" w:rsidRDefault="006D3AD5" w:rsidP="00443B8F">
            <w:pPr>
              <w:overflowPunct/>
              <w:autoSpaceDE/>
              <w:autoSpaceDN/>
              <w:adjustRightInd/>
              <w:jc w:val="left"/>
              <w:textAlignment w:val="auto"/>
              <w:rPr>
                <w:rFonts w:cs="Arial"/>
                <w:b/>
                <w:bCs/>
                <w:sz w:val="20"/>
              </w:rPr>
            </w:pPr>
            <w:r>
              <w:rPr>
                <w:b/>
                <w:sz w:val="20"/>
              </w:rPr>
              <w:t>Estimated payback period of planned investments</w:t>
            </w:r>
          </w:p>
        </w:tc>
        <w:tc>
          <w:tcPr>
            <w:tcW w:w="963" w:type="dxa"/>
            <w:tcBorders>
              <w:top w:val="single" w:sz="4" w:space="0" w:color="auto"/>
              <w:left w:val="nil"/>
              <w:bottom w:val="single" w:sz="4" w:space="0" w:color="auto"/>
              <w:right w:val="single" w:sz="4" w:space="0" w:color="auto"/>
            </w:tcBorders>
            <w:noWrap/>
            <w:vAlign w:val="bottom"/>
          </w:tcPr>
          <w:p w14:paraId="24E1649A"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75DD3019"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7F726A92"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132BFAA6" w14:textId="77777777" w:rsidR="006D3AD5" w:rsidRPr="0073014D" w:rsidRDefault="006D3AD5" w:rsidP="00443B8F">
            <w:pPr>
              <w:overflowPunct/>
              <w:autoSpaceDE/>
              <w:autoSpaceDN/>
              <w:adjustRightInd/>
              <w:jc w:val="left"/>
              <w:textAlignment w:val="auto"/>
              <w:rPr>
                <w:rFonts w:cs="Arial"/>
                <w:sz w:val="20"/>
              </w:rPr>
            </w:pPr>
            <w:r>
              <w:rPr>
                <w:sz w:val="20"/>
              </w:rPr>
              <w:t>Payback period of 1-3 years</w:t>
            </w:r>
          </w:p>
        </w:tc>
        <w:tc>
          <w:tcPr>
            <w:tcW w:w="963" w:type="dxa"/>
            <w:tcBorders>
              <w:top w:val="nil"/>
              <w:left w:val="nil"/>
              <w:bottom w:val="single" w:sz="4" w:space="0" w:color="auto"/>
              <w:right w:val="single" w:sz="4" w:space="0" w:color="auto"/>
            </w:tcBorders>
            <w:noWrap/>
            <w:vAlign w:val="bottom"/>
          </w:tcPr>
          <w:p w14:paraId="193B5C6B" w14:textId="77777777" w:rsidR="006D3AD5" w:rsidRPr="0073014D" w:rsidRDefault="006D3AD5" w:rsidP="00443B8F">
            <w:pPr>
              <w:overflowPunct/>
              <w:autoSpaceDE/>
              <w:autoSpaceDN/>
              <w:adjustRightInd/>
              <w:jc w:val="right"/>
              <w:textAlignment w:val="auto"/>
              <w:rPr>
                <w:rFonts w:cs="Arial"/>
                <w:sz w:val="20"/>
              </w:rPr>
            </w:pPr>
            <w:r>
              <w:rPr>
                <w:sz w:val="20"/>
              </w:rPr>
              <w:t>4</w:t>
            </w:r>
          </w:p>
        </w:tc>
        <w:tc>
          <w:tcPr>
            <w:tcW w:w="960" w:type="dxa"/>
            <w:tcBorders>
              <w:top w:val="nil"/>
              <w:left w:val="nil"/>
              <w:bottom w:val="single" w:sz="4" w:space="0" w:color="auto"/>
              <w:right w:val="single" w:sz="4" w:space="0" w:color="auto"/>
            </w:tcBorders>
            <w:noWrap/>
            <w:vAlign w:val="bottom"/>
          </w:tcPr>
          <w:p w14:paraId="15552B7F" w14:textId="77777777" w:rsidR="006D3AD5" w:rsidRPr="0073014D" w:rsidRDefault="006D3AD5" w:rsidP="00443B8F">
            <w:pPr>
              <w:overflowPunct/>
              <w:autoSpaceDE/>
              <w:autoSpaceDN/>
              <w:adjustRightInd/>
              <w:jc w:val="right"/>
              <w:textAlignment w:val="auto"/>
              <w:rPr>
                <w:rFonts w:cs="Arial"/>
                <w:sz w:val="20"/>
              </w:rPr>
            </w:pPr>
            <w:r>
              <w:rPr>
                <w:sz w:val="20"/>
              </w:rPr>
              <w:t>4.4%</w:t>
            </w:r>
          </w:p>
        </w:tc>
      </w:tr>
      <w:tr w:rsidR="006D3AD5" w:rsidRPr="0073014D" w14:paraId="7B5F0F5B"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636F4F29" w14:textId="77777777" w:rsidR="006D3AD5" w:rsidRPr="0073014D" w:rsidRDefault="006D3AD5" w:rsidP="00443B8F">
            <w:pPr>
              <w:overflowPunct/>
              <w:autoSpaceDE/>
              <w:autoSpaceDN/>
              <w:adjustRightInd/>
              <w:jc w:val="left"/>
              <w:textAlignment w:val="auto"/>
              <w:rPr>
                <w:rFonts w:cs="Arial"/>
                <w:sz w:val="20"/>
              </w:rPr>
            </w:pPr>
            <w:r>
              <w:rPr>
                <w:sz w:val="20"/>
              </w:rPr>
              <w:lastRenderedPageBreak/>
              <w:t>Payback period of 3-5 years</w:t>
            </w:r>
          </w:p>
        </w:tc>
        <w:tc>
          <w:tcPr>
            <w:tcW w:w="963" w:type="dxa"/>
            <w:tcBorders>
              <w:top w:val="nil"/>
              <w:left w:val="nil"/>
              <w:bottom w:val="single" w:sz="4" w:space="0" w:color="auto"/>
              <w:right w:val="single" w:sz="4" w:space="0" w:color="auto"/>
            </w:tcBorders>
            <w:noWrap/>
            <w:vAlign w:val="bottom"/>
          </w:tcPr>
          <w:p w14:paraId="403CB5EE" w14:textId="77777777" w:rsidR="006D3AD5" w:rsidRPr="0073014D" w:rsidRDefault="006D3AD5" w:rsidP="00443B8F">
            <w:pPr>
              <w:overflowPunct/>
              <w:autoSpaceDE/>
              <w:autoSpaceDN/>
              <w:adjustRightInd/>
              <w:jc w:val="right"/>
              <w:textAlignment w:val="auto"/>
              <w:rPr>
                <w:rFonts w:cs="Arial"/>
                <w:sz w:val="20"/>
              </w:rPr>
            </w:pPr>
            <w:r>
              <w:rPr>
                <w:sz w:val="20"/>
              </w:rPr>
              <w:t>24</w:t>
            </w:r>
          </w:p>
        </w:tc>
        <w:tc>
          <w:tcPr>
            <w:tcW w:w="960" w:type="dxa"/>
            <w:tcBorders>
              <w:top w:val="nil"/>
              <w:left w:val="nil"/>
              <w:bottom w:val="single" w:sz="4" w:space="0" w:color="auto"/>
              <w:right w:val="single" w:sz="4" w:space="0" w:color="auto"/>
            </w:tcBorders>
            <w:noWrap/>
            <w:vAlign w:val="bottom"/>
          </w:tcPr>
          <w:p w14:paraId="741C43B9" w14:textId="77777777" w:rsidR="006D3AD5" w:rsidRPr="0073014D" w:rsidRDefault="006D3AD5" w:rsidP="00443B8F">
            <w:pPr>
              <w:overflowPunct/>
              <w:autoSpaceDE/>
              <w:autoSpaceDN/>
              <w:adjustRightInd/>
              <w:jc w:val="right"/>
              <w:textAlignment w:val="auto"/>
              <w:rPr>
                <w:rFonts w:cs="Arial"/>
                <w:sz w:val="20"/>
              </w:rPr>
            </w:pPr>
            <w:r>
              <w:rPr>
                <w:sz w:val="20"/>
              </w:rPr>
              <w:t>26.4%</w:t>
            </w:r>
          </w:p>
        </w:tc>
      </w:tr>
      <w:tr w:rsidR="006D3AD5" w:rsidRPr="0073014D" w14:paraId="46F1E659"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08DD1FB5" w14:textId="77777777" w:rsidR="006D3AD5" w:rsidRPr="0073014D" w:rsidRDefault="006D3AD5" w:rsidP="00443B8F">
            <w:pPr>
              <w:overflowPunct/>
              <w:autoSpaceDE/>
              <w:autoSpaceDN/>
              <w:adjustRightInd/>
              <w:jc w:val="left"/>
              <w:textAlignment w:val="auto"/>
              <w:rPr>
                <w:rFonts w:cs="Arial"/>
                <w:sz w:val="20"/>
              </w:rPr>
            </w:pPr>
            <w:r>
              <w:rPr>
                <w:sz w:val="20"/>
              </w:rPr>
              <w:t>Payback period of 5-10 years</w:t>
            </w:r>
          </w:p>
        </w:tc>
        <w:tc>
          <w:tcPr>
            <w:tcW w:w="963" w:type="dxa"/>
            <w:tcBorders>
              <w:top w:val="nil"/>
              <w:left w:val="nil"/>
              <w:bottom w:val="single" w:sz="4" w:space="0" w:color="auto"/>
              <w:right w:val="single" w:sz="4" w:space="0" w:color="auto"/>
            </w:tcBorders>
            <w:noWrap/>
            <w:vAlign w:val="bottom"/>
          </w:tcPr>
          <w:p w14:paraId="261609CB" w14:textId="77777777" w:rsidR="006D3AD5" w:rsidRPr="0073014D" w:rsidRDefault="006D3AD5" w:rsidP="00443B8F">
            <w:pPr>
              <w:overflowPunct/>
              <w:autoSpaceDE/>
              <w:autoSpaceDN/>
              <w:adjustRightInd/>
              <w:jc w:val="right"/>
              <w:textAlignment w:val="auto"/>
              <w:rPr>
                <w:rFonts w:cs="Arial"/>
                <w:sz w:val="20"/>
              </w:rPr>
            </w:pPr>
            <w:r>
              <w:rPr>
                <w:sz w:val="20"/>
              </w:rPr>
              <w:t>43</w:t>
            </w:r>
          </w:p>
        </w:tc>
        <w:tc>
          <w:tcPr>
            <w:tcW w:w="960" w:type="dxa"/>
            <w:tcBorders>
              <w:top w:val="nil"/>
              <w:left w:val="nil"/>
              <w:bottom w:val="single" w:sz="4" w:space="0" w:color="auto"/>
              <w:right w:val="single" w:sz="4" w:space="0" w:color="auto"/>
            </w:tcBorders>
            <w:noWrap/>
            <w:vAlign w:val="bottom"/>
          </w:tcPr>
          <w:p w14:paraId="36827C93" w14:textId="77777777" w:rsidR="006D3AD5" w:rsidRPr="0073014D" w:rsidRDefault="006D3AD5" w:rsidP="00443B8F">
            <w:pPr>
              <w:overflowPunct/>
              <w:autoSpaceDE/>
              <w:autoSpaceDN/>
              <w:adjustRightInd/>
              <w:jc w:val="right"/>
              <w:textAlignment w:val="auto"/>
              <w:rPr>
                <w:rFonts w:cs="Arial"/>
                <w:sz w:val="20"/>
              </w:rPr>
            </w:pPr>
            <w:r>
              <w:rPr>
                <w:sz w:val="20"/>
              </w:rPr>
              <w:t>47.3%</w:t>
            </w:r>
          </w:p>
        </w:tc>
      </w:tr>
      <w:tr w:rsidR="006D3AD5" w:rsidRPr="0073014D" w14:paraId="173D8A5F"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491EC118" w14:textId="77777777" w:rsidR="006D3AD5" w:rsidRPr="0073014D" w:rsidRDefault="006D3AD5" w:rsidP="00443B8F">
            <w:pPr>
              <w:overflowPunct/>
              <w:autoSpaceDE/>
              <w:autoSpaceDN/>
              <w:adjustRightInd/>
              <w:jc w:val="left"/>
              <w:textAlignment w:val="auto"/>
              <w:rPr>
                <w:rFonts w:cs="Arial"/>
                <w:sz w:val="20"/>
              </w:rPr>
            </w:pPr>
            <w:r>
              <w:rPr>
                <w:sz w:val="20"/>
              </w:rPr>
              <w:t>Payback period within 10+ years</w:t>
            </w:r>
          </w:p>
        </w:tc>
        <w:tc>
          <w:tcPr>
            <w:tcW w:w="963" w:type="dxa"/>
            <w:tcBorders>
              <w:top w:val="nil"/>
              <w:left w:val="nil"/>
              <w:bottom w:val="single" w:sz="4" w:space="0" w:color="auto"/>
              <w:right w:val="single" w:sz="4" w:space="0" w:color="auto"/>
            </w:tcBorders>
            <w:noWrap/>
            <w:vAlign w:val="bottom"/>
          </w:tcPr>
          <w:p w14:paraId="3BE28A9D" w14:textId="77777777" w:rsidR="006D3AD5" w:rsidRPr="0073014D" w:rsidRDefault="006D3AD5" w:rsidP="00443B8F">
            <w:pPr>
              <w:overflowPunct/>
              <w:autoSpaceDE/>
              <w:autoSpaceDN/>
              <w:adjustRightInd/>
              <w:jc w:val="right"/>
              <w:textAlignment w:val="auto"/>
              <w:rPr>
                <w:rFonts w:cs="Arial"/>
                <w:sz w:val="20"/>
              </w:rPr>
            </w:pPr>
            <w:r>
              <w:rPr>
                <w:sz w:val="20"/>
              </w:rPr>
              <w:t>20</w:t>
            </w:r>
          </w:p>
        </w:tc>
        <w:tc>
          <w:tcPr>
            <w:tcW w:w="960" w:type="dxa"/>
            <w:tcBorders>
              <w:top w:val="nil"/>
              <w:left w:val="nil"/>
              <w:bottom w:val="single" w:sz="4" w:space="0" w:color="auto"/>
              <w:right w:val="single" w:sz="4" w:space="0" w:color="auto"/>
            </w:tcBorders>
            <w:noWrap/>
            <w:vAlign w:val="bottom"/>
          </w:tcPr>
          <w:p w14:paraId="7CEC7B27" w14:textId="77777777" w:rsidR="006D3AD5" w:rsidRPr="0073014D" w:rsidRDefault="006D3AD5" w:rsidP="00443B8F">
            <w:pPr>
              <w:overflowPunct/>
              <w:autoSpaceDE/>
              <w:autoSpaceDN/>
              <w:adjustRightInd/>
              <w:jc w:val="right"/>
              <w:textAlignment w:val="auto"/>
              <w:rPr>
                <w:rFonts w:cs="Arial"/>
                <w:sz w:val="20"/>
              </w:rPr>
            </w:pPr>
            <w:r>
              <w:rPr>
                <w:sz w:val="20"/>
              </w:rPr>
              <w:t>22.0%</w:t>
            </w:r>
          </w:p>
        </w:tc>
      </w:tr>
      <w:tr w:rsidR="006D3AD5" w:rsidRPr="0073014D" w14:paraId="6AD50337" w14:textId="77777777" w:rsidTr="00443B8F">
        <w:trPr>
          <w:trHeight w:val="255"/>
        </w:trPr>
        <w:tc>
          <w:tcPr>
            <w:tcW w:w="3165" w:type="dxa"/>
            <w:tcBorders>
              <w:top w:val="nil"/>
              <w:left w:val="nil"/>
              <w:bottom w:val="nil"/>
              <w:right w:val="nil"/>
            </w:tcBorders>
            <w:noWrap/>
            <w:vAlign w:val="bottom"/>
          </w:tcPr>
          <w:p w14:paraId="2EF21416"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17F964F7" w14:textId="77777777" w:rsidR="006D3AD5" w:rsidRPr="0073014D" w:rsidRDefault="006D3AD5" w:rsidP="00443B8F">
            <w:pPr>
              <w:overflowPunct/>
              <w:autoSpaceDE/>
              <w:autoSpaceDN/>
              <w:adjustRightInd/>
              <w:jc w:val="right"/>
              <w:textAlignment w:val="auto"/>
              <w:rPr>
                <w:rFonts w:cs="Arial"/>
                <w:sz w:val="20"/>
              </w:rPr>
            </w:pPr>
            <w:r>
              <w:rPr>
                <w:sz w:val="20"/>
              </w:rPr>
              <w:t>91</w:t>
            </w:r>
          </w:p>
        </w:tc>
        <w:tc>
          <w:tcPr>
            <w:tcW w:w="960" w:type="dxa"/>
            <w:tcBorders>
              <w:top w:val="nil"/>
              <w:left w:val="nil"/>
              <w:bottom w:val="nil"/>
              <w:right w:val="nil"/>
            </w:tcBorders>
            <w:noWrap/>
            <w:vAlign w:val="bottom"/>
          </w:tcPr>
          <w:p w14:paraId="55A30A75" w14:textId="77777777" w:rsidR="006D3AD5" w:rsidRPr="0073014D" w:rsidRDefault="006D3AD5" w:rsidP="00443B8F">
            <w:pPr>
              <w:overflowPunct/>
              <w:autoSpaceDE/>
              <w:autoSpaceDN/>
              <w:adjustRightInd/>
              <w:jc w:val="left"/>
              <w:textAlignment w:val="auto"/>
              <w:rPr>
                <w:rFonts w:cs="Arial"/>
                <w:sz w:val="20"/>
              </w:rPr>
            </w:pPr>
          </w:p>
        </w:tc>
      </w:tr>
    </w:tbl>
    <w:p w14:paraId="08E95796" w14:textId="77777777" w:rsidR="006D3AD5" w:rsidRPr="0073014D" w:rsidRDefault="006D3AD5" w:rsidP="006D3AD5"/>
    <w:p w14:paraId="7AD1B9AE" w14:textId="77777777" w:rsidR="006D3AD5" w:rsidRPr="0073014D" w:rsidRDefault="006D3AD5" w:rsidP="006D3AD5">
      <w:r>
        <w:t>This detail is closely connected with the return period, when 67% of enterprises stated that they expect the payback of the planned investment longer than 5 years.</w:t>
      </w:r>
    </w:p>
    <w:p w14:paraId="5ACD3E26" w14:textId="77777777" w:rsidR="006D3AD5" w:rsidRPr="0073014D" w:rsidRDefault="006D3AD5" w:rsidP="006D3AD5"/>
    <w:p w14:paraId="0ED60E0D" w14:textId="56C26E7E" w:rsidR="006D3AD5" w:rsidRPr="0073014D" w:rsidRDefault="006D3AD5" w:rsidP="00685AEF">
      <w:pPr>
        <w:pStyle w:val="Titulek"/>
      </w:pPr>
      <w:r>
        <w:t xml:space="preserve">Figure </w:t>
      </w:r>
      <w:r w:rsidR="00F473EE">
        <w:t>2</w:t>
      </w:r>
      <w:r w:rsidR="00243196">
        <w:t>7</w:t>
      </w:r>
      <w:r>
        <w:t>: Funding availability of respondents in last three years</w:t>
      </w:r>
    </w:p>
    <w:p w14:paraId="44E5BED2" w14:textId="77777777" w:rsidR="006D3AD5" w:rsidRPr="0073014D" w:rsidRDefault="006D3AD5" w:rsidP="006D3AD5">
      <w:r>
        <w:rPr>
          <w:noProof/>
        </w:rPr>
        <w:drawing>
          <wp:inline distT="0" distB="0" distL="0" distR="0" wp14:anchorId="6B7EC1F8" wp14:editId="165CD89A">
            <wp:extent cx="4800600" cy="3400425"/>
            <wp:effectExtent l="0" t="0" r="0" b="9525"/>
            <wp:docPr id="108" name="Graf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D65DAC" w14:textId="77777777" w:rsidR="006D3AD5" w:rsidRPr="0073014D" w:rsidRDefault="006D3AD5" w:rsidP="006D3AD5"/>
    <w:p w14:paraId="06D47218" w14:textId="77777777" w:rsidR="006D3AD5" w:rsidRPr="0073014D" w:rsidRDefault="006D3AD5" w:rsidP="006D3AD5">
      <w:r>
        <w:t>In total, the respondents assessed their availability to funding as more difficult in 39.7% of the cases, which represent the highest share of all the OPEI specific objectives.</w:t>
      </w:r>
    </w:p>
    <w:p w14:paraId="1F29B7B2" w14:textId="7C15B86D" w:rsidR="006D3AD5" w:rsidRPr="0073014D" w:rsidRDefault="006D3AD5">
      <w:pPr>
        <w:pStyle w:val="Titulek"/>
      </w:pPr>
      <w:r>
        <w:t xml:space="preserve">Table </w:t>
      </w:r>
      <w:r w:rsidR="00001EEF">
        <w:t>64</w:t>
      </w:r>
      <w:r>
        <w:t>: Funding availability for investments</w:t>
      </w:r>
    </w:p>
    <w:tbl>
      <w:tblPr>
        <w:tblW w:w="9436" w:type="dxa"/>
        <w:tblInd w:w="55" w:type="dxa"/>
        <w:tblCellMar>
          <w:left w:w="70" w:type="dxa"/>
          <w:right w:w="70" w:type="dxa"/>
        </w:tblCellMar>
        <w:tblLook w:val="00A0" w:firstRow="1" w:lastRow="0" w:firstColumn="1" w:lastColumn="0" w:noHBand="0" w:noVBand="0"/>
      </w:tblPr>
      <w:tblGrid>
        <w:gridCol w:w="7840"/>
        <w:gridCol w:w="960"/>
        <w:gridCol w:w="798"/>
      </w:tblGrid>
      <w:tr w:rsidR="006D3AD5" w:rsidRPr="0073014D" w14:paraId="6D80FEE5" w14:textId="77777777" w:rsidTr="00443B8F">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14:paraId="1E78EB40" w14:textId="77777777" w:rsidR="006D3AD5" w:rsidRPr="0073014D" w:rsidRDefault="006D3AD5" w:rsidP="00443B8F">
            <w:pPr>
              <w:overflowPunct/>
              <w:autoSpaceDE/>
              <w:autoSpaceDN/>
              <w:adjustRightInd/>
              <w:jc w:val="left"/>
              <w:textAlignment w:val="auto"/>
              <w:rPr>
                <w:rFonts w:cs="Arial"/>
                <w:b/>
                <w:bCs/>
                <w:sz w:val="20"/>
              </w:rPr>
            </w:pPr>
            <w:r>
              <w:rPr>
                <w:b/>
                <w:sz w:val="20"/>
              </w:rPr>
              <w:t>Funding availability for investments in last three years</w:t>
            </w:r>
          </w:p>
        </w:tc>
        <w:tc>
          <w:tcPr>
            <w:tcW w:w="798" w:type="dxa"/>
            <w:tcBorders>
              <w:top w:val="single" w:sz="4" w:space="0" w:color="auto"/>
              <w:left w:val="nil"/>
              <w:bottom w:val="single" w:sz="4" w:space="0" w:color="auto"/>
              <w:right w:val="single" w:sz="4" w:space="0" w:color="auto"/>
            </w:tcBorders>
            <w:noWrap/>
            <w:vAlign w:val="bottom"/>
          </w:tcPr>
          <w:p w14:paraId="1FE5C9F2"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798" w:type="dxa"/>
            <w:tcBorders>
              <w:top w:val="single" w:sz="4" w:space="0" w:color="auto"/>
              <w:left w:val="nil"/>
              <w:bottom w:val="single" w:sz="4" w:space="0" w:color="auto"/>
              <w:right w:val="single" w:sz="4" w:space="0" w:color="auto"/>
            </w:tcBorders>
            <w:noWrap/>
            <w:vAlign w:val="bottom"/>
          </w:tcPr>
          <w:p w14:paraId="4D811EA2"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6231519B"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08BF936D" w14:textId="77777777" w:rsidR="006D3AD5" w:rsidRPr="0073014D" w:rsidRDefault="006D3AD5" w:rsidP="00443B8F">
            <w:pPr>
              <w:overflowPunct/>
              <w:autoSpaceDE/>
              <w:autoSpaceDN/>
              <w:adjustRightInd/>
              <w:jc w:val="left"/>
              <w:textAlignment w:val="auto"/>
              <w:rPr>
                <w:rFonts w:cs="Arial"/>
                <w:sz w:val="20"/>
              </w:rPr>
            </w:pPr>
            <w:r>
              <w:rPr>
                <w:sz w:val="20"/>
              </w:rPr>
              <w:t>Problem-free – we obtain resources relatively quickly and simply, dealings are usually effective and successful</w:t>
            </w:r>
          </w:p>
        </w:tc>
        <w:tc>
          <w:tcPr>
            <w:tcW w:w="798" w:type="dxa"/>
            <w:tcBorders>
              <w:top w:val="nil"/>
              <w:left w:val="nil"/>
              <w:bottom w:val="single" w:sz="4" w:space="0" w:color="auto"/>
              <w:right w:val="single" w:sz="4" w:space="0" w:color="auto"/>
            </w:tcBorders>
            <w:noWrap/>
            <w:vAlign w:val="bottom"/>
          </w:tcPr>
          <w:p w14:paraId="3887765E" w14:textId="77777777" w:rsidR="006D3AD5" w:rsidRPr="0073014D" w:rsidRDefault="006D3AD5" w:rsidP="00443B8F">
            <w:pPr>
              <w:overflowPunct/>
              <w:autoSpaceDE/>
              <w:autoSpaceDN/>
              <w:adjustRightInd/>
              <w:jc w:val="right"/>
              <w:textAlignment w:val="auto"/>
              <w:rPr>
                <w:rFonts w:cs="Arial"/>
                <w:sz w:val="20"/>
              </w:rPr>
            </w:pPr>
            <w:r>
              <w:rPr>
                <w:sz w:val="20"/>
              </w:rPr>
              <w:t>38</w:t>
            </w:r>
          </w:p>
        </w:tc>
        <w:tc>
          <w:tcPr>
            <w:tcW w:w="798" w:type="dxa"/>
            <w:tcBorders>
              <w:top w:val="nil"/>
              <w:left w:val="nil"/>
              <w:bottom w:val="single" w:sz="4" w:space="0" w:color="auto"/>
              <w:right w:val="single" w:sz="4" w:space="0" w:color="auto"/>
            </w:tcBorders>
            <w:noWrap/>
            <w:vAlign w:val="bottom"/>
          </w:tcPr>
          <w:p w14:paraId="3FD4CFB6" w14:textId="77777777" w:rsidR="006D3AD5" w:rsidRPr="0073014D" w:rsidRDefault="006D3AD5" w:rsidP="00443B8F">
            <w:pPr>
              <w:overflowPunct/>
              <w:autoSpaceDE/>
              <w:autoSpaceDN/>
              <w:adjustRightInd/>
              <w:jc w:val="right"/>
              <w:textAlignment w:val="auto"/>
              <w:rPr>
                <w:rFonts w:cs="Arial"/>
                <w:sz w:val="20"/>
              </w:rPr>
            </w:pPr>
            <w:r>
              <w:rPr>
                <w:sz w:val="20"/>
              </w:rPr>
              <w:t>37.6%</w:t>
            </w:r>
          </w:p>
        </w:tc>
      </w:tr>
      <w:tr w:rsidR="006D3AD5" w:rsidRPr="0073014D" w14:paraId="7CCA7712"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19149502" w14:textId="77777777" w:rsidR="006D3AD5" w:rsidRPr="0073014D" w:rsidRDefault="006D3AD5" w:rsidP="00443B8F">
            <w:pPr>
              <w:overflowPunct/>
              <w:autoSpaceDE/>
              <w:autoSpaceDN/>
              <w:adjustRightInd/>
              <w:jc w:val="left"/>
              <w:textAlignment w:val="auto"/>
              <w:rPr>
                <w:rFonts w:cs="Arial"/>
                <w:sz w:val="20"/>
              </w:rPr>
            </w:pPr>
            <w:r>
              <w:rPr>
                <w:sz w:val="20"/>
              </w:rPr>
              <w:t>With minor problems – we have enough information and the funding entity can be found after several-round negotiation</w:t>
            </w:r>
          </w:p>
        </w:tc>
        <w:tc>
          <w:tcPr>
            <w:tcW w:w="798" w:type="dxa"/>
            <w:tcBorders>
              <w:top w:val="nil"/>
              <w:left w:val="nil"/>
              <w:bottom w:val="single" w:sz="4" w:space="0" w:color="auto"/>
              <w:right w:val="single" w:sz="4" w:space="0" w:color="auto"/>
            </w:tcBorders>
            <w:noWrap/>
            <w:vAlign w:val="bottom"/>
          </w:tcPr>
          <w:p w14:paraId="45A51E35" w14:textId="77777777" w:rsidR="006D3AD5" w:rsidRPr="0073014D" w:rsidRDefault="006D3AD5" w:rsidP="00443B8F">
            <w:pPr>
              <w:overflowPunct/>
              <w:autoSpaceDE/>
              <w:autoSpaceDN/>
              <w:adjustRightInd/>
              <w:jc w:val="right"/>
              <w:textAlignment w:val="auto"/>
              <w:rPr>
                <w:rFonts w:cs="Arial"/>
                <w:sz w:val="20"/>
              </w:rPr>
            </w:pPr>
            <w:r>
              <w:rPr>
                <w:sz w:val="20"/>
              </w:rPr>
              <w:t>23</w:t>
            </w:r>
          </w:p>
        </w:tc>
        <w:tc>
          <w:tcPr>
            <w:tcW w:w="798" w:type="dxa"/>
            <w:tcBorders>
              <w:top w:val="nil"/>
              <w:left w:val="nil"/>
              <w:bottom w:val="single" w:sz="4" w:space="0" w:color="auto"/>
              <w:right w:val="single" w:sz="4" w:space="0" w:color="auto"/>
            </w:tcBorders>
            <w:noWrap/>
            <w:vAlign w:val="bottom"/>
          </w:tcPr>
          <w:p w14:paraId="6A849EBC" w14:textId="77777777" w:rsidR="006D3AD5" w:rsidRPr="0073014D" w:rsidRDefault="006D3AD5" w:rsidP="00443B8F">
            <w:pPr>
              <w:overflowPunct/>
              <w:autoSpaceDE/>
              <w:autoSpaceDN/>
              <w:adjustRightInd/>
              <w:jc w:val="right"/>
              <w:textAlignment w:val="auto"/>
              <w:rPr>
                <w:rFonts w:cs="Arial"/>
                <w:sz w:val="20"/>
              </w:rPr>
            </w:pPr>
            <w:r>
              <w:rPr>
                <w:sz w:val="20"/>
              </w:rPr>
              <w:t>22.8%</w:t>
            </w:r>
          </w:p>
        </w:tc>
      </w:tr>
      <w:tr w:rsidR="006D3AD5" w:rsidRPr="0073014D" w14:paraId="18B66005"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7E46F980" w14:textId="77777777" w:rsidR="006D3AD5" w:rsidRPr="0073014D" w:rsidRDefault="006D3AD5" w:rsidP="00443B8F">
            <w:pPr>
              <w:overflowPunct/>
              <w:autoSpaceDE/>
              <w:autoSpaceDN/>
              <w:adjustRightInd/>
              <w:jc w:val="left"/>
              <w:textAlignment w:val="auto"/>
              <w:rPr>
                <w:rFonts w:cs="Arial"/>
                <w:sz w:val="20"/>
              </w:rPr>
            </w:pPr>
            <w:r>
              <w:rPr>
                <w:sz w:val="20"/>
              </w:rPr>
              <w:t>Availability is only good – financial resources exist here, but it is difficult to obtain them</w:t>
            </w:r>
          </w:p>
        </w:tc>
        <w:tc>
          <w:tcPr>
            <w:tcW w:w="798" w:type="dxa"/>
            <w:tcBorders>
              <w:top w:val="nil"/>
              <w:left w:val="nil"/>
              <w:bottom w:val="single" w:sz="4" w:space="0" w:color="auto"/>
              <w:right w:val="single" w:sz="4" w:space="0" w:color="auto"/>
            </w:tcBorders>
            <w:noWrap/>
            <w:vAlign w:val="bottom"/>
          </w:tcPr>
          <w:p w14:paraId="03DEAF65" w14:textId="77777777" w:rsidR="006D3AD5" w:rsidRPr="0073014D" w:rsidRDefault="006D3AD5" w:rsidP="00443B8F">
            <w:pPr>
              <w:overflowPunct/>
              <w:autoSpaceDE/>
              <w:autoSpaceDN/>
              <w:adjustRightInd/>
              <w:jc w:val="right"/>
              <w:textAlignment w:val="auto"/>
              <w:rPr>
                <w:rFonts w:cs="Arial"/>
                <w:sz w:val="20"/>
              </w:rPr>
            </w:pPr>
            <w:r>
              <w:rPr>
                <w:sz w:val="20"/>
              </w:rPr>
              <w:t>15</w:t>
            </w:r>
          </w:p>
        </w:tc>
        <w:tc>
          <w:tcPr>
            <w:tcW w:w="798" w:type="dxa"/>
            <w:tcBorders>
              <w:top w:val="nil"/>
              <w:left w:val="nil"/>
              <w:bottom w:val="single" w:sz="4" w:space="0" w:color="auto"/>
              <w:right w:val="single" w:sz="4" w:space="0" w:color="auto"/>
            </w:tcBorders>
            <w:noWrap/>
            <w:vAlign w:val="bottom"/>
          </w:tcPr>
          <w:p w14:paraId="10FB6DF7" w14:textId="77777777" w:rsidR="006D3AD5" w:rsidRPr="0073014D" w:rsidRDefault="006D3AD5" w:rsidP="00443B8F">
            <w:pPr>
              <w:overflowPunct/>
              <w:autoSpaceDE/>
              <w:autoSpaceDN/>
              <w:adjustRightInd/>
              <w:jc w:val="right"/>
              <w:textAlignment w:val="auto"/>
              <w:rPr>
                <w:rFonts w:cs="Arial"/>
                <w:sz w:val="20"/>
              </w:rPr>
            </w:pPr>
            <w:r>
              <w:rPr>
                <w:sz w:val="20"/>
              </w:rPr>
              <w:t>14.9%</w:t>
            </w:r>
          </w:p>
        </w:tc>
      </w:tr>
      <w:tr w:rsidR="006D3AD5" w:rsidRPr="0073014D" w14:paraId="37229FD4" w14:textId="77777777" w:rsidTr="00443B8F">
        <w:trPr>
          <w:trHeight w:val="255"/>
        </w:trPr>
        <w:tc>
          <w:tcPr>
            <w:tcW w:w="7840" w:type="dxa"/>
            <w:tcBorders>
              <w:top w:val="nil"/>
              <w:left w:val="single" w:sz="4" w:space="0" w:color="auto"/>
              <w:bottom w:val="single" w:sz="4" w:space="0" w:color="auto"/>
              <w:right w:val="single" w:sz="4" w:space="0" w:color="auto"/>
            </w:tcBorders>
            <w:noWrap/>
            <w:vAlign w:val="bottom"/>
          </w:tcPr>
          <w:p w14:paraId="278E57A4" w14:textId="77777777" w:rsidR="006D3AD5" w:rsidRPr="0073014D" w:rsidRDefault="006D3AD5" w:rsidP="00443B8F">
            <w:pPr>
              <w:overflowPunct/>
              <w:autoSpaceDE/>
              <w:autoSpaceDN/>
              <w:adjustRightInd/>
              <w:jc w:val="left"/>
              <w:textAlignment w:val="auto"/>
              <w:rPr>
                <w:rFonts w:cs="Arial"/>
                <w:sz w:val="20"/>
              </w:rPr>
            </w:pPr>
            <w:r>
              <w:rPr>
                <w:sz w:val="20"/>
              </w:rPr>
              <w:t>Availability is bad – there is an information barrier, bank requirements for the assets value are high, etc.</w:t>
            </w:r>
          </w:p>
        </w:tc>
        <w:tc>
          <w:tcPr>
            <w:tcW w:w="798" w:type="dxa"/>
            <w:tcBorders>
              <w:top w:val="nil"/>
              <w:left w:val="nil"/>
              <w:bottom w:val="single" w:sz="4" w:space="0" w:color="auto"/>
              <w:right w:val="single" w:sz="4" w:space="0" w:color="auto"/>
            </w:tcBorders>
            <w:noWrap/>
            <w:vAlign w:val="bottom"/>
          </w:tcPr>
          <w:p w14:paraId="1AC4EE6B" w14:textId="77777777" w:rsidR="006D3AD5" w:rsidRPr="0073014D" w:rsidRDefault="006D3AD5" w:rsidP="00443B8F">
            <w:pPr>
              <w:overflowPunct/>
              <w:autoSpaceDE/>
              <w:autoSpaceDN/>
              <w:adjustRightInd/>
              <w:jc w:val="right"/>
              <w:textAlignment w:val="auto"/>
              <w:rPr>
                <w:rFonts w:cs="Arial"/>
                <w:sz w:val="20"/>
              </w:rPr>
            </w:pPr>
            <w:r>
              <w:rPr>
                <w:sz w:val="20"/>
              </w:rPr>
              <w:t>25</w:t>
            </w:r>
          </w:p>
        </w:tc>
        <w:tc>
          <w:tcPr>
            <w:tcW w:w="798" w:type="dxa"/>
            <w:tcBorders>
              <w:top w:val="nil"/>
              <w:left w:val="nil"/>
              <w:bottom w:val="single" w:sz="4" w:space="0" w:color="auto"/>
              <w:right w:val="single" w:sz="4" w:space="0" w:color="auto"/>
            </w:tcBorders>
            <w:noWrap/>
            <w:vAlign w:val="bottom"/>
          </w:tcPr>
          <w:p w14:paraId="0FFB4F6C" w14:textId="77777777" w:rsidR="006D3AD5" w:rsidRPr="0073014D" w:rsidRDefault="006D3AD5" w:rsidP="00443B8F">
            <w:pPr>
              <w:overflowPunct/>
              <w:autoSpaceDE/>
              <w:autoSpaceDN/>
              <w:adjustRightInd/>
              <w:jc w:val="right"/>
              <w:textAlignment w:val="auto"/>
              <w:rPr>
                <w:rFonts w:cs="Arial"/>
                <w:sz w:val="20"/>
              </w:rPr>
            </w:pPr>
            <w:r>
              <w:rPr>
                <w:sz w:val="20"/>
              </w:rPr>
              <w:t>24.8%</w:t>
            </w:r>
          </w:p>
        </w:tc>
      </w:tr>
      <w:tr w:rsidR="006D3AD5" w:rsidRPr="0073014D" w14:paraId="2E5E5519" w14:textId="77777777" w:rsidTr="00443B8F">
        <w:trPr>
          <w:trHeight w:val="255"/>
        </w:trPr>
        <w:tc>
          <w:tcPr>
            <w:tcW w:w="7840" w:type="dxa"/>
            <w:tcBorders>
              <w:top w:val="nil"/>
              <w:left w:val="nil"/>
              <w:bottom w:val="nil"/>
              <w:right w:val="nil"/>
            </w:tcBorders>
            <w:noWrap/>
            <w:vAlign w:val="bottom"/>
          </w:tcPr>
          <w:p w14:paraId="465A4754"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798" w:type="dxa"/>
            <w:tcBorders>
              <w:top w:val="nil"/>
              <w:left w:val="nil"/>
              <w:bottom w:val="nil"/>
              <w:right w:val="nil"/>
            </w:tcBorders>
            <w:noWrap/>
            <w:vAlign w:val="bottom"/>
          </w:tcPr>
          <w:p w14:paraId="106F4E04" w14:textId="77777777" w:rsidR="006D3AD5" w:rsidRPr="0073014D" w:rsidRDefault="006D3AD5" w:rsidP="00443B8F">
            <w:pPr>
              <w:overflowPunct/>
              <w:autoSpaceDE/>
              <w:autoSpaceDN/>
              <w:adjustRightInd/>
              <w:jc w:val="right"/>
              <w:textAlignment w:val="auto"/>
              <w:rPr>
                <w:rFonts w:cs="Arial"/>
                <w:sz w:val="20"/>
              </w:rPr>
            </w:pPr>
            <w:r>
              <w:rPr>
                <w:sz w:val="20"/>
              </w:rPr>
              <w:t>101</w:t>
            </w:r>
          </w:p>
        </w:tc>
        <w:tc>
          <w:tcPr>
            <w:tcW w:w="798" w:type="dxa"/>
            <w:tcBorders>
              <w:top w:val="nil"/>
              <w:left w:val="nil"/>
              <w:bottom w:val="nil"/>
              <w:right w:val="nil"/>
            </w:tcBorders>
            <w:noWrap/>
            <w:vAlign w:val="bottom"/>
          </w:tcPr>
          <w:p w14:paraId="1910A388" w14:textId="77777777" w:rsidR="006D3AD5" w:rsidRPr="0073014D" w:rsidRDefault="006D3AD5" w:rsidP="00443B8F">
            <w:pPr>
              <w:overflowPunct/>
              <w:autoSpaceDE/>
              <w:autoSpaceDN/>
              <w:adjustRightInd/>
              <w:jc w:val="left"/>
              <w:textAlignment w:val="auto"/>
              <w:rPr>
                <w:rFonts w:cs="Arial"/>
                <w:sz w:val="20"/>
              </w:rPr>
            </w:pPr>
          </w:p>
        </w:tc>
      </w:tr>
    </w:tbl>
    <w:p w14:paraId="73F37EDD" w14:textId="77777777" w:rsidR="006D3AD5" w:rsidRPr="0073014D" w:rsidRDefault="006D3AD5" w:rsidP="006D3AD5"/>
    <w:p w14:paraId="5F56DBDE" w14:textId="77777777" w:rsidR="006D3AD5" w:rsidRPr="0073014D" w:rsidRDefault="006D3AD5" w:rsidP="006D3AD5"/>
    <w:p w14:paraId="223DCFF5" w14:textId="77777777" w:rsidR="006D3AD5" w:rsidRPr="0073014D" w:rsidRDefault="006D3AD5" w:rsidP="006D3AD5">
      <w:r>
        <w:t xml:space="preserve">Other details are stated only on behalf of enterprises which stated that they have more difficult funding availability. </w:t>
      </w:r>
    </w:p>
    <w:p w14:paraId="385FAA98" w14:textId="685139F0" w:rsidR="006D3AD5" w:rsidRPr="0073014D" w:rsidRDefault="006D3AD5" w:rsidP="003D68AA">
      <w:pPr>
        <w:pStyle w:val="Titulek"/>
      </w:pPr>
      <w:r>
        <w:t xml:space="preserve">Table </w:t>
      </w:r>
      <w:r w:rsidR="00001EEF">
        <w:t>65</w:t>
      </w:r>
      <w:r>
        <w:t>: Reasons of worse funding availability</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3AD5" w:rsidRPr="0073014D" w14:paraId="1B9396C4" w14:textId="77777777" w:rsidTr="00443B8F">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14:paraId="492052B9" w14:textId="77777777" w:rsidR="006D3AD5" w:rsidRPr="0073014D" w:rsidRDefault="006D3AD5" w:rsidP="00443B8F">
            <w:pPr>
              <w:overflowPunct/>
              <w:autoSpaceDE/>
              <w:autoSpaceDN/>
              <w:adjustRightInd/>
              <w:jc w:val="left"/>
              <w:textAlignment w:val="auto"/>
              <w:rPr>
                <w:rFonts w:cs="Arial"/>
                <w:b/>
                <w:bCs/>
                <w:sz w:val="20"/>
              </w:rPr>
            </w:pPr>
            <w:r>
              <w:rPr>
                <w:b/>
                <w:sz w:val="20"/>
              </w:rPr>
              <w:t>Major reasons of worse funding availability</w:t>
            </w:r>
          </w:p>
        </w:tc>
        <w:tc>
          <w:tcPr>
            <w:tcW w:w="960" w:type="dxa"/>
            <w:tcBorders>
              <w:top w:val="single" w:sz="4" w:space="0" w:color="auto"/>
              <w:left w:val="nil"/>
              <w:bottom w:val="single" w:sz="4" w:space="0" w:color="auto"/>
              <w:right w:val="single" w:sz="4" w:space="0" w:color="auto"/>
            </w:tcBorders>
            <w:noWrap/>
            <w:vAlign w:val="bottom"/>
          </w:tcPr>
          <w:p w14:paraId="78126450"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749F3A7C"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653DD4F8"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080BB074" w14:textId="77777777" w:rsidR="006D3AD5" w:rsidRPr="0073014D" w:rsidRDefault="006D3AD5" w:rsidP="00443B8F">
            <w:pPr>
              <w:overflowPunct/>
              <w:autoSpaceDE/>
              <w:autoSpaceDN/>
              <w:adjustRightInd/>
              <w:jc w:val="left"/>
              <w:textAlignment w:val="auto"/>
              <w:rPr>
                <w:rFonts w:cs="Arial"/>
                <w:sz w:val="20"/>
              </w:rPr>
            </w:pPr>
            <w:r>
              <w:rPr>
                <w:sz w:val="20"/>
              </w:rPr>
              <w:t>Long-term project payback</w:t>
            </w:r>
          </w:p>
        </w:tc>
        <w:tc>
          <w:tcPr>
            <w:tcW w:w="960" w:type="dxa"/>
            <w:tcBorders>
              <w:top w:val="nil"/>
              <w:left w:val="nil"/>
              <w:bottom w:val="single" w:sz="4" w:space="0" w:color="auto"/>
              <w:right w:val="single" w:sz="4" w:space="0" w:color="auto"/>
            </w:tcBorders>
            <w:noWrap/>
            <w:vAlign w:val="bottom"/>
          </w:tcPr>
          <w:p w14:paraId="437CFE0C" w14:textId="77777777" w:rsidR="006D3AD5" w:rsidRPr="0073014D" w:rsidRDefault="006D3AD5" w:rsidP="00443B8F">
            <w:pPr>
              <w:overflowPunct/>
              <w:autoSpaceDE/>
              <w:autoSpaceDN/>
              <w:adjustRightInd/>
              <w:jc w:val="right"/>
              <w:textAlignment w:val="auto"/>
              <w:rPr>
                <w:rFonts w:cs="Arial"/>
                <w:sz w:val="20"/>
              </w:rPr>
            </w:pPr>
            <w:r>
              <w:rPr>
                <w:sz w:val="20"/>
              </w:rPr>
              <w:t>29</w:t>
            </w:r>
          </w:p>
        </w:tc>
        <w:tc>
          <w:tcPr>
            <w:tcW w:w="960" w:type="dxa"/>
            <w:tcBorders>
              <w:top w:val="nil"/>
              <w:left w:val="nil"/>
              <w:bottom w:val="single" w:sz="4" w:space="0" w:color="auto"/>
              <w:right w:val="single" w:sz="4" w:space="0" w:color="auto"/>
            </w:tcBorders>
            <w:noWrap/>
            <w:vAlign w:val="bottom"/>
          </w:tcPr>
          <w:p w14:paraId="2D2AFD22" w14:textId="77777777" w:rsidR="006D3AD5" w:rsidRPr="0073014D" w:rsidRDefault="006D3AD5" w:rsidP="00443B8F">
            <w:pPr>
              <w:overflowPunct/>
              <w:autoSpaceDE/>
              <w:autoSpaceDN/>
              <w:adjustRightInd/>
              <w:jc w:val="right"/>
              <w:textAlignment w:val="auto"/>
              <w:rPr>
                <w:rFonts w:cs="Arial"/>
                <w:sz w:val="20"/>
              </w:rPr>
            </w:pPr>
            <w:r>
              <w:rPr>
                <w:sz w:val="20"/>
              </w:rPr>
              <w:t>72.5%</w:t>
            </w:r>
          </w:p>
        </w:tc>
      </w:tr>
      <w:tr w:rsidR="006D3AD5" w:rsidRPr="0073014D" w14:paraId="1B7F2514"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10202336" w14:textId="77777777" w:rsidR="006D3AD5" w:rsidRPr="0073014D" w:rsidRDefault="006D3AD5" w:rsidP="00443B8F">
            <w:pPr>
              <w:overflowPunct/>
              <w:autoSpaceDE/>
              <w:autoSpaceDN/>
              <w:adjustRightInd/>
              <w:jc w:val="left"/>
              <w:textAlignment w:val="auto"/>
              <w:rPr>
                <w:rFonts w:cs="Arial"/>
                <w:sz w:val="20"/>
              </w:rPr>
            </w:pPr>
            <w:r>
              <w:rPr>
                <w:sz w:val="20"/>
              </w:rPr>
              <w:lastRenderedPageBreak/>
              <w:t xml:space="preserve">Short-term business history </w:t>
            </w:r>
          </w:p>
        </w:tc>
        <w:tc>
          <w:tcPr>
            <w:tcW w:w="960" w:type="dxa"/>
            <w:tcBorders>
              <w:top w:val="nil"/>
              <w:left w:val="nil"/>
              <w:bottom w:val="single" w:sz="4" w:space="0" w:color="auto"/>
              <w:right w:val="single" w:sz="4" w:space="0" w:color="auto"/>
            </w:tcBorders>
            <w:noWrap/>
            <w:vAlign w:val="bottom"/>
          </w:tcPr>
          <w:p w14:paraId="3BF37E6C" w14:textId="77777777" w:rsidR="006D3AD5" w:rsidRPr="0073014D" w:rsidRDefault="006D3AD5" w:rsidP="00443B8F">
            <w:pPr>
              <w:overflowPunct/>
              <w:autoSpaceDE/>
              <w:autoSpaceDN/>
              <w:adjustRightInd/>
              <w:jc w:val="right"/>
              <w:textAlignment w:val="auto"/>
              <w:rPr>
                <w:rFonts w:cs="Arial"/>
                <w:sz w:val="20"/>
              </w:rPr>
            </w:pPr>
            <w:r>
              <w:rPr>
                <w:sz w:val="20"/>
              </w:rPr>
              <w:t>29</w:t>
            </w:r>
          </w:p>
        </w:tc>
        <w:tc>
          <w:tcPr>
            <w:tcW w:w="960" w:type="dxa"/>
            <w:tcBorders>
              <w:top w:val="nil"/>
              <w:left w:val="nil"/>
              <w:bottom w:val="single" w:sz="4" w:space="0" w:color="auto"/>
              <w:right w:val="single" w:sz="4" w:space="0" w:color="auto"/>
            </w:tcBorders>
            <w:noWrap/>
            <w:vAlign w:val="bottom"/>
          </w:tcPr>
          <w:p w14:paraId="0745CABB" w14:textId="77777777" w:rsidR="006D3AD5" w:rsidRPr="0073014D" w:rsidRDefault="006D3AD5" w:rsidP="00443B8F">
            <w:pPr>
              <w:overflowPunct/>
              <w:autoSpaceDE/>
              <w:autoSpaceDN/>
              <w:adjustRightInd/>
              <w:jc w:val="right"/>
              <w:textAlignment w:val="auto"/>
              <w:rPr>
                <w:rFonts w:cs="Arial"/>
                <w:sz w:val="20"/>
              </w:rPr>
            </w:pPr>
            <w:r>
              <w:rPr>
                <w:sz w:val="20"/>
              </w:rPr>
              <w:t>72.5%</w:t>
            </w:r>
          </w:p>
        </w:tc>
      </w:tr>
      <w:tr w:rsidR="006D3AD5" w:rsidRPr="0073014D" w14:paraId="07D334C4"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77BE2C21" w14:textId="77777777" w:rsidR="006D3AD5" w:rsidRPr="0073014D" w:rsidRDefault="006D3AD5" w:rsidP="00443B8F">
            <w:pPr>
              <w:overflowPunct/>
              <w:autoSpaceDE/>
              <w:autoSpaceDN/>
              <w:adjustRightInd/>
              <w:jc w:val="left"/>
              <w:textAlignment w:val="auto"/>
              <w:rPr>
                <w:rFonts w:cs="Arial"/>
                <w:sz w:val="20"/>
              </w:rPr>
            </w:pPr>
            <w:r>
              <w:rPr>
                <w:sz w:val="20"/>
              </w:rPr>
              <w:t>Options of security</w:t>
            </w:r>
          </w:p>
        </w:tc>
        <w:tc>
          <w:tcPr>
            <w:tcW w:w="960" w:type="dxa"/>
            <w:tcBorders>
              <w:top w:val="nil"/>
              <w:left w:val="nil"/>
              <w:bottom w:val="single" w:sz="4" w:space="0" w:color="auto"/>
              <w:right w:val="single" w:sz="4" w:space="0" w:color="auto"/>
            </w:tcBorders>
            <w:noWrap/>
            <w:vAlign w:val="bottom"/>
          </w:tcPr>
          <w:p w14:paraId="55AFF336" w14:textId="77777777" w:rsidR="006D3AD5" w:rsidRPr="0073014D" w:rsidRDefault="006D3AD5" w:rsidP="00443B8F">
            <w:pPr>
              <w:overflowPunct/>
              <w:autoSpaceDE/>
              <w:autoSpaceDN/>
              <w:adjustRightInd/>
              <w:jc w:val="right"/>
              <w:textAlignment w:val="auto"/>
              <w:rPr>
                <w:rFonts w:cs="Arial"/>
                <w:sz w:val="20"/>
              </w:rPr>
            </w:pPr>
            <w:r>
              <w:rPr>
                <w:sz w:val="20"/>
              </w:rPr>
              <w:t>39</w:t>
            </w:r>
          </w:p>
        </w:tc>
        <w:tc>
          <w:tcPr>
            <w:tcW w:w="960" w:type="dxa"/>
            <w:tcBorders>
              <w:top w:val="nil"/>
              <w:left w:val="nil"/>
              <w:bottom w:val="single" w:sz="4" w:space="0" w:color="auto"/>
              <w:right w:val="single" w:sz="4" w:space="0" w:color="auto"/>
            </w:tcBorders>
            <w:noWrap/>
            <w:vAlign w:val="bottom"/>
          </w:tcPr>
          <w:p w14:paraId="5A1236F5" w14:textId="77777777" w:rsidR="006D3AD5" w:rsidRPr="0073014D" w:rsidRDefault="006D3AD5" w:rsidP="00443B8F">
            <w:pPr>
              <w:overflowPunct/>
              <w:autoSpaceDE/>
              <w:autoSpaceDN/>
              <w:adjustRightInd/>
              <w:jc w:val="right"/>
              <w:textAlignment w:val="auto"/>
              <w:rPr>
                <w:rFonts w:cs="Arial"/>
                <w:sz w:val="20"/>
              </w:rPr>
            </w:pPr>
            <w:r>
              <w:rPr>
                <w:sz w:val="20"/>
              </w:rPr>
              <w:t>97.5%</w:t>
            </w:r>
          </w:p>
        </w:tc>
      </w:tr>
      <w:tr w:rsidR="006D3AD5" w:rsidRPr="0073014D" w14:paraId="0E38EB32"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4C9BFBEC" w14:textId="77777777" w:rsidR="006D3AD5" w:rsidRPr="0073014D" w:rsidRDefault="006D3AD5" w:rsidP="00443B8F">
            <w:pPr>
              <w:overflowPunct/>
              <w:autoSpaceDE/>
              <w:autoSpaceDN/>
              <w:adjustRightInd/>
              <w:jc w:val="left"/>
              <w:textAlignment w:val="auto"/>
              <w:rPr>
                <w:rFonts w:cs="Arial"/>
                <w:sz w:val="20"/>
              </w:rPr>
            </w:pPr>
            <w:r>
              <w:rPr>
                <w:sz w:val="20"/>
              </w:rPr>
              <w:t>Financial expenses</w:t>
            </w:r>
          </w:p>
        </w:tc>
        <w:tc>
          <w:tcPr>
            <w:tcW w:w="960" w:type="dxa"/>
            <w:tcBorders>
              <w:top w:val="nil"/>
              <w:left w:val="nil"/>
              <w:bottom w:val="single" w:sz="4" w:space="0" w:color="auto"/>
              <w:right w:val="single" w:sz="4" w:space="0" w:color="auto"/>
            </w:tcBorders>
            <w:noWrap/>
            <w:vAlign w:val="bottom"/>
          </w:tcPr>
          <w:p w14:paraId="171C79D5" w14:textId="77777777" w:rsidR="006D3AD5" w:rsidRPr="0073014D" w:rsidRDefault="006D3AD5" w:rsidP="00443B8F">
            <w:pPr>
              <w:overflowPunct/>
              <w:autoSpaceDE/>
              <w:autoSpaceDN/>
              <w:adjustRightInd/>
              <w:jc w:val="right"/>
              <w:textAlignment w:val="auto"/>
              <w:rPr>
                <w:rFonts w:cs="Arial"/>
                <w:sz w:val="20"/>
              </w:rPr>
            </w:pPr>
            <w:r>
              <w:rPr>
                <w:sz w:val="20"/>
              </w:rPr>
              <w:t>34</w:t>
            </w:r>
          </w:p>
        </w:tc>
        <w:tc>
          <w:tcPr>
            <w:tcW w:w="960" w:type="dxa"/>
            <w:tcBorders>
              <w:top w:val="nil"/>
              <w:left w:val="nil"/>
              <w:bottom w:val="single" w:sz="4" w:space="0" w:color="auto"/>
              <w:right w:val="single" w:sz="4" w:space="0" w:color="auto"/>
            </w:tcBorders>
            <w:noWrap/>
            <w:vAlign w:val="bottom"/>
          </w:tcPr>
          <w:p w14:paraId="3A7AA5D7" w14:textId="77777777" w:rsidR="006D3AD5" w:rsidRPr="0073014D" w:rsidRDefault="006D3AD5" w:rsidP="00443B8F">
            <w:pPr>
              <w:overflowPunct/>
              <w:autoSpaceDE/>
              <w:autoSpaceDN/>
              <w:adjustRightInd/>
              <w:jc w:val="right"/>
              <w:textAlignment w:val="auto"/>
              <w:rPr>
                <w:rFonts w:cs="Arial"/>
                <w:sz w:val="20"/>
              </w:rPr>
            </w:pPr>
            <w:r>
              <w:rPr>
                <w:sz w:val="20"/>
              </w:rPr>
              <w:t>85.0%</w:t>
            </w:r>
          </w:p>
        </w:tc>
      </w:tr>
      <w:tr w:rsidR="006D3AD5" w:rsidRPr="0073014D" w14:paraId="7F24645E"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38A39895" w14:textId="77777777" w:rsidR="006D3AD5" w:rsidRPr="0073014D" w:rsidRDefault="006D3AD5" w:rsidP="00443B8F">
            <w:pPr>
              <w:overflowPunct/>
              <w:autoSpaceDE/>
              <w:autoSpaceDN/>
              <w:adjustRightInd/>
              <w:jc w:val="left"/>
              <w:textAlignment w:val="auto"/>
              <w:rPr>
                <w:rFonts w:cs="Arial"/>
                <w:sz w:val="20"/>
              </w:rPr>
            </w:pPr>
            <w:r>
              <w:rPr>
                <w:sz w:val="20"/>
              </w:rPr>
              <w:t>Economic potential of project</w:t>
            </w:r>
          </w:p>
        </w:tc>
        <w:tc>
          <w:tcPr>
            <w:tcW w:w="960" w:type="dxa"/>
            <w:tcBorders>
              <w:top w:val="nil"/>
              <w:left w:val="nil"/>
              <w:bottom w:val="single" w:sz="4" w:space="0" w:color="auto"/>
              <w:right w:val="single" w:sz="4" w:space="0" w:color="auto"/>
            </w:tcBorders>
            <w:noWrap/>
            <w:vAlign w:val="bottom"/>
          </w:tcPr>
          <w:p w14:paraId="7721678A" w14:textId="77777777" w:rsidR="006D3AD5" w:rsidRPr="0073014D" w:rsidRDefault="006D3AD5" w:rsidP="00443B8F">
            <w:pPr>
              <w:overflowPunct/>
              <w:autoSpaceDE/>
              <w:autoSpaceDN/>
              <w:adjustRightInd/>
              <w:jc w:val="right"/>
              <w:textAlignment w:val="auto"/>
              <w:rPr>
                <w:rFonts w:cs="Arial"/>
                <w:sz w:val="20"/>
              </w:rPr>
            </w:pPr>
            <w:r>
              <w:rPr>
                <w:sz w:val="20"/>
              </w:rPr>
              <w:t>17</w:t>
            </w:r>
          </w:p>
        </w:tc>
        <w:tc>
          <w:tcPr>
            <w:tcW w:w="960" w:type="dxa"/>
            <w:tcBorders>
              <w:top w:val="nil"/>
              <w:left w:val="nil"/>
              <w:bottom w:val="single" w:sz="4" w:space="0" w:color="auto"/>
              <w:right w:val="single" w:sz="4" w:space="0" w:color="auto"/>
            </w:tcBorders>
            <w:noWrap/>
            <w:vAlign w:val="bottom"/>
          </w:tcPr>
          <w:p w14:paraId="578E0A0C" w14:textId="77777777" w:rsidR="006D3AD5" w:rsidRPr="0073014D" w:rsidRDefault="006D3AD5" w:rsidP="00443B8F">
            <w:pPr>
              <w:overflowPunct/>
              <w:autoSpaceDE/>
              <w:autoSpaceDN/>
              <w:adjustRightInd/>
              <w:jc w:val="right"/>
              <w:textAlignment w:val="auto"/>
              <w:rPr>
                <w:rFonts w:cs="Arial"/>
                <w:sz w:val="20"/>
              </w:rPr>
            </w:pPr>
            <w:r>
              <w:rPr>
                <w:sz w:val="20"/>
              </w:rPr>
              <w:t>42.5%</w:t>
            </w:r>
          </w:p>
        </w:tc>
      </w:tr>
      <w:tr w:rsidR="006D3AD5" w:rsidRPr="0073014D" w14:paraId="06A8EBDD"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322B6D93" w14:textId="77777777" w:rsidR="006D3AD5" w:rsidRPr="0073014D" w:rsidRDefault="006D3AD5" w:rsidP="00443B8F">
            <w:pPr>
              <w:overflowPunct/>
              <w:autoSpaceDE/>
              <w:autoSpaceDN/>
              <w:adjustRightInd/>
              <w:jc w:val="left"/>
              <w:textAlignment w:val="auto"/>
              <w:rPr>
                <w:rFonts w:cs="Arial"/>
                <w:sz w:val="20"/>
              </w:rPr>
            </w:pPr>
            <w:r>
              <w:rPr>
                <w:sz w:val="20"/>
              </w:rPr>
              <w:t>Current high indebtedness</w:t>
            </w:r>
          </w:p>
        </w:tc>
        <w:tc>
          <w:tcPr>
            <w:tcW w:w="960" w:type="dxa"/>
            <w:tcBorders>
              <w:top w:val="nil"/>
              <w:left w:val="nil"/>
              <w:bottom w:val="single" w:sz="4" w:space="0" w:color="auto"/>
              <w:right w:val="single" w:sz="4" w:space="0" w:color="auto"/>
            </w:tcBorders>
            <w:noWrap/>
            <w:vAlign w:val="bottom"/>
          </w:tcPr>
          <w:p w14:paraId="47176AF5" w14:textId="77777777" w:rsidR="006D3AD5" w:rsidRPr="0073014D" w:rsidRDefault="006D3AD5" w:rsidP="00443B8F">
            <w:pPr>
              <w:overflowPunct/>
              <w:autoSpaceDE/>
              <w:autoSpaceDN/>
              <w:adjustRightInd/>
              <w:jc w:val="right"/>
              <w:textAlignment w:val="auto"/>
              <w:rPr>
                <w:rFonts w:cs="Arial"/>
                <w:sz w:val="20"/>
              </w:rPr>
            </w:pPr>
            <w:r>
              <w:rPr>
                <w:sz w:val="20"/>
              </w:rPr>
              <w:t>8</w:t>
            </w:r>
          </w:p>
        </w:tc>
        <w:tc>
          <w:tcPr>
            <w:tcW w:w="960" w:type="dxa"/>
            <w:tcBorders>
              <w:top w:val="nil"/>
              <w:left w:val="nil"/>
              <w:bottom w:val="single" w:sz="4" w:space="0" w:color="auto"/>
              <w:right w:val="single" w:sz="4" w:space="0" w:color="auto"/>
            </w:tcBorders>
            <w:noWrap/>
            <w:vAlign w:val="bottom"/>
          </w:tcPr>
          <w:p w14:paraId="686F0893" w14:textId="77777777" w:rsidR="006D3AD5" w:rsidRPr="0073014D" w:rsidRDefault="006D3AD5" w:rsidP="00443B8F">
            <w:pPr>
              <w:overflowPunct/>
              <w:autoSpaceDE/>
              <w:autoSpaceDN/>
              <w:adjustRightInd/>
              <w:jc w:val="right"/>
              <w:textAlignment w:val="auto"/>
              <w:rPr>
                <w:rFonts w:cs="Arial"/>
                <w:sz w:val="20"/>
              </w:rPr>
            </w:pPr>
            <w:r>
              <w:rPr>
                <w:sz w:val="20"/>
              </w:rPr>
              <w:t>20.0%</w:t>
            </w:r>
          </w:p>
        </w:tc>
      </w:tr>
      <w:tr w:rsidR="006D3AD5" w:rsidRPr="0073014D" w14:paraId="061D38CB" w14:textId="77777777" w:rsidTr="00443B8F">
        <w:trPr>
          <w:trHeight w:val="255"/>
        </w:trPr>
        <w:tc>
          <w:tcPr>
            <w:tcW w:w="2966" w:type="dxa"/>
            <w:tcBorders>
              <w:top w:val="nil"/>
              <w:left w:val="nil"/>
              <w:bottom w:val="nil"/>
              <w:right w:val="nil"/>
            </w:tcBorders>
            <w:noWrap/>
            <w:vAlign w:val="bottom"/>
          </w:tcPr>
          <w:p w14:paraId="196D2573"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0" w:type="dxa"/>
            <w:tcBorders>
              <w:top w:val="nil"/>
              <w:left w:val="nil"/>
              <w:bottom w:val="nil"/>
              <w:right w:val="nil"/>
            </w:tcBorders>
            <w:noWrap/>
            <w:vAlign w:val="bottom"/>
          </w:tcPr>
          <w:p w14:paraId="0B426E0B" w14:textId="77777777" w:rsidR="006D3AD5" w:rsidRPr="0073014D" w:rsidRDefault="006D3AD5" w:rsidP="00443B8F">
            <w:pPr>
              <w:overflowPunct/>
              <w:autoSpaceDE/>
              <w:autoSpaceDN/>
              <w:adjustRightInd/>
              <w:jc w:val="right"/>
              <w:textAlignment w:val="auto"/>
              <w:rPr>
                <w:rFonts w:cs="Arial"/>
                <w:sz w:val="20"/>
              </w:rPr>
            </w:pPr>
            <w:r>
              <w:rPr>
                <w:sz w:val="20"/>
              </w:rPr>
              <w:t>40</w:t>
            </w:r>
          </w:p>
        </w:tc>
        <w:tc>
          <w:tcPr>
            <w:tcW w:w="960" w:type="dxa"/>
            <w:tcBorders>
              <w:top w:val="nil"/>
              <w:left w:val="nil"/>
              <w:bottom w:val="nil"/>
              <w:right w:val="nil"/>
            </w:tcBorders>
            <w:noWrap/>
            <w:vAlign w:val="bottom"/>
          </w:tcPr>
          <w:p w14:paraId="0E84577E" w14:textId="77777777" w:rsidR="006D3AD5" w:rsidRPr="0073014D" w:rsidRDefault="006D3AD5" w:rsidP="00443B8F">
            <w:pPr>
              <w:overflowPunct/>
              <w:autoSpaceDE/>
              <w:autoSpaceDN/>
              <w:adjustRightInd/>
              <w:jc w:val="left"/>
              <w:textAlignment w:val="auto"/>
              <w:rPr>
                <w:rFonts w:cs="Arial"/>
                <w:sz w:val="20"/>
              </w:rPr>
            </w:pPr>
          </w:p>
        </w:tc>
      </w:tr>
    </w:tbl>
    <w:p w14:paraId="2A188A2E" w14:textId="77777777" w:rsidR="006D3AD5" w:rsidRPr="0073014D" w:rsidRDefault="006D3AD5" w:rsidP="006D3AD5"/>
    <w:p w14:paraId="0A79D6AA" w14:textId="77777777" w:rsidR="006D3AD5" w:rsidRPr="0073014D" w:rsidRDefault="006D3AD5" w:rsidP="006D3AD5">
      <w:r>
        <w:t xml:space="preserve">Undoubtedly the most serious reason for worsened funding availability included the options of security, namely in 100% of the cases. Other reasons of worsened funding availability included, above all, financial costs, but also the payback period and the length of own history. In total, the respondents reported in this specific objective the largest problems in funding availability of their projects. </w:t>
      </w:r>
    </w:p>
    <w:p w14:paraId="7F2CE3F6" w14:textId="77777777" w:rsidR="006D3AD5" w:rsidRPr="0073014D" w:rsidRDefault="006D3AD5" w:rsidP="006D3AD5">
      <w:pPr>
        <w:pStyle w:val="Titulek"/>
        <w:keepNext/>
        <w:rPr>
          <w:color w:val="000000"/>
        </w:rPr>
      </w:pPr>
    </w:p>
    <w:p w14:paraId="78325B03" w14:textId="0F288E46" w:rsidR="006D3AD5" w:rsidRPr="0073014D" w:rsidRDefault="006D3AD5" w:rsidP="00685AEF">
      <w:pPr>
        <w:pStyle w:val="Titulek"/>
      </w:pPr>
      <w:r>
        <w:t xml:space="preserve">Figure </w:t>
      </w:r>
      <w:r w:rsidR="00F473EE">
        <w:t>2</w:t>
      </w:r>
      <w:r w:rsidR="00243196">
        <w:t>8</w:t>
      </w:r>
      <w:r>
        <w:t xml:space="preserve">: The major reasons of worsened funding availability (more responses could be entered) </w:t>
      </w:r>
    </w:p>
    <w:p w14:paraId="3EDA6BAA" w14:textId="77777777" w:rsidR="006D3AD5" w:rsidRPr="0073014D" w:rsidRDefault="006D3AD5" w:rsidP="006D3AD5">
      <w:r>
        <w:rPr>
          <w:noProof/>
        </w:rPr>
        <w:drawing>
          <wp:inline distT="0" distB="0" distL="0" distR="0" wp14:anchorId="6548A61E" wp14:editId="730CFDD7">
            <wp:extent cx="6124575" cy="2428875"/>
            <wp:effectExtent l="0" t="0" r="9525" b="9525"/>
            <wp:docPr id="107" name="Graf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61300C" w14:textId="77777777" w:rsidR="006D3AD5" w:rsidRPr="0073014D" w:rsidRDefault="006D3AD5" w:rsidP="006D3AD5">
      <w:r>
        <w:t xml:space="preserve"> </w:t>
      </w:r>
    </w:p>
    <w:p w14:paraId="177D2DA7" w14:textId="77777777" w:rsidR="006D3AD5" w:rsidRPr="0073014D" w:rsidRDefault="006D3AD5" w:rsidP="006D3AD5">
      <w:pPr>
        <w:pStyle w:val="Nadpis4"/>
        <w:rPr>
          <w:rFonts w:ascii="Calibri" w:hAnsi="Calibri"/>
          <w:color w:val="000000"/>
        </w:rPr>
      </w:pPr>
      <w:r>
        <w:rPr>
          <w:rFonts w:ascii="Calibri" w:hAnsi="Calibri"/>
          <w:color w:val="000000"/>
        </w:rPr>
        <w:t>The estimation of the absorption capacity of the public support and the financial instrument</w:t>
      </w:r>
    </w:p>
    <w:p w14:paraId="384D2BB9" w14:textId="77777777" w:rsidR="006D3AD5" w:rsidRPr="0073014D" w:rsidRDefault="006D3AD5" w:rsidP="006D3AD5"/>
    <w:p w14:paraId="039319B3" w14:textId="77777777" w:rsidR="006D3AD5" w:rsidRPr="0073014D" w:rsidRDefault="006D3AD5" w:rsidP="006D3AD5">
      <w:r>
        <w:t>Intended investments of the sample of 104 companies in RES achieve the amount of CZK 1.2 billion, this detail is only for orientation with respect to the reduction of supported activities.</w:t>
      </w:r>
    </w:p>
    <w:p w14:paraId="3D4D9210" w14:textId="77777777" w:rsidR="006D3AD5" w:rsidRPr="0073014D" w:rsidRDefault="006D3AD5" w:rsidP="006D3AD5">
      <w:pPr>
        <w:rPr>
          <w:b/>
        </w:rPr>
      </w:pPr>
    </w:p>
    <w:p w14:paraId="63E945D4" w14:textId="77777777" w:rsidR="006D3AD5" w:rsidRPr="0073014D" w:rsidRDefault="006D3AD5" w:rsidP="006D3AD5">
      <w:r>
        <w:rPr>
          <w:b/>
        </w:rPr>
        <w:t>As per MIT/Nova Energomax analysis, the investment demand in the area of heat from BGSs activated by public support amounts to CZK 3.2</w:t>
      </w:r>
      <w:r>
        <w:t xml:space="preserve"> </w:t>
      </w:r>
      <w:r>
        <w:rPr>
          <w:b/>
        </w:rPr>
        <w:t xml:space="preserve">billion </w:t>
      </w:r>
      <w:r>
        <w:t>as it is arising from the number of the existing BGSs suitable for carrying off heat. With respect to the intended parameters of such investments, majority of them will be dependent on the availability of subsidies.</w:t>
      </w:r>
    </w:p>
    <w:p w14:paraId="0728C3F0" w14:textId="77777777" w:rsidR="006D3AD5" w:rsidRPr="0073014D" w:rsidRDefault="006D3AD5" w:rsidP="006D3AD5"/>
    <w:p w14:paraId="41F19392" w14:textId="77777777" w:rsidR="006D3AD5" w:rsidRPr="0073014D" w:rsidRDefault="006D3AD5" w:rsidP="006D3AD5">
      <w:r>
        <w:t>In the case of</w:t>
      </w:r>
      <w:r>
        <w:rPr>
          <w:b/>
        </w:rPr>
        <w:t xml:space="preserve"> SHPPs</w:t>
      </w:r>
      <w:r>
        <w:t xml:space="preserve">, the investment activities can be based on the existing amount of SHPPs, estimated increase in their production within the period (see above) and model investment costs required for one MWh, which were derived from the standard OPEI project. </w:t>
      </w:r>
      <w:r>
        <w:rPr>
          <w:b/>
        </w:rPr>
        <w:t>During next period, we are planning the creation of the investment demand of the SHPP ranging from CZK 2-2.75 billion</w:t>
      </w:r>
      <w:r>
        <w:t>, which can be effectively covered by the financial instrument. In the case of impracticability of the combination of the FI investment support with operational support, nevertheless, we can assume practically zero absorption capacity of such an instrument.</w:t>
      </w:r>
    </w:p>
    <w:p w14:paraId="6BB72985" w14:textId="77777777" w:rsidR="006D3AD5" w:rsidRPr="0073014D" w:rsidRDefault="006D3AD5" w:rsidP="006D3AD5"/>
    <w:tbl>
      <w:tblPr>
        <w:tblW w:w="4990" w:type="dxa"/>
        <w:tblBorders>
          <w:top w:val="single" w:sz="4" w:space="0" w:color="auto"/>
          <w:left w:val="single" w:sz="4" w:space="0" w:color="auto"/>
          <w:bottom w:val="single" w:sz="4" w:space="0" w:color="auto"/>
          <w:right w:val="single" w:sz="4" w:space="0" w:color="auto"/>
          <w:insideH w:val="single" w:sz="4" w:space="0" w:color="00A1DE"/>
        </w:tblBorders>
        <w:tblCellMar>
          <w:top w:w="28" w:type="dxa"/>
          <w:left w:w="28" w:type="dxa"/>
          <w:bottom w:w="28" w:type="dxa"/>
          <w:right w:w="28" w:type="dxa"/>
        </w:tblCellMar>
        <w:tblLook w:val="04A0" w:firstRow="1" w:lastRow="0" w:firstColumn="1" w:lastColumn="0" w:noHBand="0" w:noVBand="1"/>
      </w:tblPr>
      <w:tblGrid>
        <w:gridCol w:w="2860"/>
        <w:gridCol w:w="2130"/>
      </w:tblGrid>
      <w:tr w:rsidR="006D3AD5" w:rsidRPr="0073014D" w14:paraId="4C13A1C0" w14:textId="77777777" w:rsidTr="00443B8F">
        <w:trPr>
          <w:trHeight w:val="300"/>
        </w:trPr>
        <w:tc>
          <w:tcPr>
            <w:tcW w:w="2860" w:type="dxa"/>
            <w:shd w:val="clear" w:color="auto" w:fill="FFFFFF"/>
            <w:noWrap/>
          </w:tcPr>
          <w:p w14:paraId="6CC0B937" w14:textId="77777777" w:rsidR="006D3AD5" w:rsidRPr="0073014D" w:rsidRDefault="006D3AD5" w:rsidP="00443B8F">
            <w:pPr>
              <w:overflowPunct/>
              <w:autoSpaceDE/>
              <w:autoSpaceDN/>
              <w:adjustRightInd/>
              <w:jc w:val="left"/>
              <w:textAlignment w:val="auto"/>
              <w:rPr>
                <w:b/>
                <w:sz w:val="20"/>
                <w:szCs w:val="22"/>
              </w:rPr>
            </w:pPr>
            <w:r>
              <w:rPr>
                <w:b/>
                <w:sz w:val="20"/>
              </w:rPr>
              <w:t xml:space="preserve">Estimated production increase </w:t>
            </w:r>
          </w:p>
        </w:tc>
        <w:tc>
          <w:tcPr>
            <w:tcW w:w="2130" w:type="dxa"/>
            <w:shd w:val="clear" w:color="auto" w:fill="FFFFFF"/>
            <w:noWrap/>
          </w:tcPr>
          <w:p w14:paraId="388E7462" w14:textId="77777777" w:rsidR="006D3AD5" w:rsidRPr="0073014D" w:rsidRDefault="006D3AD5" w:rsidP="00443B8F">
            <w:pPr>
              <w:overflowPunct/>
              <w:autoSpaceDE/>
              <w:autoSpaceDN/>
              <w:adjustRightInd/>
              <w:jc w:val="left"/>
              <w:textAlignment w:val="auto"/>
              <w:rPr>
                <w:b/>
                <w:sz w:val="20"/>
                <w:szCs w:val="22"/>
              </w:rPr>
            </w:pPr>
            <w:r>
              <w:rPr>
                <w:b/>
                <w:sz w:val="20"/>
              </w:rPr>
              <w:t xml:space="preserve">                 280-380GWh  </w:t>
            </w:r>
          </w:p>
        </w:tc>
      </w:tr>
      <w:tr w:rsidR="006D3AD5" w:rsidRPr="0073014D" w14:paraId="6FB2072C" w14:textId="77777777" w:rsidTr="00443B8F">
        <w:trPr>
          <w:trHeight w:val="300"/>
        </w:trPr>
        <w:tc>
          <w:tcPr>
            <w:tcW w:w="2860" w:type="dxa"/>
            <w:shd w:val="clear" w:color="auto" w:fill="FFFFFF"/>
            <w:noWrap/>
          </w:tcPr>
          <w:p w14:paraId="28312DE6" w14:textId="77777777" w:rsidR="006D3AD5" w:rsidRPr="0073014D" w:rsidRDefault="006D3AD5" w:rsidP="00443B8F">
            <w:pPr>
              <w:overflowPunct/>
              <w:autoSpaceDE/>
              <w:autoSpaceDN/>
              <w:adjustRightInd/>
              <w:jc w:val="left"/>
              <w:textAlignment w:val="auto"/>
              <w:rPr>
                <w:b/>
                <w:sz w:val="20"/>
                <w:szCs w:val="22"/>
              </w:rPr>
            </w:pPr>
            <w:r>
              <w:rPr>
                <w:b/>
                <w:sz w:val="20"/>
              </w:rPr>
              <w:t xml:space="preserve"> Investment costs per 1MWh </w:t>
            </w:r>
          </w:p>
        </w:tc>
        <w:tc>
          <w:tcPr>
            <w:tcW w:w="2130" w:type="dxa"/>
            <w:shd w:val="clear" w:color="auto" w:fill="FFFFFF"/>
            <w:noWrap/>
          </w:tcPr>
          <w:p w14:paraId="01BAA0A8" w14:textId="77777777" w:rsidR="006D3AD5" w:rsidRPr="0073014D" w:rsidRDefault="006D3AD5" w:rsidP="00443B8F">
            <w:pPr>
              <w:overflowPunct/>
              <w:autoSpaceDE/>
              <w:autoSpaceDN/>
              <w:adjustRightInd/>
              <w:jc w:val="left"/>
              <w:textAlignment w:val="auto"/>
              <w:rPr>
                <w:b/>
                <w:sz w:val="20"/>
                <w:szCs w:val="22"/>
              </w:rPr>
            </w:pPr>
            <w:r>
              <w:rPr>
                <w:b/>
                <w:sz w:val="20"/>
              </w:rPr>
              <w:t xml:space="preserve">                   CZK 21,700   </w:t>
            </w:r>
          </w:p>
        </w:tc>
      </w:tr>
      <w:tr w:rsidR="006D3AD5" w:rsidRPr="0073014D" w14:paraId="412D287C" w14:textId="77777777" w:rsidTr="00443B8F">
        <w:trPr>
          <w:trHeight w:val="300"/>
        </w:trPr>
        <w:tc>
          <w:tcPr>
            <w:tcW w:w="2860" w:type="dxa"/>
            <w:shd w:val="clear" w:color="auto" w:fill="FFFFFF"/>
            <w:noWrap/>
          </w:tcPr>
          <w:p w14:paraId="1BCA2165" w14:textId="77777777" w:rsidR="006D3AD5" w:rsidRPr="0073014D" w:rsidRDefault="006D3AD5" w:rsidP="00443B8F">
            <w:pPr>
              <w:overflowPunct/>
              <w:autoSpaceDE/>
              <w:autoSpaceDN/>
              <w:adjustRightInd/>
              <w:jc w:val="left"/>
              <w:textAlignment w:val="auto"/>
              <w:rPr>
                <w:b/>
                <w:sz w:val="20"/>
                <w:szCs w:val="22"/>
              </w:rPr>
            </w:pPr>
            <w:r>
              <w:rPr>
                <w:b/>
                <w:sz w:val="20"/>
              </w:rPr>
              <w:t xml:space="preserve"> Number of projects </w:t>
            </w:r>
          </w:p>
        </w:tc>
        <w:tc>
          <w:tcPr>
            <w:tcW w:w="2130" w:type="dxa"/>
            <w:shd w:val="clear" w:color="auto" w:fill="FFFFFF"/>
            <w:noWrap/>
          </w:tcPr>
          <w:p w14:paraId="346FD438" w14:textId="77777777" w:rsidR="006D3AD5" w:rsidRPr="0073014D" w:rsidRDefault="006D3AD5" w:rsidP="00443B8F">
            <w:pPr>
              <w:overflowPunct/>
              <w:autoSpaceDE/>
              <w:autoSpaceDN/>
              <w:adjustRightInd/>
              <w:jc w:val="left"/>
              <w:textAlignment w:val="auto"/>
              <w:rPr>
                <w:b/>
                <w:sz w:val="20"/>
                <w:szCs w:val="22"/>
              </w:rPr>
            </w:pPr>
            <w:r>
              <w:rPr>
                <w:b/>
                <w:sz w:val="20"/>
              </w:rPr>
              <w:t xml:space="preserve">                         310-420 </w:t>
            </w:r>
          </w:p>
        </w:tc>
      </w:tr>
      <w:tr w:rsidR="006D3AD5" w:rsidRPr="0073014D" w14:paraId="4D41C91E" w14:textId="77777777" w:rsidTr="00443B8F">
        <w:trPr>
          <w:trHeight w:val="315"/>
        </w:trPr>
        <w:tc>
          <w:tcPr>
            <w:tcW w:w="2860" w:type="dxa"/>
            <w:shd w:val="clear" w:color="auto" w:fill="FFFFFF"/>
            <w:noWrap/>
          </w:tcPr>
          <w:p w14:paraId="7C76E31A" w14:textId="77777777" w:rsidR="006D3AD5" w:rsidRPr="0073014D" w:rsidRDefault="006D3AD5" w:rsidP="00443B8F">
            <w:pPr>
              <w:overflowPunct/>
              <w:autoSpaceDE/>
              <w:autoSpaceDN/>
              <w:adjustRightInd/>
              <w:jc w:val="left"/>
              <w:textAlignment w:val="auto"/>
              <w:rPr>
                <w:b/>
                <w:sz w:val="20"/>
                <w:szCs w:val="22"/>
              </w:rPr>
            </w:pPr>
            <w:r>
              <w:rPr>
                <w:b/>
                <w:sz w:val="20"/>
              </w:rPr>
              <w:lastRenderedPageBreak/>
              <w:t xml:space="preserve"> Volume of investments </w:t>
            </w:r>
          </w:p>
        </w:tc>
        <w:tc>
          <w:tcPr>
            <w:tcW w:w="2130" w:type="dxa"/>
            <w:shd w:val="clear" w:color="auto" w:fill="FFFFFF"/>
            <w:noWrap/>
          </w:tcPr>
          <w:p w14:paraId="77F35647" w14:textId="77777777" w:rsidR="006D3AD5" w:rsidRPr="0073014D" w:rsidRDefault="006D3AD5" w:rsidP="00443B8F">
            <w:pPr>
              <w:keepNext/>
              <w:overflowPunct/>
              <w:autoSpaceDE/>
              <w:autoSpaceDN/>
              <w:adjustRightInd/>
              <w:jc w:val="left"/>
              <w:textAlignment w:val="auto"/>
              <w:rPr>
                <w:b/>
                <w:sz w:val="20"/>
                <w:szCs w:val="22"/>
              </w:rPr>
            </w:pPr>
            <w:r>
              <w:rPr>
                <w:b/>
                <w:sz w:val="20"/>
              </w:rPr>
              <w:t xml:space="preserve">      CZK 2,000-2,750 million   </w:t>
            </w:r>
          </w:p>
        </w:tc>
      </w:tr>
    </w:tbl>
    <w:p w14:paraId="6FCD7051" w14:textId="753C1770" w:rsidR="006D3AD5" w:rsidRPr="00685AEF" w:rsidRDefault="006D3AD5" w:rsidP="003D68AA">
      <w:pPr>
        <w:pStyle w:val="Titulek"/>
      </w:pPr>
      <w:r w:rsidRPr="00685AEF">
        <w:t xml:space="preserve">Table </w:t>
      </w:r>
      <w:r w:rsidR="00001EEF" w:rsidRPr="00685AEF">
        <w:t>66</w:t>
      </w:r>
      <w:r w:rsidRPr="00685AEF">
        <w:t xml:space="preserve">: Estimated absorption capacity SHPP </w:t>
      </w:r>
      <w:r w:rsidR="00685AEF">
        <w:t xml:space="preserve">SO </w:t>
      </w:r>
      <w:r w:rsidRPr="00685AEF">
        <w:t>3.1</w:t>
      </w:r>
    </w:p>
    <w:p w14:paraId="375ACD43" w14:textId="77777777" w:rsidR="006D3AD5" w:rsidRPr="0073014D" w:rsidRDefault="006D3AD5" w:rsidP="006D3AD5"/>
    <w:p w14:paraId="3181444E" w14:textId="77777777" w:rsidR="006D3AD5" w:rsidRPr="0073014D" w:rsidRDefault="006D3AD5" w:rsidP="006D3AD5">
      <w:pPr>
        <w:pStyle w:val="Nadpis4"/>
        <w:rPr>
          <w:rFonts w:ascii="Calibri" w:hAnsi="Calibri"/>
          <w:color w:val="000000"/>
        </w:rPr>
      </w:pPr>
      <w:bookmarkStart w:id="872" w:name="_Toc416800453"/>
      <w:r>
        <w:rPr>
          <w:rFonts w:ascii="Calibri" w:hAnsi="Calibri"/>
          <w:color w:val="000000"/>
        </w:rPr>
        <w:t>Identification of market failure and suboptimum investment situations</w:t>
      </w:r>
    </w:p>
    <w:p w14:paraId="47262A52" w14:textId="77777777" w:rsidR="006D3AD5" w:rsidRPr="0073014D" w:rsidRDefault="006D3AD5" w:rsidP="006D3AD5"/>
    <w:bookmarkEnd w:id="872"/>
    <w:p w14:paraId="1E32584B" w14:textId="77777777" w:rsidR="006D3AD5" w:rsidRPr="0073014D" w:rsidRDefault="006D3AD5" w:rsidP="006D3AD5">
      <w:r>
        <w:t>The most distinct problem for the investments in the monitored areas of biomass and SHPPs includes the long payback period and, except for SHPPs, also substantially high investment costs related to them. From such a point view, the monitored types of RES cannot compete under the market conditions with coal energy resources and, therefore, they draw the operational subsidy for electricity purchase (which was, however, stopped for new resources implemented after 2014, except for SHPPs).</w:t>
      </w:r>
    </w:p>
    <w:p w14:paraId="0C71FA2F" w14:textId="77777777" w:rsidR="006D3AD5" w:rsidRPr="0073014D" w:rsidRDefault="006D3AD5" w:rsidP="006D3AD5"/>
    <w:p w14:paraId="0B9794C0" w14:textId="70B78C25" w:rsidR="006D3AD5" w:rsidRPr="0073014D" w:rsidRDefault="006D3AD5" w:rsidP="006D3AD5">
      <w:r>
        <w:t xml:space="preserve">Nevertheless, the implementation of co-generation and heat utilisation for a local consumption by distant carrying off do not directly relate to the operational support. Therefore, the investments can be only motivated by market revenues in such an area and, a relatively long payback period and high cost can be, on the other hand, demotivating. Market failure is, in particular, related to a relative distance, which in many cases separates the production places from the nearest consumption centres. The investments in heat conduction are relatively high (see </w:t>
      </w:r>
      <w:r w:rsidR="00685AEF">
        <w:t xml:space="preserve">SO </w:t>
      </w:r>
      <w:r>
        <w:t>3.5), administratively complicated, costly and complicated also in terms of their securing and obtaining bank funds.</w:t>
      </w:r>
    </w:p>
    <w:p w14:paraId="51323BA7" w14:textId="77777777" w:rsidR="006D3AD5" w:rsidRPr="0073014D" w:rsidRDefault="006D3AD5" w:rsidP="006D3AD5"/>
    <w:p w14:paraId="0F274E76" w14:textId="77777777" w:rsidR="006D3AD5" w:rsidRPr="0073014D" w:rsidRDefault="006D3AD5" w:rsidP="006D3AD5">
      <w:r>
        <w:t>The activity of SHPPs typically only relates to electricity production, for which the support can be drawn also within new sources. Therefore, from this point of view, the investments in an increase of their effectiveness even without the investment support are more justifiable. Moreover, the projects of the reconstruction of SHPPs are rather of a minor character in terms of the required investment costs when compared to BGSs and biomass. Nevertheless, in spite of such advantages of SHPPs, the payback period is relatively long, which can be demotivating for furthter investments. In addition, the area faces the administrative burden and relatively uncertain legislative environment (in particular, in the questions of the next development of the support). Typical implementers can be various enterprises from amongst SMEs for which, also due to the reasons mentioned above, the access to external funding can be complicated and a barriers for them are also the initial costs of the project preparation.</w:t>
      </w:r>
    </w:p>
    <w:p w14:paraId="71F9C1B5" w14:textId="77777777" w:rsidR="006D3AD5" w:rsidRPr="0073014D" w:rsidRDefault="006D3AD5" w:rsidP="006D3AD5"/>
    <w:p w14:paraId="1589297A" w14:textId="77777777" w:rsidR="006D3AD5" w:rsidRPr="0073014D" w:rsidRDefault="006D3AD5" w:rsidP="006D3AD5">
      <w:pPr>
        <w:pStyle w:val="Nadpis4"/>
        <w:rPr>
          <w:rFonts w:ascii="Calibri" w:hAnsi="Calibri"/>
          <w:color w:val="000000"/>
        </w:rPr>
      </w:pPr>
      <w:bookmarkStart w:id="873" w:name="_Toc416383851"/>
      <w:bookmarkStart w:id="874" w:name="_Toc416447840"/>
      <w:bookmarkStart w:id="875" w:name="_Toc416383852"/>
      <w:bookmarkStart w:id="876" w:name="_Toc416447841"/>
      <w:bookmarkStart w:id="877" w:name="_Toc416800454"/>
      <w:bookmarkEnd w:id="873"/>
      <w:bookmarkEnd w:id="874"/>
      <w:bookmarkEnd w:id="875"/>
      <w:bookmarkEnd w:id="876"/>
      <w:r>
        <w:rPr>
          <w:rFonts w:ascii="Calibri" w:hAnsi="Calibri"/>
          <w:color w:val="000000"/>
        </w:rPr>
        <w:t>Proposed solution of identified market failures</w:t>
      </w:r>
    </w:p>
    <w:p w14:paraId="4A08F660" w14:textId="77777777" w:rsidR="006D3AD5" w:rsidRPr="0073014D" w:rsidRDefault="006D3AD5" w:rsidP="006D3AD5"/>
    <w:bookmarkEnd w:id="877"/>
    <w:p w14:paraId="54E09E89" w14:textId="77777777" w:rsidR="006D3AD5" w:rsidRPr="0073014D" w:rsidRDefault="006D3AD5" w:rsidP="006D3AD5">
      <w:r>
        <w:t xml:space="preserve">As per the market analysis of the sector of renewables (RES) and the evaluation of the questionnaire inquiry of potential investment projects in the monitored area, the specific objective </w:t>
      </w:r>
      <w:r>
        <w:rPr>
          <w:b/>
        </w:rPr>
        <w:t>3.1 - “Increase the share of energy production from renewables in the gross final consumption of the Czech Republic”</w:t>
      </w:r>
      <w:r>
        <w:t xml:space="preserve"> reports a partial potential for the employment of financial instruments. The major problem are costs of the modernisation of such facilities, which imply long payback period of target investments also in the cases of  operational support of the purchase of produced electricity, which these facilities are currently drawing. The results of the questionnaire inquiry show the fact that only 12% of the entities are willing to invest in RES without any form of public support.</w:t>
      </w:r>
    </w:p>
    <w:p w14:paraId="482EC98E" w14:textId="77777777" w:rsidR="006D3AD5" w:rsidRPr="0073014D" w:rsidRDefault="006D3AD5" w:rsidP="006D3AD5">
      <w:pPr>
        <w:pStyle w:val="BodyText1"/>
        <w:jc w:val="both"/>
        <w:rPr>
          <w:rFonts w:ascii="Calibri" w:hAnsi="Calibri"/>
        </w:rPr>
      </w:pPr>
    </w:p>
    <w:p w14:paraId="45F739FB" w14:textId="77777777" w:rsidR="006D3AD5" w:rsidRPr="0073014D" w:rsidRDefault="006D3AD5" w:rsidP="006D3AD5">
      <w:r>
        <w:t>In particular, in the case of carrying off the heat of BGSs and biomass, we have to consider high costs of reconstruction/ modernisation of the systems for supplying heat to close surroundings, where the investment return period can exceed market acceptability and criteria of granting a loan. As a result, in these activities, we propose to maintain primarily subsidy support.</w:t>
      </w:r>
    </w:p>
    <w:p w14:paraId="38783384" w14:textId="77777777" w:rsidR="006D3AD5" w:rsidRPr="0073014D" w:rsidRDefault="006D3AD5" w:rsidP="006D3AD5"/>
    <w:p w14:paraId="765D26EA" w14:textId="77777777" w:rsidR="006D3AD5" w:rsidRPr="0073014D" w:rsidRDefault="006D3AD5" w:rsidP="006D3AD5">
      <w:r>
        <w:t xml:space="preserve">A potential for the utilisation of soft loans can be seen in SHPPs, which will be able to draw operational support for the purchase of electricity also in the case of newly included resources. Nevertheless, also here, in many cases, it is more suitable to motivate a greater investment activity in the reconstruction </w:t>
      </w:r>
      <w:r>
        <w:lastRenderedPageBreak/>
        <w:t>of old resources, which is costly and can be problematic in terms of the return and obtaining funds.  A soft loan would make it easier to access funding and its price and, in such a way, it can be of assistance of a larger investment activity in this area. A complication in this respect can be a possibility of combing operational and investment support, which in the case of RES limits also the use of subsidies.</w:t>
      </w:r>
    </w:p>
    <w:p w14:paraId="6EAAE8A6" w14:textId="77777777" w:rsidR="006D3AD5" w:rsidRPr="0073014D" w:rsidRDefault="006D3AD5" w:rsidP="006D3AD5">
      <w:pPr>
        <w:pStyle w:val="Nadpis3"/>
        <w:rPr>
          <w:rFonts w:ascii="Calibri" w:hAnsi="Calibri"/>
          <w:color w:val="000000"/>
        </w:rPr>
      </w:pPr>
      <w:bookmarkStart w:id="878" w:name="_Toc416447843"/>
      <w:bookmarkStart w:id="879" w:name="_Toc416447844"/>
      <w:bookmarkStart w:id="880" w:name="_Toc416447845"/>
      <w:bookmarkStart w:id="881" w:name="_Toc416447846"/>
      <w:bookmarkStart w:id="882" w:name="_Toc416447847"/>
      <w:bookmarkStart w:id="883" w:name="_Toc416447848"/>
      <w:bookmarkStart w:id="884" w:name="_Toc416447849"/>
      <w:bookmarkStart w:id="885" w:name="_Toc416447850"/>
      <w:bookmarkStart w:id="886" w:name="_Toc416447851"/>
      <w:bookmarkStart w:id="887" w:name="_Toc416447853"/>
      <w:bookmarkStart w:id="888" w:name="_Toc416800455"/>
      <w:bookmarkStart w:id="889" w:name="_Toc422312120"/>
      <w:bookmarkEnd w:id="878"/>
      <w:bookmarkEnd w:id="879"/>
      <w:bookmarkEnd w:id="880"/>
      <w:bookmarkEnd w:id="881"/>
      <w:bookmarkEnd w:id="882"/>
      <w:bookmarkEnd w:id="883"/>
      <w:bookmarkEnd w:id="884"/>
      <w:bookmarkEnd w:id="885"/>
      <w:bookmarkEnd w:id="886"/>
      <w:bookmarkEnd w:id="887"/>
      <w:r>
        <w:rPr>
          <w:rFonts w:ascii="Calibri" w:hAnsi="Calibri"/>
          <w:color w:val="000000"/>
        </w:rPr>
        <w:t>Assessment of the added value of financial instruments</w:t>
      </w:r>
      <w:bookmarkEnd w:id="888"/>
      <w:bookmarkEnd w:id="889"/>
    </w:p>
    <w:p w14:paraId="2DAC1C12" w14:textId="77777777" w:rsidR="006D3AD5" w:rsidRPr="0073014D" w:rsidRDefault="006D3AD5" w:rsidP="006D3AD5">
      <w:pPr>
        <w:pStyle w:val="Nadpis4"/>
        <w:rPr>
          <w:rFonts w:ascii="Calibri" w:hAnsi="Calibri"/>
          <w:color w:val="000000"/>
        </w:rPr>
      </w:pPr>
      <w:r>
        <w:rPr>
          <w:rFonts w:ascii="Calibri" w:hAnsi="Calibri"/>
          <w:color w:val="000000"/>
        </w:rPr>
        <w:t>Presentation of standard projects</w:t>
      </w:r>
    </w:p>
    <w:p w14:paraId="3EBDAA71" w14:textId="2592F26C" w:rsidR="006D3AD5" w:rsidRPr="0073014D" w:rsidRDefault="006D3AD5" w:rsidP="006D3AD5">
      <w:r>
        <w:t>A standard project for FI in </w:t>
      </w:r>
      <w:r w:rsidR="00685AEF">
        <w:t xml:space="preserve">SO </w:t>
      </w:r>
      <w:r>
        <w:t>3.1 is the supported project of SHPP from OPEI. The applicant was a small enterprise operating in waste industry. In the monitored sector, a material intention of the project included the construction of a SHPP with installed capacity of 80KW and annual production of 300MWh instead of the not implemented project of a SHPP, which commenced 20 years ago, but was not completed. The total investment costs of the project amounted to CZK 6.5million,  in which CZK 2.5 million included the calculated construction costs and the remaining sum was intended for the purchase of technologies. Therefore, in the category of SHPPs, it was a minor project, the average production of a SHPP in CZ is ca. 900MWh annually.</w:t>
      </w:r>
    </w:p>
    <w:p w14:paraId="0D408AF8" w14:textId="77777777" w:rsidR="006D3AD5" w:rsidRPr="0073014D" w:rsidRDefault="006D3AD5" w:rsidP="006D3AD5"/>
    <w:p w14:paraId="001FFE60" w14:textId="77777777" w:rsidR="006D67F1" w:rsidRPr="002C224A" w:rsidRDefault="006D3AD5" w:rsidP="006D3AD5">
      <w:r>
        <w:t>Within the analysis of a potential impact of public subsidy on the economic balance of the investment project, a variation analysis was prepared, which maps the impacts that can be monitored in the case of the option without public support, subsidy option, option of a soft loan and the option of a soft loan with a subsidy component.</w:t>
      </w:r>
    </w:p>
    <w:p w14:paraId="666E57C7" w14:textId="77777777" w:rsidR="00737C66" w:rsidRPr="002C224A" w:rsidRDefault="00737C66" w:rsidP="006537E2"/>
    <w:p w14:paraId="14D7D520" w14:textId="2C137358" w:rsidR="00001EEF" w:rsidRPr="00874BFF" w:rsidRDefault="006D3AD5" w:rsidP="00001EEF">
      <w:pPr>
        <w:pStyle w:val="Titulek"/>
        <w:jc w:val="left"/>
        <w:rPr>
          <w:highlight w:val="yellow"/>
        </w:rPr>
      </w:pPr>
      <w:r w:rsidRPr="006D3AD5">
        <w:rPr>
          <w:lang w:val="en-GB"/>
        </w:rPr>
        <w:t xml:space="preserve">Table </w:t>
      </w:r>
      <w:r w:rsidR="00001EEF">
        <w:rPr>
          <w:lang w:val="en-GB"/>
        </w:rPr>
        <w:t>67</w:t>
      </w:r>
      <w:r w:rsidR="00737C66" w:rsidRPr="002C224A">
        <w:t xml:space="preserve">: </w:t>
      </w:r>
      <w:r w:rsidR="00001EEF" w:rsidRPr="00874BFF">
        <w:t>Impact of the support on the project economy</w:t>
      </w:r>
    </w:p>
    <w:tbl>
      <w:tblPr>
        <w:tblW w:w="8914" w:type="dxa"/>
        <w:tblInd w:w="55" w:type="dxa"/>
        <w:tblCellMar>
          <w:left w:w="0" w:type="dxa"/>
          <w:right w:w="0" w:type="dxa"/>
        </w:tblCellMar>
        <w:tblLook w:val="00A0" w:firstRow="1" w:lastRow="0" w:firstColumn="1" w:lastColumn="0" w:noHBand="0" w:noVBand="0"/>
      </w:tblPr>
      <w:tblGrid>
        <w:gridCol w:w="2388"/>
        <w:gridCol w:w="1570"/>
        <w:gridCol w:w="1562"/>
        <w:gridCol w:w="1732"/>
        <w:gridCol w:w="1710"/>
      </w:tblGrid>
      <w:tr w:rsidR="006D3AD5" w:rsidRPr="0073014D" w14:paraId="50766063" w14:textId="77777777" w:rsidTr="00443B8F">
        <w:trPr>
          <w:trHeight w:val="20"/>
        </w:trPr>
        <w:tc>
          <w:tcPr>
            <w:tcW w:w="2380" w:type="dxa"/>
            <w:tcBorders>
              <w:top w:val="single" w:sz="4" w:space="0" w:color="002776"/>
              <w:left w:val="single" w:sz="4" w:space="0" w:color="002776"/>
              <w:bottom w:val="nil"/>
              <w:right w:val="nil"/>
            </w:tcBorders>
            <w:shd w:val="clear" w:color="000000" w:fill="002776"/>
            <w:noWrap/>
            <w:vAlign w:val="center"/>
          </w:tcPr>
          <w:p w14:paraId="1F085499" w14:textId="013CC80C" w:rsidR="006D3AD5" w:rsidRPr="0073014D" w:rsidRDefault="006D3AD5" w:rsidP="00443B8F">
            <w:pPr>
              <w:keepNext/>
              <w:keepLines/>
              <w:jc w:val="center"/>
              <w:rPr>
                <w:b/>
                <w:bCs/>
                <w:szCs w:val="18"/>
              </w:rPr>
            </w:pPr>
          </w:p>
        </w:tc>
        <w:tc>
          <w:tcPr>
            <w:tcW w:w="1554" w:type="dxa"/>
            <w:tcBorders>
              <w:top w:val="single" w:sz="4" w:space="0" w:color="002776"/>
              <w:left w:val="nil"/>
              <w:bottom w:val="single" w:sz="4" w:space="0" w:color="FFFFFF"/>
              <w:right w:val="nil"/>
            </w:tcBorders>
            <w:shd w:val="clear" w:color="000000" w:fill="002776"/>
            <w:noWrap/>
            <w:vAlign w:val="bottom"/>
          </w:tcPr>
          <w:p w14:paraId="1DA22429" w14:textId="77777777" w:rsidR="006D3AD5" w:rsidRPr="0073014D" w:rsidRDefault="006D3AD5" w:rsidP="00443B8F">
            <w:pPr>
              <w:keepNext/>
              <w:keepLines/>
              <w:rPr>
                <w:b/>
                <w:bCs/>
                <w:szCs w:val="18"/>
              </w:rPr>
            </w:pPr>
            <w:r>
              <w:rPr>
                <w:b/>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14:paraId="705203AC" w14:textId="77777777" w:rsidR="006D3AD5" w:rsidRPr="0073014D" w:rsidRDefault="006D3AD5" w:rsidP="00443B8F">
            <w:pPr>
              <w:keepNext/>
              <w:keepLines/>
              <w:rPr>
                <w:b/>
                <w:bCs/>
                <w:szCs w:val="18"/>
              </w:rPr>
            </w:pPr>
            <w:r>
              <w:rPr>
                <w:b/>
              </w:rPr>
              <w:t> </w:t>
            </w:r>
          </w:p>
          <w:p w14:paraId="1563C1F7" w14:textId="77777777" w:rsidR="006D3AD5" w:rsidRPr="0073014D" w:rsidRDefault="006D3AD5" w:rsidP="00443B8F">
            <w:pPr>
              <w:keepNext/>
              <w:keepLines/>
              <w:jc w:val="right"/>
              <w:rPr>
                <w:b/>
                <w:bCs/>
                <w:i/>
                <w:iCs/>
                <w:szCs w:val="18"/>
              </w:rPr>
            </w:pPr>
            <w:r>
              <w:rPr>
                <w:b/>
                <w:i/>
              </w:rPr>
              <w:t xml:space="preserve">Investments: CZK 6,500 000 </w:t>
            </w:r>
            <w:r>
              <w:br/>
            </w:r>
            <w:r>
              <w:rPr>
                <w:b/>
                <w:i/>
              </w:rPr>
              <w:t>Annual operating income/:</w:t>
            </w:r>
            <w:r>
              <w:t>saving</w:t>
            </w:r>
            <w:r>
              <w:rPr>
                <w:b/>
                <w:i/>
              </w:rPr>
              <w:t xml:space="preserve"> CZK 773,000 </w:t>
            </w:r>
            <w:r>
              <w:br/>
            </w:r>
            <w:r>
              <w:rPr>
                <w:b/>
                <w:i/>
              </w:rPr>
              <w:t xml:space="preserve">Commercial loan – interest rate: 4.0 % </w:t>
            </w:r>
          </w:p>
          <w:p w14:paraId="2F14EA89" w14:textId="77777777" w:rsidR="006D3AD5" w:rsidRPr="0073014D" w:rsidRDefault="006D3AD5" w:rsidP="00443B8F">
            <w:pPr>
              <w:keepNext/>
              <w:keepLines/>
              <w:jc w:val="right"/>
              <w:rPr>
                <w:b/>
                <w:bCs/>
                <w:i/>
                <w:iCs/>
                <w:szCs w:val="18"/>
              </w:rPr>
            </w:pPr>
            <w:r>
              <w:rPr>
                <w:b/>
                <w:i/>
              </w:rPr>
              <w:t xml:space="preserve">Soft loan: interest rate: 1.0 %  </w:t>
            </w:r>
          </w:p>
        </w:tc>
      </w:tr>
      <w:tr w:rsidR="006D3AD5" w:rsidRPr="0073014D" w14:paraId="1BE13BD7" w14:textId="77777777" w:rsidTr="00443B8F">
        <w:trPr>
          <w:trHeight w:val="20"/>
        </w:trPr>
        <w:tc>
          <w:tcPr>
            <w:tcW w:w="2380" w:type="dxa"/>
            <w:tcBorders>
              <w:top w:val="nil"/>
              <w:left w:val="single" w:sz="4" w:space="0" w:color="002776"/>
              <w:bottom w:val="single" w:sz="4" w:space="0" w:color="002776"/>
              <w:right w:val="nil"/>
            </w:tcBorders>
            <w:shd w:val="clear" w:color="000000" w:fill="002776"/>
            <w:noWrap/>
            <w:vAlign w:val="center"/>
          </w:tcPr>
          <w:p w14:paraId="685C8EE7" w14:textId="77777777" w:rsidR="006D3AD5" w:rsidRPr="0073014D" w:rsidRDefault="006D3AD5" w:rsidP="00443B8F">
            <w:pPr>
              <w:keepNext/>
              <w:keepLines/>
              <w:rPr>
                <w:b/>
                <w:bCs/>
                <w:szCs w:val="18"/>
              </w:rPr>
            </w:pPr>
            <w:r>
              <w:rPr>
                <w:b/>
              </w:rPr>
              <w:t> </w:t>
            </w:r>
          </w:p>
        </w:tc>
        <w:tc>
          <w:tcPr>
            <w:tcW w:w="1554" w:type="dxa"/>
            <w:tcBorders>
              <w:top w:val="single" w:sz="4" w:space="0" w:color="FFFFFF"/>
              <w:left w:val="nil"/>
              <w:bottom w:val="single" w:sz="4" w:space="0" w:color="002776"/>
              <w:right w:val="nil"/>
            </w:tcBorders>
            <w:shd w:val="clear" w:color="000000" w:fill="002776"/>
            <w:noWrap/>
            <w:vAlign w:val="center"/>
          </w:tcPr>
          <w:p w14:paraId="41E3250F" w14:textId="77777777" w:rsidR="006D3AD5" w:rsidRPr="0073014D" w:rsidRDefault="006D3AD5" w:rsidP="00443B8F">
            <w:pPr>
              <w:keepNext/>
              <w:keepLines/>
              <w:jc w:val="center"/>
              <w:rPr>
                <w:b/>
                <w:bCs/>
                <w:szCs w:val="18"/>
              </w:rPr>
            </w:pPr>
            <w:r>
              <w:rPr>
                <w:b/>
              </w:rPr>
              <w:t>100% market loan</w:t>
            </w:r>
          </w:p>
        </w:tc>
        <w:tc>
          <w:tcPr>
            <w:tcW w:w="1554" w:type="dxa"/>
            <w:tcBorders>
              <w:top w:val="single" w:sz="4" w:space="0" w:color="FFFFFF"/>
              <w:left w:val="nil"/>
              <w:bottom w:val="single" w:sz="4" w:space="0" w:color="002776"/>
              <w:right w:val="nil"/>
            </w:tcBorders>
            <w:shd w:val="clear" w:color="000000" w:fill="002776"/>
            <w:vAlign w:val="center"/>
          </w:tcPr>
          <w:p w14:paraId="421194EE" w14:textId="77777777" w:rsidR="006D3AD5" w:rsidRPr="0073014D" w:rsidRDefault="006D3AD5" w:rsidP="00443B8F">
            <w:pPr>
              <w:keepNext/>
              <w:keepLines/>
              <w:jc w:val="center"/>
              <w:rPr>
                <w:b/>
                <w:bCs/>
                <w:szCs w:val="18"/>
              </w:rPr>
            </w:pPr>
            <w:r>
              <w:rPr>
                <w:b/>
              </w:rPr>
              <w:t>50% market loan, 50% subsidy</w:t>
            </w:r>
          </w:p>
        </w:tc>
        <w:tc>
          <w:tcPr>
            <w:tcW w:w="1724" w:type="dxa"/>
            <w:tcBorders>
              <w:top w:val="single" w:sz="4" w:space="0" w:color="FFFFFF"/>
              <w:left w:val="nil"/>
              <w:bottom w:val="single" w:sz="4" w:space="0" w:color="002776"/>
              <w:right w:val="nil"/>
            </w:tcBorders>
            <w:shd w:val="clear" w:color="000000" w:fill="002776"/>
            <w:vAlign w:val="center"/>
          </w:tcPr>
          <w:p w14:paraId="378B3831" w14:textId="77777777" w:rsidR="006D3AD5" w:rsidRPr="0073014D" w:rsidRDefault="006D3AD5" w:rsidP="00443B8F">
            <w:pPr>
              <w:keepNext/>
              <w:keepLines/>
              <w:jc w:val="center"/>
              <w:rPr>
                <w:b/>
                <w:bCs/>
                <w:szCs w:val="18"/>
              </w:rPr>
            </w:pPr>
            <w:r>
              <w:rPr>
                <w:b/>
              </w:rPr>
              <w:t>20% subsidy, 80% soft loan</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14:paraId="72F77F72" w14:textId="77777777" w:rsidR="006D3AD5" w:rsidRPr="0073014D" w:rsidRDefault="006D3AD5" w:rsidP="00443B8F">
            <w:pPr>
              <w:keepNext/>
              <w:keepLines/>
              <w:jc w:val="center"/>
              <w:rPr>
                <w:b/>
                <w:bCs/>
                <w:szCs w:val="18"/>
              </w:rPr>
            </w:pPr>
            <w:r>
              <w:rPr>
                <w:b/>
              </w:rPr>
              <w:t>100%  soft loan</w:t>
            </w:r>
          </w:p>
        </w:tc>
      </w:tr>
      <w:tr w:rsidR="006D3AD5" w:rsidRPr="0073014D" w14:paraId="7230BC21" w14:textId="77777777" w:rsidTr="00443B8F">
        <w:trPr>
          <w:trHeight w:val="20"/>
        </w:trPr>
        <w:tc>
          <w:tcPr>
            <w:tcW w:w="2380" w:type="dxa"/>
            <w:tcBorders>
              <w:top w:val="nil"/>
              <w:left w:val="single" w:sz="4" w:space="0" w:color="002776"/>
              <w:bottom w:val="single" w:sz="4" w:space="0" w:color="002776"/>
              <w:right w:val="nil"/>
            </w:tcBorders>
            <w:noWrap/>
            <w:vAlign w:val="center"/>
          </w:tcPr>
          <w:p w14:paraId="2AC171A9" w14:textId="77777777" w:rsidR="006D3AD5" w:rsidRPr="0073014D" w:rsidRDefault="006D3AD5" w:rsidP="00443B8F">
            <w:pPr>
              <w:keepNext/>
              <w:keepLines/>
              <w:rPr>
                <w:szCs w:val="18"/>
              </w:rPr>
            </w:pPr>
            <w:r>
              <w:t xml:space="preserve">Internal rate of return (IRR) </w:t>
            </w:r>
          </w:p>
        </w:tc>
        <w:tc>
          <w:tcPr>
            <w:tcW w:w="1554" w:type="dxa"/>
            <w:tcBorders>
              <w:top w:val="nil"/>
              <w:left w:val="nil"/>
              <w:bottom w:val="single" w:sz="4" w:space="0" w:color="002776"/>
              <w:right w:val="nil"/>
            </w:tcBorders>
            <w:noWrap/>
            <w:vAlign w:val="center"/>
          </w:tcPr>
          <w:p w14:paraId="5A322FF8" w14:textId="77777777" w:rsidR="006D3AD5" w:rsidRPr="0073014D" w:rsidRDefault="006D3AD5" w:rsidP="00443B8F">
            <w:pPr>
              <w:keepNext/>
              <w:keepLines/>
              <w:jc w:val="center"/>
              <w:rPr>
                <w:szCs w:val="18"/>
              </w:rPr>
            </w:pPr>
            <w:r>
              <w:t>9.9%</w:t>
            </w:r>
          </w:p>
        </w:tc>
        <w:tc>
          <w:tcPr>
            <w:tcW w:w="1554" w:type="dxa"/>
            <w:tcBorders>
              <w:top w:val="nil"/>
              <w:left w:val="nil"/>
              <w:bottom w:val="single" w:sz="4" w:space="0" w:color="002776"/>
              <w:right w:val="nil"/>
            </w:tcBorders>
            <w:noWrap/>
            <w:vAlign w:val="center"/>
          </w:tcPr>
          <w:p w14:paraId="52671330" w14:textId="77777777" w:rsidR="006D3AD5" w:rsidRPr="0073014D" w:rsidRDefault="006D3AD5" w:rsidP="00443B8F">
            <w:pPr>
              <w:keepNext/>
              <w:keepLines/>
              <w:jc w:val="center"/>
              <w:rPr>
                <w:szCs w:val="18"/>
              </w:rPr>
            </w:pPr>
            <w:r>
              <w:t>23.3%</w:t>
            </w:r>
          </w:p>
        </w:tc>
        <w:tc>
          <w:tcPr>
            <w:tcW w:w="1724" w:type="dxa"/>
            <w:tcBorders>
              <w:top w:val="nil"/>
              <w:left w:val="nil"/>
              <w:bottom w:val="single" w:sz="4" w:space="0" w:color="002776"/>
              <w:right w:val="nil"/>
            </w:tcBorders>
            <w:noWrap/>
            <w:vAlign w:val="center"/>
          </w:tcPr>
          <w:p w14:paraId="5757E6F6" w14:textId="77777777" w:rsidR="006D3AD5" w:rsidRPr="0073014D" w:rsidRDefault="006D3AD5" w:rsidP="00443B8F">
            <w:pPr>
              <w:keepNext/>
              <w:keepLines/>
              <w:jc w:val="center"/>
              <w:rPr>
                <w:szCs w:val="18"/>
              </w:rPr>
            </w:pPr>
            <w:r>
              <w:t>13.5%</w:t>
            </w:r>
          </w:p>
        </w:tc>
        <w:tc>
          <w:tcPr>
            <w:tcW w:w="1702" w:type="dxa"/>
            <w:tcBorders>
              <w:top w:val="nil"/>
              <w:left w:val="nil"/>
              <w:bottom w:val="single" w:sz="4" w:space="0" w:color="002776"/>
              <w:right w:val="single" w:sz="4" w:space="0" w:color="002776"/>
            </w:tcBorders>
            <w:noWrap/>
            <w:vAlign w:val="center"/>
          </w:tcPr>
          <w:p w14:paraId="624452FE" w14:textId="77777777" w:rsidR="006D3AD5" w:rsidRPr="0073014D" w:rsidRDefault="006D3AD5" w:rsidP="00443B8F">
            <w:pPr>
              <w:keepNext/>
              <w:keepLines/>
              <w:jc w:val="center"/>
              <w:rPr>
                <w:szCs w:val="18"/>
              </w:rPr>
            </w:pPr>
            <w:r>
              <w:t>9.9%</w:t>
            </w:r>
          </w:p>
        </w:tc>
      </w:tr>
      <w:tr w:rsidR="006D3AD5" w:rsidRPr="0073014D" w14:paraId="0C4A5720" w14:textId="77777777" w:rsidTr="00443B8F">
        <w:trPr>
          <w:trHeight w:val="20"/>
        </w:trPr>
        <w:tc>
          <w:tcPr>
            <w:tcW w:w="2380" w:type="dxa"/>
            <w:tcBorders>
              <w:top w:val="nil"/>
              <w:left w:val="single" w:sz="4" w:space="0" w:color="002776"/>
              <w:bottom w:val="single" w:sz="4" w:space="0" w:color="002776"/>
              <w:right w:val="nil"/>
            </w:tcBorders>
            <w:noWrap/>
            <w:vAlign w:val="center"/>
          </w:tcPr>
          <w:p w14:paraId="52AE205E" w14:textId="77777777" w:rsidR="006D3AD5" w:rsidRPr="0073014D" w:rsidRDefault="006D3AD5" w:rsidP="00443B8F">
            <w:pPr>
              <w:keepNext/>
              <w:keepLines/>
              <w:rPr>
                <w:szCs w:val="18"/>
              </w:rPr>
            </w:pPr>
            <w:r>
              <w:t>Net present value (NPV in CZK)</w:t>
            </w:r>
          </w:p>
        </w:tc>
        <w:tc>
          <w:tcPr>
            <w:tcW w:w="1554" w:type="dxa"/>
            <w:tcBorders>
              <w:top w:val="nil"/>
              <w:left w:val="nil"/>
              <w:bottom w:val="single" w:sz="4" w:space="0" w:color="002776"/>
              <w:right w:val="nil"/>
            </w:tcBorders>
            <w:noWrap/>
            <w:vAlign w:val="center"/>
          </w:tcPr>
          <w:p w14:paraId="7D1CA304" w14:textId="77777777" w:rsidR="006D3AD5" w:rsidRPr="0073014D" w:rsidRDefault="006D3AD5" w:rsidP="00443B8F">
            <w:pPr>
              <w:keepNext/>
              <w:keepLines/>
              <w:jc w:val="center"/>
              <w:rPr>
                <w:szCs w:val="18"/>
              </w:rPr>
            </w:pPr>
            <w:r>
              <w:t>3,512,053</w:t>
            </w:r>
          </w:p>
        </w:tc>
        <w:tc>
          <w:tcPr>
            <w:tcW w:w="1554" w:type="dxa"/>
            <w:tcBorders>
              <w:top w:val="nil"/>
              <w:left w:val="nil"/>
              <w:bottom w:val="single" w:sz="4" w:space="0" w:color="002776"/>
              <w:right w:val="nil"/>
            </w:tcBorders>
            <w:noWrap/>
            <w:vAlign w:val="center"/>
          </w:tcPr>
          <w:p w14:paraId="4EA6CDBC" w14:textId="77777777" w:rsidR="006D3AD5" w:rsidRPr="0073014D" w:rsidRDefault="006D3AD5" w:rsidP="00443B8F">
            <w:pPr>
              <w:keepNext/>
              <w:keepLines/>
              <w:jc w:val="center"/>
              <w:rPr>
                <w:szCs w:val="18"/>
              </w:rPr>
            </w:pPr>
            <w:r>
              <w:t>6,637,053</w:t>
            </w:r>
          </w:p>
        </w:tc>
        <w:tc>
          <w:tcPr>
            <w:tcW w:w="1724" w:type="dxa"/>
            <w:tcBorders>
              <w:top w:val="nil"/>
              <w:left w:val="nil"/>
              <w:bottom w:val="single" w:sz="4" w:space="0" w:color="002776"/>
              <w:right w:val="nil"/>
            </w:tcBorders>
            <w:noWrap/>
            <w:vAlign w:val="center"/>
          </w:tcPr>
          <w:p w14:paraId="702F73BF" w14:textId="77777777" w:rsidR="006D3AD5" w:rsidRPr="0073014D" w:rsidRDefault="006D3AD5" w:rsidP="00443B8F">
            <w:pPr>
              <w:keepNext/>
              <w:keepLines/>
              <w:jc w:val="center"/>
              <w:rPr>
                <w:szCs w:val="18"/>
              </w:rPr>
            </w:pPr>
            <w:r>
              <w:t>8,035,351</w:t>
            </w:r>
          </w:p>
        </w:tc>
        <w:tc>
          <w:tcPr>
            <w:tcW w:w="1702" w:type="dxa"/>
            <w:tcBorders>
              <w:top w:val="nil"/>
              <w:left w:val="nil"/>
              <w:bottom w:val="single" w:sz="4" w:space="0" w:color="002776"/>
              <w:right w:val="single" w:sz="4" w:space="0" w:color="002776"/>
            </w:tcBorders>
            <w:noWrap/>
            <w:vAlign w:val="center"/>
          </w:tcPr>
          <w:p w14:paraId="6778470B" w14:textId="77777777" w:rsidR="006D3AD5" w:rsidRPr="0073014D" w:rsidRDefault="006D3AD5" w:rsidP="00443B8F">
            <w:pPr>
              <w:keepNext/>
              <w:keepLines/>
              <w:jc w:val="center"/>
              <w:rPr>
                <w:szCs w:val="18"/>
              </w:rPr>
            </w:pPr>
            <w:r>
              <w:t>6,748,222</w:t>
            </w:r>
          </w:p>
        </w:tc>
      </w:tr>
      <w:tr w:rsidR="006D3AD5" w:rsidRPr="0073014D" w14:paraId="7E5E3058" w14:textId="77777777" w:rsidTr="00443B8F">
        <w:trPr>
          <w:trHeight w:val="20"/>
        </w:trPr>
        <w:tc>
          <w:tcPr>
            <w:tcW w:w="2380" w:type="dxa"/>
            <w:tcBorders>
              <w:top w:val="nil"/>
              <w:left w:val="single" w:sz="4" w:space="0" w:color="002776"/>
              <w:bottom w:val="single" w:sz="4" w:space="0" w:color="002776"/>
              <w:right w:val="nil"/>
            </w:tcBorders>
            <w:noWrap/>
            <w:vAlign w:val="center"/>
          </w:tcPr>
          <w:p w14:paraId="1AFD3035" w14:textId="77777777" w:rsidR="006D3AD5" w:rsidRPr="0073014D" w:rsidRDefault="006D3AD5" w:rsidP="00443B8F">
            <w:pPr>
              <w:keepNext/>
              <w:keepLines/>
              <w:rPr>
                <w:szCs w:val="18"/>
              </w:rPr>
            </w:pPr>
            <w:r>
              <w:t>Simple payback period (years)</w:t>
            </w:r>
          </w:p>
        </w:tc>
        <w:tc>
          <w:tcPr>
            <w:tcW w:w="1554" w:type="dxa"/>
            <w:tcBorders>
              <w:top w:val="nil"/>
              <w:left w:val="nil"/>
              <w:bottom w:val="single" w:sz="4" w:space="0" w:color="002776"/>
              <w:right w:val="nil"/>
            </w:tcBorders>
            <w:noWrap/>
            <w:vAlign w:val="center"/>
          </w:tcPr>
          <w:p w14:paraId="7E2F22F6" w14:textId="77777777" w:rsidR="006D3AD5" w:rsidRPr="0073014D" w:rsidRDefault="006D3AD5" w:rsidP="00443B8F">
            <w:pPr>
              <w:keepNext/>
              <w:keepLines/>
              <w:jc w:val="center"/>
              <w:rPr>
                <w:szCs w:val="18"/>
              </w:rPr>
            </w:pPr>
            <w:r>
              <w:t>8.4</w:t>
            </w:r>
          </w:p>
        </w:tc>
        <w:tc>
          <w:tcPr>
            <w:tcW w:w="1554" w:type="dxa"/>
            <w:tcBorders>
              <w:top w:val="nil"/>
              <w:left w:val="nil"/>
              <w:bottom w:val="single" w:sz="4" w:space="0" w:color="002776"/>
              <w:right w:val="nil"/>
            </w:tcBorders>
            <w:noWrap/>
            <w:vAlign w:val="center"/>
          </w:tcPr>
          <w:p w14:paraId="715D4308" w14:textId="77777777" w:rsidR="006D3AD5" w:rsidRPr="0073014D" w:rsidRDefault="006D3AD5" w:rsidP="00443B8F">
            <w:pPr>
              <w:keepNext/>
              <w:keepLines/>
              <w:jc w:val="center"/>
              <w:rPr>
                <w:szCs w:val="18"/>
              </w:rPr>
            </w:pPr>
            <w:r>
              <w:t>4.2</w:t>
            </w:r>
          </w:p>
        </w:tc>
        <w:tc>
          <w:tcPr>
            <w:tcW w:w="1724" w:type="dxa"/>
            <w:tcBorders>
              <w:top w:val="nil"/>
              <w:left w:val="nil"/>
              <w:bottom w:val="single" w:sz="4" w:space="0" w:color="002776"/>
              <w:right w:val="nil"/>
            </w:tcBorders>
            <w:noWrap/>
            <w:vAlign w:val="center"/>
          </w:tcPr>
          <w:p w14:paraId="21E179ED" w14:textId="77777777" w:rsidR="006D3AD5" w:rsidRPr="0073014D" w:rsidRDefault="006D3AD5" w:rsidP="00443B8F">
            <w:pPr>
              <w:keepNext/>
              <w:keepLines/>
              <w:jc w:val="center"/>
              <w:rPr>
                <w:szCs w:val="18"/>
              </w:rPr>
            </w:pPr>
            <w:r>
              <w:t>6.7</w:t>
            </w:r>
          </w:p>
        </w:tc>
        <w:tc>
          <w:tcPr>
            <w:tcW w:w="1702" w:type="dxa"/>
            <w:tcBorders>
              <w:top w:val="nil"/>
              <w:left w:val="nil"/>
              <w:bottom w:val="single" w:sz="4" w:space="0" w:color="002776"/>
              <w:right w:val="single" w:sz="4" w:space="0" w:color="002776"/>
            </w:tcBorders>
            <w:noWrap/>
            <w:vAlign w:val="center"/>
          </w:tcPr>
          <w:p w14:paraId="620F41DA" w14:textId="77777777" w:rsidR="006D3AD5" w:rsidRPr="0073014D" w:rsidRDefault="006D3AD5" w:rsidP="00443B8F">
            <w:pPr>
              <w:keepNext/>
              <w:keepLines/>
              <w:jc w:val="center"/>
              <w:rPr>
                <w:szCs w:val="18"/>
              </w:rPr>
            </w:pPr>
            <w:r>
              <w:t>8.4</w:t>
            </w:r>
          </w:p>
        </w:tc>
      </w:tr>
      <w:tr w:rsidR="006D3AD5" w:rsidRPr="0073014D" w14:paraId="37C13033" w14:textId="77777777" w:rsidTr="00443B8F">
        <w:trPr>
          <w:trHeight w:val="20"/>
        </w:trPr>
        <w:tc>
          <w:tcPr>
            <w:tcW w:w="2380" w:type="dxa"/>
            <w:tcBorders>
              <w:top w:val="nil"/>
              <w:left w:val="single" w:sz="4" w:space="0" w:color="002776"/>
              <w:bottom w:val="single" w:sz="4" w:space="0" w:color="002776"/>
              <w:right w:val="nil"/>
            </w:tcBorders>
            <w:noWrap/>
            <w:vAlign w:val="center"/>
          </w:tcPr>
          <w:p w14:paraId="7E718C3D" w14:textId="77777777" w:rsidR="006D3AD5" w:rsidRPr="0073014D" w:rsidRDefault="006D3AD5" w:rsidP="00443B8F">
            <w:pPr>
              <w:keepNext/>
              <w:keepLines/>
              <w:rPr>
                <w:szCs w:val="18"/>
              </w:rPr>
            </w:pPr>
            <w:r>
              <w:t>Discounted payback period (years)</w:t>
            </w:r>
          </w:p>
        </w:tc>
        <w:tc>
          <w:tcPr>
            <w:tcW w:w="1554" w:type="dxa"/>
            <w:tcBorders>
              <w:top w:val="nil"/>
              <w:left w:val="nil"/>
              <w:bottom w:val="single" w:sz="4" w:space="0" w:color="002776"/>
              <w:right w:val="nil"/>
            </w:tcBorders>
            <w:noWrap/>
            <w:vAlign w:val="center"/>
          </w:tcPr>
          <w:p w14:paraId="651DEC21" w14:textId="77777777" w:rsidR="006D3AD5" w:rsidRPr="0073014D" w:rsidRDefault="006D3AD5" w:rsidP="00443B8F">
            <w:pPr>
              <w:keepNext/>
              <w:keepLines/>
              <w:jc w:val="center"/>
              <w:rPr>
                <w:szCs w:val="18"/>
              </w:rPr>
            </w:pPr>
            <w:r>
              <w:t>11.5</w:t>
            </w:r>
          </w:p>
        </w:tc>
        <w:tc>
          <w:tcPr>
            <w:tcW w:w="1554" w:type="dxa"/>
            <w:tcBorders>
              <w:top w:val="nil"/>
              <w:left w:val="nil"/>
              <w:bottom w:val="single" w:sz="4" w:space="0" w:color="002776"/>
              <w:right w:val="nil"/>
            </w:tcBorders>
            <w:noWrap/>
            <w:vAlign w:val="center"/>
          </w:tcPr>
          <w:p w14:paraId="47F8A473" w14:textId="77777777" w:rsidR="006D3AD5" w:rsidRPr="0073014D" w:rsidRDefault="006D3AD5" w:rsidP="00443B8F">
            <w:pPr>
              <w:keepNext/>
              <w:keepLines/>
              <w:jc w:val="center"/>
              <w:rPr>
                <w:szCs w:val="18"/>
              </w:rPr>
            </w:pPr>
            <w:r>
              <w:t>5.7</w:t>
            </w:r>
          </w:p>
        </w:tc>
        <w:tc>
          <w:tcPr>
            <w:tcW w:w="1724" w:type="dxa"/>
            <w:tcBorders>
              <w:top w:val="nil"/>
              <w:left w:val="nil"/>
              <w:bottom w:val="single" w:sz="4" w:space="0" w:color="002776"/>
              <w:right w:val="nil"/>
            </w:tcBorders>
            <w:noWrap/>
            <w:vAlign w:val="center"/>
          </w:tcPr>
          <w:p w14:paraId="28C9B049" w14:textId="77777777" w:rsidR="006D3AD5" w:rsidRPr="0073014D" w:rsidRDefault="006D3AD5" w:rsidP="00443B8F">
            <w:pPr>
              <w:keepNext/>
              <w:keepLines/>
              <w:jc w:val="center"/>
              <w:rPr>
                <w:szCs w:val="18"/>
              </w:rPr>
            </w:pPr>
            <w:r>
              <w:t>8.0</w:t>
            </w:r>
          </w:p>
        </w:tc>
        <w:tc>
          <w:tcPr>
            <w:tcW w:w="1702" w:type="dxa"/>
            <w:tcBorders>
              <w:top w:val="nil"/>
              <w:left w:val="nil"/>
              <w:bottom w:val="single" w:sz="4" w:space="0" w:color="002776"/>
              <w:right w:val="single" w:sz="4" w:space="0" w:color="002776"/>
            </w:tcBorders>
            <w:noWrap/>
            <w:vAlign w:val="center"/>
          </w:tcPr>
          <w:p w14:paraId="5C7CB88F" w14:textId="77777777" w:rsidR="006D3AD5" w:rsidRPr="0073014D" w:rsidRDefault="006D3AD5" w:rsidP="00443B8F">
            <w:pPr>
              <w:keepNext/>
              <w:keepLines/>
              <w:jc w:val="center"/>
              <w:rPr>
                <w:szCs w:val="18"/>
              </w:rPr>
            </w:pPr>
            <w:r>
              <w:t>9.8</w:t>
            </w:r>
          </w:p>
        </w:tc>
      </w:tr>
    </w:tbl>
    <w:p w14:paraId="0962DDBC" w14:textId="77777777" w:rsidR="006D3AD5" w:rsidRPr="0073014D" w:rsidRDefault="006D3AD5" w:rsidP="006D3AD5"/>
    <w:p w14:paraId="30E13A88" w14:textId="77777777" w:rsidR="006D3AD5" w:rsidRPr="0073014D" w:rsidRDefault="006D3AD5" w:rsidP="006D3AD5">
      <w:r>
        <w:t>The discounted payback period of credit instruments shows that with the help of a soft loan we can achieve the payback period of less than 10 years.</w:t>
      </w:r>
    </w:p>
    <w:p w14:paraId="4B8F46F3" w14:textId="77777777" w:rsidR="006D3AD5" w:rsidRPr="0073014D" w:rsidRDefault="006D3AD5" w:rsidP="006D3AD5"/>
    <w:p w14:paraId="52A1C66C" w14:textId="77777777" w:rsidR="006D3AD5" w:rsidRPr="0073014D" w:rsidRDefault="006D3AD5" w:rsidP="006D3AD5">
      <w:pPr>
        <w:pStyle w:val="Nadpis4"/>
        <w:rPr>
          <w:rFonts w:ascii="Calibri" w:hAnsi="Calibri"/>
          <w:color w:val="000000"/>
        </w:rPr>
      </w:pPr>
      <w:r>
        <w:rPr>
          <w:rFonts w:ascii="Calibri" w:hAnsi="Calibri"/>
          <w:color w:val="000000"/>
        </w:rPr>
        <w:t>The added value of the financial instrument, problems, risks and comparison with other forms of support</w:t>
      </w:r>
    </w:p>
    <w:p w14:paraId="2345F786" w14:textId="77777777" w:rsidR="006D3AD5" w:rsidRPr="0073014D" w:rsidRDefault="006D3AD5" w:rsidP="006D3AD5"/>
    <w:p w14:paraId="4E35A4CC" w14:textId="0ED1BC94" w:rsidR="006D67F1" w:rsidRPr="002C224A" w:rsidRDefault="006D3AD5" w:rsidP="006D3AD5">
      <w:r>
        <w:t xml:space="preserve">The tables below show an overview of the added value, problems, risks from the viewpoint of the </w:t>
      </w:r>
      <w:r w:rsidR="00CF3F95">
        <w:t>final recipient</w:t>
      </w:r>
      <w:r>
        <w:t xml:space="preserve"> and SB (Table No. 2) and from the viewpoint of the total impact on the absorption capacity and achievement of objectives </w:t>
      </w:r>
      <w:r w:rsidR="00685AEF">
        <w:t xml:space="preserve">SO </w:t>
      </w:r>
      <w:r>
        <w:t>3.1, taking impacts on the market environment into account. The instruments in the form of guarantees, soft loans and subsidies are compared.</w:t>
      </w:r>
    </w:p>
    <w:p w14:paraId="7B000D22" w14:textId="77777777" w:rsidR="006D67F1" w:rsidRPr="002C224A" w:rsidRDefault="006D67F1" w:rsidP="004B44BD"/>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2C224A" w14:paraId="3368BCA7" w14:textId="77777777" w:rsidTr="002E3AE9">
        <w:trPr>
          <w:trHeight w:val="315"/>
        </w:trPr>
        <w:tc>
          <w:tcPr>
            <w:tcW w:w="960" w:type="dxa"/>
            <w:shd w:val="clear" w:color="auto" w:fill="365F91"/>
            <w:noWrap/>
            <w:vAlign w:val="bottom"/>
          </w:tcPr>
          <w:p w14:paraId="4C04C830" w14:textId="77777777" w:rsidR="006D3AD5" w:rsidRPr="0073014D" w:rsidRDefault="006D3AD5" w:rsidP="006D3AD5">
            <w:pPr>
              <w:jc w:val="left"/>
              <w:rPr>
                <w:sz w:val="24"/>
                <w:szCs w:val="24"/>
              </w:rPr>
            </w:pPr>
          </w:p>
        </w:tc>
        <w:tc>
          <w:tcPr>
            <w:tcW w:w="960" w:type="dxa"/>
            <w:shd w:val="clear" w:color="auto" w:fill="365F91"/>
            <w:noWrap/>
            <w:vAlign w:val="bottom"/>
          </w:tcPr>
          <w:p w14:paraId="6E80B692" w14:textId="77777777" w:rsidR="006D3AD5" w:rsidRPr="0073014D" w:rsidRDefault="006D3AD5" w:rsidP="006D3AD5">
            <w:pPr>
              <w:jc w:val="left"/>
              <w:rPr>
                <w:sz w:val="24"/>
                <w:szCs w:val="24"/>
              </w:rPr>
            </w:pPr>
            <w:r>
              <w:rPr>
                <w:sz w:val="24"/>
              </w:rPr>
              <w:t> </w:t>
            </w:r>
          </w:p>
        </w:tc>
        <w:tc>
          <w:tcPr>
            <w:tcW w:w="4744" w:type="dxa"/>
            <w:gridSpan w:val="2"/>
            <w:shd w:val="clear" w:color="auto" w:fill="365F91"/>
            <w:noWrap/>
            <w:vAlign w:val="center"/>
          </w:tcPr>
          <w:p w14:paraId="5AE8F6C6" w14:textId="77777777" w:rsidR="006D3AD5" w:rsidRPr="00685AEF" w:rsidRDefault="006D3AD5" w:rsidP="006D3AD5">
            <w:pPr>
              <w:jc w:val="center"/>
              <w:rPr>
                <w:b/>
                <w:bCs/>
                <w:color w:val="FFFFFF" w:themeColor="background1"/>
                <w:sz w:val="24"/>
                <w:szCs w:val="24"/>
              </w:rPr>
            </w:pPr>
            <w:r w:rsidRPr="00685AEF">
              <w:rPr>
                <w:b/>
                <w:color w:val="FFFFFF" w:themeColor="background1"/>
                <w:sz w:val="24"/>
              </w:rPr>
              <w:t>Financial instrument</w:t>
            </w:r>
          </w:p>
        </w:tc>
        <w:tc>
          <w:tcPr>
            <w:tcW w:w="2330" w:type="dxa"/>
            <w:shd w:val="clear" w:color="auto" w:fill="365F91"/>
          </w:tcPr>
          <w:p w14:paraId="364FEDF6" w14:textId="77777777" w:rsidR="006D3AD5" w:rsidRPr="00685AEF" w:rsidRDefault="006D3AD5" w:rsidP="006D3AD5">
            <w:pPr>
              <w:jc w:val="center"/>
              <w:rPr>
                <w:b/>
                <w:bCs/>
                <w:color w:val="FFFFFF" w:themeColor="background1"/>
                <w:sz w:val="24"/>
                <w:szCs w:val="24"/>
              </w:rPr>
            </w:pPr>
            <w:r w:rsidRPr="00685AEF">
              <w:rPr>
                <w:b/>
                <w:color w:val="FFFFFF" w:themeColor="background1"/>
                <w:sz w:val="24"/>
              </w:rPr>
              <w:t>Subsidy</w:t>
            </w:r>
          </w:p>
        </w:tc>
      </w:tr>
      <w:tr w:rsidR="006D3AD5" w:rsidRPr="002C224A" w14:paraId="45A144D9" w14:textId="77777777" w:rsidTr="00443B8F">
        <w:trPr>
          <w:trHeight w:val="315"/>
        </w:trPr>
        <w:tc>
          <w:tcPr>
            <w:tcW w:w="960" w:type="dxa"/>
            <w:shd w:val="clear" w:color="auto" w:fill="365F91"/>
            <w:noWrap/>
            <w:vAlign w:val="center"/>
          </w:tcPr>
          <w:p w14:paraId="541A14AE" w14:textId="77777777" w:rsidR="006D3AD5" w:rsidRPr="0073014D" w:rsidRDefault="006D3AD5" w:rsidP="006D3AD5">
            <w:pPr>
              <w:jc w:val="center"/>
              <w:rPr>
                <w:b/>
                <w:bCs/>
                <w:sz w:val="24"/>
                <w:szCs w:val="24"/>
              </w:rPr>
            </w:pPr>
          </w:p>
        </w:tc>
        <w:tc>
          <w:tcPr>
            <w:tcW w:w="960" w:type="dxa"/>
            <w:shd w:val="clear" w:color="auto" w:fill="365F91"/>
            <w:noWrap/>
            <w:vAlign w:val="center"/>
          </w:tcPr>
          <w:p w14:paraId="07983207" w14:textId="77777777" w:rsidR="006D3AD5" w:rsidRPr="0073014D" w:rsidRDefault="006D3AD5" w:rsidP="006D3AD5">
            <w:pPr>
              <w:jc w:val="left"/>
              <w:rPr>
                <w:sz w:val="24"/>
                <w:szCs w:val="24"/>
              </w:rPr>
            </w:pPr>
            <w:r>
              <w:rPr>
                <w:sz w:val="24"/>
              </w:rPr>
              <w:t> </w:t>
            </w:r>
          </w:p>
        </w:tc>
        <w:tc>
          <w:tcPr>
            <w:tcW w:w="2414" w:type="dxa"/>
            <w:shd w:val="clear" w:color="auto" w:fill="365F91"/>
            <w:vAlign w:val="center"/>
          </w:tcPr>
          <w:p w14:paraId="74C3EFB6" w14:textId="77777777" w:rsidR="006D3AD5" w:rsidRPr="00685AEF" w:rsidRDefault="006D3AD5" w:rsidP="006D3AD5">
            <w:pPr>
              <w:jc w:val="center"/>
              <w:rPr>
                <w:b/>
                <w:bCs/>
                <w:color w:val="FFFFFF" w:themeColor="background1"/>
                <w:sz w:val="24"/>
                <w:szCs w:val="24"/>
              </w:rPr>
            </w:pPr>
            <w:r w:rsidRPr="00685AEF">
              <w:rPr>
                <w:b/>
                <w:color w:val="FFFFFF" w:themeColor="background1"/>
                <w:sz w:val="24"/>
              </w:rPr>
              <w:t>Guarantee instrument</w:t>
            </w:r>
          </w:p>
        </w:tc>
        <w:tc>
          <w:tcPr>
            <w:tcW w:w="2330" w:type="dxa"/>
            <w:shd w:val="clear" w:color="auto" w:fill="365F91"/>
            <w:vAlign w:val="center"/>
          </w:tcPr>
          <w:p w14:paraId="1BD009A9" w14:textId="77777777" w:rsidR="006D3AD5" w:rsidRPr="00685AEF" w:rsidRDefault="006D3AD5" w:rsidP="006D3AD5">
            <w:pPr>
              <w:jc w:val="center"/>
              <w:rPr>
                <w:b/>
                <w:bCs/>
                <w:color w:val="FFFFFF" w:themeColor="background1"/>
                <w:sz w:val="24"/>
                <w:szCs w:val="24"/>
              </w:rPr>
            </w:pPr>
            <w:r w:rsidRPr="00685AEF">
              <w:rPr>
                <w:b/>
                <w:color w:val="FFFFFF" w:themeColor="background1"/>
                <w:sz w:val="24"/>
              </w:rPr>
              <w:t>Soft loan</w:t>
            </w:r>
          </w:p>
        </w:tc>
        <w:tc>
          <w:tcPr>
            <w:tcW w:w="2330" w:type="dxa"/>
            <w:shd w:val="clear" w:color="auto" w:fill="365F91"/>
            <w:vAlign w:val="center"/>
          </w:tcPr>
          <w:p w14:paraId="170F6BA5" w14:textId="77777777" w:rsidR="006D3AD5" w:rsidRPr="00685AEF" w:rsidRDefault="006D3AD5" w:rsidP="006D3AD5">
            <w:pPr>
              <w:jc w:val="center"/>
              <w:rPr>
                <w:b/>
                <w:bCs/>
                <w:color w:val="FFFFFF" w:themeColor="background1"/>
                <w:sz w:val="24"/>
                <w:szCs w:val="24"/>
              </w:rPr>
            </w:pPr>
          </w:p>
        </w:tc>
      </w:tr>
      <w:tr w:rsidR="00153ECA" w:rsidRPr="002C224A" w14:paraId="6F119F18" w14:textId="77777777" w:rsidTr="00685AEF">
        <w:trPr>
          <w:trHeight w:val="720"/>
        </w:trPr>
        <w:tc>
          <w:tcPr>
            <w:tcW w:w="960" w:type="dxa"/>
            <w:vMerge w:val="restart"/>
            <w:shd w:val="clear" w:color="auto" w:fill="8DB3E2"/>
            <w:noWrap/>
            <w:textDirection w:val="btLr"/>
            <w:vAlign w:val="center"/>
          </w:tcPr>
          <w:p w14:paraId="56DB239B" w14:textId="75D822E3" w:rsidR="00153ECA" w:rsidRPr="00685AEF" w:rsidRDefault="00CF3F95" w:rsidP="00153ECA">
            <w:pPr>
              <w:jc w:val="center"/>
              <w:rPr>
                <w:b/>
                <w:bCs/>
                <w:color w:val="FFFFFF" w:themeColor="background1"/>
                <w:sz w:val="24"/>
                <w:szCs w:val="24"/>
              </w:rPr>
            </w:pPr>
            <w:r>
              <w:rPr>
                <w:b/>
                <w:color w:val="FFFFFF" w:themeColor="background1"/>
                <w:sz w:val="24"/>
              </w:rPr>
              <w:t xml:space="preserve">Added value of public support for final recipient </w:t>
            </w:r>
            <w:r w:rsidR="00153ECA" w:rsidRPr="00685AEF">
              <w:rPr>
                <w:b/>
                <w:color w:val="FFFFFF" w:themeColor="background1"/>
                <w:sz w:val="24"/>
              </w:rPr>
              <w:t>and SB</w:t>
            </w:r>
          </w:p>
        </w:tc>
        <w:tc>
          <w:tcPr>
            <w:tcW w:w="960" w:type="dxa"/>
            <w:vMerge w:val="restart"/>
            <w:shd w:val="clear" w:color="auto" w:fill="8DB3E2"/>
            <w:noWrap/>
            <w:textDirection w:val="btLr"/>
            <w:vAlign w:val="center"/>
          </w:tcPr>
          <w:p w14:paraId="2FF1C4EE" w14:textId="6612ED7E" w:rsidR="00153ECA" w:rsidRPr="00685AEF" w:rsidRDefault="00CF3F95" w:rsidP="00153ECA">
            <w:pPr>
              <w:jc w:val="center"/>
              <w:rPr>
                <w:b/>
                <w:bCs/>
                <w:color w:val="FFFFFF" w:themeColor="background1"/>
                <w:sz w:val="24"/>
                <w:szCs w:val="24"/>
              </w:rPr>
            </w:pPr>
            <w:r>
              <w:rPr>
                <w:b/>
                <w:color w:val="FFFFFF" w:themeColor="background1"/>
                <w:sz w:val="24"/>
              </w:rPr>
              <w:t>Final recipient</w:t>
            </w:r>
          </w:p>
        </w:tc>
        <w:tc>
          <w:tcPr>
            <w:tcW w:w="2414" w:type="dxa"/>
            <w:shd w:val="clear" w:color="auto" w:fill="8DB3E2"/>
            <w:vAlign w:val="center"/>
          </w:tcPr>
          <w:p w14:paraId="691CAD35" w14:textId="77777777" w:rsidR="00153ECA" w:rsidRPr="00685AEF" w:rsidRDefault="00153ECA" w:rsidP="00685AEF">
            <w:pPr>
              <w:jc w:val="center"/>
              <w:rPr>
                <w:b/>
                <w:color w:val="FFFFFF" w:themeColor="background1"/>
                <w:sz w:val="20"/>
              </w:rPr>
            </w:pPr>
            <w:r w:rsidRPr="00685AEF">
              <w:rPr>
                <w:b/>
                <w:color w:val="FFFFFF" w:themeColor="background1"/>
                <w:sz w:val="20"/>
              </w:rPr>
              <w:t>Making unaffordable funding available</w:t>
            </w:r>
          </w:p>
        </w:tc>
        <w:tc>
          <w:tcPr>
            <w:tcW w:w="2330" w:type="dxa"/>
            <w:shd w:val="clear" w:color="auto" w:fill="8DB3E2"/>
            <w:vAlign w:val="center"/>
          </w:tcPr>
          <w:p w14:paraId="0C2DC6CA" w14:textId="77777777" w:rsidR="00153ECA" w:rsidRPr="00685AEF" w:rsidRDefault="00153ECA" w:rsidP="00685AEF">
            <w:pPr>
              <w:jc w:val="center"/>
              <w:rPr>
                <w:b/>
                <w:color w:val="FFFFFF" w:themeColor="background1"/>
                <w:sz w:val="20"/>
              </w:rPr>
            </w:pPr>
            <w:r w:rsidRPr="00685AEF">
              <w:rPr>
                <w:b/>
                <w:color w:val="FFFFFF" w:themeColor="background1"/>
                <w:sz w:val="20"/>
              </w:rPr>
              <w:t>Making higher rate of external funding available</w:t>
            </w:r>
          </w:p>
        </w:tc>
        <w:tc>
          <w:tcPr>
            <w:tcW w:w="2330" w:type="dxa"/>
            <w:shd w:val="clear" w:color="auto" w:fill="8DB3E2"/>
          </w:tcPr>
          <w:p w14:paraId="532FE283" w14:textId="2C3B6B6C" w:rsidR="00153ECA" w:rsidRPr="00685AEF" w:rsidRDefault="00153ECA" w:rsidP="00685AEF">
            <w:pPr>
              <w:jc w:val="center"/>
              <w:rPr>
                <w:b/>
                <w:bCs/>
                <w:color w:val="FFFFFF" w:themeColor="background1"/>
                <w:sz w:val="24"/>
                <w:szCs w:val="24"/>
              </w:rPr>
            </w:pPr>
            <w:r w:rsidRPr="00850075">
              <w:rPr>
                <w:b/>
                <w:color w:val="FFFFFF" w:themeColor="background1"/>
                <w:sz w:val="20"/>
              </w:rPr>
              <w:t>Non-refundable contribution to project</w:t>
            </w:r>
          </w:p>
        </w:tc>
      </w:tr>
      <w:tr w:rsidR="00153ECA" w:rsidRPr="002C224A" w14:paraId="242FAB49" w14:textId="77777777" w:rsidTr="00685AEF">
        <w:trPr>
          <w:trHeight w:val="480"/>
        </w:trPr>
        <w:tc>
          <w:tcPr>
            <w:tcW w:w="960" w:type="dxa"/>
            <w:vMerge/>
            <w:shd w:val="clear" w:color="auto" w:fill="8DB3E2"/>
            <w:vAlign w:val="center"/>
          </w:tcPr>
          <w:p w14:paraId="12113DF4" w14:textId="77777777" w:rsidR="00153ECA" w:rsidRPr="00685AEF" w:rsidRDefault="00153ECA" w:rsidP="00153ECA">
            <w:pPr>
              <w:jc w:val="left"/>
              <w:rPr>
                <w:b/>
                <w:bCs/>
                <w:color w:val="FFFFFF" w:themeColor="background1"/>
                <w:sz w:val="24"/>
                <w:szCs w:val="24"/>
              </w:rPr>
            </w:pPr>
          </w:p>
        </w:tc>
        <w:tc>
          <w:tcPr>
            <w:tcW w:w="960" w:type="dxa"/>
            <w:vMerge/>
            <w:shd w:val="clear" w:color="auto" w:fill="8DB3E2"/>
            <w:vAlign w:val="center"/>
          </w:tcPr>
          <w:p w14:paraId="3A827236" w14:textId="77777777" w:rsidR="00153ECA" w:rsidRPr="00685AEF" w:rsidRDefault="00153ECA" w:rsidP="00153ECA">
            <w:pPr>
              <w:jc w:val="left"/>
              <w:rPr>
                <w:b/>
                <w:bCs/>
                <w:color w:val="FFFFFF" w:themeColor="background1"/>
                <w:sz w:val="24"/>
                <w:szCs w:val="24"/>
              </w:rPr>
            </w:pPr>
          </w:p>
        </w:tc>
        <w:tc>
          <w:tcPr>
            <w:tcW w:w="2414" w:type="dxa"/>
            <w:shd w:val="clear" w:color="auto" w:fill="8DB3E2"/>
            <w:vAlign w:val="center"/>
          </w:tcPr>
          <w:p w14:paraId="396460C7" w14:textId="77777777" w:rsidR="00153ECA" w:rsidRPr="00685AEF" w:rsidRDefault="00153ECA" w:rsidP="00685AEF">
            <w:pPr>
              <w:jc w:val="center"/>
              <w:rPr>
                <w:b/>
                <w:color w:val="FFFFFF" w:themeColor="background1"/>
                <w:sz w:val="20"/>
              </w:rPr>
            </w:pPr>
            <w:r w:rsidRPr="00685AEF">
              <w:rPr>
                <w:b/>
                <w:color w:val="FFFFFF" w:themeColor="background1"/>
                <w:sz w:val="20"/>
              </w:rPr>
              <w:t>Partial decrease in interest rate by decrease in risk surcharge</w:t>
            </w:r>
          </w:p>
        </w:tc>
        <w:tc>
          <w:tcPr>
            <w:tcW w:w="2330" w:type="dxa"/>
            <w:shd w:val="clear" w:color="auto" w:fill="8DB3E2"/>
            <w:vAlign w:val="center"/>
          </w:tcPr>
          <w:p w14:paraId="5AE17FFE" w14:textId="77777777" w:rsidR="00153ECA" w:rsidRPr="00685AEF" w:rsidRDefault="00153ECA" w:rsidP="00685AEF">
            <w:pPr>
              <w:jc w:val="center"/>
              <w:rPr>
                <w:b/>
                <w:color w:val="FFFFFF" w:themeColor="background1"/>
                <w:sz w:val="20"/>
              </w:rPr>
            </w:pPr>
            <w:r w:rsidRPr="00685AEF">
              <w:rPr>
                <w:b/>
                <w:color w:val="FFFFFF" w:themeColor="background1"/>
                <w:sz w:val="20"/>
              </w:rPr>
              <w:t>Decrease in interest rate</w:t>
            </w:r>
          </w:p>
        </w:tc>
        <w:tc>
          <w:tcPr>
            <w:tcW w:w="2330" w:type="dxa"/>
            <w:shd w:val="clear" w:color="auto" w:fill="8DB3E2"/>
          </w:tcPr>
          <w:p w14:paraId="17F81AFA" w14:textId="72C6B369" w:rsidR="00153ECA" w:rsidRPr="00685AEF" w:rsidRDefault="00153ECA" w:rsidP="00685AEF">
            <w:pPr>
              <w:jc w:val="center"/>
              <w:rPr>
                <w:b/>
                <w:bCs/>
                <w:color w:val="FFFFFF" w:themeColor="background1"/>
                <w:sz w:val="24"/>
                <w:szCs w:val="24"/>
              </w:rPr>
            </w:pPr>
            <w:r w:rsidRPr="00850075">
              <w:rPr>
                <w:b/>
                <w:color w:val="FFFFFF" w:themeColor="background1"/>
                <w:sz w:val="20"/>
              </w:rPr>
              <w:t>Highly decreased return period</w:t>
            </w:r>
          </w:p>
        </w:tc>
      </w:tr>
      <w:tr w:rsidR="00153ECA" w:rsidRPr="002C224A" w14:paraId="4F292A8F" w14:textId="77777777" w:rsidTr="00685AEF">
        <w:trPr>
          <w:trHeight w:val="720"/>
        </w:trPr>
        <w:tc>
          <w:tcPr>
            <w:tcW w:w="960" w:type="dxa"/>
            <w:vMerge/>
            <w:shd w:val="clear" w:color="auto" w:fill="8DB3E2"/>
            <w:vAlign w:val="center"/>
          </w:tcPr>
          <w:p w14:paraId="53CAC76A" w14:textId="77777777" w:rsidR="00153ECA" w:rsidRPr="00685AEF" w:rsidRDefault="00153ECA" w:rsidP="00153ECA">
            <w:pPr>
              <w:jc w:val="left"/>
              <w:rPr>
                <w:b/>
                <w:bCs/>
                <w:color w:val="FFFFFF" w:themeColor="background1"/>
                <w:sz w:val="24"/>
                <w:szCs w:val="24"/>
              </w:rPr>
            </w:pPr>
          </w:p>
        </w:tc>
        <w:tc>
          <w:tcPr>
            <w:tcW w:w="960" w:type="dxa"/>
            <w:vMerge/>
            <w:shd w:val="clear" w:color="auto" w:fill="8DB3E2"/>
            <w:vAlign w:val="center"/>
          </w:tcPr>
          <w:p w14:paraId="25511AAE" w14:textId="77777777" w:rsidR="00153ECA" w:rsidRPr="00685AEF" w:rsidRDefault="00153ECA" w:rsidP="00153ECA">
            <w:pPr>
              <w:jc w:val="left"/>
              <w:rPr>
                <w:b/>
                <w:bCs/>
                <w:color w:val="FFFFFF" w:themeColor="background1"/>
                <w:sz w:val="24"/>
                <w:szCs w:val="24"/>
              </w:rPr>
            </w:pPr>
          </w:p>
        </w:tc>
        <w:tc>
          <w:tcPr>
            <w:tcW w:w="2414" w:type="dxa"/>
            <w:shd w:val="clear" w:color="auto" w:fill="8DB3E2"/>
            <w:vAlign w:val="center"/>
          </w:tcPr>
          <w:p w14:paraId="337951A4" w14:textId="77777777" w:rsidR="00153ECA" w:rsidRPr="00685AEF" w:rsidRDefault="00153ECA" w:rsidP="00685AEF">
            <w:pPr>
              <w:jc w:val="center"/>
              <w:rPr>
                <w:b/>
                <w:color w:val="FFFFFF" w:themeColor="background1"/>
                <w:sz w:val="20"/>
              </w:rPr>
            </w:pPr>
            <w:r w:rsidRPr="00685AEF">
              <w:rPr>
                <w:b/>
                <w:color w:val="FFFFFF" w:themeColor="background1"/>
                <w:sz w:val="20"/>
              </w:rPr>
              <w:t>Reduced claims for pledging enterprise</w:t>
            </w:r>
          </w:p>
        </w:tc>
        <w:tc>
          <w:tcPr>
            <w:tcW w:w="2330" w:type="dxa"/>
            <w:shd w:val="clear" w:color="auto" w:fill="8DB3E2"/>
            <w:vAlign w:val="center"/>
          </w:tcPr>
          <w:p w14:paraId="503DBE8B" w14:textId="77777777" w:rsidR="00153ECA" w:rsidRPr="00685AEF" w:rsidRDefault="00153ECA" w:rsidP="00685AEF">
            <w:pPr>
              <w:jc w:val="center"/>
              <w:rPr>
                <w:b/>
                <w:color w:val="FFFFFF" w:themeColor="background1"/>
                <w:sz w:val="20"/>
              </w:rPr>
            </w:pPr>
            <w:r w:rsidRPr="00685AEF">
              <w:rPr>
                <w:b/>
                <w:color w:val="FFFFFF" w:themeColor="background1"/>
                <w:sz w:val="20"/>
              </w:rPr>
              <w:t>Longer maturity period</w:t>
            </w:r>
          </w:p>
        </w:tc>
        <w:tc>
          <w:tcPr>
            <w:tcW w:w="2330" w:type="dxa"/>
            <w:shd w:val="clear" w:color="auto" w:fill="8DB3E2"/>
          </w:tcPr>
          <w:p w14:paraId="6BC3BCA6" w14:textId="6124DA95" w:rsidR="00153ECA" w:rsidRPr="00685AEF" w:rsidRDefault="00153ECA" w:rsidP="00685AEF">
            <w:pPr>
              <w:jc w:val="center"/>
              <w:rPr>
                <w:b/>
                <w:bCs/>
                <w:color w:val="FFFFFF" w:themeColor="background1"/>
                <w:sz w:val="24"/>
                <w:szCs w:val="24"/>
              </w:rPr>
            </w:pPr>
            <w:r w:rsidRPr="00850075">
              <w:rPr>
                <w:b/>
                <w:color w:val="FFFFFF" w:themeColor="background1"/>
                <w:sz w:val="20"/>
              </w:rPr>
              <w:t>Easier measures of loan for rest of project costs</w:t>
            </w:r>
          </w:p>
        </w:tc>
      </w:tr>
      <w:tr w:rsidR="00153ECA" w:rsidRPr="002C224A" w14:paraId="49200998" w14:textId="77777777" w:rsidTr="00685AEF">
        <w:trPr>
          <w:trHeight w:val="478"/>
        </w:trPr>
        <w:tc>
          <w:tcPr>
            <w:tcW w:w="960" w:type="dxa"/>
            <w:vMerge/>
            <w:shd w:val="clear" w:color="auto" w:fill="8DB3E2"/>
            <w:vAlign w:val="center"/>
          </w:tcPr>
          <w:p w14:paraId="79528C55" w14:textId="77777777" w:rsidR="00153ECA" w:rsidRPr="00685AEF" w:rsidRDefault="00153ECA" w:rsidP="00153ECA">
            <w:pPr>
              <w:jc w:val="left"/>
              <w:rPr>
                <w:b/>
                <w:bCs/>
                <w:color w:val="FFFFFF" w:themeColor="background1"/>
                <w:sz w:val="24"/>
                <w:szCs w:val="24"/>
              </w:rPr>
            </w:pPr>
          </w:p>
        </w:tc>
        <w:tc>
          <w:tcPr>
            <w:tcW w:w="960" w:type="dxa"/>
            <w:vMerge/>
            <w:shd w:val="clear" w:color="auto" w:fill="8DB3E2"/>
            <w:vAlign w:val="center"/>
          </w:tcPr>
          <w:p w14:paraId="6EDE97A8" w14:textId="77777777" w:rsidR="00153ECA" w:rsidRPr="00685AEF" w:rsidRDefault="00153ECA" w:rsidP="00153ECA">
            <w:pPr>
              <w:jc w:val="left"/>
              <w:rPr>
                <w:b/>
                <w:bCs/>
                <w:color w:val="FFFFFF" w:themeColor="background1"/>
                <w:sz w:val="24"/>
                <w:szCs w:val="24"/>
              </w:rPr>
            </w:pPr>
          </w:p>
        </w:tc>
        <w:tc>
          <w:tcPr>
            <w:tcW w:w="2414" w:type="dxa"/>
            <w:shd w:val="clear" w:color="auto" w:fill="8DB3E2"/>
            <w:noWrap/>
            <w:vAlign w:val="center"/>
          </w:tcPr>
          <w:p w14:paraId="6C6CEEC1" w14:textId="77777777" w:rsidR="00153ECA" w:rsidRPr="00685AEF" w:rsidRDefault="00153ECA" w:rsidP="00685AEF">
            <w:pPr>
              <w:jc w:val="center"/>
              <w:rPr>
                <w:b/>
                <w:color w:val="FFFFFF" w:themeColor="background1"/>
                <w:sz w:val="20"/>
              </w:rPr>
            </w:pPr>
          </w:p>
        </w:tc>
        <w:tc>
          <w:tcPr>
            <w:tcW w:w="2330" w:type="dxa"/>
            <w:shd w:val="clear" w:color="auto" w:fill="8DB3E2"/>
            <w:vAlign w:val="center"/>
          </w:tcPr>
          <w:p w14:paraId="2A106384" w14:textId="77777777" w:rsidR="00153ECA" w:rsidRPr="00685AEF" w:rsidRDefault="00153ECA" w:rsidP="00685AEF">
            <w:pPr>
              <w:jc w:val="center"/>
              <w:rPr>
                <w:b/>
                <w:color w:val="FFFFFF" w:themeColor="background1"/>
                <w:sz w:val="20"/>
              </w:rPr>
            </w:pPr>
            <w:r w:rsidRPr="00685AEF">
              <w:rPr>
                <w:b/>
                <w:color w:val="FFFFFF" w:themeColor="background1"/>
                <w:sz w:val="20"/>
              </w:rPr>
              <w:t>Shorten payback period</w:t>
            </w:r>
          </w:p>
        </w:tc>
        <w:tc>
          <w:tcPr>
            <w:tcW w:w="2330" w:type="dxa"/>
            <w:shd w:val="clear" w:color="auto" w:fill="8DB3E2"/>
          </w:tcPr>
          <w:p w14:paraId="51C68D1A" w14:textId="5DE268E2" w:rsidR="00153ECA" w:rsidRPr="00685AEF" w:rsidRDefault="00153ECA" w:rsidP="00685AEF">
            <w:pPr>
              <w:jc w:val="center"/>
              <w:rPr>
                <w:b/>
                <w:bCs/>
                <w:color w:val="FFFFFF" w:themeColor="background1"/>
                <w:sz w:val="24"/>
                <w:szCs w:val="24"/>
              </w:rPr>
            </w:pPr>
            <w:r w:rsidRPr="00850075">
              <w:rPr>
                <w:b/>
                <w:color w:val="FFFFFF" w:themeColor="background1"/>
                <w:sz w:val="20"/>
              </w:rPr>
              <w:t>Option to invest excessive profit to other investments</w:t>
            </w:r>
          </w:p>
        </w:tc>
      </w:tr>
      <w:tr w:rsidR="00153ECA" w:rsidRPr="002C224A" w14:paraId="0353FB0F" w14:textId="77777777" w:rsidTr="00685AEF">
        <w:trPr>
          <w:trHeight w:val="680"/>
        </w:trPr>
        <w:tc>
          <w:tcPr>
            <w:tcW w:w="960" w:type="dxa"/>
            <w:vMerge/>
            <w:shd w:val="clear" w:color="auto" w:fill="8DB3E2"/>
            <w:vAlign w:val="center"/>
          </w:tcPr>
          <w:p w14:paraId="6D1CDC51" w14:textId="77777777" w:rsidR="00153ECA" w:rsidRPr="00685AEF" w:rsidRDefault="00153ECA" w:rsidP="00153ECA">
            <w:pPr>
              <w:jc w:val="left"/>
              <w:rPr>
                <w:b/>
                <w:bCs/>
                <w:color w:val="FFFFFF" w:themeColor="background1"/>
                <w:sz w:val="24"/>
                <w:szCs w:val="24"/>
              </w:rPr>
            </w:pPr>
          </w:p>
        </w:tc>
        <w:tc>
          <w:tcPr>
            <w:tcW w:w="960" w:type="dxa"/>
            <w:vMerge/>
            <w:shd w:val="clear" w:color="auto" w:fill="8DB3E2"/>
            <w:vAlign w:val="center"/>
          </w:tcPr>
          <w:p w14:paraId="073CEFF0" w14:textId="77777777" w:rsidR="00153ECA" w:rsidRPr="00685AEF" w:rsidRDefault="00153ECA" w:rsidP="00153ECA">
            <w:pPr>
              <w:jc w:val="left"/>
              <w:rPr>
                <w:b/>
                <w:bCs/>
                <w:color w:val="FFFFFF" w:themeColor="background1"/>
                <w:sz w:val="24"/>
                <w:szCs w:val="24"/>
              </w:rPr>
            </w:pPr>
          </w:p>
        </w:tc>
        <w:tc>
          <w:tcPr>
            <w:tcW w:w="2414" w:type="dxa"/>
            <w:shd w:val="clear" w:color="auto" w:fill="8DB3E2"/>
            <w:vAlign w:val="center"/>
          </w:tcPr>
          <w:p w14:paraId="47CD7BDD" w14:textId="77777777" w:rsidR="00153ECA" w:rsidRPr="00685AEF" w:rsidRDefault="00153ECA" w:rsidP="00685AEF">
            <w:pPr>
              <w:jc w:val="center"/>
              <w:rPr>
                <w:b/>
                <w:color w:val="FFFFFF" w:themeColor="background1"/>
                <w:sz w:val="20"/>
              </w:rPr>
            </w:pPr>
            <w:r w:rsidRPr="00685AEF">
              <w:rPr>
                <w:b/>
                <w:color w:val="FFFFFF" w:themeColor="background1"/>
                <w:sz w:val="20"/>
              </w:rPr>
              <w:t>Advance payment in form of loan</w:t>
            </w:r>
          </w:p>
        </w:tc>
        <w:tc>
          <w:tcPr>
            <w:tcW w:w="2330" w:type="dxa"/>
            <w:shd w:val="clear" w:color="auto" w:fill="8DB3E2"/>
            <w:vAlign w:val="center"/>
          </w:tcPr>
          <w:p w14:paraId="3115B789" w14:textId="77777777" w:rsidR="00153ECA" w:rsidRPr="00685AEF" w:rsidRDefault="00153ECA" w:rsidP="00685AEF">
            <w:pPr>
              <w:jc w:val="center"/>
              <w:rPr>
                <w:b/>
                <w:color w:val="FFFFFF" w:themeColor="background1"/>
                <w:sz w:val="20"/>
              </w:rPr>
            </w:pPr>
            <w:r w:rsidRPr="00685AEF">
              <w:rPr>
                <w:b/>
                <w:color w:val="FFFFFF" w:themeColor="background1"/>
                <w:sz w:val="20"/>
              </w:rPr>
              <w:t>Advance payment in form of loan</w:t>
            </w:r>
          </w:p>
        </w:tc>
        <w:tc>
          <w:tcPr>
            <w:tcW w:w="2330" w:type="dxa"/>
            <w:shd w:val="clear" w:color="auto" w:fill="8DB3E2"/>
          </w:tcPr>
          <w:p w14:paraId="292ECBFA" w14:textId="77777777" w:rsidR="00153ECA" w:rsidRPr="00685AEF" w:rsidRDefault="00153ECA" w:rsidP="00685AEF">
            <w:pPr>
              <w:jc w:val="center"/>
              <w:rPr>
                <w:b/>
                <w:bCs/>
                <w:color w:val="FFFFFF" w:themeColor="background1"/>
                <w:sz w:val="24"/>
                <w:szCs w:val="24"/>
              </w:rPr>
            </w:pPr>
          </w:p>
        </w:tc>
      </w:tr>
      <w:tr w:rsidR="00153ECA" w:rsidRPr="002C224A" w14:paraId="57C8A386" w14:textId="77777777" w:rsidTr="00685AEF">
        <w:trPr>
          <w:trHeight w:val="690"/>
        </w:trPr>
        <w:tc>
          <w:tcPr>
            <w:tcW w:w="960" w:type="dxa"/>
            <w:vMerge/>
            <w:shd w:val="clear" w:color="auto" w:fill="8DB3E2"/>
            <w:vAlign w:val="center"/>
          </w:tcPr>
          <w:p w14:paraId="47D31BA1" w14:textId="77777777" w:rsidR="00153ECA" w:rsidRPr="00685AEF" w:rsidRDefault="00153ECA" w:rsidP="00153ECA">
            <w:pPr>
              <w:jc w:val="left"/>
              <w:rPr>
                <w:b/>
                <w:bCs/>
                <w:color w:val="FFFFFF" w:themeColor="background1"/>
                <w:sz w:val="24"/>
                <w:szCs w:val="24"/>
              </w:rPr>
            </w:pPr>
          </w:p>
        </w:tc>
        <w:tc>
          <w:tcPr>
            <w:tcW w:w="960" w:type="dxa"/>
            <w:vMerge/>
            <w:shd w:val="clear" w:color="auto" w:fill="8DB3E2"/>
            <w:vAlign w:val="center"/>
          </w:tcPr>
          <w:p w14:paraId="08D7DDA4" w14:textId="77777777" w:rsidR="00153ECA" w:rsidRPr="00685AEF" w:rsidRDefault="00153ECA" w:rsidP="00153ECA">
            <w:pPr>
              <w:jc w:val="left"/>
              <w:rPr>
                <w:b/>
                <w:bCs/>
                <w:color w:val="FFFFFF" w:themeColor="background1"/>
                <w:sz w:val="24"/>
                <w:szCs w:val="24"/>
              </w:rPr>
            </w:pPr>
          </w:p>
        </w:tc>
        <w:tc>
          <w:tcPr>
            <w:tcW w:w="2414" w:type="dxa"/>
            <w:shd w:val="clear" w:color="auto" w:fill="8DB3E2"/>
            <w:vAlign w:val="center"/>
          </w:tcPr>
          <w:p w14:paraId="5C5E8124" w14:textId="77777777" w:rsidR="00153ECA" w:rsidRPr="00685AEF" w:rsidRDefault="00153ECA" w:rsidP="00685AE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vAlign w:val="center"/>
          </w:tcPr>
          <w:p w14:paraId="308D347F" w14:textId="77777777" w:rsidR="00153ECA" w:rsidRPr="00685AEF" w:rsidRDefault="00153ECA" w:rsidP="00685AE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tcPr>
          <w:p w14:paraId="3423ADA0" w14:textId="77777777" w:rsidR="00153ECA" w:rsidRPr="00685AEF" w:rsidRDefault="00153ECA" w:rsidP="00685AEF">
            <w:pPr>
              <w:jc w:val="center"/>
              <w:rPr>
                <w:b/>
                <w:bCs/>
                <w:color w:val="FFFFFF" w:themeColor="background1"/>
                <w:sz w:val="24"/>
                <w:szCs w:val="24"/>
              </w:rPr>
            </w:pPr>
          </w:p>
        </w:tc>
      </w:tr>
      <w:tr w:rsidR="00153ECA" w:rsidRPr="002C224A" w14:paraId="6A838133" w14:textId="77777777" w:rsidTr="00685AEF">
        <w:trPr>
          <w:trHeight w:val="735"/>
        </w:trPr>
        <w:tc>
          <w:tcPr>
            <w:tcW w:w="960" w:type="dxa"/>
            <w:vMerge/>
            <w:shd w:val="clear" w:color="auto" w:fill="8DB3E2"/>
            <w:vAlign w:val="center"/>
          </w:tcPr>
          <w:p w14:paraId="473621B2" w14:textId="77777777" w:rsidR="00153ECA" w:rsidRPr="00685AEF" w:rsidRDefault="00153ECA" w:rsidP="00153ECA">
            <w:pPr>
              <w:jc w:val="left"/>
              <w:rPr>
                <w:b/>
                <w:bCs/>
                <w:color w:val="FFFFFF" w:themeColor="background1"/>
                <w:sz w:val="24"/>
                <w:szCs w:val="24"/>
              </w:rPr>
            </w:pPr>
          </w:p>
        </w:tc>
        <w:tc>
          <w:tcPr>
            <w:tcW w:w="960" w:type="dxa"/>
            <w:vMerge w:val="restart"/>
            <w:shd w:val="clear" w:color="auto" w:fill="8DB3E2"/>
            <w:noWrap/>
            <w:textDirection w:val="btLr"/>
            <w:vAlign w:val="center"/>
          </w:tcPr>
          <w:p w14:paraId="02B79797" w14:textId="77777777" w:rsidR="00153ECA" w:rsidRPr="00685AEF" w:rsidRDefault="00153ECA" w:rsidP="00153ECA">
            <w:pPr>
              <w:jc w:val="center"/>
              <w:rPr>
                <w:b/>
                <w:bCs/>
                <w:color w:val="FFFFFF" w:themeColor="background1"/>
                <w:sz w:val="24"/>
                <w:szCs w:val="24"/>
              </w:rPr>
            </w:pPr>
            <w:r w:rsidRPr="00685AEF">
              <w:rPr>
                <w:b/>
                <w:color w:val="FFFFFF" w:themeColor="background1"/>
                <w:sz w:val="24"/>
              </w:rPr>
              <w:t>MA</w:t>
            </w:r>
          </w:p>
        </w:tc>
        <w:tc>
          <w:tcPr>
            <w:tcW w:w="2414" w:type="dxa"/>
            <w:shd w:val="clear" w:color="auto" w:fill="8DB3E2"/>
            <w:vAlign w:val="center"/>
          </w:tcPr>
          <w:p w14:paraId="583F1AE0" w14:textId="77777777" w:rsidR="00153ECA" w:rsidRPr="00685AEF" w:rsidRDefault="00153ECA" w:rsidP="00685AEF">
            <w:pPr>
              <w:jc w:val="center"/>
              <w:rPr>
                <w:b/>
                <w:color w:val="FFFFFF" w:themeColor="background1"/>
                <w:sz w:val="20"/>
              </w:rPr>
            </w:pPr>
            <w:r w:rsidRPr="00685AEF">
              <w:rPr>
                <w:b/>
                <w:color w:val="FFFFFF" w:themeColor="background1"/>
                <w:sz w:val="20"/>
              </w:rPr>
              <w:t>High leverage effect and wider volume of supported projects and investments</w:t>
            </w:r>
          </w:p>
        </w:tc>
        <w:tc>
          <w:tcPr>
            <w:tcW w:w="2330" w:type="dxa"/>
            <w:shd w:val="clear" w:color="auto" w:fill="8DB3E2"/>
            <w:vAlign w:val="center"/>
          </w:tcPr>
          <w:p w14:paraId="07F6E4DD" w14:textId="77777777" w:rsidR="00153ECA" w:rsidRPr="00685AEF" w:rsidRDefault="00153ECA" w:rsidP="00685AEF">
            <w:pPr>
              <w:jc w:val="center"/>
              <w:rPr>
                <w:b/>
                <w:color w:val="FFFFFF" w:themeColor="background1"/>
                <w:sz w:val="20"/>
              </w:rPr>
            </w:pPr>
            <w:r w:rsidRPr="00685AEF">
              <w:rPr>
                <w:b/>
                <w:color w:val="FFFFFF" w:themeColor="background1"/>
                <w:sz w:val="20"/>
              </w:rPr>
              <w:t>High revolving effect and support of projects in following cycles</w:t>
            </w:r>
          </w:p>
        </w:tc>
        <w:tc>
          <w:tcPr>
            <w:tcW w:w="2330" w:type="dxa"/>
            <w:shd w:val="clear" w:color="auto" w:fill="8DB3E2"/>
          </w:tcPr>
          <w:p w14:paraId="25B6A277" w14:textId="51DE8F60" w:rsidR="00153ECA" w:rsidRPr="00685AEF" w:rsidRDefault="00153ECA" w:rsidP="00685AEF">
            <w:pPr>
              <w:jc w:val="center"/>
              <w:rPr>
                <w:b/>
                <w:bCs/>
                <w:color w:val="FFFFFF" w:themeColor="background1"/>
                <w:sz w:val="24"/>
                <w:szCs w:val="24"/>
              </w:rPr>
            </w:pPr>
            <w:r w:rsidRPr="00850075">
              <w:rPr>
                <w:b/>
                <w:color w:val="FFFFFF" w:themeColor="background1"/>
                <w:sz w:val="20"/>
              </w:rPr>
              <w:t>High absorption capacity</w:t>
            </w:r>
          </w:p>
        </w:tc>
      </w:tr>
      <w:tr w:rsidR="00153ECA" w:rsidRPr="002C224A" w14:paraId="7327A4AC" w14:textId="77777777" w:rsidTr="00685AEF">
        <w:trPr>
          <w:trHeight w:val="735"/>
        </w:trPr>
        <w:tc>
          <w:tcPr>
            <w:tcW w:w="960" w:type="dxa"/>
            <w:vMerge/>
            <w:shd w:val="clear" w:color="auto" w:fill="8DB3E2"/>
            <w:vAlign w:val="center"/>
          </w:tcPr>
          <w:p w14:paraId="520076CA" w14:textId="77777777" w:rsidR="00153ECA" w:rsidRPr="00685AEF" w:rsidRDefault="00153ECA" w:rsidP="00153ECA">
            <w:pPr>
              <w:jc w:val="left"/>
              <w:rPr>
                <w:b/>
                <w:bCs/>
                <w:color w:val="FFFFFF" w:themeColor="background1"/>
                <w:sz w:val="18"/>
                <w:szCs w:val="18"/>
              </w:rPr>
            </w:pPr>
          </w:p>
        </w:tc>
        <w:tc>
          <w:tcPr>
            <w:tcW w:w="960" w:type="dxa"/>
            <w:vMerge/>
            <w:shd w:val="clear" w:color="auto" w:fill="8DB3E2"/>
            <w:noWrap/>
            <w:textDirection w:val="btLr"/>
            <w:vAlign w:val="center"/>
          </w:tcPr>
          <w:p w14:paraId="76DA077C" w14:textId="77777777" w:rsidR="00153ECA" w:rsidRPr="00685AEF" w:rsidRDefault="00153ECA" w:rsidP="00153ECA">
            <w:pPr>
              <w:jc w:val="center"/>
              <w:rPr>
                <w:b/>
                <w:bCs/>
                <w:color w:val="FFFFFF" w:themeColor="background1"/>
                <w:sz w:val="18"/>
                <w:szCs w:val="18"/>
              </w:rPr>
            </w:pPr>
          </w:p>
        </w:tc>
        <w:tc>
          <w:tcPr>
            <w:tcW w:w="2414" w:type="dxa"/>
            <w:shd w:val="clear" w:color="auto" w:fill="8DB3E2"/>
            <w:vAlign w:val="center"/>
          </w:tcPr>
          <w:p w14:paraId="255E13AA" w14:textId="77777777" w:rsidR="00153ECA" w:rsidRPr="00685AEF" w:rsidRDefault="00153ECA" w:rsidP="00685AEF">
            <w:pPr>
              <w:jc w:val="center"/>
              <w:rPr>
                <w:b/>
                <w:color w:val="FFFFFF" w:themeColor="background1"/>
                <w:sz w:val="20"/>
              </w:rPr>
            </w:pPr>
            <w:r w:rsidRPr="00685AEF">
              <w:rPr>
                <w:b/>
                <w:color w:val="FFFFFF" w:themeColor="background1"/>
                <w:sz w:val="20"/>
              </w:rPr>
              <w:t>Option of revolving in dependence on risk strategy</w:t>
            </w:r>
          </w:p>
        </w:tc>
        <w:tc>
          <w:tcPr>
            <w:tcW w:w="2330" w:type="dxa"/>
            <w:shd w:val="clear" w:color="auto" w:fill="8DB3E2"/>
            <w:vAlign w:val="center"/>
          </w:tcPr>
          <w:p w14:paraId="25251EBA" w14:textId="77777777" w:rsidR="00153ECA" w:rsidRPr="00685AEF" w:rsidRDefault="00153ECA" w:rsidP="00685AEF">
            <w:pPr>
              <w:jc w:val="center"/>
              <w:rPr>
                <w:b/>
                <w:color w:val="FFFFFF" w:themeColor="background1"/>
                <w:sz w:val="20"/>
              </w:rPr>
            </w:pPr>
            <w:r w:rsidRPr="00685AEF">
              <w:rPr>
                <w:b/>
                <w:color w:val="FFFFFF" w:themeColor="background1"/>
                <w:sz w:val="20"/>
              </w:rPr>
              <w:t>Predicted instalments</w:t>
            </w:r>
          </w:p>
        </w:tc>
        <w:tc>
          <w:tcPr>
            <w:tcW w:w="2330" w:type="dxa"/>
            <w:shd w:val="clear" w:color="auto" w:fill="8DB3E2"/>
          </w:tcPr>
          <w:p w14:paraId="1C18815E" w14:textId="622F3794" w:rsidR="00153ECA" w:rsidRPr="00685AEF" w:rsidRDefault="00153ECA" w:rsidP="00685AEF">
            <w:pPr>
              <w:jc w:val="center"/>
              <w:rPr>
                <w:b/>
                <w:bCs/>
                <w:color w:val="FFFFFF" w:themeColor="background1"/>
                <w:sz w:val="18"/>
                <w:szCs w:val="18"/>
              </w:rPr>
            </w:pPr>
            <w:r w:rsidRPr="00850075">
              <w:rPr>
                <w:b/>
                <w:color w:val="FFFFFF" w:themeColor="background1"/>
                <w:sz w:val="20"/>
              </w:rPr>
              <w:t>Motivation of entities to investments in this area</w:t>
            </w:r>
          </w:p>
        </w:tc>
      </w:tr>
      <w:tr w:rsidR="00153ECA" w:rsidRPr="002C224A" w14:paraId="3318C9DB" w14:textId="77777777" w:rsidTr="00685AEF">
        <w:trPr>
          <w:trHeight w:val="311"/>
        </w:trPr>
        <w:tc>
          <w:tcPr>
            <w:tcW w:w="960" w:type="dxa"/>
            <w:vMerge/>
            <w:shd w:val="clear" w:color="auto" w:fill="8DB3E2"/>
            <w:vAlign w:val="center"/>
          </w:tcPr>
          <w:p w14:paraId="52E55D29" w14:textId="77777777" w:rsidR="00153ECA" w:rsidRPr="00685AEF" w:rsidRDefault="00153ECA" w:rsidP="00153ECA">
            <w:pPr>
              <w:jc w:val="left"/>
              <w:rPr>
                <w:b/>
                <w:bCs/>
                <w:color w:val="FFFFFF" w:themeColor="background1"/>
                <w:sz w:val="18"/>
                <w:szCs w:val="18"/>
              </w:rPr>
            </w:pPr>
          </w:p>
        </w:tc>
        <w:tc>
          <w:tcPr>
            <w:tcW w:w="960" w:type="dxa"/>
            <w:vMerge/>
            <w:shd w:val="clear" w:color="auto" w:fill="8DB3E2"/>
            <w:noWrap/>
            <w:textDirection w:val="btLr"/>
            <w:vAlign w:val="center"/>
          </w:tcPr>
          <w:p w14:paraId="4433BF57" w14:textId="77777777" w:rsidR="00153ECA" w:rsidRPr="00685AEF" w:rsidRDefault="00153ECA" w:rsidP="00153ECA">
            <w:pPr>
              <w:jc w:val="center"/>
              <w:rPr>
                <w:b/>
                <w:bCs/>
                <w:color w:val="FFFFFF" w:themeColor="background1"/>
                <w:sz w:val="18"/>
                <w:szCs w:val="18"/>
              </w:rPr>
            </w:pPr>
          </w:p>
        </w:tc>
        <w:tc>
          <w:tcPr>
            <w:tcW w:w="2414" w:type="dxa"/>
            <w:shd w:val="clear" w:color="auto" w:fill="8DB3E2"/>
            <w:vAlign w:val="center"/>
          </w:tcPr>
          <w:p w14:paraId="10405775" w14:textId="77777777" w:rsidR="00153ECA" w:rsidRPr="00685AEF" w:rsidRDefault="00153ECA" w:rsidP="00685AEF">
            <w:pPr>
              <w:jc w:val="center"/>
              <w:rPr>
                <w:b/>
                <w:color w:val="FFFFFF" w:themeColor="background1"/>
                <w:sz w:val="20"/>
              </w:rPr>
            </w:pPr>
            <w:r w:rsidRPr="00685AEF">
              <w:rPr>
                <w:b/>
                <w:color w:val="FFFFFF" w:themeColor="background1"/>
                <w:sz w:val="20"/>
              </w:rPr>
              <w:t>Quick drawing</w:t>
            </w:r>
          </w:p>
        </w:tc>
        <w:tc>
          <w:tcPr>
            <w:tcW w:w="2330" w:type="dxa"/>
            <w:shd w:val="clear" w:color="auto" w:fill="8DB3E2"/>
            <w:vAlign w:val="center"/>
          </w:tcPr>
          <w:p w14:paraId="0F67D7BB" w14:textId="77777777" w:rsidR="00153ECA" w:rsidRPr="00685AEF" w:rsidRDefault="00153ECA" w:rsidP="00685AEF">
            <w:pPr>
              <w:jc w:val="center"/>
              <w:rPr>
                <w:b/>
                <w:color w:val="FFFFFF" w:themeColor="background1"/>
                <w:sz w:val="20"/>
              </w:rPr>
            </w:pPr>
            <w:r w:rsidRPr="00685AEF">
              <w:rPr>
                <w:b/>
                <w:color w:val="FFFFFF" w:themeColor="background1"/>
                <w:sz w:val="20"/>
              </w:rPr>
              <w:t>Quick drawing</w:t>
            </w:r>
          </w:p>
        </w:tc>
        <w:tc>
          <w:tcPr>
            <w:tcW w:w="2330" w:type="dxa"/>
            <w:shd w:val="clear" w:color="auto" w:fill="8DB3E2"/>
          </w:tcPr>
          <w:p w14:paraId="1DCBEB91" w14:textId="77777777" w:rsidR="00153ECA" w:rsidRPr="00685AEF" w:rsidRDefault="00153ECA" w:rsidP="00685AEF">
            <w:pPr>
              <w:jc w:val="center"/>
              <w:rPr>
                <w:b/>
                <w:bCs/>
                <w:color w:val="FFFFFF" w:themeColor="background1"/>
                <w:sz w:val="18"/>
                <w:szCs w:val="18"/>
              </w:rPr>
            </w:pPr>
          </w:p>
        </w:tc>
      </w:tr>
      <w:tr w:rsidR="00153ECA" w:rsidRPr="002C224A" w14:paraId="51A0BA42" w14:textId="77777777" w:rsidTr="00685AEF">
        <w:trPr>
          <w:trHeight w:val="735"/>
        </w:trPr>
        <w:tc>
          <w:tcPr>
            <w:tcW w:w="960" w:type="dxa"/>
            <w:vMerge w:val="restart"/>
            <w:shd w:val="clear" w:color="auto" w:fill="FF0000"/>
            <w:textDirection w:val="btLr"/>
            <w:vAlign w:val="center"/>
          </w:tcPr>
          <w:p w14:paraId="5904A887" w14:textId="77777777" w:rsidR="00153ECA" w:rsidRPr="00685AEF" w:rsidRDefault="00153ECA" w:rsidP="00153ECA">
            <w:pPr>
              <w:ind w:left="113" w:right="113"/>
              <w:jc w:val="center"/>
              <w:rPr>
                <w:b/>
                <w:bCs/>
                <w:color w:val="FFFFFF" w:themeColor="background1"/>
                <w:sz w:val="24"/>
                <w:szCs w:val="24"/>
              </w:rPr>
            </w:pPr>
            <w:r w:rsidRPr="00685AEF">
              <w:rPr>
                <w:b/>
                <w:color w:val="FFFFFF" w:themeColor="background1"/>
                <w:sz w:val="24"/>
              </w:rPr>
              <w:t>Disadvantages, problems and risks</w:t>
            </w:r>
          </w:p>
        </w:tc>
        <w:tc>
          <w:tcPr>
            <w:tcW w:w="960" w:type="dxa"/>
            <w:vMerge w:val="restart"/>
            <w:shd w:val="clear" w:color="auto" w:fill="FF0000"/>
            <w:noWrap/>
            <w:textDirection w:val="btLr"/>
            <w:vAlign w:val="center"/>
          </w:tcPr>
          <w:p w14:paraId="22C2384F" w14:textId="1C50BC10" w:rsidR="00153ECA" w:rsidRPr="00685AEF" w:rsidRDefault="00CF3F95" w:rsidP="00153ECA">
            <w:pPr>
              <w:jc w:val="center"/>
              <w:rPr>
                <w:b/>
                <w:bCs/>
                <w:color w:val="FFFFFF" w:themeColor="background1"/>
                <w:sz w:val="24"/>
                <w:szCs w:val="24"/>
              </w:rPr>
            </w:pPr>
            <w:r>
              <w:rPr>
                <w:b/>
                <w:color w:val="FFFFFF" w:themeColor="background1"/>
                <w:sz w:val="24"/>
              </w:rPr>
              <w:t>Final recipient</w:t>
            </w:r>
          </w:p>
        </w:tc>
        <w:tc>
          <w:tcPr>
            <w:tcW w:w="2414" w:type="dxa"/>
            <w:shd w:val="clear" w:color="auto" w:fill="FF0000"/>
            <w:vAlign w:val="center"/>
          </w:tcPr>
          <w:p w14:paraId="0FF6EC72" w14:textId="77777777" w:rsidR="00153ECA" w:rsidRPr="00685AEF" w:rsidRDefault="00153ECA" w:rsidP="00685AE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vAlign w:val="center"/>
          </w:tcPr>
          <w:p w14:paraId="0ED9784E" w14:textId="77777777" w:rsidR="00153ECA" w:rsidRPr="00685AEF" w:rsidRDefault="00153ECA" w:rsidP="00685AE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tcPr>
          <w:p w14:paraId="47E9063A" w14:textId="7E94DEAB" w:rsidR="00153ECA" w:rsidRPr="00685AEF" w:rsidRDefault="00153ECA" w:rsidP="00685AEF">
            <w:pPr>
              <w:ind w:left="113" w:right="113"/>
              <w:jc w:val="center"/>
              <w:rPr>
                <w:b/>
                <w:bCs/>
                <w:color w:val="FFFFFF" w:themeColor="background1"/>
                <w:sz w:val="24"/>
                <w:szCs w:val="24"/>
              </w:rPr>
            </w:pPr>
            <w:r w:rsidRPr="00850075">
              <w:rPr>
                <w:b/>
                <w:color w:val="FFFFFF" w:themeColor="background1"/>
                <w:sz w:val="20"/>
              </w:rPr>
              <w:t>High  administrative intensity</w:t>
            </w:r>
          </w:p>
        </w:tc>
      </w:tr>
      <w:tr w:rsidR="00153ECA" w:rsidRPr="002C224A" w14:paraId="1F44E9C8" w14:textId="77777777" w:rsidTr="00685AEF">
        <w:trPr>
          <w:trHeight w:val="735"/>
        </w:trPr>
        <w:tc>
          <w:tcPr>
            <w:tcW w:w="960" w:type="dxa"/>
            <w:vMerge/>
            <w:shd w:val="clear" w:color="auto" w:fill="FF0000"/>
            <w:vAlign w:val="center"/>
          </w:tcPr>
          <w:p w14:paraId="1E1651FE" w14:textId="77777777" w:rsidR="00153ECA" w:rsidRPr="00685AEF" w:rsidRDefault="00153ECA" w:rsidP="00153ECA">
            <w:pPr>
              <w:jc w:val="left"/>
              <w:rPr>
                <w:b/>
                <w:bCs/>
                <w:color w:val="FFFFFF" w:themeColor="background1"/>
                <w:sz w:val="24"/>
                <w:szCs w:val="24"/>
              </w:rPr>
            </w:pPr>
          </w:p>
        </w:tc>
        <w:tc>
          <w:tcPr>
            <w:tcW w:w="960" w:type="dxa"/>
            <w:vMerge/>
            <w:shd w:val="clear" w:color="auto" w:fill="FF0000"/>
            <w:noWrap/>
            <w:textDirection w:val="btLr"/>
            <w:vAlign w:val="center"/>
          </w:tcPr>
          <w:p w14:paraId="595432D9" w14:textId="77777777" w:rsidR="00153ECA" w:rsidRPr="00685AEF" w:rsidRDefault="00153ECA" w:rsidP="00153ECA">
            <w:pPr>
              <w:jc w:val="center"/>
              <w:rPr>
                <w:b/>
                <w:bCs/>
                <w:color w:val="FFFFFF" w:themeColor="background1"/>
                <w:sz w:val="24"/>
                <w:szCs w:val="24"/>
              </w:rPr>
            </w:pPr>
          </w:p>
        </w:tc>
        <w:tc>
          <w:tcPr>
            <w:tcW w:w="2414" w:type="dxa"/>
            <w:shd w:val="clear" w:color="auto" w:fill="FF0000"/>
            <w:vAlign w:val="center"/>
          </w:tcPr>
          <w:p w14:paraId="0E2F83CE" w14:textId="77777777" w:rsidR="00153ECA" w:rsidRPr="00685AEF" w:rsidRDefault="00153ECA" w:rsidP="00685AEF">
            <w:pPr>
              <w:jc w:val="center"/>
              <w:rPr>
                <w:b/>
                <w:color w:val="FFFFFF" w:themeColor="background1"/>
                <w:sz w:val="20"/>
              </w:rPr>
            </w:pPr>
            <w:r w:rsidRPr="00685AEF">
              <w:rPr>
                <w:b/>
                <w:color w:val="FFFFFF" w:themeColor="background1"/>
                <w:sz w:val="20"/>
              </w:rPr>
              <w:t>Low effect on decrease in interests</w:t>
            </w:r>
          </w:p>
        </w:tc>
        <w:tc>
          <w:tcPr>
            <w:tcW w:w="2330" w:type="dxa"/>
            <w:shd w:val="clear" w:color="auto" w:fill="FF0000"/>
            <w:vAlign w:val="center"/>
          </w:tcPr>
          <w:p w14:paraId="4FE02890" w14:textId="77777777" w:rsidR="00153ECA" w:rsidRPr="00685AEF" w:rsidRDefault="00153ECA" w:rsidP="00685AEF">
            <w:pPr>
              <w:jc w:val="center"/>
              <w:rPr>
                <w:b/>
                <w:color w:val="FFFFFF" w:themeColor="background1"/>
                <w:sz w:val="20"/>
              </w:rPr>
            </w:pPr>
            <w:r w:rsidRPr="00685AEF">
              <w:rPr>
                <w:b/>
                <w:color w:val="FFFFFF" w:themeColor="background1"/>
                <w:sz w:val="20"/>
              </w:rPr>
              <w:t>Low effect on project return when compared to subsidy</w:t>
            </w:r>
          </w:p>
        </w:tc>
        <w:tc>
          <w:tcPr>
            <w:tcW w:w="2330" w:type="dxa"/>
            <w:shd w:val="clear" w:color="auto" w:fill="FF0000"/>
          </w:tcPr>
          <w:p w14:paraId="6580F507" w14:textId="60820777" w:rsidR="00153ECA" w:rsidRPr="00685AEF" w:rsidRDefault="00153ECA" w:rsidP="00685AEF">
            <w:pPr>
              <w:jc w:val="center"/>
              <w:rPr>
                <w:b/>
                <w:bCs/>
                <w:color w:val="FFFFFF" w:themeColor="background1"/>
                <w:sz w:val="24"/>
                <w:szCs w:val="24"/>
              </w:rPr>
            </w:pPr>
            <w:r w:rsidRPr="00850075">
              <w:rPr>
                <w:b/>
                <w:color w:val="FFFFFF" w:themeColor="background1"/>
                <w:sz w:val="20"/>
              </w:rPr>
              <w:t>Regulated tenders for supplier - higher costs</w:t>
            </w:r>
          </w:p>
        </w:tc>
      </w:tr>
      <w:tr w:rsidR="00153ECA" w:rsidRPr="002C224A" w14:paraId="661225A1" w14:textId="77777777" w:rsidTr="00685AEF">
        <w:trPr>
          <w:trHeight w:val="456"/>
        </w:trPr>
        <w:tc>
          <w:tcPr>
            <w:tcW w:w="960" w:type="dxa"/>
            <w:vMerge/>
            <w:shd w:val="clear" w:color="auto" w:fill="FF0000"/>
            <w:vAlign w:val="center"/>
          </w:tcPr>
          <w:p w14:paraId="31C96823" w14:textId="77777777" w:rsidR="00153ECA" w:rsidRPr="00685AEF" w:rsidRDefault="00153ECA" w:rsidP="00153ECA">
            <w:pPr>
              <w:jc w:val="left"/>
              <w:rPr>
                <w:b/>
                <w:bCs/>
                <w:color w:val="FFFFFF" w:themeColor="background1"/>
                <w:sz w:val="24"/>
                <w:szCs w:val="24"/>
              </w:rPr>
            </w:pPr>
          </w:p>
        </w:tc>
        <w:tc>
          <w:tcPr>
            <w:tcW w:w="960" w:type="dxa"/>
            <w:vMerge/>
            <w:shd w:val="clear" w:color="auto" w:fill="FF0000"/>
            <w:noWrap/>
            <w:textDirection w:val="btLr"/>
            <w:vAlign w:val="center"/>
          </w:tcPr>
          <w:p w14:paraId="16ACCF53" w14:textId="77777777" w:rsidR="00153ECA" w:rsidRPr="00685AEF" w:rsidRDefault="00153ECA" w:rsidP="00153ECA">
            <w:pPr>
              <w:jc w:val="center"/>
              <w:rPr>
                <w:b/>
                <w:bCs/>
                <w:color w:val="FFFFFF" w:themeColor="background1"/>
                <w:sz w:val="24"/>
                <w:szCs w:val="24"/>
              </w:rPr>
            </w:pPr>
          </w:p>
        </w:tc>
        <w:tc>
          <w:tcPr>
            <w:tcW w:w="2414" w:type="dxa"/>
            <w:shd w:val="clear" w:color="auto" w:fill="FF0000"/>
            <w:vAlign w:val="center"/>
          </w:tcPr>
          <w:p w14:paraId="7E9A5700" w14:textId="77777777" w:rsidR="00153ECA" w:rsidRPr="00685AEF" w:rsidRDefault="00153ECA" w:rsidP="00685AEF">
            <w:pPr>
              <w:jc w:val="center"/>
              <w:rPr>
                <w:b/>
                <w:color w:val="FFFFFF" w:themeColor="background1"/>
                <w:sz w:val="20"/>
              </w:rPr>
            </w:pPr>
          </w:p>
        </w:tc>
        <w:tc>
          <w:tcPr>
            <w:tcW w:w="2330" w:type="dxa"/>
            <w:shd w:val="clear" w:color="auto" w:fill="FF0000"/>
            <w:vAlign w:val="center"/>
          </w:tcPr>
          <w:p w14:paraId="02088F85" w14:textId="77777777" w:rsidR="00153ECA" w:rsidRPr="00685AEF" w:rsidRDefault="00153ECA" w:rsidP="00685AEF">
            <w:pPr>
              <w:jc w:val="center"/>
              <w:rPr>
                <w:b/>
                <w:color w:val="FFFFFF" w:themeColor="background1"/>
                <w:sz w:val="20"/>
              </w:rPr>
            </w:pPr>
            <w:r w:rsidRPr="00685AEF">
              <w:rPr>
                <w:b/>
                <w:color w:val="FFFFFF" w:themeColor="background1"/>
                <w:sz w:val="20"/>
              </w:rPr>
              <w:t>Lower effect of funding availability for high-risk projects</w:t>
            </w:r>
          </w:p>
        </w:tc>
        <w:tc>
          <w:tcPr>
            <w:tcW w:w="2330" w:type="dxa"/>
            <w:shd w:val="clear" w:color="auto" w:fill="FF0000"/>
          </w:tcPr>
          <w:p w14:paraId="1D767FD1" w14:textId="776539D7" w:rsidR="00153ECA" w:rsidRPr="00685AEF" w:rsidRDefault="00153ECA" w:rsidP="00685AEF">
            <w:pPr>
              <w:jc w:val="center"/>
              <w:rPr>
                <w:b/>
                <w:bCs/>
                <w:color w:val="FFFFFF" w:themeColor="background1"/>
                <w:sz w:val="24"/>
                <w:szCs w:val="24"/>
              </w:rPr>
            </w:pPr>
            <w:r w:rsidRPr="00850075">
              <w:rPr>
                <w:b/>
                <w:color w:val="FFFFFF" w:themeColor="background1"/>
                <w:sz w:val="20"/>
              </w:rPr>
              <w:t>Necessity of pre-funding –  ex post payment</w:t>
            </w:r>
          </w:p>
        </w:tc>
      </w:tr>
      <w:tr w:rsidR="00153ECA" w:rsidRPr="002C224A" w14:paraId="7E9220DD" w14:textId="77777777" w:rsidTr="00685AEF">
        <w:trPr>
          <w:trHeight w:val="735"/>
        </w:trPr>
        <w:tc>
          <w:tcPr>
            <w:tcW w:w="960" w:type="dxa"/>
            <w:vMerge/>
            <w:shd w:val="clear" w:color="auto" w:fill="FF0000"/>
            <w:vAlign w:val="center"/>
          </w:tcPr>
          <w:p w14:paraId="613A84E0" w14:textId="77777777" w:rsidR="00153ECA" w:rsidRPr="00685AEF" w:rsidRDefault="00153ECA" w:rsidP="00153ECA">
            <w:pPr>
              <w:jc w:val="left"/>
              <w:rPr>
                <w:b/>
                <w:bCs/>
                <w:color w:val="FFFFFF" w:themeColor="background1"/>
                <w:sz w:val="24"/>
                <w:szCs w:val="24"/>
              </w:rPr>
            </w:pPr>
          </w:p>
        </w:tc>
        <w:tc>
          <w:tcPr>
            <w:tcW w:w="960" w:type="dxa"/>
            <w:vMerge/>
            <w:shd w:val="clear" w:color="auto" w:fill="FF0000"/>
            <w:noWrap/>
            <w:textDirection w:val="btLr"/>
            <w:vAlign w:val="center"/>
          </w:tcPr>
          <w:p w14:paraId="1D087B17" w14:textId="77777777" w:rsidR="00153ECA" w:rsidRPr="00685AEF" w:rsidRDefault="00153ECA" w:rsidP="00153ECA">
            <w:pPr>
              <w:jc w:val="center"/>
              <w:rPr>
                <w:b/>
                <w:bCs/>
                <w:color w:val="FFFFFF" w:themeColor="background1"/>
                <w:sz w:val="24"/>
                <w:szCs w:val="24"/>
              </w:rPr>
            </w:pPr>
          </w:p>
        </w:tc>
        <w:tc>
          <w:tcPr>
            <w:tcW w:w="2414" w:type="dxa"/>
            <w:shd w:val="clear" w:color="auto" w:fill="FF0000"/>
            <w:vAlign w:val="center"/>
          </w:tcPr>
          <w:p w14:paraId="6966E28A" w14:textId="77777777" w:rsidR="00153ECA" w:rsidRPr="00685AEF" w:rsidRDefault="00153ECA" w:rsidP="00685AEF">
            <w:pPr>
              <w:jc w:val="center"/>
              <w:rPr>
                <w:b/>
                <w:color w:val="FFFFFF" w:themeColor="background1"/>
                <w:sz w:val="20"/>
              </w:rPr>
            </w:pPr>
          </w:p>
        </w:tc>
        <w:tc>
          <w:tcPr>
            <w:tcW w:w="2330" w:type="dxa"/>
            <w:shd w:val="clear" w:color="auto" w:fill="FF0000"/>
            <w:vAlign w:val="center"/>
          </w:tcPr>
          <w:p w14:paraId="2B0DC963" w14:textId="77777777" w:rsidR="00153ECA" w:rsidRPr="00685AEF" w:rsidRDefault="00153ECA" w:rsidP="00685AEF">
            <w:pPr>
              <w:jc w:val="center"/>
              <w:rPr>
                <w:b/>
                <w:color w:val="FFFFFF" w:themeColor="background1"/>
                <w:sz w:val="20"/>
              </w:rPr>
            </w:pPr>
          </w:p>
        </w:tc>
        <w:tc>
          <w:tcPr>
            <w:tcW w:w="2330" w:type="dxa"/>
            <w:shd w:val="clear" w:color="auto" w:fill="FF0000"/>
          </w:tcPr>
          <w:p w14:paraId="4AF39B1A" w14:textId="0168F69A" w:rsidR="00153ECA" w:rsidRPr="00685AEF" w:rsidRDefault="00153ECA" w:rsidP="00685AEF">
            <w:pPr>
              <w:jc w:val="center"/>
              <w:rPr>
                <w:b/>
                <w:bCs/>
                <w:color w:val="FFFFFF" w:themeColor="background1"/>
                <w:sz w:val="24"/>
                <w:szCs w:val="24"/>
              </w:rPr>
            </w:pPr>
            <w:r w:rsidRPr="00850075">
              <w:rPr>
                <w:b/>
                <w:color w:val="FFFFFF" w:themeColor="background1"/>
                <w:sz w:val="20"/>
              </w:rPr>
              <w:t>Risk of additional removal of subsidy due to mistakes in projects and non-compliance of conditions</w:t>
            </w:r>
          </w:p>
        </w:tc>
      </w:tr>
      <w:tr w:rsidR="00153ECA" w:rsidRPr="002C224A" w14:paraId="71876632" w14:textId="77777777" w:rsidTr="00685AEF">
        <w:trPr>
          <w:trHeight w:val="735"/>
        </w:trPr>
        <w:tc>
          <w:tcPr>
            <w:tcW w:w="960" w:type="dxa"/>
            <w:vMerge/>
            <w:shd w:val="clear" w:color="auto" w:fill="FF0000"/>
            <w:vAlign w:val="center"/>
          </w:tcPr>
          <w:p w14:paraId="4703B81E" w14:textId="77777777" w:rsidR="00153ECA" w:rsidRPr="00685AEF" w:rsidRDefault="00153ECA" w:rsidP="00153ECA">
            <w:pPr>
              <w:jc w:val="left"/>
              <w:rPr>
                <w:b/>
                <w:bCs/>
                <w:color w:val="FFFFFF" w:themeColor="background1"/>
                <w:sz w:val="24"/>
                <w:szCs w:val="24"/>
              </w:rPr>
            </w:pPr>
          </w:p>
        </w:tc>
        <w:tc>
          <w:tcPr>
            <w:tcW w:w="960" w:type="dxa"/>
            <w:vMerge w:val="restart"/>
            <w:shd w:val="clear" w:color="auto" w:fill="FF0000"/>
            <w:noWrap/>
            <w:textDirection w:val="btLr"/>
            <w:vAlign w:val="center"/>
          </w:tcPr>
          <w:p w14:paraId="74BB3E39" w14:textId="77777777" w:rsidR="00153ECA" w:rsidRPr="00685AEF" w:rsidRDefault="00153ECA" w:rsidP="00153ECA">
            <w:pPr>
              <w:jc w:val="center"/>
              <w:rPr>
                <w:b/>
                <w:bCs/>
                <w:color w:val="FFFFFF" w:themeColor="background1"/>
                <w:sz w:val="24"/>
                <w:szCs w:val="24"/>
              </w:rPr>
            </w:pPr>
            <w:r w:rsidRPr="00685AEF">
              <w:rPr>
                <w:b/>
                <w:color w:val="FFFFFF" w:themeColor="background1"/>
                <w:sz w:val="24"/>
              </w:rPr>
              <w:t>MA</w:t>
            </w:r>
          </w:p>
        </w:tc>
        <w:tc>
          <w:tcPr>
            <w:tcW w:w="2414" w:type="dxa"/>
            <w:shd w:val="clear" w:color="auto" w:fill="FF0000"/>
            <w:vAlign w:val="center"/>
          </w:tcPr>
          <w:p w14:paraId="4E4EFD0E" w14:textId="77777777" w:rsidR="00153ECA" w:rsidRPr="00685AEF" w:rsidRDefault="00153ECA" w:rsidP="00685AEF">
            <w:pPr>
              <w:jc w:val="center"/>
              <w:rPr>
                <w:b/>
                <w:color w:val="FFFFFF" w:themeColor="background1"/>
                <w:sz w:val="20"/>
              </w:rPr>
            </w:pPr>
            <w:r w:rsidRPr="00685AEF">
              <w:rPr>
                <w:b/>
                <w:color w:val="FFFFFF" w:themeColor="background1"/>
                <w:sz w:val="20"/>
              </w:rPr>
              <w:t>Very low revolving effect</w:t>
            </w:r>
          </w:p>
        </w:tc>
        <w:tc>
          <w:tcPr>
            <w:tcW w:w="2330" w:type="dxa"/>
            <w:shd w:val="clear" w:color="auto" w:fill="FF0000"/>
            <w:vAlign w:val="center"/>
          </w:tcPr>
          <w:p w14:paraId="474ECEBD" w14:textId="77777777" w:rsidR="00153ECA" w:rsidRPr="00685AEF" w:rsidRDefault="00153ECA" w:rsidP="00685AEF">
            <w:pPr>
              <w:jc w:val="center"/>
              <w:rPr>
                <w:b/>
                <w:color w:val="FFFFFF" w:themeColor="background1"/>
                <w:sz w:val="20"/>
              </w:rPr>
            </w:pPr>
            <w:r w:rsidRPr="00685AEF">
              <w:rPr>
                <w:b/>
                <w:color w:val="FFFFFF" w:themeColor="background1"/>
                <w:sz w:val="20"/>
              </w:rPr>
              <w:t>Lower leverage effect than guarantees</w:t>
            </w:r>
          </w:p>
        </w:tc>
        <w:tc>
          <w:tcPr>
            <w:tcW w:w="2330" w:type="dxa"/>
            <w:shd w:val="clear" w:color="auto" w:fill="FF0000"/>
          </w:tcPr>
          <w:p w14:paraId="355DFB88" w14:textId="32C93169" w:rsidR="00153ECA" w:rsidRPr="00685AEF" w:rsidRDefault="00153ECA" w:rsidP="00685AEF">
            <w:pPr>
              <w:jc w:val="center"/>
              <w:rPr>
                <w:b/>
                <w:bCs/>
                <w:color w:val="FFFFFF" w:themeColor="background1"/>
                <w:sz w:val="24"/>
                <w:szCs w:val="24"/>
              </w:rPr>
            </w:pPr>
            <w:r w:rsidRPr="00850075">
              <w:rPr>
                <w:b/>
                <w:color w:val="FFFFFF" w:themeColor="background1"/>
                <w:sz w:val="20"/>
              </w:rPr>
              <w:t>Irrecoverable expenses</w:t>
            </w:r>
          </w:p>
        </w:tc>
      </w:tr>
      <w:tr w:rsidR="00153ECA" w:rsidRPr="002C224A" w14:paraId="3C066043" w14:textId="77777777" w:rsidTr="00685AEF">
        <w:trPr>
          <w:trHeight w:val="566"/>
        </w:trPr>
        <w:tc>
          <w:tcPr>
            <w:tcW w:w="960" w:type="dxa"/>
            <w:vMerge/>
            <w:shd w:val="clear" w:color="auto" w:fill="FF0000"/>
            <w:vAlign w:val="center"/>
          </w:tcPr>
          <w:p w14:paraId="72688B8A" w14:textId="77777777" w:rsidR="00153ECA" w:rsidRPr="002C224A" w:rsidRDefault="00153ECA" w:rsidP="00153ECA">
            <w:pPr>
              <w:jc w:val="left"/>
              <w:rPr>
                <w:b/>
                <w:bCs/>
                <w:color w:val="000000"/>
                <w:sz w:val="18"/>
                <w:szCs w:val="18"/>
              </w:rPr>
            </w:pPr>
          </w:p>
        </w:tc>
        <w:tc>
          <w:tcPr>
            <w:tcW w:w="960" w:type="dxa"/>
            <w:vMerge/>
            <w:shd w:val="clear" w:color="auto" w:fill="FF0000"/>
            <w:noWrap/>
            <w:textDirection w:val="btLr"/>
            <w:vAlign w:val="center"/>
          </w:tcPr>
          <w:p w14:paraId="2FBE253F" w14:textId="77777777" w:rsidR="00153ECA" w:rsidRPr="002C224A" w:rsidRDefault="00153ECA" w:rsidP="00153ECA">
            <w:pPr>
              <w:jc w:val="center"/>
              <w:rPr>
                <w:b/>
                <w:bCs/>
                <w:color w:val="000000"/>
                <w:sz w:val="18"/>
                <w:szCs w:val="18"/>
              </w:rPr>
            </w:pPr>
          </w:p>
        </w:tc>
        <w:tc>
          <w:tcPr>
            <w:tcW w:w="2414" w:type="dxa"/>
            <w:shd w:val="clear" w:color="auto" w:fill="FF0000"/>
            <w:vAlign w:val="center"/>
          </w:tcPr>
          <w:p w14:paraId="2CA79BF5" w14:textId="77777777" w:rsidR="00153ECA" w:rsidRPr="00685AEF" w:rsidRDefault="00153ECA" w:rsidP="00685AEF">
            <w:pPr>
              <w:jc w:val="center"/>
              <w:rPr>
                <w:b/>
                <w:color w:val="FFFFFF" w:themeColor="background1"/>
                <w:sz w:val="20"/>
              </w:rPr>
            </w:pPr>
            <w:r w:rsidRPr="00685AEF">
              <w:rPr>
                <w:b/>
                <w:color w:val="FFFFFF" w:themeColor="background1"/>
                <w:sz w:val="20"/>
              </w:rPr>
              <w:t>Low effect on investment activity</w:t>
            </w:r>
          </w:p>
        </w:tc>
        <w:tc>
          <w:tcPr>
            <w:tcW w:w="2330" w:type="dxa"/>
            <w:shd w:val="clear" w:color="auto" w:fill="FF0000"/>
            <w:vAlign w:val="center"/>
          </w:tcPr>
          <w:p w14:paraId="3516D714" w14:textId="77777777" w:rsidR="00153ECA" w:rsidRPr="00685AEF" w:rsidRDefault="00153ECA" w:rsidP="00685AEF">
            <w:pPr>
              <w:jc w:val="center"/>
              <w:rPr>
                <w:b/>
                <w:color w:val="FFFFFF" w:themeColor="background1"/>
                <w:sz w:val="20"/>
              </w:rPr>
            </w:pPr>
            <w:r w:rsidRPr="00685AEF">
              <w:rPr>
                <w:b/>
                <w:color w:val="FFFFFF" w:themeColor="background1"/>
                <w:sz w:val="20"/>
              </w:rPr>
              <w:t>Revolving limiting charges to intermediary entity</w:t>
            </w:r>
          </w:p>
        </w:tc>
        <w:tc>
          <w:tcPr>
            <w:tcW w:w="2330" w:type="dxa"/>
            <w:shd w:val="clear" w:color="auto" w:fill="FF0000"/>
          </w:tcPr>
          <w:p w14:paraId="4845E246" w14:textId="6B795D37" w:rsidR="00153ECA" w:rsidRPr="00685AEF" w:rsidRDefault="00153ECA" w:rsidP="00685AEF">
            <w:pPr>
              <w:jc w:val="center"/>
              <w:rPr>
                <w:b/>
                <w:bCs/>
                <w:color w:val="FFFFFF" w:themeColor="background1"/>
                <w:sz w:val="18"/>
                <w:szCs w:val="18"/>
              </w:rPr>
            </w:pPr>
            <w:r w:rsidRPr="00850075">
              <w:rPr>
                <w:b/>
                <w:color w:val="FFFFFF" w:themeColor="background1"/>
                <w:sz w:val="20"/>
              </w:rPr>
              <w:t>Number of supported projects directly limited by allocation</w:t>
            </w:r>
          </w:p>
        </w:tc>
      </w:tr>
      <w:tr w:rsidR="00153ECA" w:rsidRPr="002C224A" w14:paraId="75EEC4EB" w14:textId="77777777" w:rsidTr="00685AEF">
        <w:trPr>
          <w:trHeight w:val="264"/>
        </w:trPr>
        <w:tc>
          <w:tcPr>
            <w:tcW w:w="960" w:type="dxa"/>
            <w:vMerge/>
            <w:shd w:val="clear" w:color="auto" w:fill="FF0000"/>
            <w:vAlign w:val="center"/>
          </w:tcPr>
          <w:p w14:paraId="5BA7B318" w14:textId="77777777" w:rsidR="00153ECA" w:rsidRPr="002C224A" w:rsidRDefault="00153ECA" w:rsidP="00153ECA">
            <w:pPr>
              <w:jc w:val="left"/>
              <w:rPr>
                <w:b/>
                <w:bCs/>
                <w:color w:val="000000"/>
                <w:sz w:val="18"/>
                <w:szCs w:val="18"/>
              </w:rPr>
            </w:pPr>
          </w:p>
        </w:tc>
        <w:tc>
          <w:tcPr>
            <w:tcW w:w="960" w:type="dxa"/>
            <w:vMerge/>
            <w:shd w:val="clear" w:color="auto" w:fill="FF0000"/>
            <w:noWrap/>
            <w:textDirection w:val="btLr"/>
            <w:vAlign w:val="center"/>
          </w:tcPr>
          <w:p w14:paraId="4B8E87DE" w14:textId="77777777" w:rsidR="00153ECA" w:rsidRPr="002C224A" w:rsidRDefault="00153ECA" w:rsidP="00153ECA">
            <w:pPr>
              <w:jc w:val="center"/>
              <w:rPr>
                <w:b/>
                <w:bCs/>
                <w:color w:val="000000"/>
                <w:sz w:val="18"/>
                <w:szCs w:val="18"/>
              </w:rPr>
            </w:pPr>
          </w:p>
        </w:tc>
        <w:tc>
          <w:tcPr>
            <w:tcW w:w="2414" w:type="dxa"/>
            <w:shd w:val="clear" w:color="auto" w:fill="FF0000"/>
            <w:vAlign w:val="center"/>
          </w:tcPr>
          <w:p w14:paraId="35FF3BEC" w14:textId="2644362E" w:rsidR="00153ECA" w:rsidRPr="00685AEF" w:rsidRDefault="00153ECA" w:rsidP="00CF3F95">
            <w:pPr>
              <w:jc w:val="center"/>
              <w:rPr>
                <w:b/>
                <w:color w:val="FFFFFF" w:themeColor="background1"/>
                <w:sz w:val="20"/>
              </w:rPr>
            </w:pPr>
            <w:r w:rsidRPr="00685AEF">
              <w:rPr>
                <w:b/>
                <w:color w:val="FFFFFF" w:themeColor="background1"/>
                <w:sz w:val="20"/>
              </w:rPr>
              <w:t xml:space="preserve">Payment of </w:t>
            </w:r>
            <w:r w:rsidR="00CF3F95">
              <w:rPr>
                <w:b/>
                <w:color w:val="FFFFFF" w:themeColor="background1"/>
                <w:sz w:val="20"/>
              </w:rPr>
              <w:t>fees</w:t>
            </w:r>
            <w:r w:rsidRPr="00685AEF">
              <w:rPr>
                <w:b/>
                <w:color w:val="FFFFFF" w:themeColor="background1"/>
                <w:sz w:val="20"/>
              </w:rPr>
              <w:t xml:space="preserve"> to </w:t>
            </w:r>
            <w:r w:rsidR="003213A1">
              <w:rPr>
                <w:b/>
                <w:color w:val="FFFFFF" w:themeColor="background1"/>
                <w:sz w:val="20"/>
              </w:rPr>
              <w:t>recipient</w:t>
            </w:r>
          </w:p>
        </w:tc>
        <w:tc>
          <w:tcPr>
            <w:tcW w:w="2330" w:type="dxa"/>
            <w:shd w:val="clear" w:color="auto" w:fill="FF0000"/>
            <w:vAlign w:val="center"/>
          </w:tcPr>
          <w:p w14:paraId="1BAA9245" w14:textId="0E8CFA51" w:rsidR="00153ECA" w:rsidRPr="00685AEF" w:rsidRDefault="00153ECA" w:rsidP="00CF3F95">
            <w:pPr>
              <w:jc w:val="center"/>
              <w:rPr>
                <w:b/>
                <w:color w:val="FFFFFF" w:themeColor="background1"/>
                <w:sz w:val="20"/>
              </w:rPr>
            </w:pPr>
            <w:r w:rsidRPr="00685AEF">
              <w:rPr>
                <w:b/>
                <w:color w:val="FFFFFF" w:themeColor="background1"/>
                <w:sz w:val="20"/>
              </w:rPr>
              <w:t xml:space="preserve">Payment of </w:t>
            </w:r>
            <w:r w:rsidR="00CF3F95">
              <w:rPr>
                <w:b/>
                <w:color w:val="FFFFFF" w:themeColor="background1"/>
                <w:sz w:val="20"/>
              </w:rPr>
              <w:t>fees</w:t>
            </w:r>
            <w:r w:rsidRPr="00685AEF">
              <w:rPr>
                <w:b/>
                <w:color w:val="FFFFFF" w:themeColor="background1"/>
                <w:sz w:val="20"/>
              </w:rPr>
              <w:t xml:space="preserve"> to </w:t>
            </w:r>
            <w:r w:rsidR="003213A1">
              <w:rPr>
                <w:b/>
                <w:color w:val="FFFFFF" w:themeColor="background1"/>
                <w:sz w:val="20"/>
              </w:rPr>
              <w:t>recipient</w:t>
            </w:r>
          </w:p>
        </w:tc>
        <w:tc>
          <w:tcPr>
            <w:tcW w:w="2330" w:type="dxa"/>
            <w:shd w:val="clear" w:color="auto" w:fill="FF0000"/>
          </w:tcPr>
          <w:p w14:paraId="79BA2A1E" w14:textId="29F9E4AE" w:rsidR="00153ECA" w:rsidRPr="00685AEF" w:rsidRDefault="00153ECA" w:rsidP="00685AEF">
            <w:pPr>
              <w:jc w:val="center"/>
              <w:rPr>
                <w:b/>
                <w:bCs/>
                <w:color w:val="FFFFFF" w:themeColor="background1"/>
                <w:sz w:val="18"/>
                <w:szCs w:val="18"/>
              </w:rPr>
            </w:pPr>
            <w:r w:rsidRPr="00850075">
              <w:rPr>
                <w:b/>
                <w:color w:val="FFFFFF" w:themeColor="background1"/>
                <w:sz w:val="20"/>
              </w:rPr>
              <w:t>Slower drawing</w:t>
            </w:r>
          </w:p>
        </w:tc>
      </w:tr>
    </w:tbl>
    <w:p w14:paraId="64056DAB" w14:textId="103C5C33" w:rsidR="006D3AD5" w:rsidRPr="0073014D" w:rsidRDefault="006D3AD5" w:rsidP="003D68AA">
      <w:pPr>
        <w:pStyle w:val="Titulek"/>
      </w:pPr>
      <w:bookmarkStart w:id="890" w:name="_Toc414464598"/>
      <w:bookmarkStart w:id="891" w:name="_Toc416800478"/>
      <w:r>
        <w:t>Table 6</w:t>
      </w:r>
      <w:r w:rsidR="00696819">
        <w:t>8</w:t>
      </w:r>
      <w:r>
        <w:t>: Added value, disadvantages, problems and risks of public support</w:t>
      </w:r>
      <w:r w:rsidR="00CF3F95">
        <w:t xml:space="preserve"> for final recipient and SB</w:t>
      </w:r>
    </w:p>
    <w:p w14:paraId="3F4D3487" w14:textId="77777777" w:rsidR="006D3AD5" w:rsidRPr="0073014D" w:rsidRDefault="006D3AD5" w:rsidP="006D3AD5">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3AD5" w:rsidRPr="0073014D" w14:paraId="1DCC40D6" w14:textId="77777777" w:rsidTr="00443B8F">
        <w:tc>
          <w:tcPr>
            <w:tcW w:w="1729" w:type="dxa"/>
            <w:shd w:val="clear" w:color="auto" w:fill="548DD4"/>
          </w:tcPr>
          <w:p w14:paraId="0FE4FF1B" w14:textId="77777777" w:rsidR="006D3AD5" w:rsidRPr="00685AEF" w:rsidRDefault="006D3AD5" w:rsidP="00443B8F">
            <w:pPr>
              <w:pStyle w:val="Highlight2"/>
              <w:shd w:val="clear" w:color="auto" w:fill="8DB3E2"/>
              <w:jc w:val="center"/>
              <w:rPr>
                <w:rFonts w:ascii="Calibri" w:hAnsi="Calibri" w:cs="Calibri"/>
                <w:color w:val="FFFFFF" w:themeColor="background1"/>
                <w:sz w:val="22"/>
                <w:szCs w:val="22"/>
              </w:rPr>
            </w:pPr>
            <w:r w:rsidRPr="00685AEF">
              <w:rPr>
                <w:rFonts w:ascii="Calibri" w:hAnsi="Calibri"/>
                <w:color w:val="FFFFFF" w:themeColor="background1"/>
                <w:sz w:val="22"/>
              </w:rPr>
              <w:t>Market failure</w:t>
            </w:r>
          </w:p>
        </w:tc>
        <w:tc>
          <w:tcPr>
            <w:tcW w:w="2694" w:type="dxa"/>
            <w:shd w:val="clear" w:color="auto" w:fill="548DD4"/>
          </w:tcPr>
          <w:p w14:paraId="5F1B5D0A" w14:textId="77777777" w:rsidR="006D3AD5" w:rsidRPr="00685AEF" w:rsidRDefault="006D3AD5" w:rsidP="00443B8F">
            <w:pPr>
              <w:pStyle w:val="Highlight2"/>
              <w:shd w:val="clear" w:color="auto" w:fill="8DB3E2"/>
              <w:jc w:val="center"/>
              <w:rPr>
                <w:rFonts w:ascii="Calibri" w:hAnsi="Calibri" w:cs="Calibri"/>
                <w:bCs/>
                <w:color w:val="FFFFFF" w:themeColor="background1"/>
                <w:sz w:val="22"/>
                <w:szCs w:val="22"/>
              </w:rPr>
            </w:pPr>
            <w:r w:rsidRPr="00685AEF">
              <w:rPr>
                <w:rFonts w:ascii="Calibri" w:hAnsi="Calibri"/>
                <w:color w:val="FFFFFF" w:themeColor="background1"/>
                <w:sz w:val="22"/>
              </w:rPr>
              <w:t>Guarantee instrument</w:t>
            </w:r>
          </w:p>
        </w:tc>
        <w:tc>
          <w:tcPr>
            <w:tcW w:w="2268" w:type="dxa"/>
            <w:shd w:val="clear" w:color="auto" w:fill="548DD4"/>
          </w:tcPr>
          <w:p w14:paraId="37CD253F" w14:textId="77777777" w:rsidR="006D3AD5" w:rsidRPr="00685AEF" w:rsidRDefault="006D3AD5" w:rsidP="00443B8F">
            <w:pPr>
              <w:pStyle w:val="Highlight2"/>
              <w:shd w:val="clear" w:color="auto" w:fill="8DB3E2"/>
              <w:jc w:val="center"/>
              <w:rPr>
                <w:rFonts w:ascii="Calibri" w:hAnsi="Calibri" w:cs="Calibri"/>
                <w:color w:val="FFFFFF" w:themeColor="background1"/>
                <w:sz w:val="22"/>
                <w:szCs w:val="22"/>
              </w:rPr>
            </w:pPr>
            <w:r w:rsidRPr="00685AEF">
              <w:rPr>
                <w:rFonts w:ascii="Calibri" w:hAnsi="Calibri"/>
                <w:color w:val="FFFFFF" w:themeColor="background1"/>
                <w:sz w:val="22"/>
              </w:rPr>
              <w:t>Soft loan</w:t>
            </w:r>
          </w:p>
        </w:tc>
        <w:tc>
          <w:tcPr>
            <w:tcW w:w="2268" w:type="dxa"/>
            <w:shd w:val="clear" w:color="auto" w:fill="548DD4"/>
          </w:tcPr>
          <w:p w14:paraId="541AA8D8" w14:textId="77777777" w:rsidR="006D3AD5" w:rsidRPr="00685AEF" w:rsidRDefault="006D3AD5" w:rsidP="00443B8F">
            <w:pPr>
              <w:pStyle w:val="Highlight2"/>
              <w:shd w:val="clear" w:color="auto" w:fill="8DB3E2"/>
              <w:jc w:val="center"/>
              <w:rPr>
                <w:rFonts w:ascii="Calibri" w:hAnsi="Calibri" w:cs="Calibri"/>
                <w:bCs/>
                <w:color w:val="FFFFFF" w:themeColor="background1"/>
                <w:sz w:val="22"/>
                <w:szCs w:val="22"/>
              </w:rPr>
            </w:pPr>
            <w:r w:rsidRPr="00685AEF">
              <w:rPr>
                <w:rFonts w:ascii="Calibri" w:hAnsi="Calibri"/>
                <w:color w:val="FFFFFF" w:themeColor="background1"/>
                <w:sz w:val="22"/>
              </w:rPr>
              <w:t>Subsidy</w:t>
            </w:r>
          </w:p>
        </w:tc>
      </w:tr>
      <w:tr w:rsidR="006D3AD5" w:rsidRPr="0073014D" w14:paraId="322B567D" w14:textId="77777777" w:rsidTr="00443B8F">
        <w:trPr>
          <w:trHeight w:val="793"/>
        </w:trPr>
        <w:tc>
          <w:tcPr>
            <w:tcW w:w="1729" w:type="dxa"/>
          </w:tcPr>
          <w:p w14:paraId="3FE00777" w14:textId="77777777" w:rsidR="006D3AD5" w:rsidRPr="0073014D" w:rsidRDefault="006D3AD5" w:rsidP="00443B8F">
            <w:pPr>
              <w:pStyle w:val="Highlight2"/>
              <w:jc w:val="left"/>
              <w:rPr>
                <w:rFonts w:ascii="Calibri" w:hAnsi="Calibri" w:cs="Calibri"/>
                <w:color w:val="000000"/>
              </w:rPr>
            </w:pPr>
            <w:r>
              <w:rPr>
                <w:rFonts w:ascii="Calibri" w:hAnsi="Calibri"/>
                <w:color w:val="000000"/>
              </w:rPr>
              <w:t>Project costs and return</w:t>
            </w:r>
          </w:p>
        </w:tc>
        <w:tc>
          <w:tcPr>
            <w:tcW w:w="2694" w:type="dxa"/>
          </w:tcPr>
          <w:p w14:paraId="108B4324"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Does not have influence on the reduction of costs of a project and its return</w:t>
            </w:r>
          </w:p>
        </w:tc>
        <w:tc>
          <w:tcPr>
            <w:tcW w:w="2268" w:type="dxa"/>
          </w:tcPr>
          <w:p w14:paraId="499B6690"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Partially decreases interest expenses and initial costs of </w:t>
            </w:r>
            <w:r>
              <w:rPr>
                <w:rFonts w:ascii="Calibri" w:hAnsi="Calibri"/>
                <w:b w:val="0"/>
                <w:color w:val="000000"/>
              </w:rPr>
              <w:lastRenderedPageBreak/>
              <w:t>preparation, however, does not dramatically change return parameters</w:t>
            </w:r>
          </w:p>
        </w:tc>
        <w:tc>
          <w:tcPr>
            <w:tcW w:w="2268" w:type="dxa"/>
          </w:tcPr>
          <w:p w14:paraId="69BA7BC6"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lastRenderedPageBreak/>
              <w:t xml:space="preserve">Significantly reduces costs for applicants and, </w:t>
            </w:r>
            <w:r>
              <w:rPr>
                <w:rFonts w:ascii="Calibri" w:hAnsi="Calibri"/>
                <w:b w:val="0"/>
                <w:color w:val="000000"/>
              </w:rPr>
              <w:lastRenderedPageBreak/>
              <w:t>therefore, improves also the project return.</w:t>
            </w:r>
          </w:p>
        </w:tc>
      </w:tr>
      <w:tr w:rsidR="006D3AD5" w:rsidRPr="0073014D" w14:paraId="60500762" w14:textId="77777777" w:rsidTr="00443B8F">
        <w:trPr>
          <w:trHeight w:val="1521"/>
        </w:trPr>
        <w:tc>
          <w:tcPr>
            <w:tcW w:w="1729" w:type="dxa"/>
          </w:tcPr>
          <w:p w14:paraId="43A1C10B"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lastRenderedPageBreak/>
              <w:t>Project risk</w:t>
            </w:r>
          </w:p>
        </w:tc>
        <w:tc>
          <w:tcPr>
            <w:tcW w:w="2694" w:type="dxa"/>
          </w:tcPr>
          <w:p w14:paraId="2F778F59" w14:textId="008507D8"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From the viewpoint of lending, it divides risk among the </w:t>
            </w:r>
            <w:r w:rsidR="00AA2E8C">
              <w:rPr>
                <w:rFonts w:ascii="Calibri" w:hAnsi="Calibri"/>
                <w:b w:val="0"/>
                <w:color w:val="000000"/>
              </w:rPr>
              <w:t>final recipient, bank and FI</w:t>
            </w:r>
            <w:r>
              <w:rPr>
                <w:rFonts w:ascii="Calibri" w:hAnsi="Calibri"/>
                <w:b w:val="0"/>
                <w:color w:val="000000"/>
              </w:rPr>
              <w:t>. More liquid pledge, considerable risk reduction for crediting institution</w:t>
            </w:r>
          </w:p>
          <w:p w14:paraId="18C326B2" w14:textId="77777777" w:rsidR="006D3AD5" w:rsidRPr="0073014D" w:rsidRDefault="006D3AD5" w:rsidP="00443B8F">
            <w:pPr>
              <w:pStyle w:val="Highlight2"/>
              <w:jc w:val="center"/>
              <w:rPr>
                <w:rFonts w:ascii="Calibri" w:hAnsi="Calibri" w:cs="Calibri"/>
                <w:b w:val="0"/>
                <w:color w:val="000000"/>
              </w:rPr>
            </w:pPr>
          </w:p>
          <w:p w14:paraId="11B03A95" w14:textId="265AB8AA"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30C41748" w14:textId="77777777" w:rsidR="006D3AD5" w:rsidRPr="0073014D" w:rsidRDefault="006D3AD5" w:rsidP="00443B8F">
            <w:pPr>
              <w:pStyle w:val="Highlight2"/>
              <w:jc w:val="center"/>
              <w:rPr>
                <w:rFonts w:ascii="Calibri" w:hAnsi="Calibri" w:cs="Calibri"/>
                <w:b w:val="0"/>
                <w:color w:val="000000"/>
              </w:rPr>
            </w:pPr>
          </w:p>
          <w:p w14:paraId="6DBE04FD" w14:textId="77777777" w:rsidR="006D3AD5" w:rsidRPr="0073014D" w:rsidRDefault="006D3AD5" w:rsidP="00443B8F">
            <w:pPr>
              <w:pStyle w:val="Highlight2"/>
              <w:jc w:val="center"/>
              <w:rPr>
                <w:rFonts w:ascii="Calibri" w:hAnsi="Calibri" w:cs="Calibri"/>
                <w:b w:val="0"/>
                <w:color w:val="000000"/>
              </w:rPr>
            </w:pPr>
          </w:p>
        </w:tc>
        <w:tc>
          <w:tcPr>
            <w:tcW w:w="2268" w:type="dxa"/>
          </w:tcPr>
          <w:p w14:paraId="2DD243F7" w14:textId="03B675F4"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Divides risk among </w:t>
            </w:r>
            <w:r w:rsidR="00AA2E8C">
              <w:rPr>
                <w:rFonts w:ascii="Calibri" w:hAnsi="Calibri"/>
                <w:b w:val="0"/>
                <w:color w:val="000000"/>
              </w:rPr>
              <w:t>final recipient, bank and FI</w:t>
            </w:r>
            <w:r>
              <w:rPr>
                <w:rFonts w:ascii="Calibri" w:hAnsi="Calibri"/>
                <w:b w:val="0"/>
                <w:color w:val="000000"/>
              </w:rPr>
              <w:t>.</w:t>
            </w:r>
          </w:p>
          <w:p w14:paraId="76861D7D" w14:textId="77777777" w:rsidR="006D3AD5" w:rsidRPr="0073014D" w:rsidRDefault="006D3AD5" w:rsidP="00443B8F">
            <w:pPr>
              <w:pStyle w:val="Highlight2"/>
              <w:jc w:val="center"/>
              <w:rPr>
                <w:rFonts w:ascii="Calibri" w:hAnsi="Calibri" w:cs="Calibri"/>
                <w:b w:val="0"/>
                <w:color w:val="000000"/>
              </w:rPr>
            </w:pPr>
          </w:p>
          <w:p w14:paraId="12263E8C" w14:textId="049A3F1B"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603A3755" w14:textId="77777777" w:rsidR="006D3AD5" w:rsidRPr="0073014D" w:rsidRDefault="006D3AD5" w:rsidP="00443B8F">
            <w:pPr>
              <w:pStyle w:val="Highlight2"/>
              <w:jc w:val="center"/>
              <w:rPr>
                <w:rFonts w:ascii="Calibri" w:hAnsi="Calibri" w:cs="Calibri"/>
                <w:b w:val="0"/>
                <w:color w:val="000000"/>
              </w:rPr>
            </w:pPr>
          </w:p>
          <w:p w14:paraId="346993BE" w14:textId="77777777" w:rsidR="006D3AD5" w:rsidRPr="0073014D" w:rsidRDefault="006D3AD5" w:rsidP="00443B8F">
            <w:pPr>
              <w:pStyle w:val="Highlight2"/>
              <w:jc w:val="center"/>
              <w:rPr>
                <w:rFonts w:ascii="Calibri" w:hAnsi="Calibri" w:cs="Calibri"/>
                <w:b w:val="0"/>
                <w:color w:val="000000"/>
              </w:rPr>
            </w:pPr>
          </w:p>
        </w:tc>
        <w:tc>
          <w:tcPr>
            <w:tcW w:w="2268" w:type="dxa"/>
          </w:tcPr>
          <w:p w14:paraId="5155AE06" w14:textId="7356B3E2" w:rsidR="006D3AD5" w:rsidRPr="0073014D" w:rsidRDefault="00AA2E8C" w:rsidP="00443B8F">
            <w:pPr>
              <w:pStyle w:val="Highlight2"/>
              <w:jc w:val="center"/>
              <w:rPr>
                <w:rFonts w:ascii="Calibri" w:hAnsi="Calibri" w:cs="Calibri"/>
                <w:b w:val="0"/>
                <w:color w:val="000000"/>
              </w:rPr>
            </w:pPr>
            <w:r>
              <w:rPr>
                <w:rFonts w:ascii="Calibri" w:hAnsi="Calibri"/>
                <w:b w:val="0"/>
                <w:color w:val="000000"/>
              </w:rPr>
              <w:t>Subsidy of part of costs reduces the final recipient</w:t>
            </w:r>
            <w:r w:rsidR="006D3AD5">
              <w:rPr>
                <w:rFonts w:ascii="Calibri" w:hAnsi="Calibri"/>
                <w:b w:val="0"/>
                <w:color w:val="000000"/>
              </w:rPr>
              <w:t xml:space="preserve">'s risk from negative revitalisation development. </w:t>
            </w:r>
            <w:r>
              <w:rPr>
                <w:rFonts w:ascii="Calibri" w:hAnsi="Calibri"/>
                <w:b w:val="0"/>
                <w:color w:val="000000"/>
              </w:rPr>
              <w:t>Final recipient accepts the</w:t>
            </w:r>
            <w:r w:rsidR="006D3AD5">
              <w:rPr>
                <w:rFonts w:ascii="Calibri" w:hAnsi="Calibri"/>
                <w:b w:val="0"/>
                <w:color w:val="000000"/>
              </w:rPr>
              <w:t xml:space="preserve"> risk only up to the amount of participation of eligible and non-eligible costs</w:t>
            </w:r>
          </w:p>
          <w:p w14:paraId="5F01F964" w14:textId="77777777" w:rsidR="006D3AD5" w:rsidRPr="0073014D" w:rsidRDefault="006D3AD5" w:rsidP="00443B8F">
            <w:pPr>
              <w:pStyle w:val="Highlight2"/>
              <w:jc w:val="center"/>
              <w:rPr>
                <w:rFonts w:ascii="Calibri" w:hAnsi="Calibri" w:cs="Calibri"/>
                <w:b w:val="0"/>
                <w:color w:val="000000"/>
              </w:rPr>
            </w:pPr>
          </w:p>
          <w:p w14:paraId="69C949AB"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Improved credit possibility of subsidised projects</w:t>
            </w:r>
            <w:r w:rsidR="00717340">
              <w:rPr>
                <w:rFonts w:ascii="Calibri" w:hAnsi="Calibri"/>
                <w:b w:val="0"/>
                <w:color w:val="000000"/>
              </w:rPr>
              <w:t>.</w:t>
            </w:r>
          </w:p>
          <w:p w14:paraId="6A1C04E1" w14:textId="1DBCE1A1" w:rsidR="006D3AD5" w:rsidRPr="0073014D" w:rsidRDefault="006D3AD5" w:rsidP="00443B8F">
            <w:pPr>
              <w:pStyle w:val="Highlight2"/>
              <w:jc w:val="center"/>
              <w:rPr>
                <w:rFonts w:ascii="Calibri" w:hAnsi="Calibri" w:cs="Calibri"/>
                <w:b w:val="0"/>
                <w:color w:val="000000"/>
              </w:rPr>
            </w:pPr>
          </w:p>
          <w:p w14:paraId="4FF40AD2"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 SB knows losses given in advance up to the absolute amount of subsidy.</w:t>
            </w:r>
          </w:p>
        </w:tc>
      </w:tr>
      <w:tr w:rsidR="006D3AD5" w:rsidRPr="0073014D" w14:paraId="2FD5A176" w14:textId="77777777" w:rsidTr="00443B8F">
        <w:trPr>
          <w:trHeight w:val="1474"/>
        </w:trPr>
        <w:tc>
          <w:tcPr>
            <w:tcW w:w="1729" w:type="dxa"/>
          </w:tcPr>
          <w:p w14:paraId="7938266C" w14:textId="77777777" w:rsidR="006D3AD5" w:rsidRPr="0073014D" w:rsidRDefault="006D3AD5" w:rsidP="00443B8F">
            <w:pPr>
              <w:rPr>
                <w:rFonts w:cs="Calibri"/>
                <w:b/>
                <w:sz w:val="20"/>
              </w:rPr>
            </w:pPr>
            <w:r>
              <w:rPr>
                <w:b/>
                <w:sz w:val="20"/>
              </w:rPr>
              <w:t>Administrative burden</w:t>
            </w:r>
          </w:p>
        </w:tc>
        <w:tc>
          <w:tcPr>
            <w:tcW w:w="2694" w:type="dxa"/>
          </w:tcPr>
          <w:p w14:paraId="7A26E5AE"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Simple administrative, without risk of removing subsidy due to technical mistakes</w:t>
            </w:r>
          </w:p>
          <w:p w14:paraId="41464C81" w14:textId="77777777" w:rsidR="006D3AD5" w:rsidRPr="0073014D" w:rsidRDefault="006D3AD5" w:rsidP="00443B8F">
            <w:pPr>
              <w:pStyle w:val="Highlight2"/>
              <w:jc w:val="center"/>
              <w:rPr>
                <w:rFonts w:ascii="Calibri" w:hAnsi="Calibri" w:cs="Calibri"/>
                <w:b w:val="0"/>
                <w:bCs/>
                <w:color w:val="000000"/>
              </w:rPr>
            </w:pPr>
          </w:p>
        </w:tc>
        <w:tc>
          <w:tcPr>
            <w:tcW w:w="2268" w:type="dxa"/>
          </w:tcPr>
          <w:p w14:paraId="40F1DA4A" w14:textId="77777777" w:rsidR="006D3AD5" w:rsidRPr="0073014D" w:rsidRDefault="006D3AD5" w:rsidP="00443B8F">
            <w:pPr>
              <w:rPr>
                <w:sz w:val="20"/>
              </w:rPr>
            </w:pPr>
            <w:r>
              <w:rPr>
                <w:sz w:val="20"/>
              </w:rPr>
              <w:t>Simple administrative, without risk of removing subsidy due to technical mistakes</w:t>
            </w:r>
          </w:p>
        </w:tc>
        <w:tc>
          <w:tcPr>
            <w:tcW w:w="2268" w:type="dxa"/>
          </w:tcPr>
          <w:p w14:paraId="1950122A" w14:textId="1A494EF5" w:rsidR="006D3AD5" w:rsidRPr="0073014D" w:rsidRDefault="006D3AD5" w:rsidP="00443B8F">
            <w:pPr>
              <w:rPr>
                <w:sz w:val="20"/>
              </w:rPr>
            </w:pPr>
            <w:r>
              <w:rPr>
                <w:sz w:val="20"/>
              </w:rPr>
              <w:t xml:space="preserve">High administrative and regulation </w:t>
            </w:r>
            <w:r w:rsidR="00AA2E8C">
              <w:rPr>
                <w:sz w:val="20"/>
              </w:rPr>
              <w:t>burden limit final recipient</w:t>
            </w:r>
            <w:r>
              <w:rPr>
                <w:sz w:val="20"/>
              </w:rPr>
              <w:t>, increase costs and bring risk of removing subsidy.</w:t>
            </w:r>
          </w:p>
        </w:tc>
      </w:tr>
      <w:tr w:rsidR="006D3AD5" w:rsidRPr="0073014D" w14:paraId="20E7F498" w14:textId="77777777" w:rsidTr="00443B8F">
        <w:tc>
          <w:tcPr>
            <w:tcW w:w="1729" w:type="dxa"/>
          </w:tcPr>
          <w:p w14:paraId="319FFB4B"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t>Total effect on investment activity and absorption in SC</w:t>
            </w:r>
          </w:p>
        </w:tc>
        <w:tc>
          <w:tcPr>
            <w:tcW w:w="2694" w:type="dxa"/>
          </w:tcPr>
          <w:p w14:paraId="61783466"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Guarantee has not significant influence on the investment activity in RES area, partially only in segment of risk SMEs.</w:t>
            </w:r>
          </w:p>
        </w:tc>
        <w:tc>
          <w:tcPr>
            <w:tcW w:w="2268" w:type="dxa"/>
          </w:tcPr>
          <w:p w14:paraId="5B7F2A2F" w14:textId="77777777" w:rsidR="006D3AD5" w:rsidRPr="0073014D" w:rsidRDefault="006D3AD5" w:rsidP="00443B8F">
            <w:pPr>
              <w:rPr>
                <w:sz w:val="20"/>
              </w:rPr>
            </w:pPr>
            <w:r>
              <w:rPr>
                <w:sz w:val="20"/>
              </w:rPr>
              <w:t>Slight shortening of the payback period, access to higher external funding and contribution to project preparation</w:t>
            </w:r>
          </w:p>
          <w:p w14:paraId="388233F4" w14:textId="77777777" w:rsidR="006D3AD5" w:rsidRPr="0073014D" w:rsidRDefault="006D3AD5" w:rsidP="00443B8F">
            <w:pPr>
              <w:rPr>
                <w:sz w:val="20"/>
              </w:rPr>
            </w:pPr>
            <w:r>
              <w:rPr>
                <w:sz w:val="20"/>
              </w:rPr>
              <w:t>enables higher investment activity in the SHPP segment, which continues to be supported by operational support.</w:t>
            </w:r>
          </w:p>
          <w:p w14:paraId="760FDA2D" w14:textId="77777777" w:rsidR="006D3AD5" w:rsidRPr="0073014D" w:rsidRDefault="006D3AD5" w:rsidP="00443B8F">
            <w:pPr>
              <w:rPr>
                <w:sz w:val="20"/>
              </w:rPr>
            </w:pPr>
            <w:r>
              <w:rPr>
                <w:sz w:val="20"/>
              </w:rPr>
              <w:t>Motivation effect on investments is rather small, in particular in case of BGSs.</w:t>
            </w:r>
          </w:p>
          <w:p w14:paraId="5931D593" w14:textId="77777777" w:rsidR="006D3AD5" w:rsidRPr="0073014D" w:rsidRDefault="006D3AD5" w:rsidP="00443B8F">
            <w:pPr>
              <w:pStyle w:val="Highlight2"/>
              <w:jc w:val="center"/>
              <w:rPr>
                <w:rFonts w:ascii="Calibri" w:hAnsi="Calibri" w:cs="Calibri"/>
                <w:b w:val="0"/>
                <w:color w:val="000000"/>
                <w:szCs w:val="20"/>
              </w:rPr>
            </w:pPr>
          </w:p>
        </w:tc>
        <w:tc>
          <w:tcPr>
            <w:tcW w:w="2268" w:type="dxa"/>
          </w:tcPr>
          <w:p w14:paraId="67DB5186" w14:textId="77777777" w:rsidR="006D3AD5" w:rsidRPr="0073014D" w:rsidRDefault="006D3AD5" w:rsidP="00443B8F">
            <w:pPr>
              <w:rPr>
                <w:sz w:val="20"/>
              </w:rPr>
            </w:pPr>
            <w:r>
              <w:rPr>
                <w:sz w:val="20"/>
              </w:rPr>
              <w:t>Visible effect on project cost intensity and return can significantly stimulate activities of utilising heat from BGSs as well as biomass.</w:t>
            </w:r>
          </w:p>
          <w:p w14:paraId="63D37BD0" w14:textId="77777777" w:rsidR="006D3AD5" w:rsidRPr="0073014D" w:rsidRDefault="006D3AD5" w:rsidP="00443B8F">
            <w:pPr>
              <w:rPr>
                <w:sz w:val="20"/>
              </w:rPr>
            </w:pPr>
          </w:p>
          <w:p w14:paraId="4341B740" w14:textId="77777777" w:rsidR="006D3AD5" w:rsidRPr="0073014D" w:rsidRDefault="006D3AD5" w:rsidP="00443B8F">
            <w:pPr>
              <w:rPr>
                <w:sz w:val="20"/>
              </w:rPr>
            </w:pPr>
            <w:r>
              <w:rPr>
                <w:sz w:val="20"/>
              </w:rPr>
              <w:t>In case of SHPP, there is conflict with operational support and mutual of these forms of support.</w:t>
            </w:r>
          </w:p>
          <w:p w14:paraId="4B1FE02D" w14:textId="77777777" w:rsidR="006D3AD5" w:rsidRPr="0073014D" w:rsidRDefault="006D3AD5" w:rsidP="00443B8F">
            <w:pPr>
              <w:rPr>
                <w:rFonts w:cs="Calibri"/>
                <w:sz w:val="20"/>
              </w:rPr>
            </w:pPr>
          </w:p>
        </w:tc>
      </w:tr>
      <w:tr w:rsidR="006D3AD5" w:rsidRPr="0073014D" w14:paraId="2901874D" w14:textId="77777777" w:rsidTr="00443B8F">
        <w:tc>
          <w:tcPr>
            <w:tcW w:w="1729" w:type="dxa"/>
          </w:tcPr>
          <w:p w14:paraId="7D9F2150" w14:textId="77777777" w:rsidR="006D3AD5" w:rsidRPr="0073014D" w:rsidRDefault="006D3AD5" w:rsidP="00443B8F">
            <w:pPr>
              <w:pStyle w:val="Highlight2"/>
              <w:jc w:val="left"/>
              <w:rPr>
                <w:rFonts w:ascii="Calibri" w:hAnsi="Calibri" w:cs="Calibri"/>
                <w:color w:val="000000"/>
                <w:szCs w:val="20"/>
              </w:rPr>
            </w:pPr>
            <w:r>
              <w:rPr>
                <w:rFonts w:ascii="Calibri" w:hAnsi="Calibri"/>
                <w:color w:val="000000"/>
              </w:rPr>
              <w:t>Effect of disruption of market environment</w:t>
            </w:r>
          </w:p>
        </w:tc>
        <w:tc>
          <w:tcPr>
            <w:tcW w:w="2694" w:type="dxa"/>
          </w:tcPr>
          <w:p w14:paraId="5CCDFFCF" w14:textId="77777777" w:rsidR="006D3AD5" w:rsidRPr="0073014D" w:rsidRDefault="006D3AD5" w:rsidP="00443B8F">
            <w:pPr>
              <w:pStyle w:val="Highlight2"/>
              <w:jc w:val="center"/>
              <w:rPr>
                <w:rFonts w:ascii="Calibri" w:hAnsi="Calibri" w:cs="Calibri"/>
                <w:b w:val="0"/>
                <w:bCs/>
                <w:color w:val="000000"/>
                <w:szCs w:val="20"/>
              </w:rPr>
            </w:pPr>
            <w:r>
              <w:rPr>
                <w:rFonts w:ascii="Calibri" w:hAnsi="Calibri"/>
                <w:b w:val="0"/>
                <w:color w:val="000000"/>
              </w:rPr>
              <w:t>Minimum influence on the market environment, increase competition by removing financial barrier for smaller entities</w:t>
            </w:r>
          </w:p>
        </w:tc>
        <w:tc>
          <w:tcPr>
            <w:tcW w:w="2268" w:type="dxa"/>
          </w:tcPr>
          <w:p w14:paraId="65DB8AE1"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Small influence on the market environment, recoverable support motivates economic effective behaviour of entities</w:t>
            </w:r>
          </w:p>
          <w:p w14:paraId="326BBC0C" w14:textId="77777777" w:rsidR="006D3AD5" w:rsidRPr="0073014D" w:rsidRDefault="006D3AD5" w:rsidP="00443B8F">
            <w:pPr>
              <w:pStyle w:val="Highlight2"/>
              <w:jc w:val="center"/>
              <w:rPr>
                <w:rFonts w:ascii="Calibri" w:hAnsi="Calibri" w:cs="Calibri"/>
                <w:b w:val="0"/>
                <w:color w:val="000000"/>
                <w:szCs w:val="20"/>
              </w:rPr>
            </w:pPr>
          </w:p>
          <w:p w14:paraId="6A19D7D2"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Supplementation of private financial market</w:t>
            </w:r>
          </w:p>
          <w:p w14:paraId="7C798DB8" w14:textId="77777777" w:rsidR="006D3AD5" w:rsidRPr="0073014D" w:rsidRDefault="006D3AD5" w:rsidP="00443B8F">
            <w:pPr>
              <w:rPr>
                <w:sz w:val="20"/>
              </w:rPr>
            </w:pPr>
            <w:r>
              <w:rPr>
                <w:sz w:val="20"/>
              </w:rPr>
              <w:t>Does not disturb market environment like in the case of an operational subsidy</w:t>
            </w:r>
          </w:p>
        </w:tc>
        <w:tc>
          <w:tcPr>
            <w:tcW w:w="2268" w:type="dxa"/>
          </w:tcPr>
          <w:p w14:paraId="5E3EC467" w14:textId="77777777" w:rsidR="006D3AD5" w:rsidRPr="0073014D" w:rsidRDefault="006D3AD5" w:rsidP="00443B8F">
            <w:pPr>
              <w:rPr>
                <w:sz w:val="20"/>
              </w:rPr>
            </w:pPr>
            <w:r>
              <w:rPr>
                <w:sz w:val="20"/>
              </w:rPr>
              <w:t>Subsidies mean advantages for business of affected entities, nevertheless, they balance market failure to certain extent. Within market it is not serious disruption contrary to operational subsidy</w:t>
            </w:r>
          </w:p>
        </w:tc>
      </w:tr>
    </w:tbl>
    <w:p w14:paraId="18930D0C" w14:textId="6D04E3DF" w:rsidR="006D3AD5" w:rsidRPr="00685AEF" w:rsidRDefault="006D3AD5" w:rsidP="003D68AA">
      <w:pPr>
        <w:pStyle w:val="Titulek"/>
      </w:pPr>
      <w:r w:rsidRPr="00685AEF">
        <w:lastRenderedPageBreak/>
        <w:t>Table 6</w:t>
      </w:r>
      <w:r w:rsidR="00696819" w:rsidRPr="00685AEF">
        <w:t>9</w:t>
      </w:r>
      <w:r w:rsidRPr="00685AEF">
        <w:t xml:space="preserve"> – Added value of support for objectives </w:t>
      </w:r>
      <w:r w:rsidR="00685AEF">
        <w:t xml:space="preserve">SO </w:t>
      </w:r>
      <w:r w:rsidRPr="00685AEF">
        <w:t xml:space="preserve">3.1 </w:t>
      </w:r>
    </w:p>
    <w:p w14:paraId="5C68390F" w14:textId="77777777" w:rsidR="006D3AD5" w:rsidRPr="0073014D" w:rsidRDefault="006D3AD5" w:rsidP="006D3AD5"/>
    <w:p w14:paraId="2561DB07" w14:textId="1AB5753D" w:rsidR="006D3AD5" w:rsidRPr="0073014D" w:rsidRDefault="006D3AD5" w:rsidP="006D3AD5">
      <w:r>
        <w:t>The comparison of the added value shows that, within the activities of BGSs and heat from biomass, subsidy support can be a more suitable instrument. On the other hand, within SHPPs, there is space for a credit instrument which within the market does not represent significant disruption and it is not overcompensation by the public support.</w:t>
      </w:r>
    </w:p>
    <w:p w14:paraId="29EB5584" w14:textId="77777777" w:rsidR="006D3AD5" w:rsidRPr="0073014D" w:rsidRDefault="006D3AD5" w:rsidP="006D3AD5">
      <w:pPr>
        <w:pStyle w:val="Neslovannadpisy"/>
        <w:rPr>
          <w:b w:val="0"/>
          <w:color w:val="000000"/>
        </w:rPr>
      </w:pPr>
    </w:p>
    <w:p w14:paraId="443C83FE" w14:textId="77777777" w:rsidR="006D3AD5" w:rsidRPr="0073014D" w:rsidRDefault="006D3AD5" w:rsidP="006D3AD5">
      <w:pPr>
        <w:pStyle w:val="Nadpis4"/>
        <w:rPr>
          <w:rFonts w:ascii="Calibri" w:hAnsi="Calibri"/>
          <w:color w:val="000000"/>
        </w:rPr>
      </w:pPr>
      <w:r>
        <w:rPr>
          <w:rFonts w:ascii="Calibri" w:hAnsi="Calibri"/>
          <w:color w:val="000000"/>
        </w:rPr>
        <w:t>Concordance with other forms of public interventions</w:t>
      </w:r>
    </w:p>
    <w:p w14:paraId="60A07559" w14:textId="77777777" w:rsidR="006D3AD5" w:rsidRPr="0073014D" w:rsidRDefault="006D3AD5" w:rsidP="006D3AD5"/>
    <w:p w14:paraId="06C2BB84" w14:textId="6E725E9F" w:rsidR="006D3AD5" w:rsidRPr="0073014D" w:rsidRDefault="006D3AD5" w:rsidP="006D3AD5">
      <w:r>
        <w:t xml:space="preserve">Support in </w:t>
      </w:r>
      <w:r w:rsidR="00685AEF">
        <w:t xml:space="preserve">SO </w:t>
      </w:r>
      <w:r>
        <w:t>3.1 is complementary to the RES support within OPE and the programme of New Green to Savings, which is aimed at non-business entities. In the case of co-generation, investment support for heat production shows synergy with operational support for the purchase of electricity. A problem arises in the case of SHPPs which need to be adjusted in the combinability of both supports in the case of FI to limit mutual exclusion effect and enable effective synergy.</w:t>
      </w:r>
    </w:p>
    <w:p w14:paraId="77A064CE" w14:textId="77777777" w:rsidR="006D3AD5" w:rsidRPr="0073014D" w:rsidRDefault="006D3AD5" w:rsidP="006D3AD5"/>
    <w:p w14:paraId="5F483955" w14:textId="77777777" w:rsidR="006D3AD5" w:rsidRPr="0073014D" w:rsidRDefault="006D3AD5" w:rsidP="006D3AD5">
      <w:r>
        <w:t>Important complementarity includes also an option of the integration of the Investment Plan for Europe and the European Fund for Strategic Investments.</w:t>
      </w:r>
    </w:p>
    <w:p w14:paraId="70CC4D83" w14:textId="77777777" w:rsidR="006D3AD5" w:rsidRPr="0073014D" w:rsidRDefault="006D3AD5" w:rsidP="006D3AD5">
      <w:pPr>
        <w:pStyle w:val="Nadpis4"/>
        <w:rPr>
          <w:rFonts w:ascii="Calibri" w:hAnsi="Calibri"/>
          <w:color w:val="000000"/>
        </w:rPr>
      </w:pPr>
      <w:r>
        <w:rPr>
          <w:rFonts w:ascii="Calibri" w:hAnsi="Calibri"/>
          <w:color w:val="000000"/>
        </w:rPr>
        <w:t>Possible solution of public support</w:t>
      </w:r>
    </w:p>
    <w:p w14:paraId="68C6A069" w14:textId="77777777" w:rsidR="006D3AD5" w:rsidRPr="0073014D" w:rsidRDefault="006D3AD5" w:rsidP="006D3AD5">
      <w:pPr>
        <w:pStyle w:val="Neslovannadpisy"/>
        <w:rPr>
          <w:b w:val="0"/>
          <w:color w:val="000000"/>
        </w:rPr>
      </w:pPr>
    </w:p>
    <w:p w14:paraId="2704C5DF" w14:textId="72DE9681" w:rsidR="006D3AD5" w:rsidRPr="0073014D" w:rsidRDefault="006D3AD5" w:rsidP="006D3AD5">
      <w:pPr>
        <w:pStyle w:val="Neslovannadpisy"/>
        <w:rPr>
          <w:color w:val="000000"/>
        </w:rPr>
      </w:pPr>
      <w:r>
        <w:rPr>
          <w:b w:val="0"/>
          <w:color w:val="000000"/>
        </w:rPr>
        <w:t xml:space="preserve">Public support of the financial instrument should be solved as the support of </w:t>
      </w:r>
      <w:r>
        <w:rPr>
          <w:b w:val="0"/>
          <w:i/>
          <w:color w:val="000000"/>
        </w:rPr>
        <w:t xml:space="preserve">de minimis </w:t>
      </w:r>
      <w:r>
        <w:rPr>
          <w:b w:val="0"/>
          <w:color w:val="000000"/>
        </w:rPr>
        <w:t xml:space="preserve">or the support as per the General Regulation on Block Exceptions, No. 651/2014. Public support is assumed only at the level of </w:t>
      </w:r>
      <w:r w:rsidR="00CF3F95">
        <w:rPr>
          <w:b w:val="0"/>
          <w:color w:val="000000"/>
        </w:rPr>
        <w:t>final recipients</w:t>
      </w:r>
      <w:r>
        <w:rPr>
          <w:b w:val="0"/>
          <w:color w:val="000000"/>
        </w:rPr>
        <w:t>.</w:t>
      </w:r>
    </w:p>
    <w:p w14:paraId="7D27BACC" w14:textId="77777777" w:rsidR="006D3AD5" w:rsidRPr="0073014D" w:rsidRDefault="006D3AD5" w:rsidP="006D3AD5"/>
    <w:p w14:paraId="78362C8D" w14:textId="77777777" w:rsidR="006D3AD5" w:rsidRPr="0073014D" w:rsidRDefault="006D3AD5" w:rsidP="006D3AD5">
      <w:pPr>
        <w:pStyle w:val="Nadpis3"/>
        <w:rPr>
          <w:rFonts w:ascii="Calibri" w:hAnsi="Calibri"/>
          <w:color w:val="000000"/>
        </w:rPr>
      </w:pPr>
      <w:bookmarkStart w:id="892" w:name="_Toc422312121"/>
      <w:r>
        <w:rPr>
          <w:rFonts w:ascii="Calibri" w:hAnsi="Calibri"/>
          <w:color w:val="000000"/>
        </w:rPr>
        <w:t>Estimated additional public and private resources.</w:t>
      </w:r>
      <w:bookmarkEnd w:id="892"/>
    </w:p>
    <w:p w14:paraId="51581495" w14:textId="4A147B8D" w:rsidR="006D3AD5" w:rsidRPr="0073014D" w:rsidRDefault="006D3AD5" w:rsidP="006D3AD5">
      <w:pPr>
        <w:pStyle w:val="Nadpis4"/>
        <w:rPr>
          <w:rFonts w:ascii="Calibri" w:hAnsi="Calibri"/>
          <w:color w:val="000000"/>
        </w:rPr>
      </w:pPr>
      <w:r>
        <w:rPr>
          <w:rFonts w:ascii="Calibri" w:hAnsi="Calibri"/>
          <w:color w:val="000000"/>
        </w:rPr>
        <w:t xml:space="preserve">Co-financing from private resources up to the level of the </w:t>
      </w:r>
      <w:r w:rsidR="00CF3F95">
        <w:rPr>
          <w:rFonts w:ascii="Calibri" w:hAnsi="Calibri"/>
          <w:color w:val="000000"/>
        </w:rPr>
        <w:t>final recipient</w:t>
      </w:r>
    </w:p>
    <w:p w14:paraId="3B1A7F9B" w14:textId="77777777" w:rsidR="006D3AD5" w:rsidRPr="0073014D" w:rsidRDefault="006D3AD5" w:rsidP="006D3AD5">
      <w:r>
        <w:t>Instrument in the form of soft loans assumes co-financing in the form of a commercial loan, which will be the prerequisite of granting a soft loan. In order to preserve a sufficient rate of advantage in the form of a lower compound interest rate, a maximum proportion of the commercial loan to the soft loan is recommended. In the model example, at the commercial bank rate of 4 % and FI rate of 0.5%, thus, the resulting rate will be at the level of 2%. The share of private bank resources in financing a project can vary according to the setting of the instrument and the share of internal resources in 10-80% of project expenses.</w:t>
      </w:r>
    </w:p>
    <w:p w14:paraId="029E313B" w14:textId="77777777" w:rsidR="006D3AD5" w:rsidRPr="0073014D" w:rsidRDefault="006D3AD5" w:rsidP="006D3AD5"/>
    <w:p w14:paraId="09D368B2" w14:textId="6EAB22B5" w:rsidR="006D3AD5" w:rsidRPr="0073014D" w:rsidRDefault="006D3AD5" w:rsidP="006D3AD5">
      <w:r>
        <w:t xml:space="preserve">The precondition for the instrument of soft loans is also the preservation of the share of the </w:t>
      </w:r>
      <w:r w:rsidR="003213A1">
        <w:t>final recipient’s own resources</w:t>
      </w:r>
      <w:r>
        <w:t>, which may significantly oscillate according to the financial strategy of the business and its needs. Own resources will be applied to finance the remaining eligible expenses and, in particular, non-eligible project expenses.</w:t>
      </w:r>
    </w:p>
    <w:p w14:paraId="0E643A5A" w14:textId="77777777" w:rsidR="006D3AD5" w:rsidRPr="0073014D" w:rsidRDefault="006D3AD5" w:rsidP="006D3AD5"/>
    <w:p w14:paraId="361F5651" w14:textId="31742168" w:rsidR="006D3AD5" w:rsidRPr="0073014D" w:rsidRDefault="006D3AD5" w:rsidP="006D3AD5">
      <w:r>
        <w:t xml:space="preserve">In the case of loans, upon  </w:t>
      </w:r>
      <w:r w:rsidR="00A97232">
        <w:t>CMGDB</w:t>
      </w:r>
      <w:r>
        <w:t xml:space="preserve">'s experience, we estimated the applicant's own resources at the level </w:t>
      </w:r>
      <w:r w:rsidR="008A6F19">
        <w:t>of 10-30% of the project costs.</w:t>
      </w:r>
    </w:p>
    <w:p w14:paraId="7542D0B7" w14:textId="77777777" w:rsidR="006D3AD5" w:rsidRPr="0073014D" w:rsidRDefault="006D3AD5" w:rsidP="006D3AD5"/>
    <w:p w14:paraId="1F4E0048" w14:textId="77777777" w:rsidR="006D3AD5" w:rsidRPr="0073014D" w:rsidRDefault="006D3AD5" w:rsidP="006D3AD5">
      <w:pPr>
        <w:pStyle w:val="Nadpis4"/>
        <w:rPr>
          <w:rFonts w:ascii="Calibri" w:hAnsi="Calibri"/>
          <w:color w:val="000000"/>
        </w:rPr>
      </w:pPr>
      <w:r>
        <w:rPr>
          <w:rFonts w:ascii="Calibri" w:hAnsi="Calibri"/>
          <w:color w:val="000000"/>
        </w:rPr>
        <w:t>Identification of key subjects</w:t>
      </w:r>
    </w:p>
    <w:p w14:paraId="0E6D911E" w14:textId="77777777" w:rsidR="006D3AD5" w:rsidRPr="0073014D" w:rsidRDefault="006D3AD5" w:rsidP="006D3AD5">
      <w:r>
        <w:t>A key private entity for the instrument of soft loans are private credit institutions – commercial banks which ensure private co-financing. The FI will be implemented through the guarantee or credit fund with a selected administrator.</w:t>
      </w:r>
    </w:p>
    <w:p w14:paraId="1C64DFE7" w14:textId="77777777" w:rsidR="006D3AD5" w:rsidRPr="0073014D" w:rsidRDefault="006D3AD5" w:rsidP="006D3AD5"/>
    <w:p w14:paraId="64EE56A4" w14:textId="77777777" w:rsidR="006D3AD5" w:rsidRPr="0073014D" w:rsidRDefault="006D3AD5" w:rsidP="006D3AD5">
      <w:pPr>
        <w:pStyle w:val="Nadpis4"/>
        <w:rPr>
          <w:rFonts w:ascii="Calibri" w:hAnsi="Calibri"/>
          <w:color w:val="000000"/>
        </w:rPr>
      </w:pPr>
      <w:r>
        <w:rPr>
          <w:rFonts w:ascii="Calibri" w:hAnsi="Calibri"/>
          <w:color w:val="000000"/>
        </w:rPr>
        <w:lastRenderedPageBreak/>
        <w:t>Estimated additional resources which may be potentially attracted by the financial instrument – estimated leverage effect</w:t>
      </w:r>
    </w:p>
    <w:p w14:paraId="267EB47C" w14:textId="77777777" w:rsidR="006D3AD5" w:rsidRPr="0073014D" w:rsidRDefault="006D3AD5" w:rsidP="006D3AD5">
      <w:r>
        <w:t>Additional resources activated by the financial instrument and, therefore, also the resulting leverage effect are always dependent on the concrete setting of the investment strategy from the viewpoint of the required private co-financing.</w:t>
      </w:r>
    </w:p>
    <w:p w14:paraId="65DEC9E4" w14:textId="77777777" w:rsidR="006D3AD5" w:rsidRPr="0073014D" w:rsidRDefault="006D3AD5" w:rsidP="006D3AD5"/>
    <w:p w14:paraId="2EF42FA8" w14:textId="77777777" w:rsidR="006D3AD5" w:rsidRPr="0073014D" w:rsidRDefault="006D3AD5" w:rsidP="006D3AD5">
      <w:r>
        <w:t>The leverage effect of the credit instrument has direct proportional effects on the rate of employment of private bank co-financing, which will be given by a specific setting of the SB (Steering Body) and the agreement with private lending institutions. These parameters should be subject to flexible arrangement reflecting the results of the instrument.</w:t>
      </w:r>
    </w:p>
    <w:p w14:paraId="68D51539" w14:textId="0FEEB517" w:rsidR="006D3AD5" w:rsidRPr="0073014D" w:rsidRDefault="006D3AD5" w:rsidP="006D3AD5">
      <w:pPr>
        <w:rPr>
          <w:b/>
        </w:rPr>
      </w:pPr>
      <w:r>
        <w:t xml:space="preserve">Upon the estimated range of co-financing and limit values specified above, in the case of soft loans, the leverage effect, may range from 1.125-9 (without applicant's own resources and revolving effect). Where the credit instrument for the </w:t>
      </w:r>
      <w:r w:rsidR="00CF3F95">
        <w:t>final recipient</w:t>
      </w:r>
      <w:r>
        <w:t xml:space="preserve"> is to be sufficiently advantageous and substantiated, </w:t>
      </w:r>
      <w:r>
        <w:rPr>
          <w:b/>
        </w:rPr>
        <w:t>we cannot expect the leverage effect exceeding the value of 2 (i.e. the share of the FI and private loan in the proportion 1:1).</w:t>
      </w:r>
    </w:p>
    <w:p w14:paraId="519C19B3" w14:textId="77777777" w:rsidR="006D3AD5" w:rsidRPr="0073014D" w:rsidRDefault="006D3AD5" w:rsidP="006D3AD5">
      <w:pPr>
        <w:pStyle w:val="Nadpis4"/>
        <w:rPr>
          <w:rFonts w:ascii="Calibri" w:hAnsi="Calibri"/>
          <w:color w:val="000000"/>
        </w:rPr>
      </w:pPr>
      <w:r>
        <w:rPr>
          <w:rFonts w:ascii="Calibri" w:hAnsi="Calibri"/>
          <w:color w:val="000000"/>
        </w:rPr>
        <w:t>Evaluation of the need and level of preferential remuneration</w:t>
      </w:r>
    </w:p>
    <w:p w14:paraId="6C92DABD" w14:textId="2083B4CF" w:rsidR="006D3AD5" w:rsidRPr="0073014D" w:rsidRDefault="006D3AD5" w:rsidP="006D3AD5">
      <w:r>
        <w:t xml:space="preserve">Within soft loans of FI , we propose to apply setting a longer period of maturity and the secondary right of lien to liable assets in order to motivate sufficient leverage effect and employment of private bank resources in the supported project. This way we can considerably increase an additional credit possibility of the supported entities, the risk of private banks in the provision of an additional private loan decreases and the private capital is not crowded out by the financial instrument. It is not a preferential remuneration of credit institutions, the effects of the instrument should be fully transferred to the </w:t>
      </w:r>
      <w:r w:rsidR="00CF3F95">
        <w:t>final recipient</w:t>
      </w:r>
      <w:r>
        <w:t>. Preferential remuneration is not proposed.</w:t>
      </w:r>
    </w:p>
    <w:p w14:paraId="58DE8862" w14:textId="77777777" w:rsidR="006D3AD5" w:rsidRPr="0073014D" w:rsidRDefault="006D3AD5" w:rsidP="006D3AD5"/>
    <w:p w14:paraId="6C22FE07" w14:textId="77777777" w:rsidR="006D3AD5" w:rsidRPr="0073014D" w:rsidRDefault="006D3AD5" w:rsidP="006D3AD5">
      <w:pPr>
        <w:pStyle w:val="Nadpis2"/>
        <w:rPr>
          <w:rFonts w:ascii="Calibri" w:hAnsi="Calibri"/>
          <w:color w:val="000000"/>
        </w:rPr>
      </w:pPr>
      <w:bookmarkStart w:id="893" w:name="_Toc416800456"/>
      <w:bookmarkStart w:id="894" w:name="_Toc422312122"/>
      <w:r>
        <w:rPr>
          <w:rFonts w:ascii="Calibri" w:hAnsi="Calibri"/>
          <w:color w:val="000000"/>
        </w:rPr>
        <w:t>Specific objective 3.2 – Energy intensity reduction of the business sector and development of energetic services</w:t>
      </w:r>
      <w:bookmarkEnd w:id="893"/>
      <w:bookmarkEnd w:id="894"/>
    </w:p>
    <w:p w14:paraId="15783800" w14:textId="77777777" w:rsidR="006D3AD5" w:rsidRPr="0073014D" w:rsidRDefault="006D3AD5" w:rsidP="006D3AD5">
      <w:pPr>
        <w:pStyle w:val="Nadpis3"/>
        <w:rPr>
          <w:rFonts w:ascii="Calibri" w:hAnsi="Calibri"/>
          <w:color w:val="000000"/>
        </w:rPr>
      </w:pPr>
      <w:bookmarkStart w:id="895" w:name="_Toc416800457"/>
      <w:bookmarkStart w:id="896" w:name="_Toc422312123"/>
      <w:r>
        <w:rPr>
          <w:rFonts w:ascii="Calibri" w:hAnsi="Calibri"/>
          <w:color w:val="000000"/>
        </w:rPr>
        <w:t>Goal orientation</w:t>
      </w:r>
      <w:bookmarkEnd w:id="895"/>
      <w:bookmarkEnd w:id="896"/>
    </w:p>
    <w:p w14:paraId="40090961" w14:textId="77777777" w:rsidR="006D3AD5" w:rsidRPr="0073014D" w:rsidRDefault="006D3AD5" w:rsidP="006D3AD5">
      <w:pPr>
        <w:pStyle w:val="Neslovannadpisy"/>
        <w:rPr>
          <w:color w:val="000000"/>
        </w:rPr>
      </w:pPr>
      <w:r>
        <w:rPr>
          <w:color w:val="000000"/>
        </w:rPr>
        <w:t>Supported activities:</w:t>
      </w:r>
    </w:p>
    <w:p w14:paraId="35B99C9D"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Modernisation and reconstruction of electrical power, gas and heat distribution in the buildings and energetic economies of production plants in order to increase effectiveness.</w:t>
      </w:r>
    </w:p>
    <w:p w14:paraId="2CBA0CBA"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implementation and modernisation of the systems of measuring and regulation,</w:t>
      </w:r>
    </w:p>
    <w:p w14:paraId="7886FF4D"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modernisation, regulation of the existing facilities for the production of energy for own consumption leading to the increase in its effectiveness,</w:t>
      </w:r>
    </w:p>
    <w:p w14:paraId="6DFD34F7"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modernisation of the lighting systems of buildings and industrial premises (only in the case of the replacement of old technologies for new ones, highly effective lighting systems, e.g. light-emitting diodes (LED),</w:t>
      </w:r>
    </w:p>
    <w:p w14:paraId="25E5DBA5"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implementation of measurements to reduce energy intensity of the buildings in the business sector (thermal insulation of external cladding, replacement of renovation of opening fillings, other construction measures having provable influence on energy intensity of the building, installation of air-conditioning with recuperation of waste heat),</w:t>
      </w:r>
    </w:p>
    <w:p w14:paraId="7E2822C7"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utilisation of waste energy in production processes,</w:t>
      </w:r>
    </w:p>
    <w:p w14:paraId="64CB2454"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reduction/growth of energy intensity of production and technological processes,</w:t>
      </w:r>
    </w:p>
    <w:p w14:paraId="603D840E"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t>installation of RES for the internal consumption of the enterprise,</w:t>
      </w:r>
    </w:p>
    <w:p w14:paraId="32FFE940" w14:textId="77777777" w:rsidR="006D3AD5" w:rsidRPr="0073014D" w:rsidRDefault="006D3AD5" w:rsidP="006D3AD5">
      <w:pPr>
        <w:pStyle w:val="Odstavecseseznamem1"/>
        <w:numPr>
          <w:ilvl w:val="0"/>
          <w:numId w:val="27"/>
        </w:numPr>
        <w:overflowPunct/>
        <w:autoSpaceDE/>
        <w:autoSpaceDN/>
        <w:adjustRightInd/>
        <w:spacing w:before="120"/>
        <w:contextualSpacing w:val="0"/>
        <w:jc w:val="left"/>
        <w:textAlignment w:val="auto"/>
      </w:pPr>
      <w:r>
        <w:lastRenderedPageBreak/>
        <w:t>installation of the co-generation unit with the maximum utilisation of electric and thermal energy for the internal consumption of the enterprise,</w:t>
      </w:r>
    </w:p>
    <w:p w14:paraId="1EA3FFC3" w14:textId="77777777" w:rsidR="006D3AD5" w:rsidRPr="0073014D" w:rsidRDefault="006D3AD5" w:rsidP="006D3AD5">
      <w:pPr>
        <w:pStyle w:val="Odstavecseseznamem1"/>
        <w:numPr>
          <w:ilvl w:val="0"/>
          <w:numId w:val="27"/>
        </w:numPr>
        <w:overflowPunct/>
        <w:autoSpaceDE/>
        <w:autoSpaceDN/>
        <w:adjustRightInd/>
        <w:spacing w:line="250" w:lineRule="atLeast"/>
        <w:jc w:val="left"/>
        <w:textAlignment w:val="auto"/>
      </w:pPr>
      <w:r>
        <w:t>support of additional costs in order to achieve standard of a building with almost zero consumption and passive energetic standard in the case of reconstruction or construction of new commercial buildings. Additional costs will be derived from model examples and, for the purpose of support, they will  be determined as the fixed amount per a clearly measurable variable (e.g. per square metre of the energy related area).</w:t>
      </w:r>
    </w:p>
    <w:p w14:paraId="1497A892" w14:textId="77777777" w:rsidR="006D3AD5" w:rsidRPr="0073014D" w:rsidRDefault="006D3AD5" w:rsidP="006D3AD5"/>
    <w:p w14:paraId="192A9C84" w14:textId="77777777" w:rsidR="006D3AD5" w:rsidRPr="0073014D" w:rsidRDefault="006D3AD5" w:rsidP="006D3AD5">
      <w:pPr>
        <w:pStyle w:val="Neslovannadpisy"/>
        <w:rPr>
          <w:color w:val="000000"/>
        </w:rPr>
      </w:pPr>
      <w:r>
        <w:rPr>
          <w:color w:val="000000"/>
        </w:rPr>
        <w:t xml:space="preserve">Major target group: </w:t>
      </w:r>
    </w:p>
    <w:p w14:paraId="12C345A1" w14:textId="77777777" w:rsidR="006D3AD5" w:rsidRPr="0073014D" w:rsidRDefault="006D3AD5" w:rsidP="006D3AD5">
      <w:r>
        <w:t>Business entities (small, medium-sized or large enterprises)</w:t>
      </w:r>
    </w:p>
    <w:p w14:paraId="6852E483" w14:textId="77777777" w:rsidR="006D3AD5" w:rsidRPr="0073014D" w:rsidRDefault="006D3AD5" w:rsidP="006D3AD5">
      <w:pPr>
        <w:pStyle w:val="Neslovannadpisy"/>
        <w:rPr>
          <w:color w:val="000000"/>
        </w:rPr>
      </w:pPr>
    </w:p>
    <w:p w14:paraId="4F156A2D" w14:textId="77777777" w:rsidR="006D3AD5" w:rsidRPr="0073014D" w:rsidRDefault="006D3AD5" w:rsidP="006D3AD5">
      <w:pPr>
        <w:pStyle w:val="Neslovannadpisy"/>
        <w:rPr>
          <w:color w:val="000000"/>
        </w:rPr>
      </w:pPr>
      <w:r>
        <w:rPr>
          <w:color w:val="000000"/>
        </w:rPr>
        <w:t>Target area:</w:t>
      </w:r>
    </w:p>
    <w:p w14:paraId="03973278" w14:textId="77777777" w:rsidR="006D3AD5" w:rsidRPr="0073014D" w:rsidRDefault="006D3AD5" w:rsidP="006D3AD5">
      <w:r>
        <w:t>All the regions in CZ, except for the capital city of Prague</w:t>
      </w:r>
    </w:p>
    <w:p w14:paraId="5A77CB35" w14:textId="77777777" w:rsidR="006D3AD5" w:rsidRPr="0073014D" w:rsidRDefault="006D3AD5" w:rsidP="006D3AD5"/>
    <w:p w14:paraId="40BB9123" w14:textId="77777777" w:rsidR="006D3AD5" w:rsidRPr="0073014D" w:rsidRDefault="006D3AD5" w:rsidP="006D3AD5">
      <w:pPr>
        <w:pStyle w:val="Neslovannadpisy"/>
        <w:rPr>
          <w:color w:val="000000"/>
        </w:rPr>
      </w:pPr>
      <w:r>
        <w:rPr>
          <w:color w:val="000000"/>
        </w:rPr>
        <w:t>Selection of activities to evaluate suitability of the financial instrument</w:t>
      </w:r>
    </w:p>
    <w:p w14:paraId="76BBC03B" w14:textId="3E5F6E37" w:rsidR="006D3AD5" w:rsidRPr="0073014D" w:rsidRDefault="006D3AD5" w:rsidP="006D3AD5">
      <w:r>
        <w:t>All the supported activities of objective S</w:t>
      </w:r>
      <w:r w:rsidR="00BF573F">
        <w:t>O</w:t>
      </w:r>
      <w:r>
        <w:t xml:space="preserve"> 3.2. were selected for preliminary evaluation. Supported projects with their investment and profitable character, good quantifiability and predictability of savings and revenues create a potentially suitable group for the return form of support.</w:t>
      </w:r>
    </w:p>
    <w:p w14:paraId="1BCA9371" w14:textId="77777777" w:rsidR="006D3AD5" w:rsidRPr="0073014D" w:rsidRDefault="006D3AD5" w:rsidP="006D3AD5"/>
    <w:p w14:paraId="45872134" w14:textId="77777777" w:rsidR="006D3AD5" w:rsidRPr="0073014D" w:rsidRDefault="006D3AD5" w:rsidP="006D3AD5">
      <w:pPr>
        <w:pStyle w:val="Nadpis3"/>
        <w:rPr>
          <w:rFonts w:ascii="Calibri" w:hAnsi="Calibri"/>
          <w:color w:val="000000"/>
        </w:rPr>
      </w:pPr>
      <w:bookmarkStart w:id="897" w:name="_Toc422312124"/>
      <w:r>
        <w:rPr>
          <w:rFonts w:ascii="Calibri" w:hAnsi="Calibri"/>
          <w:color w:val="000000"/>
        </w:rPr>
        <w:t>Analysis of market failures</w:t>
      </w:r>
      <w:bookmarkEnd w:id="897"/>
    </w:p>
    <w:p w14:paraId="6C11A8D8" w14:textId="77777777" w:rsidR="006D3AD5" w:rsidRPr="0073014D" w:rsidRDefault="006D3AD5" w:rsidP="006D3AD5">
      <w:pPr>
        <w:pStyle w:val="Nadpis4"/>
        <w:rPr>
          <w:rFonts w:ascii="Calibri" w:hAnsi="Calibri"/>
          <w:color w:val="000000"/>
        </w:rPr>
      </w:pPr>
      <w:r>
        <w:rPr>
          <w:rFonts w:ascii="Calibri" w:hAnsi="Calibri"/>
          <w:color w:val="000000"/>
        </w:rPr>
        <w:t>Market analysis</w:t>
      </w:r>
    </w:p>
    <w:p w14:paraId="7C876851" w14:textId="77777777" w:rsidR="006D3AD5" w:rsidRPr="0073014D" w:rsidRDefault="006D3AD5" w:rsidP="006D3AD5"/>
    <w:p w14:paraId="71B9E362" w14:textId="77777777" w:rsidR="006D3AD5" w:rsidRPr="0073014D" w:rsidRDefault="006D3AD5" w:rsidP="006D3AD5">
      <w:r>
        <w:t xml:space="preserve">Financing energy savings projects is currently a growing business. A great potential of technological development and energy savings  is utilised by a number of entities on the market (the so-called Energy Service Companies – </w:t>
      </w:r>
      <w:r>
        <w:rPr>
          <w:b/>
        </w:rPr>
        <w:t>ESCO</w:t>
      </w:r>
      <w:r>
        <w:t>) to perform organisational, technical and construction adjustments aiming at reduction of energy consumptions and, consequently, also cost reduction for the final consumer. Such a development is caused not only by subsidy support, funding of energy savings is economically reasonable also purely on the market principle.</w:t>
      </w:r>
    </w:p>
    <w:p w14:paraId="03551F77" w14:textId="77777777" w:rsidR="006D3AD5" w:rsidRPr="0073014D" w:rsidRDefault="006D3AD5" w:rsidP="006D3AD5">
      <w:pPr>
        <w:rPr>
          <w:szCs w:val="16"/>
        </w:rPr>
      </w:pPr>
    </w:p>
    <w:p w14:paraId="73A4CB41" w14:textId="77777777" w:rsidR="006D3AD5" w:rsidRPr="0073014D" w:rsidRDefault="006D3AD5" w:rsidP="006D3AD5">
      <w:pPr>
        <w:rPr>
          <w:szCs w:val="16"/>
        </w:rPr>
      </w:pPr>
      <w:r>
        <w:t xml:space="preserve">In accordance with the Strategy Europe 2020, the Czech Republic promotes the utilisation of a significant volume of means from the future several-year funding frame for energy effectiveness and support of business, which is to help to ensure competitiveness of Europe. In relation with the obligations arising from the implementation of the Directive of the European Parliament and Counsel, No. 2012/27/EU, on Energy Efficiency, </w:t>
      </w:r>
      <w:r>
        <w:rPr>
          <w:b/>
        </w:rPr>
        <w:t>an internal general goal of the Czech Republic amounting to 47.84PJ (13.84TWh) of new savings in the final energy consumption was determined until year 2020.</w:t>
      </w:r>
      <w:r>
        <w:t xml:space="preserve"> In connection with the specified goal, relevant measures were defined, which also include emphasis on the areas covered by OPEI specific objectives 3.1, 3.2 and 3.5.</w:t>
      </w:r>
    </w:p>
    <w:p w14:paraId="14167135" w14:textId="77777777" w:rsidR="006D3AD5" w:rsidRPr="0073014D" w:rsidRDefault="006D3AD5" w:rsidP="006D3AD5">
      <w:pPr>
        <w:rPr>
          <w:bCs/>
          <w:szCs w:val="16"/>
        </w:rPr>
      </w:pPr>
    </w:p>
    <w:p w14:paraId="3C01BAB9" w14:textId="77777777" w:rsidR="006D3AD5" w:rsidRPr="0073014D" w:rsidRDefault="006D3AD5" w:rsidP="006D3AD5">
      <w:pPr>
        <w:rPr>
          <w:szCs w:val="16"/>
        </w:rPr>
      </w:pPr>
      <w:r>
        <w:rPr>
          <w:b/>
        </w:rPr>
        <w:t>In order to comply with Article 7 of the relevant Directive, the Czech Republic selected the implementation of the set of other political measures pursuant to Article 7(9) thereof. For the purposes of the implementation, the Czech Republic calls such a method “the alternative scheme”.</w:t>
      </w:r>
      <w:r>
        <w:rPr>
          <w:rStyle w:val="Znakapoznpodarou"/>
        </w:rPr>
        <w:t xml:space="preserve"> </w:t>
      </w:r>
      <w:r>
        <w:rPr>
          <w:rStyle w:val="Znakapoznpodarou"/>
        </w:rPr>
        <w:footnoteReference w:id="37"/>
      </w:r>
      <w:r>
        <w:rPr>
          <w:b/>
        </w:rPr>
        <w:t xml:space="preserve"> </w:t>
      </w:r>
      <w:r>
        <w:t>Regarding other political measures offered and specified by the Directive, the Czech Republic will apply the systems and funding instruments and specialist training and education, including programmes in the area of energy consulting, which lead to the application of energy efficient technologies or methods and which result in the  reduction of consumption of the final user.</w:t>
      </w:r>
    </w:p>
    <w:p w14:paraId="29651517" w14:textId="77777777" w:rsidR="006D3AD5" w:rsidRPr="0073014D" w:rsidRDefault="006D3AD5" w:rsidP="006D3AD5">
      <w:pPr>
        <w:pStyle w:val="Odstavecseseznamem1"/>
        <w:numPr>
          <w:ilvl w:val="0"/>
          <w:numId w:val="61"/>
        </w:numPr>
        <w:overflowPunct/>
        <w:autoSpaceDE/>
        <w:autoSpaceDN/>
        <w:adjustRightInd/>
        <w:spacing w:after="120"/>
        <w:textAlignment w:val="auto"/>
        <w:rPr>
          <w:szCs w:val="16"/>
        </w:rPr>
      </w:pPr>
      <w:r>
        <w:t>Financial engineering instruments;</w:t>
      </w:r>
    </w:p>
    <w:p w14:paraId="25E6CA94" w14:textId="77777777" w:rsidR="006D3AD5" w:rsidRPr="0073014D" w:rsidRDefault="006D3AD5" w:rsidP="006D3AD5">
      <w:pPr>
        <w:pStyle w:val="Odstavecseseznamem1"/>
        <w:numPr>
          <w:ilvl w:val="0"/>
          <w:numId w:val="61"/>
        </w:numPr>
        <w:overflowPunct/>
        <w:autoSpaceDE/>
        <w:autoSpaceDN/>
        <w:adjustRightInd/>
        <w:spacing w:after="120"/>
        <w:textAlignment w:val="auto"/>
        <w:rPr>
          <w:szCs w:val="16"/>
        </w:rPr>
      </w:pPr>
      <w:r>
        <w:lastRenderedPageBreak/>
        <w:t>Investment subsidies;</w:t>
      </w:r>
    </w:p>
    <w:p w14:paraId="21F66496" w14:textId="77777777" w:rsidR="006D3AD5" w:rsidRPr="0073014D" w:rsidRDefault="006D3AD5" w:rsidP="006D3AD5">
      <w:pPr>
        <w:pStyle w:val="Odstavecseseznamem1"/>
        <w:numPr>
          <w:ilvl w:val="0"/>
          <w:numId w:val="62"/>
        </w:numPr>
        <w:overflowPunct/>
        <w:autoSpaceDE/>
        <w:autoSpaceDN/>
        <w:adjustRightInd/>
        <w:spacing w:after="120"/>
        <w:textAlignment w:val="auto"/>
        <w:rPr>
          <w:szCs w:val="16"/>
        </w:rPr>
      </w:pPr>
      <w:r>
        <w:t>Non-investment subsidies (analyses of appropriateness of application of the EPC method, energy management, education).</w:t>
      </w:r>
    </w:p>
    <w:p w14:paraId="047D99A6" w14:textId="77777777" w:rsidR="006D3AD5" w:rsidRPr="0073014D" w:rsidRDefault="006D3AD5" w:rsidP="006D3AD5">
      <w:r>
        <w:t xml:space="preserve">A total of four planned operation programmes of the period of 2014-2020 are addressed by their orientation to the problems of the increase in energy efficiency or reduction of energy intensity, namely </w:t>
      </w:r>
    </w:p>
    <w:p w14:paraId="617C2FE6" w14:textId="77777777" w:rsidR="006D3AD5" w:rsidRPr="0073014D" w:rsidRDefault="006D3AD5" w:rsidP="006D3AD5">
      <w:pPr>
        <w:pStyle w:val="Odstavecseseznamem1"/>
        <w:numPr>
          <w:ilvl w:val="0"/>
          <w:numId w:val="62"/>
        </w:numPr>
        <w:overflowPunct/>
        <w:autoSpaceDE/>
        <w:autoSpaceDN/>
        <w:adjustRightInd/>
        <w:spacing w:after="120"/>
        <w:textAlignment w:val="auto"/>
      </w:pPr>
      <w:r>
        <w:t>the OPE and OP Prague in the area of public buildings;</w:t>
      </w:r>
    </w:p>
    <w:p w14:paraId="7446660A" w14:textId="77777777" w:rsidR="006D3AD5" w:rsidRPr="0073014D" w:rsidRDefault="006D3AD5" w:rsidP="006D3AD5">
      <w:pPr>
        <w:pStyle w:val="Odstavecseseznamem1"/>
        <w:numPr>
          <w:ilvl w:val="0"/>
          <w:numId w:val="62"/>
        </w:numPr>
        <w:overflowPunct/>
        <w:autoSpaceDE/>
        <w:autoSpaceDN/>
        <w:adjustRightInd/>
        <w:spacing w:after="120"/>
        <w:textAlignment w:val="auto"/>
      </w:pPr>
      <w:r>
        <w:t>OPEI in the area of commercial sphere;</w:t>
      </w:r>
    </w:p>
    <w:p w14:paraId="4BC58585" w14:textId="77777777" w:rsidR="006D3AD5" w:rsidRPr="0073014D" w:rsidRDefault="006D3AD5" w:rsidP="006D3AD5">
      <w:pPr>
        <w:pStyle w:val="Odstavecseseznamem1"/>
        <w:numPr>
          <w:ilvl w:val="0"/>
          <w:numId w:val="62"/>
        </w:numPr>
        <w:overflowPunct/>
        <w:autoSpaceDE/>
        <w:autoSpaceDN/>
        <w:adjustRightInd/>
        <w:spacing w:after="120"/>
        <w:textAlignment w:val="auto"/>
      </w:pPr>
      <w:r>
        <w:t>IROP in the area of the housing sector – residential houses.</w:t>
      </w:r>
    </w:p>
    <w:p w14:paraId="73A00AC4" w14:textId="77777777" w:rsidR="006D3AD5" w:rsidRPr="0073014D" w:rsidRDefault="006D3AD5" w:rsidP="006D3AD5">
      <w:r>
        <w:t xml:space="preserve">In the Czech Republic, there demonstrably exists the so-called </w:t>
      </w:r>
      <w:r>
        <w:rPr>
          <w:b/>
        </w:rPr>
        <w:t>Energy Efficiency Gap</w:t>
      </w:r>
      <w:r>
        <w:t xml:space="preserve"> or the phenomenon when social cost-effective potential of savings is not utilised owing to the existence of objective market failures and market barriers (see the analytical part of the report). According to the international comparison, the Czech Republic shows a delay behind the general trend of investments in the monitored measures – see the scheme below:</w:t>
      </w:r>
    </w:p>
    <w:p w14:paraId="5DC9FE08" w14:textId="77777777" w:rsidR="006D3AD5" w:rsidRPr="0073014D" w:rsidRDefault="006D3AD5" w:rsidP="006D3AD5"/>
    <w:p w14:paraId="29236A6D" w14:textId="77777777" w:rsidR="006D3AD5" w:rsidRPr="0073014D" w:rsidRDefault="006D3AD5" w:rsidP="006D3AD5">
      <w:pPr>
        <w:keepNext/>
        <w:jc w:val="center"/>
      </w:pPr>
      <w:r>
        <w:rPr>
          <w:noProof/>
        </w:rPr>
        <w:drawing>
          <wp:inline distT="0" distB="0" distL="0" distR="0" wp14:anchorId="0937CEA4" wp14:editId="3CFF2A18">
            <wp:extent cx="5188585" cy="259461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
                      <a:extLst>
                        <a:ext uri="{28A0092B-C50C-407E-A947-70E740481C1C}">
                          <a14:useLocalDpi xmlns:a14="http://schemas.microsoft.com/office/drawing/2010/main" val="0"/>
                        </a:ext>
                      </a:extLst>
                    </a:blip>
                    <a:srcRect t="11977"/>
                    <a:stretch>
                      <a:fillRect/>
                    </a:stretch>
                  </pic:blipFill>
                  <pic:spPr bwMode="auto">
                    <a:xfrm>
                      <a:off x="0" y="0"/>
                      <a:ext cx="5188585" cy="2594610"/>
                    </a:xfrm>
                    <a:prstGeom prst="rect">
                      <a:avLst/>
                    </a:prstGeom>
                    <a:noFill/>
                    <a:ln>
                      <a:noFill/>
                    </a:ln>
                  </pic:spPr>
                </pic:pic>
              </a:graphicData>
            </a:graphic>
          </wp:inline>
        </w:drawing>
      </w:r>
    </w:p>
    <w:p w14:paraId="4EB69231" w14:textId="12F59C5E" w:rsidR="006D3AD5" w:rsidRPr="00685AEF" w:rsidRDefault="006D3AD5" w:rsidP="00685AEF">
      <w:pPr>
        <w:pStyle w:val="Titulek"/>
      </w:pPr>
      <w:bookmarkStart w:id="898" w:name="_Toc400358166"/>
      <w:bookmarkStart w:id="899" w:name="_Toc402509592"/>
      <w:r w:rsidRPr="00685AEF">
        <w:t>Figure</w:t>
      </w:r>
      <w:r w:rsidR="00F473EE" w:rsidRPr="00685AEF">
        <w:t xml:space="preserve"> </w:t>
      </w:r>
      <w:r w:rsidR="00243196">
        <w:t>29</w:t>
      </w:r>
      <w:r w:rsidRPr="00685AEF">
        <w:t>: Change of the energy effectiveness index as per the compared countries, 2000-2009 (annual change in %)</w:t>
      </w:r>
      <w:r w:rsidR="00F473EE">
        <w:t xml:space="preserve"> </w:t>
      </w:r>
      <w:r w:rsidRPr="00685AEF">
        <w:rPr>
          <w:rStyle w:val="Znakapoznpodarou"/>
          <w:rFonts w:ascii="Calibri" w:hAnsi="Calibri" w:cs="Arial"/>
          <w:sz w:val="20"/>
        </w:rPr>
        <w:footnoteReference w:id="38"/>
      </w:r>
      <w:bookmarkEnd w:id="898"/>
      <w:bookmarkEnd w:id="899"/>
    </w:p>
    <w:p w14:paraId="4D133D4A" w14:textId="77777777" w:rsidR="006D3AD5" w:rsidRPr="0073014D" w:rsidRDefault="006D3AD5" w:rsidP="006D3AD5"/>
    <w:p w14:paraId="76231167" w14:textId="77777777" w:rsidR="006D3AD5" w:rsidRPr="0073014D" w:rsidRDefault="006D3AD5" w:rsidP="006D3AD5">
      <w:pPr>
        <w:pStyle w:val="Neslovannadpisy"/>
        <w:rPr>
          <w:color w:val="000000"/>
        </w:rPr>
      </w:pPr>
    </w:p>
    <w:p w14:paraId="3A5F8E3C" w14:textId="77777777" w:rsidR="006D3AD5" w:rsidRPr="0073014D" w:rsidRDefault="006D3AD5" w:rsidP="006D3AD5">
      <w:pPr>
        <w:pStyle w:val="Neslovannadpisy"/>
        <w:rPr>
          <w:color w:val="000000"/>
        </w:rPr>
      </w:pPr>
      <w:r>
        <w:rPr>
          <w:color w:val="000000"/>
        </w:rPr>
        <w:t>Sources of funding</w:t>
      </w:r>
    </w:p>
    <w:p w14:paraId="7EE06A56" w14:textId="77777777" w:rsidR="006D3AD5" w:rsidRPr="0073014D" w:rsidRDefault="006D3AD5" w:rsidP="006D3AD5">
      <w:r>
        <w:t xml:space="preserve">The interviews with the involved entities showed that the mechanisms of funding investments in the reduction of energy intensity of enterprises are relatively advanced and effective, for example the methodology of guaranteed energy savings, </w:t>
      </w:r>
      <w:r>
        <w:rPr>
          <w:b/>
        </w:rPr>
        <w:t>Energy Performance Contracting (EPC)</w:t>
      </w:r>
      <w:r>
        <w:t xml:space="preserve">, through which, since the turn of the millennium, the investments on the market principle have been funded most often. Nevertheless, the EPC method is usual particularly among public entities. In the business area, its development is for the time being slower, the implemented EC projects amounted to ca. CZK 210 million from its extension at the turn of the millennium. </w:t>
      </w:r>
      <w:r>
        <w:rPr>
          <w:b/>
        </w:rPr>
        <w:t xml:space="preserve">The experts of the Czech Savings Bank estimate the absorption capacity of the SHPP investments in energy savings in the amount of CZK 18.3 billion </w:t>
      </w:r>
      <w:r>
        <w:t>during next five years. For real investments, the ability of acquisition of this potential demand will be essential as there are several barriers (see the Market failure) which prevent from a larger investment activity in the commercial sector.</w:t>
      </w:r>
    </w:p>
    <w:p w14:paraId="025C5D95" w14:textId="77777777" w:rsidR="006D3AD5" w:rsidRPr="0073014D" w:rsidRDefault="006D3AD5" w:rsidP="006D3AD5"/>
    <w:p w14:paraId="2C7EC5D1" w14:textId="77777777" w:rsidR="006D3AD5" w:rsidRPr="0073014D" w:rsidRDefault="006D3AD5" w:rsidP="006D3AD5">
      <w:r>
        <w:lastRenderedPageBreak/>
        <w:t>With respect to the development of these activities, on the basis of energy audits, the banks are open to their funding. Like as in the case of RES, larger banks offer specialised products of project funding with a required bank expertise and connection to public support, if any.</w:t>
      </w:r>
      <w:r>
        <w:rPr>
          <w:b/>
        </w:rPr>
        <w:t xml:space="preserve"> </w:t>
      </w:r>
      <w:r>
        <w:t>There are also banking factoring instruments for the purchase of receivables due from ESCO suppliers performing EPC. In some cases, the barrier can be non-standard solutions and measures for which the banks do not have a prepared  evaluation mechanism, which is more or less the case of rather small banks.</w:t>
      </w:r>
    </w:p>
    <w:p w14:paraId="1677AE9C" w14:textId="77777777" w:rsidR="006D3AD5" w:rsidRPr="0073014D" w:rsidRDefault="006D3AD5" w:rsidP="006D3AD5"/>
    <w:p w14:paraId="08724C53" w14:textId="77777777" w:rsidR="006D3AD5" w:rsidRPr="0073014D" w:rsidRDefault="006D3AD5" w:rsidP="006D3AD5">
      <w:r>
        <w:t>The increased funding supply is also influenced by the EIB programme for SMEs, through which, the products,</w:t>
      </w:r>
      <w:r>
        <w:rPr>
          <w:b/>
        </w:rPr>
        <w:t xml:space="preserve"> the Global Loan Green Energy</w:t>
      </w:r>
      <w:r>
        <w:t xml:space="preserve"> (CSB – Czech Savings Bank) and </w:t>
      </w:r>
      <w:r>
        <w:rPr>
          <w:b/>
        </w:rPr>
        <w:t>Green Loan</w:t>
      </w:r>
      <w:r>
        <w:t xml:space="preserve"> (Raiffeisen Bank) are offered in the Czech Republic and through which a loan of up to CZK 300 million </w:t>
      </w:r>
      <w:r>
        <w:rPr>
          <w:b/>
        </w:rPr>
        <w:t>with ten per cent EIB subsidy</w:t>
      </w:r>
      <w:r>
        <w:t xml:space="preserve"> can be granted. Typical projects are installations of co-generation unit. During the first 8 months of operation, only in the CSB the projects amounting to CZK 690 million with the estimated subsidy of CZK 47 million were prepared. </w:t>
      </w:r>
    </w:p>
    <w:p w14:paraId="23E6C1BA" w14:textId="77777777" w:rsidR="006D3AD5" w:rsidRDefault="006D3AD5" w:rsidP="006D3AD5"/>
    <w:p w14:paraId="34FEAFD3" w14:textId="77777777" w:rsidR="002F1BDD" w:rsidRPr="00EC4C93" w:rsidRDefault="002F1BDD" w:rsidP="002F1BDD">
      <w:pPr>
        <w:rPr>
          <w:lang w:val="en-US" w:eastAsia="en-US"/>
        </w:rPr>
      </w:pPr>
      <w:r w:rsidRPr="00EC4C93">
        <w:rPr>
          <w:lang w:val="en-US" w:eastAsia="en-US"/>
        </w:rPr>
        <w:t>In the new programming period, Czech banks will be able to make use soft credit lines of EIB to finance energy efficiency in business, e.g. from European program</w:t>
      </w:r>
      <w:r>
        <w:rPr>
          <w:lang w:val="en-US" w:eastAsia="en-US"/>
        </w:rPr>
        <w:t>me</w:t>
      </w:r>
      <w:r w:rsidRPr="00EC4C93">
        <w:rPr>
          <w:lang w:val="en-US" w:eastAsia="en-US"/>
        </w:rPr>
        <w:t xml:space="preserve"> </w:t>
      </w:r>
      <w:r w:rsidRPr="00EC4C93">
        <w:rPr>
          <w:b/>
          <w:lang w:val="en-US" w:eastAsia="en-US"/>
        </w:rPr>
        <w:t>LIFE</w:t>
      </w:r>
      <w:r w:rsidRPr="00EC4C93">
        <w:rPr>
          <w:lang w:val="en-US" w:eastAsia="en-US"/>
        </w:rPr>
        <w:t xml:space="preserve"> - </w:t>
      </w:r>
      <w:r w:rsidRPr="00EC4C93">
        <w:rPr>
          <w:b/>
          <w:lang w:val="en-US" w:eastAsia="en-US"/>
        </w:rPr>
        <w:t>Private Finance for Energy Efficiency</w:t>
      </w:r>
      <w:r w:rsidRPr="00EC4C93">
        <w:rPr>
          <w:lang w:val="en-US" w:eastAsia="en-US"/>
        </w:rPr>
        <w:t>.</w:t>
      </w:r>
    </w:p>
    <w:p w14:paraId="203539FF" w14:textId="77777777" w:rsidR="002F1BDD" w:rsidRPr="0073014D" w:rsidRDefault="002F1BDD" w:rsidP="006D3AD5"/>
    <w:p w14:paraId="66A2D189" w14:textId="77777777" w:rsidR="006D3AD5" w:rsidRPr="0073014D" w:rsidRDefault="006D3AD5" w:rsidP="006D3AD5">
      <w:r>
        <w:t xml:space="preserve">With respect to the emphasis on energy savings in the existing and prepared new energy concept of CZ and also with respect to the obligatory European goal to increase energy efficiency by 20% until 2020, the investments in this area are of important public interest, which is supported at both the European and national level. </w:t>
      </w:r>
      <w:r>
        <w:rPr>
          <w:b/>
        </w:rPr>
        <w:t>Public support in the form of subsidies meant a significant resource of funding energy savings in the previous period.</w:t>
      </w:r>
      <w:r>
        <w:t xml:space="preserve"> Regarding OPEIC projects, the ECO-ENERGY programme is the most relevant analogy programme of support in OPEI.</w:t>
      </w:r>
    </w:p>
    <w:p w14:paraId="0F4D743A" w14:textId="77777777" w:rsidR="006D3AD5" w:rsidRPr="0073014D" w:rsidRDefault="006D3AD5" w:rsidP="006D3AD5"/>
    <w:p w14:paraId="2970876D" w14:textId="77777777" w:rsidR="006D3AD5" w:rsidRPr="0073014D" w:rsidRDefault="006D3AD5" w:rsidP="006D3AD5">
      <w:r>
        <w:rPr>
          <w:b/>
        </w:rPr>
        <w:t>OPEI - Eco-energy programme</w:t>
      </w:r>
    </w:p>
    <w:p w14:paraId="5D081678" w14:textId="77777777" w:rsidR="006D3AD5" w:rsidRPr="0073014D" w:rsidRDefault="006D3AD5" w:rsidP="006D3AD5">
      <w:r>
        <w:t xml:space="preserve">Energy economy was supported via support of the increase in efficiency in energy production, transfer and consumption in the form of modernisation of the existing facilities, implementation of new production and monitoring system and, last but not least, improving thermal qualities of buildings (except for family detached houses and residential houses), utilising waste energy in the industry, all that on the basis of 12% OPEI allocation with orientation on SMEs. A total allocation PO3 planned covering eligible expenses for the projects amounting to EUR 471.5 million (ERDF contribution of EUR 400 million). </w:t>
      </w:r>
    </w:p>
    <w:p w14:paraId="1A52EA70" w14:textId="77777777" w:rsidR="006D3AD5" w:rsidRPr="0073014D" w:rsidRDefault="006D3AD5" w:rsidP="006D3AD5"/>
    <w:p w14:paraId="79F8934A" w14:textId="77777777" w:rsidR="006D3AD5" w:rsidRPr="0073014D" w:rsidRDefault="006D3AD5" w:rsidP="006D3AD5">
      <w:r>
        <w:rPr>
          <w:b/>
        </w:rPr>
        <w:t>As 30/06/2014, a total of 2,177 applications for subsidy for investment projects of energy effectiveness were accepted. A total required sum of resources amounted to CZK 20,406 million, which means that the demand exceeded the supply of resources by almost 105%.</w:t>
      </w:r>
      <w:r>
        <w:t xml:space="preserve"> The project with the issued resolution or signed contract or approved applications amounted to 1,223 projects at the total sum of CZK 9,511 million to cover eligible costs. The utilisation of the priority axe in the OPEI programme after the 2nd quarter in 2014 amounted almost to 96%. </w:t>
      </w:r>
    </w:p>
    <w:p w14:paraId="50377E76" w14:textId="77777777" w:rsidR="006D3AD5" w:rsidRPr="0073014D" w:rsidRDefault="006D3AD5" w:rsidP="006D3AD5"/>
    <w:p w14:paraId="7BFB4304" w14:textId="77777777" w:rsidR="006D3AD5" w:rsidRPr="0073014D" w:rsidRDefault="006D3AD5" w:rsidP="006D3AD5">
      <w:pPr>
        <w:jc w:val="left"/>
      </w:pPr>
      <w:r>
        <w:t xml:space="preserve">At the end of 2013, through PO3, the resources of the total amount of EUR 383 million for 1,2234 projects were contracted. A total of EUR 231 million (58% allocation) was paid, EUR 221 million (50% allocation) was certified from the allocated resources. </w:t>
      </w:r>
      <w:r>
        <w:rPr>
          <w:b/>
        </w:rPr>
        <w:t>In 2013, 153 applications were excluded, in which some of them were excluded due to the fact that the project reported the internal rate of return higher than 20%.</w:t>
      </w:r>
      <w:r>
        <w:t xml:space="preserve"> </w:t>
      </w:r>
      <w:r>
        <w:rPr>
          <w:b/>
        </w:rPr>
        <w:t>2,287 applications of the total amount of EUR 539 million were rejected.</w:t>
      </w:r>
    </w:p>
    <w:p w14:paraId="7146DB99" w14:textId="77777777" w:rsidR="006D3AD5" w:rsidRPr="0073014D" w:rsidRDefault="006D3AD5" w:rsidP="006D3AD5">
      <w:pPr>
        <w:jc w:val="left"/>
      </w:pPr>
    </w:p>
    <w:p w14:paraId="46637332" w14:textId="77777777" w:rsidR="006D3AD5" w:rsidRPr="0073014D" w:rsidRDefault="006D3AD5" w:rsidP="006D3AD5">
      <w:pPr>
        <w:jc w:val="left"/>
      </w:pPr>
      <w:r>
        <w:t>Within Call III of the Eco-energy OPEI programme, in which the projects with IRR over 20% were allowable, 37 projects of such a type with eligible costs of ca. CZK 600 million were registered.  On the other hand, the IRR median of the projects of Call III-extended amounted to 6,67%, which shows that a greater part of the measures which seek public support report very long payback period.</w:t>
      </w:r>
    </w:p>
    <w:p w14:paraId="70470D51" w14:textId="77777777" w:rsidR="006D3AD5" w:rsidRPr="0073014D" w:rsidRDefault="006D3AD5" w:rsidP="006D3AD5"/>
    <w:p w14:paraId="70D6D98E" w14:textId="3610E1C2" w:rsidR="006D3AD5" w:rsidRPr="0073014D" w:rsidRDefault="006D3AD5" w:rsidP="006D3AD5">
      <w:r>
        <w:rPr>
          <w:b/>
        </w:rPr>
        <w:lastRenderedPageBreak/>
        <w:t xml:space="preserve">EFEKT </w:t>
      </w:r>
      <w:r>
        <w:t xml:space="preserve">– the EFEKT National Programme is for the supply of sources in </w:t>
      </w:r>
      <w:r w:rsidR="00685AEF">
        <w:t xml:space="preserve">SO </w:t>
      </w:r>
      <w:r>
        <w:t xml:space="preserve">3.2, with respect to its low allocation and, mainly non-investment orientation, of a little relevance. Nevertheless, also in this case there was </w:t>
      </w:r>
      <w:r>
        <w:rPr>
          <w:b/>
        </w:rPr>
        <w:t>a dramatic excess of demand</w:t>
      </w:r>
      <w:r>
        <w:t xml:space="preserve">, when only CZK 28 million was supported from the required CZK 127 million. </w:t>
      </w:r>
    </w:p>
    <w:p w14:paraId="7D65039C" w14:textId="77777777" w:rsidR="006D3AD5" w:rsidRPr="0073014D" w:rsidRDefault="006D3AD5" w:rsidP="006D3AD5">
      <w:pPr>
        <w:pStyle w:val="Neslovannadpisy"/>
        <w:rPr>
          <w:color w:val="000000"/>
        </w:rPr>
      </w:pPr>
    </w:p>
    <w:p w14:paraId="27486E96" w14:textId="77777777" w:rsidR="006D3AD5" w:rsidRPr="0073014D" w:rsidRDefault="006D3AD5" w:rsidP="006D3AD5">
      <w:pPr>
        <w:pStyle w:val="Nadpis4"/>
        <w:rPr>
          <w:rFonts w:ascii="Calibri" w:hAnsi="Calibri"/>
          <w:color w:val="000000"/>
        </w:rPr>
      </w:pPr>
      <w:r>
        <w:rPr>
          <w:rFonts w:ascii="Calibri" w:hAnsi="Calibri"/>
          <w:color w:val="000000"/>
        </w:rPr>
        <w:t>Questionnaire inquiry</w:t>
      </w:r>
    </w:p>
    <w:p w14:paraId="20C72E29" w14:textId="77777777" w:rsidR="006D3AD5" w:rsidRPr="0073014D" w:rsidRDefault="006D3AD5" w:rsidP="006D3AD5">
      <w:r>
        <w:t>Within the questionnaire inquiry carried out among more than 15,000 business entities, a total of 244 enterprises responded that they have the intention to invest in the energy efficiency measures in next three years.</w:t>
      </w:r>
    </w:p>
    <w:p w14:paraId="1442A12E" w14:textId="737C8941" w:rsidR="006D3AD5" w:rsidRPr="0073014D" w:rsidRDefault="006D3AD5" w:rsidP="003D68AA">
      <w:pPr>
        <w:pStyle w:val="Titulek"/>
      </w:pPr>
      <w:r>
        <w:t xml:space="preserve">Table </w:t>
      </w:r>
      <w:r w:rsidR="00696819">
        <w:t>70</w:t>
      </w:r>
      <w:r>
        <w:t>:  Structure of respondents from the viewpoint of the size of the enterprise</w:t>
      </w:r>
    </w:p>
    <w:tbl>
      <w:tblPr>
        <w:tblW w:w="3307" w:type="dxa"/>
        <w:tblInd w:w="55" w:type="dxa"/>
        <w:tblCellMar>
          <w:left w:w="70" w:type="dxa"/>
          <w:right w:w="70" w:type="dxa"/>
        </w:tblCellMar>
        <w:tblLook w:val="00A0" w:firstRow="1" w:lastRow="0" w:firstColumn="1" w:lastColumn="0" w:noHBand="0" w:noVBand="0"/>
      </w:tblPr>
      <w:tblGrid>
        <w:gridCol w:w="1387"/>
        <w:gridCol w:w="960"/>
        <w:gridCol w:w="960"/>
      </w:tblGrid>
      <w:tr w:rsidR="006D3AD5" w:rsidRPr="0073014D" w14:paraId="5505ECE0" w14:textId="77777777" w:rsidTr="00443B8F">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14:paraId="5B2E23B9" w14:textId="77777777" w:rsidR="006D3AD5" w:rsidRPr="0073014D" w:rsidRDefault="006D3AD5" w:rsidP="00443B8F">
            <w:pPr>
              <w:overflowPunct/>
              <w:autoSpaceDE/>
              <w:autoSpaceDN/>
              <w:adjustRightInd/>
              <w:jc w:val="left"/>
              <w:textAlignment w:val="auto"/>
              <w:rPr>
                <w:rFonts w:cs="Arial"/>
                <w:b/>
                <w:bCs/>
                <w:sz w:val="20"/>
              </w:rPr>
            </w:pPr>
            <w:r>
              <w:rPr>
                <w:b/>
                <w:sz w:val="20"/>
              </w:rPr>
              <w:t>Structure of respondents from the viewpoint of the size of the enterprise</w:t>
            </w:r>
          </w:p>
        </w:tc>
        <w:tc>
          <w:tcPr>
            <w:tcW w:w="960" w:type="dxa"/>
            <w:tcBorders>
              <w:top w:val="single" w:sz="4" w:space="0" w:color="auto"/>
              <w:left w:val="nil"/>
              <w:bottom w:val="single" w:sz="4" w:space="0" w:color="auto"/>
              <w:right w:val="single" w:sz="4" w:space="0" w:color="auto"/>
            </w:tcBorders>
            <w:noWrap/>
            <w:vAlign w:val="bottom"/>
          </w:tcPr>
          <w:p w14:paraId="141D4B06"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42D3DE5A"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3722C56D"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5F5D2078" w14:textId="77777777" w:rsidR="006D3AD5" w:rsidRPr="0073014D" w:rsidRDefault="006D3AD5" w:rsidP="00443B8F">
            <w:pPr>
              <w:overflowPunct/>
              <w:autoSpaceDE/>
              <w:autoSpaceDN/>
              <w:adjustRightInd/>
              <w:jc w:val="left"/>
              <w:textAlignment w:val="auto"/>
              <w:rPr>
                <w:rFonts w:cs="Arial"/>
                <w:sz w:val="20"/>
              </w:rPr>
            </w:pPr>
            <w:r>
              <w:rPr>
                <w:sz w:val="20"/>
              </w:rPr>
              <w:t>micro enterprises</w:t>
            </w:r>
          </w:p>
        </w:tc>
        <w:tc>
          <w:tcPr>
            <w:tcW w:w="960" w:type="dxa"/>
            <w:tcBorders>
              <w:top w:val="nil"/>
              <w:left w:val="nil"/>
              <w:bottom w:val="single" w:sz="4" w:space="0" w:color="auto"/>
              <w:right w:val="single" w:sz="4" w:space="0" w:color="auto"/>
            </w:tcBorders>
            <w:noWrap/>
            <w:vAlign w:val="bottom"/>
          </w:tcPr>
          <w:p w14:paraId="12B3864B" w14:textId="77777777" w:rsidR="006D3AD5" w:rsidRPr="0073014D" w:rsidRDefault="006D3AD5" w:rsidP="00443B8F">
            <w:pPr>
              <w:overflowPunct/>
              <w:autoSpaceDE/>
              <w:autoSpaceDN/>
              <w:adjustRightInd/>
              <w:jc w:val="right"/>
              <w:textAlignment w:val="auto"/>
              <w:rPr>
                <w:rFonts w:cs="Arial"/>
                <w:sz w:val="20"/>
              </w:rPr>
            </w:pPr>
            <w:r>
              <w:rPr>
                <w:sz w:val="20"/>
              </w:rPr>
              <w:t>25</w:t>
            </w:r>
          </w:p>
        </w:tc>
        <w:tc>
          <w:tcPr>
            <w:tcW w:w="960" w:type="dxa"/>
            <w:tcBorders>
              <w:top w:val="nil"/>
              <w:left w:val="nil"/>
              <w:bottom w:val="single" w:sz="4" w:space="0" w:color="auto"/>
              <w:right w:val="single" w:sz="4" w:space="0" w:color="auto"/>
            </w:tcBorders>
            <w:noWrap/>
            <w:vAlign w:val="bottom"/>
          </w:tcPr>
          <w:p w14:paraId="0C33B7E7" w14:textId="77777777" w:rsidR="006D3AD5" w:rsidRPr="0073014D" w:rsidRDefault="006D3AD5" w:rsidP="00443B8F">
            <w:pPr>
              <w:overflowPunct/>
              <w:autoSpaceDE/>
              <w:autoSpaceDN/>
              <w:adjustRightInd/>
              <w:jc w:val="right"/>
              <w:textAlignment w:val="auto"/>
              <w:rPr>
                <w:rFonts w:cs="Arial"/>
                <w:sz w:val="20"/>
              </w:rPr>
            </w:pPr>
            <w:r>
              <w:rPr>
                <w:sz w:val="20"/>
              </w:rPr>
              <w:t>10.2%</w:t>
            </w:r>
          </w:p>
        </w:tc>
      </w:tr>
      <w:tr w:rsidR="006D3AD5" w:rsidRPr="0073014D" w14:paraId="72AB92D6"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4BFCBC64" w14:textId="77777777" w:rsidR="006D3AD5" w:rsidRPr="0073014D" w:rsidRDefault="006D3AD5" w:rsidP="00443B8F">
            <w:pPr>
              <w:overflowPunct/>
              <w:autoSpaceDE/>
              <w:autoSpaceDN/>
              <w:adjustRightInd/>
              <w:jc w:val="left"/>
              <w:textAlignment w:val="auto"/>
              <w:rPr>
                <w:rFonts w:cs="Arial"/>
                <w:sz w:val="20"/>
              </w:rPr>
            </w:pPr>
            <w:r>
              <w:rPr>
                <w:sz w:val="20"/>
              </w:rPr>
              <w:t>small enterprises</w:t>
            </w:r>
          </w:p>
        </w:tc>
        <w:tc>
          <w:tcPr>
            <w:tcW w:w="960" w:type="dxa"/>
            <w:tcBorders>
              <w:top w:val="nil"/>
              <w:left w:val="nil"/>
              <w:bottom w:val="single" w:sz="4" w:space="0" w:color="auto"/>
              <w:right w:val="single" w:sz="4" w:space="0" w:color="auto"/>
            </w:tcBorders>
            <w:noWrap/>
            <w:vAlign w:val="bottom"/>
          </w:tcPr>
          <w:p w14:paraId="39D42158" w14:textId="77777777" w:rsidR="006D3AD5" w:rsidRPr="0073014D" w:rsidRDefault="006D3AD5" w:rsidP="00443B8F">
            <w:pPr>
              <w:overflowPunct/>
              <w:autoSpaceDE/>
              <w:autoSpaceDN/>
              <w:adjustRightInd/>
              <w:jc w:val="right"/>
              <w:textAlignment w:val="auto"/>
              <w:rPr>
                <w:rFonts w:cs="Arial"/>
                <w:sz w:val="20"/>
              </w:rPr>
            </w:pPr>
            <w:r>
              <w:rPr>
                <w:sz w:val="20"/>
              </w:rPr>
              <w:t>100</w:t>
            </w:r>
          </w:p>
        </w:tc>
        <w:tc>
          <w:tcPr>
            <w:tcW w:w="960" w:type="dxa"/>
            <w:tcBorders>
              <w:top w:val="nil"/>
              <w:left w:val="nil"/>
              <w:bottom w:val="single" w:sz="4" w:space="0" w:color="auto"/>
              <w:right w:val="single" w:sz="4" w:space="0" w:color="auto"/>
            </w:tcBorders>
            <w:noWrap/>
            <w:vAlign w:val="bottom"/>
          </w:tcPr>
          <w:p w14:paraId="1A0FFEB8" w14:textId="77777777" w:rsidR="006D3AD5" w:rsidRPr="0073014D" w:rsidRDefault="006D3AD5" w:rsidP="00443B8F">
            <w:pPr>
              <w:overflowPunct/>
              <w:autoSpaceDE/>
              <w:autoSpaceDN/>
              <w:adjustRightInd/>
              <w:jc w:val="right"/>
              <w:textAlignment w:val="auto"/>
              <w:rPr>
                <w:rFonts w:cs="Arial"/>
                <w:sz w:val="20"/>
              </w:rPr>
            </w:pPr>
            <w:r>
              <w:rPr>
                <w:sz w:val="20"/>
              </w:rPr>
              <w:t>41.0%</w:t>
            </w:r>
          </w:p>
        </w:tc>
      </w:tr>
      <w:tr w:rsidR="006D3AD5" w:rsidRPr="0073014D" w14:paraId="560676A3"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3B2D0C36" w14:textId="77777777" w:rsidR="006D3AD5" w:rsidRPr="0073014D" w:rsidRDefault="006D3AD5" w:rsidP="00443B8F">
            <w:pPr>
              <w:overflowPunct/>
              <w:autoSpaceDE/>
              <w:autoSpaceDN/>
              <w:adjustRightInd/>
              <w:jc w:val="left"/>
              <w:textAlignment w:val="auto"/>
              <w:rPr>
                <w:rFonts w:cs="Arial"/>
                <w:sz w:val="20"/>
              </w:rPr>
            </w:pPr>
            <w:r>
              <w:rPr>
                <w:sz w:val="20"/>
              </w:rPr>
              <w:t>medium-size enterprises</w:t>
            </w:r>
          </w:p>
        </w:tc>
        <w:tc>
          <w:tcPr>
            <w:tcW w:w="960" w:type="dxa"/>
            <w:tcBorders>
              <w:top w:val="nil"/>
              <w:left w:val="nil"/>
              <w:bottom w:val="single" w:sz="4" w:space="0" w:color="auto"/>
              <w:right w:val="single" w:sz="4" w:space="0" w:color="auto"/>
            </w:tcBorders>
            <w:noWrap/>
            <w:vAlign w:val="bottom"/>
          </w:tcPr>
          <w:p w14:paraId="4A3A3FD2" w14:textId="77777777" w:rsidR="006D3AD5" w:rsidRPr="0073014D" w:rsidRDefault="006D3AD5" w:rsidP="00443B8F">
            <w:pPr>
              <w:overflowPunct/>
              <w:autoSpaceDE/>
              <w:autoSpaceDN/>
              <w:adjustRightInd/>
              <w:jc w:val="right"/>
              <w:textAlignment w:val="auto"/>
              <w:rPr>
                <w:rFonts w:cs="Arial"/>
                <w:sz w:val="20"/>
              </w:rPr>
            </w:pPr>
            <w:r>
              <w:rPr>
                <w:sz w:val="20"/>
              </w:rPr>
              <w:t>92</w:t>
            </w:r>
          </w:p>
        </w:tc>
        <w:tc>
          <w:tcPr>
            <w:tcW w:w="960" w:type="dxa"/>
            <w:tcBorders>
              <w:top w:val="nil"/>
              <w:left w:val="nil"/>
              <w:bottom w:val="single" w:sz="4" w:space="0" w:color="auto"/>
              <w:right w:val="single" w:sz="4" w:space="0" w:color="auto"/>
            </w:tcBorders>
            <w:noWrap/>
            <w:vAlign w:val="bottom"/>
          </w:tcPr>
          <w:p w14:paraId="37AF2AB7" w14:textId="77777777" w:rsidR="006D3AD5" w:rsidRPr="0073014D" w:rsidRDefault="006D3AD5" w:rsidP="00443B8F">
            <w:pPr>
              <w:overflowPunct/>
              <w:autoSpaceDE/>
              <w:autoSpaceDN/>
              <w:adjustRightInd/>
              <w:jc w:val="right"/>
              <w:textAlignment w:val="auto"/>
              <w:rPr>
                <w:rFonts w:cs="Arial"/>
                <w:sz w:val="20"/>
              </w:rPr>
            </w:pPr>
            <w:r>
              <w:rPr>
                <w:sz w:val="20"/>
              </w:rPr>
              <w:t>37.7%</w:t>
            </w:r>
          </w:p>
        </w:tc>
      </w:tr>
      <w:tr w:rsidR="006D3AD5" w:rsidRPr="0073014D" w14:paraId="437C0C8F" w14:textId="77777777" w:rsidTr="00443B8F">
        <w:trPr>
          <w:trHeight w:val="255"/>
        </w:trPr>
        <w:tc>
          <w:tcPr>
            <w:tcW w:w="1387" w:type="dxa"/>
            <w:tcBorders>
              <w:top w:val="nil"/>
              <w:left w:val="single" w:sz="4" w:space="0" w:color="auto"/>
              <w:bottom w:val="single" w:sz="4" w:space="0" w:color="auto"/>
              <w:right w:val="single" w:sz="4" w:space="0" w:color="auto"/>
            </w:tcBorders>
            <w:noWrap/>
            <w:vAlign w:val="bottom"/>
          </w:tcPr>
          <w:p w14:paraId="510221FB" w14:textId="77777777" w:rsidR="006D3AD5" w:rsidRPr="0073014D" w:rsidRDefault="006D3AD5" w:rsidP="00443B8F">
            <w:pPr>
              <w:overflowPunct/>
              <w:autoSpaceDE/>
              <w:autoSpaceDN/>
              <w:adjustRightInd/>
              <w:jc w:val="left"/>
              <w:textAlignment w:val="auto"/>
              <w:rPr>
                <w:rFonts w:cs="Arial"/>
                <w:sz w:val="20"/>
              </w:rPr>
            </w:pPr>
            <w:r>
              <w:rPr>
                <w:sz w:val="20"/>
              </w:rPr>
              <w:t>large enterprises</w:t>
            </w:r>
          </w:p>
        </w:tc>
        <w:tc>
          <w:tcPr>
            <w:tcW w:w="960" w:type="dxa"/>
            <w:tcBorders>
              <w:top w:val="nil"/>
              <w:left w:val="nil"/>
              <w:bottom w:val="single" w:sz="4" w:space="0" w:color="auto"/>
              <w:right w:val="single" w:sz="4" w:space="0" w:color="auto"/>
            </w:tcBorders>
            <w:noWrap/>
            <w:vAlign w:val="bottom"/>
          </w:tcPr>
          <w:p w14:paraId="59DE810F" w14:textId="77777777" w:rsidR="006D3AD5" w:rsidRPr="0073014D" w:rsidRDefault="006D3AD5" w:rsidP="00443B8F">
            <w:pPr>
              <w:overflowPunct/>
              <w:autoSpaceDE/>
              <w:autoSpaceDN/>
              <w:adjustRightInd/>
              <w:jc w:val="right"/>
              <w:textAlignment w:val="auto"/>
              <w:rPr>
                <w:rFonts w:cs="Arial"/>
                <w:sz w:val="20"/>
              </w:rPr>
            </w:pPr>
            <w:r>
              <w:rPr>
                <w:sz w:val="20"/>
              </w:rPr>
              <w:t>52</w:t>
            </w:r>
          </w:p>
        </w:tc>
        <w:tc>
          <w:tcPr>
            <w:tcW w:w="960" w:type="dxa"/>
            <w:tcBorders>
              <w:top w:val="nil"/>
              <w:left w:val="nil"/>
              <w:bottom w:val="single" w:sz="4" w:space="0" w:color="auto"/>
              <w:right w:val="single" w:sz="4" w:space="0" w:color="auto"/>
            </w:tcBorders>
            <w:noWrap/>
            <w:vAlign w:val="bottom"/>
          </w:tcPr>
          <w:p w14:paraId="480A0559" w14:textId="77777777" w:rsidR="006D3AD5" w:rsidRPr="0073014D" w:rsidRDefault="006D3AD5" w:rsidP="00443B8F">
            <w:pPr>
              <w:overflowPunct/>
              <w:autoSpaceDE/>
              <w:autoSpaceDN/>
              <w:adjustRightInd/>
              <w:jc w:val="right"/>
              <w:textAlignment w:val="auto"/>
              <w:rPr>
                <w:rFonts w:cs="Arial"/>
                <w:sz w:val="20"/>
              </w:rPr>
            </w:pPr>
            <w:r>
              <w:rPr>
                <w:sz w:val="20"/>
              </w:rPr>
              <w:t>21.3%</w:t>
            </w:r>
          </w:p>
        </w:tc>
      </w:tr>
      <w:tr w:rsidR="006D3AD5" w:rsidRPr="0073014D" w14:paraId="6809D7B4" w14:textId="77777777" w:rsidTr="00443B8F">
        <w:trPr>
          <w:trHeight w:val="255"/>
        </w:trPr>
        <w:tc>
          <w:tcPr>
            <w:tcW w:w="1387" w:type="dxa"/>
            <w:tcBorders>
              <w:top w:val="nil"/>
              <w:left w:val="nil"/>
              <w:bottom w:val="nil"/>
              <w:right w:val="nil"/>
            </w:tcBorders>
            <w:noWrap/>
            <w:vAlign w:val="bottom"/>
          </w:tcPr>
          <w:p w14:paraId="08FAB301"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0" w:type="dxa"/>
            <w:tcBorders>
              <w:top w:val="nil"/>
              <w:left w:val="nil"/>
              <w:bottom w:val="nil"/>
              <w:right w:val="nil"/>
            </w:tcBorders>
            <w:noWrap/>
            <w:vAlign w:val="bottom"/>
          </w:tcPr>
          <w:p w14:paraId="14B1D3CE" w14:textId="77777777" w:rsidR="006D3AD5" w:rsidRPr="0073014D" w:rsidRDefault="006D3AD5" w:rsidP="00443B8F">
            <w:pPr>
              <w:overflowPunct/>
              <w:autoSpaceDE/>
              <w:autoSpaceDN/>
              <w:adjustRightInd/>
              <w:jc w:val="left"/>
              <w:textAlignment w:val="auto"/>
              <w:rPr>
                <w:rFonts w:cs="Arial"/>
                <w:sz w:val="20"/>
              </w:rPr>
            </w:pPr>
            <w:r>
              <w:rPr>
                <w:sz w:val="20"/>
              </w:rPr>
              <w:t>244</w:t>
            </w:r>
          </w:p>
        </w:tc>
        <w:tc>
          <w:tcPr>
            <w:tcW w:w="960" w:type="dxa"/>
            <w:tcBorders>
              <w:top w:val="nil"/>
              <w:left w:val="nil"/>
              <w:bottom w:val="nil"/>
              <w:right w:val="nil"/>
            </w:tcBorders>
            <w:noWrap/>
            <w:vAlign w:val="bottom"/>
          </w:tcPr>
          <w:p w14:paraId="05174049" w14:textId="77777777" w:rsidR="006D3AD5" w:rsidRPr="0073014D" w:rsidRDefault="006D3AD5" w:rsidP="00443B8F">
            <w:pPr>
              <w:overflowPunct/>
              <w:autoSpaceDE/>
              <w:autoSpaceDN/>
              <w:adjustRightInd/>
              <w:jc w:val="left"/>
              <w:textAlignment w:val="auto"/>
              <w:rPr>
                <w:rFonts w:cs="Arial"/>
                <w:sz w:val="20"/>
              </w:rPr>
            </w:pPr>
          </w:p>
        </w:tc>
      </w:tr>
    </w:tbl>
    <w:p w14:paraId="5CA51484" w14:textId="77777777" w:rsidR="006D3AD5" w:rsidRPr="0073014D" w:rsidRDefault="006D3AD5" w:rsidP="006D3AD5"/>
    <w:p w14:paraId="4410FD05" w14:textId="77777777" w:rsidR="006D3AD5" w:rsidRPr="0073014D" w:rsidRDefault="006D3AD5" w:rsidP="006D3AD5">
      <w:r>
        <w:t>Over 51% respondents with the planned investment in energy efficiency included small enterprises and microenterprises, which, however, represents the lowest share of all the specific objectives. Large enterprises with the share over 21% play a significant role in energy intensity reduction.</w:t>
      </w:r>
    </w:p>
    <w:p w14:paraId="5AC78653" w14:textId="0BAA6AEB" w:rsidR="006D3AD5" w:rsidRPr="0073014D" w:rsidRDefault="006D3AD5" w:rsidP="003D68AA">
      <w:pPr>
        <w:pStyle w:val="Titulek"/>
      </w:pPr>
      <w:r>
        <w:t xml:space="preserve">Table </w:t>
      </w:r>
      <w:r w:rsidR="00696819">
        <w:t>71</w:t>
      </w:r>
      <w:r>
        <w:t>: Stages of business</w:t>
      </w:r>
    </w:p>
    <w:tbl>
      <w:tblPr>
        <w:tblW w:w="5745" w:type="dxa"/>
        <w:tblInd w:w="55" w:type="dxa"/>
        <w:tblCellMar>
          <w:left w:w="70" w:type="dxa"/>
          <w:right w:w="70" w:type="dxa"/>
        </w:tblCellMar>
        <w:tblLook w:val="00A0" w:firstRow="1" w:lastRow="0" w:firstColumn="1" w:lastColumn="0" w:noHBand="0" w:noVBand="0"/>
      </w:tblPr>
      <w:tblGrid>
        <w:gridCol w:w="3822"/>
        <w:gridCol w:w="963"/>
        <w:gridCol w:w="960"/>
      </w:tblGrid>
      <w:tr w:rsidR="006D3AD5" w:rsidRPr="0073014D" w14:paraId="3090CAF0" w14:textId="77777777" w:rsidTr="00443B8F">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14:paraId="3379125E" w14:textId="77777777" w:rsidR="006D3AD5" w:rsidRPr="0073014D" w:rsidRDefault="006D3AD5" w:rsidP="00443B8F">
            <w:pPr>
              <w:overflowPunct/>
              <w:autoSpaceDE/>
              <w:autoSpaceDN/>
              <w:adjustRightInd/>
              <w:jc w:val="left"/>
              <w:textAlignment w:val="auto"/>
              <w:rPr>
                <w:rFonts w:cs="Arial"/>
                <w:b/>
                <w:bCs/>
                <w:sz w:val="20"/>
              </w:rPr>
            </w:pPr>
            <w:r>
              <w:rPr>
                <w:b/>
                <w:sz w:val="20"/>
              </w:rPr>
              <w:t>Stages of business</w:t>
            </w:r>
          </w:p>
        </w:tc>
        <w:tc>
          <w:tcPr>
            <w:tcW w:w="963" w:type="dxa"/>
            <w:tcBorders>
              <w:top w:val="single" w:sz="4" w:space="0" w:color="auto"/>
              <w:left w:val="nil"/>
              <w:bottom w:val="single" w:sz="4" w:space="0" w:color="auto"/>
              <w:right w:val="single" w:sz="4" w:space="0" w:color="auto"/>
            </w:tcBorders>
            <w:noWrap/>
            <w:vAlign w:val="bottom"/>
          </w:tcPr>
          <w:p w14:paraId="46C26F6C"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2C3962D2"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49F1AC40"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3DC618F4" w14:textId="77777777" w:rsidR="006D3AD5" w:rsidRPr="0073014D" w:rsidRDefault="006D3AD5" w:rsidP="00443B8F">
            <w:pPr>
              <w:overflowPunct/>
              <w:autoSpaceDE/>
              <w:autoSpaceDN/>
              <w:adjustRightInd/>
              <w:jc w:val="left"/>
              <w:textAlignment w:val="auto"/>
              <w:rPr>
                <w:rFonts w:cs="Arial"/>
                <w:sz w:val="20"/>
              </w:rPr>
            </w:pPr>
            <w:r>
              <w:rPr>
                <w:sz w:val="20"/>
              </w:rPr>
              <w:t>Initial stage: postcreation, seed, startup</w:t>
            </w:r>
          </w:p>
        </w:tc>
        <w:tc>
          <w:tcPr>
            <w:tcW w:w="963" w:type="dxa"/>
            <w:tcBorders>
              <w:top w:val="nil"/>
              <w:left w:val="nil"/>
              <w:bottom w:val="single" w:sz="4" w:space="0" w:color="auto"/>
              <w:right w:val="single" w:sz="4" w:space="0" w:color="auto"/>
            </w:tcBorders>
            <w:noWrap/>
            <w:vAlign w:val="bottom"/>
          </w:tcPr>
          <w:p w14:paraId="73B81238" w14:textId="77777777" w:rsidR="006D3AD5" w:rsidRPr="0073014D" w:rsidRDefault="006D3AD5" w:rsidP="00443B8F">
            <w:pPr>
              <w:overflowPunct/>
              <w:autoSpaceDE/>
              <w:autoSpaceDN/>
              <w:adjustRightInd/>
              <w:jc w:val="right"/>
              <w:textAlignment w:val="auto"/>
              <w:rPr>
                <w:rFonts w:cs="Arial"/>
                <w:sz w:val="20"/>
              </w:rPr>
            </w:pPr>
            <w:r>
              <w:rPr>
                <w:sz w:val="20"/>
              </w:rPr>
              <w:t>6</w:t>
            </w:r>
          </w:p>
        </w:tc>
        <w:tc>
          <w:tcPr>
            <w:tcW w:w="960" w:type="dxa"/>
            <w:tcBorders>
              <w:top w:val="nil"/>
              <w:left w:val="nil"/>
              <w:bottom w:val="single" w:sz="4" w:space="0" w:color="auto"/>
              <w:right w:val="single" w:sz="4" w:space="0" w:color="auto"/>
            </w:tcBorders>
            <w:noWrap/>
            <w:vAlign w:val="bottom"/>
          </w:tcPr>
          <w:p w14:paraId="779FD66B" w14:textId="77777777" w:rsidR="006D3AD5" w:rsidRPr="0073014D" w:rsidRDefault="006D3AD5" w:rsidP="00443B8F">
            <w:pPr>
              <w:overflowPunct/>
              <w:autoSpaceDE/>
              <w:autoSpaceDN/>
              <w:adjustRightInd/>
              <w:jc w:val="right"/>
              <w:textAlignment w:val="auto"/>
              <w:rPr>
                <w:rFonts w:cs="Arial"/>
                <w:sz w:val="20"/>
              </w:rPr>
            </w:pPr>
            <w:r>
              <w:rPr>
                <w:sz w:val="20"/>
              </w:rPr>
              <w:t>2.3%</w:t>
            </w:r>
          </w:p>
        </w:tc>
      </w:tr>
      <w:tr w:rsidR="006D3AD5" w:rsidRPr="0073014D" w14:paraId="380F9C50"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5769E3F2" w14:textId="77777777" w:rsidR="006D3AD5" w:rsidRPr="0073014D" w:rsidRDefault="006D3AD5" w:rsidP="00443B8F">
            <w:pPr>
              <w:overflowPunct/>
              <w:autoSpaceDE/>
              <w:autoSpaceDN/>
              <w:adjustRightInd/>
              <w:jc w:val="left"/>
              <w:textAlignment w:val="auto"/>
              <w:rPr>
                <w:rFonts w:cs="Arial"/>
                <w:sz w:val="20"/>
              </w:rPr>
            </w:pPr>
            <w:r>
              <w:rPr>
                <w:sz w:val="20"/>
              </w:rPr>
              <w:t>Expansion stage (expansion)</w:t>
            </w:r>
          </w:p>
        </w:tc>
        <w:tc>
          <w:tcPr>
            <w:tcW w:w="963" w:type="dxa"/>
            <w:tcBorders>
              <w:top w:val="nil"/>
              <w:left w:val="nil"/>
              <w:bottom w:val="single" w:sz="4" w:space="0" w:color="auto"/>
              <w:right w:val="single" w:sz="4" w:space="0" w:color="auto"/>
            </w:tcBorders>
            <w:noWrap/>
            <w:vAlign w:val="bottom"/>
          </w:tcPr>
          <w:p w14:paraId="145AACCF" w14:textId="77777777" w:rsidR="006D3AD5" w:rsidRPr="0073014D" w:rsidRDefault="006D3AD5" w:rsidP="00443B8F">
            <w:pPr>
              <w:overflowPunct/>
              <w:autoSpaceDE/>
              <w:autoSpaceDN/>
              <w:adjustRightInd/>
              <w:jc w:val="right"/>
              <w:textAlignment w:val="auto"/>
              <w:rPr>
                <w:rFonts w:cs="Arial"/>
                <w:sz w:val="20"/>
              </w:rPr>
            </w:pPr>
            <w:r>
              <w:rPr>
                <w:sz w:val="20"/>
              </w:rPr>
              <w:t>187</w:t>
            </w:r>
          </w:p>
        </w:tc>
        <w:tc>
          <w:tcPr>
            <w:tcW w:w="960" w:type="dxa"/>
            <w:tcBorders>
              <w:top w:val="nil"/>
              <w:left w:val="nil"/>
              <w:bottom w:val="single" w:sz="4" w:space="0" w:color="auto"/>
              <w:right w:val="single" w:sz="4" w:space="0" w:color="auto"/>
            </w:tcBorders>
            <w:noWrap/>
            <w:vAlign w:val="bottom"/>
          </w:tcPr>
          <w:p w14:paraId="75A43845" w14:textId="77777777" w:rsidR="006D3AD5" w:rsidRPr="0073014D" w:rsidRDefault="006D3AD5" w:rsidP="00443B8F">
            <w:pPr>
              <w:overflowPunct/>
              <w:autoSpaceDE/>
              <w:autoSpaceDN/>
              <w:adjustRightInd/>
              <w:jc w:val="right"/>
              <w:textAlignment w:val="auto"/>
              <w:rPr>
                <w:rFonts w:cs="Arial"/>
                <w:sz w:val="20"/>
              </w:rPr>
            </w:pPr>
            <w:r>
              <w:rPr>
                <w:sz w:val="20"/>
              </w:rPr>
              <w:t>70.6%</w:t>
            </w:r>
          </w:p>
        </w:tc>
      </w:tr>
      <w:tr w:rsidR="006D3AD5" w:rsidRPr="0073014D" w14:paraId="316AF115"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49EC7C9B" w14:textId="77777777" w:rsidR="006D3AD5" w:rsidRPr="0073014D" w:rsidRDefault="006D3AD5" w:rsidP="00443B8F">
            <w:pPr>
              <w:overflowPunct/>
              <w:autoSpaceDE/>
              <w:autoSpaceDN/>
              <w:adjustRightInd/>
              <w:jc w:val="left"/>
              <w:textAlignment w:val="auto"/>
              <w:rPr>
                <w:rFonts w:cs="Arial"/>
                <w:sz w:val="20"/>
              </w:rPr>
            </w:pPr>
            <w:r>
              <w:rPr>
                <w:sz w:val="20"/>
              </w:rPr>
              <w:t>Stable stage: (buyout or maturity)</w:t>
            </w:r>
          </w:p>
        </w:tc>
        <w:tc>
          <w:tcPr>
            <w:tcW w:w="963" w:type="dxa"/>
            <w:tcBorders>
              <w:top w:val="nil"/>
              <w:left w:val="nil"/>
              <w:bottom w:val="single" w:sz="4" w:space="0" w:color="auto"/>
              <w:right w:val="single" w:sz="4" w:space="0" w:color="auto"/>
            </w:tcBorders>
            <w:noWrap/>
            <w:vAlign w:val="bottom"/>
          </w:tcPr>
          <w:p w14:paraId="10753475" w14:textId="77777777" w:rsidR="006D3AD5" w:rsidRPr="0073014D" w:rsidRDefault="006D3AD5" w:rsidP="00443B8F">
            <w:pPr>
              <w:overflowPunct/>
              <w:autoSpaceDE/>
              <w:autoSpaceDN/>
              <w:adjustRightInd/>
              <w:jc w:val="right"/>
              <w:textAlignment w:val="auto"/>
              <w:rPr>
                <w:rFonts w:cs="Arial"/>
                <w:sz w:val="20"/>
              </w:rPr>
            </w:pPr>
            <w:r>
              <w:rPr>
                <w:sz w:val="20"/>
              </w:rPr>
              <w:t>46</w:t>
            </w:r>
          </w:p>
        </w:tc>
        <w:tc>
          <w:tcPr>
            <w:tcW w:w="960" w:type="dxa"/>
            <w:tcBorders>
              <w:top w:val="nil"/>
              <w:left w:val="nil"/>
              <w:bottom w:val="single" w:sz="4" w:space="0" w:color="auto"/>
              <w:right w:val="single" w:sz="4" w:space="0" w:color="auto"/>
            </w:tcBorders>
            <w:noWrap/>
            <w:vAlign w:val="bottom"/>
          </w:tcPr>
          <w:p w14:paraId="7B6A206D" w14:textId="77777777" w:rsidR="006D3AD5" w:rsidRPr="0073014D" w:rsidRDefault="006D3AD5" w:rsidP="00443B8F">
            <w:pPr>
              <w:overflowPunct/>
              <w:autoSpaceDE/>
              <w:autoSpaceDN/>
              <w:adjustRightInd/>
              <w:jc w:val="right"/>
              <w:textAlignment w:val="auto"/>
              <w:rPr>
                <w:rFonts w:cs="Arial"/>
                <w:sz w:val="20"/>
              </w:rPr>
            </w:pPr>
            <w:r>
              <w:rPr>
                <w:sz w:val="20"/>
              </w:rPr>
              <w:t>17.4%</w:t>
            </w:r>
          </w:p>
        </w:tc>
      </w:tr>
      <w:tr w:rsidR="006D3AD5" w:rsidRPr="0073014D" w14:paraId="381D358E" w14:textId="77777777" w:rsidTr="00443B8F">
        <w:trPr>
          <w:trHeight w:val="255"/>
        </w:trPr>
        <w:tc>
          <w:tcPr>
            <w:tcW w:w="3822" w:type="dxa"/>
            <w:tcBorders>
              <w:top w:val="nil"/>
              <w:left w:val="single" w:sz="4" w:space="0" w:color="auto"/>
              <w:bottom w:val="single" w:sz="4" w:space="0" w:color="auto"/>
              <w:right w:val="single" w:sz="4" w:space="0" w:color="auto"/>
            </w:tcBorders>
            <w:noWrap/>
            <w:vAlign w:val="bottom"/>
          </w:tcPr>
          <w:p w14:paraId="6EAF734A" w14:textId="77777777" w:rsidR="006D3AD5" w:rsidRPr="0073014D" w:rsidRDefault="006D3AD5" w:rsidP="00443B8F">
            <w:pPr>
              <w:overflowPunct/>
              <w:autoSpaceDE/>
              <w:autoSpaceDN/>
              <w:adjustRightInd/>
              <w:jc w:val="left"/>
              <w:textAlignment w:val="auto"/>
              <w:rPr>
                <w:rFonts w:cs="Arial"/>
                <w:sz w:val="20"/>
              </w:rPr>
            </w:pPr>
            <w:r>
              <w:rPr>
                <w:sz w:val="20"/>
              </w:rPr>
              <w:t>Renewal of activities (redeployment)</w:t>
            </w:r>
          </w:p>
        </w:tc>
        <w:tc>
          <w:tcPr>
            <w:tcW w:w="963" w:type="dxa"/>
            <w:tcBorders>
              <w:top w:val="nil"/>
              <w:left w:val="nil"/>
              <w:bottom w:val="single" w:sz="4" w:space="0" w:color="auto"/>
              <w:right w:val="single" w:sz="4" w:space="0" w:color="auto"/>
            </w:tcBorders>
            <w:noWrap/>
            <w:vAlign w:val="bottom"/>
          </w:tcPr>
          <w:p w14:paraId="5BE6D4B8" w14:textId="77777777" w:rsidR="006D3AD5" w:rsidRPr="0073014D" w:rsidRDefault="006D3AD5" w:rsidP="00443B8F">
            <w:pPr>
              <w:overflowPunct/>
              <w:autoSpaceDE/>
              <w:autoSpaceDN/>
              <w:adjustRightInd/>
              <w:jc w:val="right"/>
              <w:textAlignment w:val="auto"/>
              <w:rPr>
                <w:rFonts w:cs="Arial"/>
                <w:sz w:val="20"/>
              </w:rPr>
            </w:pPr>
            <w:r>
              <w:rPr>
                <w:sz w:val="20"/>
              </w:rPr>
              <w:t>26</w:t>
            </w:r>
          </w:p>
        </w:tc>
        <w:tc>
          <w:tcPr>
            <w:tcW w:w="960" w:type="dxa"/>
            <w:tcBorders>
              <w:top w:val="nil"/>
              <w:left w:val="nil"/>
              <w:bottom w:val="single" w:sz="4" w:space="0" w:color="auto"/>
              <w:right w:val="single" w:sz="4" w:space="0" w:color="auto"/>
            </w:tcBorders>
            <w:noWrap/>
            <w:vAlign w:val="bottom"/>
          </w:tcPr>
          <w:p w14:paraId="417B73FB" w14:textId="77777777" w:rsidR="006D3AD5" w:rsidRPr="0073014D" w:rsidRDefault="006D3AD5" w:rsidP="00443B8F">
            <w:pPr>
              <w:overflowPunct/>
              <w:autoSpaceDE/>
              <w:autoSpaceDN/>
              <w:adjustRightInd/>
              <w:jc w:val="right"/>
              <w:textAlignment w:val="auto"/>
              <w:rPr>
                <w:rFonts w:cs="Arial"/>
                <w:sz w:val="20"/>
              </w:rPr>
            </w:pPr>
            <w:r>
              <w:rPr>
                <w:sz w:val="20"/>
              </w:rPr>
              <w:t>9.8%</w:t>
            </w:r>
          </w:p>
        </w:tc>
      </w:tr>
      <w:tr w:rsidR="006D3AD5" w:rsidRPr="0073014D" w14:paraId="1AE94AE7" w14:textId="77777777" w:rsidTr="00443B8F">
        <w:trPr>
          <w:trHeight w:val="255"/>
        </w:trPr>
        <w:tc>
          <w:tcPr>
            <w:tcW w:w="3822" w:type="dxa"/>
            <w:tcBorders>
              <w:top w:val="nil"/>
              <w:left w:val="nil"/>
              <w:bottom w:val="nil"/>
              <w:right w:val="nil"/>
            </w:tcBorders>
            <w:noWrap/>
            <w:vAlign w:val="bottom"/>
          </w:tcPr>
          <w:p w14:paraId="539C6C77"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32F9EFF1" w14:textId="77777777" w:rsidR="006D3AD5" w:rsidRPr="0073014D" w:rsidRDefault="006D3AD5" w:rsidP="00443B8F">
            <w:pPr>
              <w:overflowPunct/>
              <w:autoSpaceDE/>
              <w:autoSpaceDN/>
              <w:adjustRightInd/>
              <w:jc w:val="left"/>
              <w:textAlignment w:val="auto"/>
              <w:rPr>
                <w:rFonts w:cs="Arial"/>
                <w:sz w:val="20"/>
              </w:rPr>
            </w:pPr>
            <w:r>
              <w:rPr>
                <w:sz w:val="20"/>
              </w:rPr>
              <w:t>265</w:t>
            </w:r>
          </w:p>
        </w:tc>
        <w:tc>
          <w:tcPr>
            <w:tcW w:w="960" w:type="dxa"/>
            <w:tcBorders>
              <w:top w:val="nil"/>
              <w:left w:val="nil"/>
              <w:bottom w:val="nil"/>
              <w:right w:val="nil"/>
            </w:tcBorders>
            <w:noWrap/>
            <w:vAlign w:val="bottom"/>
          </w:tcPr>
          <w:p w14:paraId="3976BACE" w14:textId="77777777" w:rsidR="006D3AD5" w:rsidRPr="0073014D" w:rsidRDefault="006D3AD5" w:rsidP="00443B8F">
            <w:pPr>
              <w:overflowPunct/>
              <w:autoSpaceDE/>
              <w:autoSpaceDN/>
              <w:adjustRightInd/>
              <w:jc w:val="left"/>
              <w:textAlignment w:val="auto"/>
              <w:rPr>
                <w:rFonts w:cs="Arial"/>
                <w:sz w:val="20"/>
              </w:rPr>
            </w:pPr>
          </w:p>
        </w:tc>
      </w:tr>
    </w:tbl>
    <w:p w14:paraId="02EB4023" w14:textId="77777777" w:rsidR="006D3AD5" w:rsidRPr="0073014D" w:rsidRDefault="006D3AD5" w:rsidP="006D3AD5">
      <w:r>
        <w:t>These included, above all, well-established companies, with the age median of 20 years, nevertheless, they most often classified their stage as the expansion stage, namely in 70.6 % of the cases.</w:t>
      </w:r>
    </w:p>
    <w:p w14:paraId="16082561" w14:textId="23D466DB" w:rsidR="006D3AD5" w:rsidRPr="0073014D" w:rsidRDefault="006D3AD5" w:rsidP="003D68AA">
      <w:pPr>
        <w:pStyle w:val="Titulek"/>
      </w:pPr>
      <w:r>
        <w:t xml:space="preserve">Table </w:t>
      </w:r>
      <w:r w:rsidR="00696819">
        <w:t>72</w:t>
      </w:r>
      <w:r>
        <w:t>: Investment expenses of enterprises</w:t>
      </w:r>
    </w:p>
    <w:tbl>
      <w:tblPr>
        <w:tblW w:w="9199" w:type="dxa"/>
        <w:tblInd w:w="55" w:type="dxa"/>
        <w:tblCellMar>
          <w:left w:w="70" w:type="dxa"/>
          <w:right w:w="70" w:type="dxa"/>
        </w:tblCellMar>
        <w:tblLook w:val="00A0" w:firstRow="1" w:lastRow="0" w:firstColumn="1" w:lastColumn="0" w:noHBand="0" w:noVBand="0"/>
      </w:tblPr>
      <w:tblGrid>
        <w:gridCol w:w="5978"/>
        <w:gridCol w:w="1298"/>
        <w:gridCol w:w="963"/>
        <w:gridCol w:w="960"/>
      </w:tblGrid>
      <w:tr w:rsidR="006D3AD5" w:rsidRPr="0073014D" w14:paraId="30D8200A" w14:textId="77777777" w:rsidTr="00443B8F">
        <w:trPr>
          <w:trHeight w:val="255"/>
        </w:trPr>
        <w:tc>
          <w:tcPr>
            <w:tcW w:w="7276" w:type="dxa"/>
            <w:gridSpan w:val="2"/>
            <w:tcBorders>
              <w:top w:val="single" w:sz="4" w:space="0" w:color="auto"/>
              <w:left w:val="single" w:sz="4" w:space="0" w:color="auto"/>
              <w:bottom w:val="single" w:sz="4" w:space="0" w:color="auto"/>
              <w:right w:val="single" w:sz="4" w:space="0" w:color="000000"/>
            </w:tcBorders>
            <w:noWrap/>
            <w:vAlign w:val="bottom"/>
          </w:tcPr>
          <w:p w14:paraId="518EC997" w14:textId="77777777" w:rsidR="006D3AD5" w:rsidRPr="0073014D" w:rsidRDefault="006D3AD5" w:rsidP="00443B8F">
            <w:pPr>
              <w:overflowPunct/>
              <w:autoSpaceDE/>
              <w:autoSpaceDN/>
              <w:adjustRightInd/>
              <w:jc w:val="left"/>
              <w:textAlignment w:val="auto"/>
              <w:rPr>
                <w:rFonts w:cs="Arial"/>
                <w:b/>
                <w:bCs/>
                <w:sz w:val="20"/>
              </w:rPr>
            </w:pPr>
            <w:r>
              <w:rPr>
                <w:b/>
                <w:sz w:val="20"/>
              </w:rPr>
              <w:t>Investment expenses of enterprises</w:t>
            </w:r>
          </w:p>
        </w:tc>
        <w:tc>
          <w:tcPr>
            <w:tcW w:w="963" w:type="dxa"/>
            <w:tcBorders>
              <w:top w:val="single" w:sz="4" w:space="0" w:color="auto"/>
              <w:left w:val="nil"/>
              <w:bottom w:val="single" w:sz="4" w:space="0" w:color="auto"/>
              <w:right w:val="single" w:sz="4" w:space="0" w:color="auto"/>
            </w:tcBorders>
            <w:noWrap/>
            <w:vAlign w:val="bottom"/>
          </w:tcPr>
          <w:p w14:paraId="6DD87E0B"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2568642F"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02082298" w14:textId="77777777" w:rsidTr="00443B8F">
        <w:trPr>
          <w:trHeight w:val="255"/>
        </w:trPr>
        <w:tc>
          <w:tcPr>
            <w:tcW w:w="5978" w:type="dxa"/>
            <w:vMerge w:val="restart"/>
            <w:tcBorders>
              <w:top w:val="nil"/>
              <w:left w:val="single" w:sz="4" w:space="0" w:color="auto"/>
              <w:bottom w:val="single" w:sz="4" w:space="0" w:color="auto"/>
              <w:right w:val="single" w:sz="4" w:space="0" w:color="auto"/>
            </w:tcBorders>
            <w:noWrap/>
            <w:vAlign w:val="bottom"/>
          </w:tcPr>
          <w:p w14:paraId="6E51E59D" w14:textId="77777777" w:rsidR="006D3AD5" w:rsidRPr="0073014D" w:rsidRDefault="006D3AD5" w:rsidP="00443B8F">
            <w:pPr>
              <w:overflowPunct/>
              <w:autoSpaceDE/>
              <w:autoSpaceDN/>
              <w:adjustRightInd/>
              <w:jc w:val="left"/>
              <w:textAlignment w:val="auto"/>
              <w:rPr>
                <w:rFonts w:cs="Arial"/>
                <w:sz w:val="20"/>
              </w:rPr>
            </w:pPr>
            <w:r>
              <w:rPr>
                <w:sz w:val="20"/>
              </w:rPr>
              <w:t xml:space="preserve">Investments in previous three years </w:t>
            </w:r>
          </w:p>
        </w:tc>
        <w:tc>
          <w:tcPr>
            <w:tcW w:w="1298" w:type="dxa"/>
            <w:tcBorders>
              <w:top w:val="nil"/>
              <w:left w:val="nil"/>
              <w:bottom w:val="single" w:sz="4" w:space="0" w:color="auto"/>
              <w:right w:val="single" w:sz="4" w:space="0" w:color="auto"/>
            </w:tcBorders>
            <w:noWrap/>
            <w:vAlign w:val="bottom"/>
          </w:tcPr>
          <w:p w14:paraId="56E2AAE6" w14:textId="77777777" w:rsidR="006D3AD5" w:rsidRPr="0073014D" w:rsidRDefault="006D3AD5" w:rsidP="00443B8F">
            <w:pPr>
              <w:overflowPunct/>
              <w:autoSpaceDE/>
              <w:autoSpaceDN/>
              <w:adjustRightInd/>
              <w:jc w:val="left"/>
              <w:textAlignment w:val="auto"/>
              <w:rPr>
                <w:rFonts w:cs="Arial"/>
                <w:sz w:val="20"/>
              </w:rPr>
            </w:pPr>
            <w:r>
              <w:rPr>
                <w:sz w:val="20"/>
              </w:rPr>
              <w:t>no more than CZK 10 million</w:t>
            </w:r>
          </w:p>
        </w:tc>
        <w:tc>
          <w:tcPr>
            <w:tcW w:w="963" w:type="dxa"/>
            <w:tcBorders>
              <w:top w:val="nil"/>
              <w:left w:val="nil"/>
              <w:bottom w:val="single" w:sz="4" w:space="0" w:color="auto"/>
              <w:right w:val="single" w:sz="4" w:space="0" w:color="auto"/>
            </w:tcBorders>
            <w:noWrap/>
            <w:vAlign w:val="bottom"/>
          </w:tcPr>
          <w:p w14:paraId="50C324ED" w14:textId="77777777" w:rsidR="006D3AD5" w:rsidRPr="0073014D" w:rsidRDefault="006D3AD5" w:rsidP="00443B8F">
            <w:pPr>
              <w:overflowPunct/>
              <w:autoSpaceDE/>
              <w:autoSpaceDN/>
              <w:adjustRightInd/>
              <w:jc w:val="right"/>
              <w:textAlignment w:val="auto"/>
              <w:rPr>
                <w:rFonts w:cs="Arial"/>
                <w:sz w:val="20"/>
              </w:rPr>
            </w:pPr>
            <w:r>
              <w:rPr>
                <w:sz w:val="20"/>
              </w:rPr>
              <w:t>221</w:t>
            </w:r>
          </w:p>
        </w:tc>
        <w:tc>
          <w:tcPr>
            <w:tcW w:w="960" w:type="dxa"/>
            <w:tcBorders>
              <w:top w:val="nil"/>
              <w:left w:val="nil"/>
              <w:bottom w:val="single" w:sz="4" w:space="0" w:color="auto"/>
              <w:right w:val="single" w:sz="4" w:space="0" w:color="auto"/>
            </w:tcBorders>
            <w:noWrap/>
            <w:vAlign w:val="bottom"/>
          </w:tcPr>
          <w:p w14:paraId="696C7D19" w14:textId="77777777" w:rsidR="006D3AD5" w:rsidRPr="0073014D" w:rsidRDefault="006D3AD5" w:rsidP="00443B8F">
            <w:pPr>
              <w:overflowPunct/>
              <w:autoSpaceDE/>
              <w:autoSpaceDN/>
              <w:adjustRightInd/>
              <w:jc w:val="right"/>
              <w:textAlignment w:val="auto"/>
              <w:rPr>
                <w:rFonts w:cs="Arial"/>
                <w:sz w:val="20"/>
              </w:rPr>
            </w:pPr>
            <w:r>
              <w:rPr>
                <w:sz w:val="20"/>
              </w:rPr>
              <w:t>82.2%</w:t>
            </w:r>
          </w:p>
        </w:tc>
      </w:tr>
      <w:tr w:rsidR="006D3AD5" w:rsidRPr="0073014D" w14:paraId="59698AEA" w14:textId="77777777" w:rsidTr="00443B8F">
        <w:trPr>
          <w:trHeight w:val="255"/>
        </w:trPr>
        <w:tc>
          <w:tcPr>
            <w:tcW w:w="5978" w:type="dxa"/>
            <w:vMerge/>
            <w:tcBorders>
              <w:top w:val="nil"/>
              <w:left w:val="single" w:sz="4" w:space="0" w:color="auto"/>
              <w:bottom w:val="single" w:sz="4" w:space="0" w:color="auto"/>
              <w:right w:val="single" w:sz="4" w:space="0" w:color="auto"/>
            </w:tcBorders>
            <w:vAlign w:val="center"/>
          </w:tcPr>
          <w:p w14:paraId="0D23D406"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3289A381" w14:textId="77777777" w:rsidR="006D3AD5" w:rsidRPr="0073014D" w:rsidRDefault="006D3AD5" w:rsidP="00443B8F">
            <w:pPr>
              <w:overflowPunct/>
              <w:autoSpaceDE/>
              <w:autoSpaceDN/>
              <w:adjustRightInd/>
              <w:jc w:val="left"/>
              <w:textAlignment w:val="auto"/>
              <w:rPr>
                <w:rFonts w:cs="Arial"/>
                <w:sz w:val="20"/>
              </w:rPr>
            </w:pPr>
            <w:r>
              <w:rPr>
                <w:sz w:val="20"/>
              </w:rPr>
              <w:t>CZK 10-30 million</w:t>
            </w:r>
          </w:p>
        </w:tc>
        <w:tc>
          <w:tcPr>
            <w:tcW w:w="963" w:type="dxa"/>
            <w:tcBorders>
              <w:top w:val="nil"/>
              <w:left w:val="nil"/>
              <w:bottom w:val="single" w:sz="4" w:space="0" w:color="auto"/>
              <w:right w:val="single" w:sz="4" w:space="0" w:color="auto"/>
            </w:tcBorders>
            <w:noWrap/>
            <w:vAlign w:val="bottom"/>
          </w:tcPr>
          <w:p w14:paraId="6552549B" w14:textId="77777777" w:rsidR="006D3AD5" w:rsidRPr="0073014D" w:rsidRDefault="006D3AD5" w:rsidP="00443B8F">
            <w:pPr>
              <w:overflowPunct/>
              <w:autoSpaceDE/>
              <w:autoSpaceDN/>
              <w:adjustRightInd/>
              <w:jc w:val="right"/>
              <w:textAlignment w:val="auto"/>
              <w:rPr>
                <w:rFonts w:cs="Arial"/>
                <w:sz w:val="20"/>
              </w:rPr>
            </w:pPr>
            <w:r>
              <w:rPr>
                <w:sz w:val="20"/>
              </w:rPr>
              <w:t>36</w:t>
            </w:r>
          </w:p>
        </w:tc>
        <w:tc>
          <w:tcPr>
            <w:tcW w:w="960" w:type="dxa"/>
            <w:tcBorders>
              <w:top w:val="nil"/>
              <w:left w:val="nil"/>
              <w:bottom w:val="single" w:sz="4" w:space="0" w:color="auto"/>
              <w:right w:val="single" w:sz="4" w:space="0" w:color="auto"/>
            </w:tcBorders>
            <w:noWrap/>
            <w:vAlign w:val="bottom"/>
          </w:tcPr>
          <w:p w14:paraId="2284BD94" w14:textId="77777777" w:rsidR="006D3AD5" w:rsidRPr="0073014D" w:rsidRDefault="006D3AD5" w:rsidP="00443B8F">
            <w:pPr>
              <w:overflowPunct/>
              <w:autoSpaceDE/>
              <w:autoSpaceDN/>
              <w:adjustRightInd/>
              <w:jc w:val="right"/>
              <w:textAlignment w:val="auto"/>
              <w:rPr>
                <w:rFonts w:cs="Arial"/>
                <w:sz w:val="20"/>
              </w:rPr>
            </w:pPr>
            <w:r>
              <w:rPr>
                <w:sz w:val="20"/>
              </w:rPr>
              <w:t>13.4%</w:t>
            </w:r>
          </w:p>
        </w:tc>
      </w:tr>
      <w:tr w:rsidR="006D3AD5" w:rsidRPr="0073014D" w14:paraId="6552D28F" w14:textId="77777777" w:rsidTr="00443B8F">
        <w:trPr>
          <w:trHeight w:val="255"/>
        </w:trPr>
        <w:tc>
          <w:tcPr>
            <w:tcW w:w="5978" w:type="dxa"/>
            <w:vMerge/>
            <w:tcBorders>
              <w:top w:val="nil"/>
              <w:left w:val="single" w:sz="4" w:space="0" w:color="auto"/>
              <w:bottom w:val="single" w:sz="4" w:space="0" w:color="auto"/>
              <w:right w:val="single" w:sz="4" w:space="0" w:color="auto"/>
            </w:tcBorders>
            <w:vAlign w:val="center"/>
          </w:tcPr>
          <w:p w14:paraId="41031D08"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2F7D9692" w14:textId="77777777" w:rsidR="006D3AD5" w:rsidRPr="0073014D" w:rsidRDefault="006D3AD5" w:rsidP="00443B8F">
            <w:pPr>
              <w:overflowPunct/>
              <w:autoSpaceDE/>
              <w:autoSpaceDN/>
              <w:adjustRightInd/>
              <w:jc w:val="left"/>
              <w:textAlignment w:val="auto"/>
              <w:rPr>
                <w:rFonts w:cs="Arial"/>
                <w:sz w:val="20"/>
              </w:rPr>
            </w:pPr>
            <w:r>
              <w:rPr>
                <w:sz w:val="20"/>
              </w:rPr>
              <w:t>over CZK 30 million</w:t>
            </w:r>
          </w:p>
        </w:tc>
        <w:tc>
          <w:tcPr>
            <w:tcW w:w="963" w:type="dxa"/>
            <w:tcBorders>
              <w:top w:val="nil"/>
              <w:left w:val="nil"/>
              <w:bottom w:val="single" w:sz="4" w:space="0" w:color="auto"/>
              <w:right w:val="single" w:sz="4" w:space="0" w:color="auto"/>
            </w:tcBorders>
            <w:noWrap/>
            <w:vAlign w:val="bottom"/>
          </w:tcPr>
          <w:p w14:paraId="000630A4" w14:textId="77777777" w:rsidR="006D3AD5" w:rsidRPr="0073014D" w:rsidRDefault="006D3AD5" w:rsidP="00443B8F">
            <w:pPr>
              <w:overflowPunct/>
              <w:autoSpaceDE/>
              <w:autoSpaceDN/>
              <w:adjustRightInd/>
              <w:jc w:val="right"/>
              <w:textAlignment w:val="auto"/>
              <w:rPr>
                <w:rFonts w:cs="Arial"/>
                <w:sz w:val="20"/>
              </w:rPr>
            </w:pPr>
            <w:r>
              <w:rPr>
                <w:sz w:val="20"/>
              </w:rPr>
              <w:t>12</w:t>
            </w:r>
          </w:p>
        </w:tc>
        <w:tc>
          <w:tcPr>
            <w:tcW w:w="960" w:type="dxa"/>
            <w:tcBorders>
              <w:top w:val="nil"/>
              <w:left w:val="nil"/>
              <w:bottom w:val="single" w:sz="4" w:space="0" w:color="auto"/>
              <w:right w:val="single" w:sz="4" w:space="0" w:color="auto"/>
            </w:tcBorders>
            <w:noWrap/>
            <w:vAlign w:val="bottom"/>
          </w:tcPr>
          <w:p w14:paraId="0884AFA4" w14:textId="77777777" w:rsidR="006D3AD5" w:rsidRPr="0073014D" w:rsidRDefault="006D3AD5" w:rsidP="00443B8F">
            <w:pPr>
              <w:overflowPunct/>
              <w:autoSpaceDE/>
              <w:autoSpaceDN/>
              <w:adjustRightInd/>
              <w:jc w:val="right"/>
              <w:textAlignment w:val="auto"/>
              <w:rPr>
                <w:rFonts w:cs="Arial"/>
                <w:sz w:val="20"/>
              </w:rPr>
            </w:pPr>
            <w:r>
              <w:rPr>
                <w:sz w:val="20"/>
              </w:rPr>
              <w:t>4.5%</w:t>
            </w:r>
          </w:p>
        </w:tc>
      </w:tr>
      <w:tr w:rsidR="006D3AD5" w:rsidRPr="0073014D" w14:paraId="55F51824" w14:textId="77777777" w:rsidTr="00443B8F">
        <w:trPr>
          <w:trHeight w:val="255"/>
        </w:trPr>
        <w:tc>
          <w:tcPr>
            <w:tcW w:w="5978" w:type="dxa"/>
            <w:tcBorders>
              <w:top w:val="nil"/>
              <w:left w:val="nil"/>
              <w:bottom w:val="nil"/>
              <w:right w:val="nil"/>
            </w:tcBorders>
            <w:noWrap/>
            <w:vAlign w:val="bottom"/>
          </w:tcPr>
          <w:p w14:paraId="3564B759"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1298" w:type="dxa"/>
            <w:tcBorders>
              <w:top w:val="nil"/>
              <w:left w:val="nil"/>
              <w:bottom w:val="nil"/>
              <w:right w:val="nil"/>
            </w:tcBorders>
            <w:noWrap/>
            <w:vAlign w:val="bottom"/>
          </w:tcPr>
          <w:p w14:paraId="73DA9B35" w14:textId="77777777" w:rsidR="006D3AD5" w:rsidRPr="0073014D" w:rsidRDefault="006D3AD5" w:rsidP="00443B8F">
            <w:pPr>
              <w:overflowPunct/>
              <w:autoSpaceDE/>
              <w:autoSpaceDN/>
              <w:adjustRightInd/>
              <w:jc w:val="right"/>
              <w:textAlignment w:val="auto"/>
              <w:rPr>
                <w:rFonts w:cs="Arial"/>
                <w:sz w:val="20"/>
              </w:rPr>
            </w:pPr>
            <w:r>
              <w:rPr>
                <w:sz w:val="20"/>
              </w:rPr>
              <w:t>269</w:t>
            </w:r>
          </w:p>
        </w:tc>
        <w:tc>
          <w:tcPr>
            <w:tcW w:w="963" w:type="dxa"/>
            <w:tcBorders>
              <w:top w:val="nil"/>
              <w:left w:val="nil"/>
              <w:bottom w:val="single" w:sz="4" w:space="0" w:color="auto"/>
              <w:right w:val="nil"/>
            </w:tcBorders>
            <w:noWrap/>
            <w:vAlign w:val="bottom"/>
          </w:tcPr>
          <w:p w14:paraId="24814434" w14:textId="77777777" w:rsidR="006D3AD5" w:rsidRPr="0073014D" w:rsidRDefault="006D3AD5" w:rsidP="00443B8F">
            <w:pPr>
              <w:overflowPunct/>
              <w:autoSpaceDE/>
              <w:autoSpaceDN/>
              <w:adjustRightInd/>
              <w:jc w:val="left"/>
              <w:textAlignment w:val="auto"/>
              <w:rPr>
                <w:rFonts w:cs="Arial"/>
                <w:sz w:val="20"/>
              </w:rPr>
            </w:pPr>
            <w:r>
              <w:rPr>
                <w:sz w:val="20"/>
              </w:rPr>
              <w:t> </w:t>
            </w:r>
          </w:p>
        </w:tc>
        <w:tc>
          <w:tcPr>
            <w:tcW w:w="960" w:type="dxa"/>
            <w:tcBorders>
              <w:top w:val="nil"/>
              <w:left w:val="nil"/>
              <w:bottom w:val="single" w:sz="4" w:space="0" w:color="auto"/>
              <w:right w:val="nil"/>
            </w:tcBorders>
            <w:noWrap/>
            <w:vAlign w:val="bottom"/>
          </w:tcPr>
          <w:p w14:paraId="0E2253CA" w14:textId="77777777" w:rsidR="006D3AD5" w:rsidRPr="0073014D" w:rsidRDefault="006D3AD5" w:rsidP="00443B8F">
            <w:pPr>
              <w:overflowPunct/>
              <w:autoSpaceDE/>
              <w:autoSpaceDN/>
              <w:adjustRightInd/>
              <w:jc w:val="left"/>
              <w:textAlignment w:val="auto"/>
              <w:rPr>
                <w:rFonts w:cs="Arial"/>
                <w:sz w:val="20"/>
              </w:rPr>
            </w:pPr>
            <w:r>
              <w:rPr>
                <w:sz w:val="20"/>
              </w:rPr>
              <w:t> </w:t>
            </w:r>
          </w:p>
        </w:tc>
      </w:tr>
      <w:tr w:rsidR="006D3AD5" w:rsidRPr="0073014D" w14:paraId="5715F82F" w14:textId="77777777" w:rsidTr="00443B8F">
        <w:trPr>
          <w:trHeight w:val="255"/>
        </w:trPr>
        <w:tc>
          <w:tcPr>
            <w:tcW w:w="5978" w:type="dxa"/>
            <w:vMerge w:val="restart"/>
            <w:tcBorders>
              <w:top w:val="single" w:sz="4" w:space="0" w:color="auto"/>
              <w:left w:val="single" w:sz="4" w:space="0" w:color="auto"/>
              <w:bottom w:val="single" w:sz="4" w:space="0" w:color="auto"/>
              <w:right w:val="single" w:sz="4" w:space="0" w:color="auto"/>
            </w:tcBorders>
            <w:noWrap/>
            <w:vAlign w:val="bottom"/>
          </w:tcPr>
          <w:p w14:paraId="36ABF9EA" w14:textId="77777777" w:rsidR="006D3AD5" w:rsidRPr="0073014D" w:rsidRDefault="006D3AD5" w:rsidP="00443B8F">
            <w:pPr>
              <w:overflowPunct/>
              <w:autoSpaceDE/>
              <w:autoSpaceDN/>
              <w:adjustRightInd/>
              <w:jc w:val="left"/>
              <w:textAlignment w:val="auto"/>
              <w:rPr>
                <w:rFonts w:cs="Arial"/>
                <w:sz w:val="20"/>
              </w:rPr>
            </w:pPr>
            <w:r>
              <w:rPr>
                <w:sz w:val="20"/>
              </w:rPr>
              <w:t xml:space="preserve">Planned investments to energy efficiency in next three years </w:t>
            </w:r>
          </w:p>
        </w:tc>
        <w:tc>
          <w:tcPr>
            <w:tcW w:w="1298" w:type="dxa"/>
            <w:tcBorders>
              <w:top w:val="single" w:sz="4" w:space="0" w:color="auto"/>
              <w:left w:val="nil"/>
              <w:bottom w:val="single" w:sz="4" w:space="0" w:color="auto"/>
              <w:right w:val="single" w:sz="4" w:space="0" w:color="auto"/>
            </w:tcBorders>
            <w:noWrap/>
            <w:vAlign w:val="bottom"/>
          </w:tcPr>
          <w:p w14:paraId="7E9F61DE" w14:textId="77777777" w:rsidR="006D3AD5" w:rsidRPr="0073014D" w:rsidRDefault="006D3AD5" w:rsidP="00443B8F">
            <w:pPr>
              <w:overflowPunct/>
              <w:autoSpaceDE/>
              <w:autoSpaceDN/>
              <w:adjustRightInd/>
              <w:jc w:val="left"/>
              <w:textAlignment w:val="auto"/>
              <w:rPr>
                <w:rFonts w:cs="Arial"/>
                <w:sz w:val="20"/>
              </w:rPr>
            </w:pPr>
            <w:r>
              <w:rPr>
                <w:sz w:val="20"/>
              </w:rPr>
              <w:t>no more than CZK 10 million</w:t>
            </w:r>
          </w:p>
        </w:tc>
        <w:tc>
          <w:tcPr>
            <w:tcW w:w="963" w:type="dxa"/>
            <w:tcBorders>
              <w:top w:val="nil"/>
              <w:left w:val="nil"/>
              <w:bottom w:val="single" w:sz="4" w:space="0" w:color="auto"/>
              <w:right w:val="single" w:sz="4" w:space="0" w:color="auto"/>
            </w:tcBorders>
            <w:noWrap/>
            <w:vAlign w:val="bottom"/>
          </w:tcPr>
          <w:p w14:paraId="437A7603" w14:textId="77777777" w:rsidR="006D3AD5" w:rsidRPr="0073014D" w:rsidRDefault="006D3AD5" w:rsidP="00443B8F">
            <w:pPr>
              <w:overflowPunct/>
              <w:autoSpaceDE/>
              <w:autoSpaceDN/>
              <w:adjustRightInd/>
              <w:jc w:val="right"/>
              <w:textAlignment w:val="auto"/>
              <w:rPr>
                <w:rFonts w:cs="Arial"/>
                <w:sz w:val="20"/>
              </w:rPr>
            </w:pPr>
            <w:r>
              <w:rPr>
                <w:sz w:val="20"/>
              </w:rPr>
              <w:t>221</w:t>
            </w:r>
          </w:p>
        </w:tc>
        <w:tc>
          <w:tcPr>
            <w:tcW w:w="960" w:type="dxa"/>
            <w:tcBorders>
              <w:top w:val="nil"/>
              <w:left w:val="nil"/>
              <w:bottom w:val="single" w:sz="4" w:space="0" w:color="auto"/>
              <w:right w:val="single" w:sz="4" w:space="0" w:color="auto"/>
            </w:tcBorders>
            <w:noWrap/>
            <w:vAlign w:val="bottom"/>
          </w:tcPr>
          <w:p w14:paraId="4C0E2E60" w14:textId="77777777" w:rsidR="006D3AD5" w:rsidRPr="0073014D" w:rsidRDefault="006D3AD5" w:rsidP="00443B8F">
            <w:pPr>
              <w:overflowPunct/>
              <w:autoSpaceDE/>
              <w:autoSpaceDN/>
              <w:adjustRightInd/>
              <w:jc w:val="right"/>
              <w:textAlignment w:val="auto"/>
              <w:rPr>
                <w:rFonts w:cs="Arial"/>
                <w:sz w:val="20"/>
              </w:rPr>
            </w:pPr>
            <w:r>
              <w:rPr>
                <w:sz w:val="20"/>
              </w:rPr>
              <w:t>82.2%</w:t>
            </w:r>
          </w:p>
        </w:tc>
      </w:tr>
      <w:tr w:rsidR="006D3AD5" w:rsidRPr="0073014D" w14:paraId="31302EC6" w14:textId="77777777" w:rsidTr="00443B8F">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14:paraId="00DEFEB7"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05DE6B94" w14:textId="77777777" w:rsidR="006D3AD5" w:rsidRPr="0073014D" w:rsidRDefault="006D3AD5" w:rsidP="00443B8F">
            <w:pPr>
              <w:overflowPunct/>
              <w:autoSpaceDE/>
              <w:autoSpaceDN/>
              <w:adjustRightInd/>
              <w:jc w:val="left"/>
              <w:textAlignment w:val="auto"/>
              <w:rPr>
                <w:rFonts w:cs="Arial"/>
                <w:sz w:val="20"/>
              </w:rPr>
            </w:pPr>
            <w:r>
              <w:rPr>
                <w:sz w:val="20"/>
              </w:rPr>
              <w:t>CZK 10-30 million</w:t>
            </w:r>
          </w:p>
        </w:tc>
        <w:tc>
          <w:tcPr>
            <w:tcW w:w="963" w:type="dxa"/>
            <w:tcBorders>
              <w:top w:val="nil"/>
              <w:left w:val="nil"/>
              <w:bottom w:val="single" w:sz="4" w:space="0" w:color="auto"/>
              <w:right w:val="single" w:sz="4" w:space="0" w:color="auto"/>
            </w:tcBorders>
            <w:noWrap/>
            <w:vAlign w:val="bottom"/>
          </w:tcPr>
          <w:p w14:paraId="40D1CFFA" w14:textId="77777777" w:rsidR="006D3AD5" w:rsidRPr="0073014D" w:rsidRDefault="006D3AD5" w:rsidP="00443B8F">
            <w:pPr>
              <w:overflowPunct/>
              <w:autoSpaceDE/>
              <w:autoSpaceDN/>
              <w:adjustRightInd/>
              <w:jc w:val="right"/>
              <w:textAlignment w:val="auto"/>
              <w:rPr>
                <w:rFonts w:cs="Arial"/>
                <w:sz w:val="20"/>
              </w:rPr>
            </w:pPr>
            <w:r>
              <w:rPr>
                <w:sz w:val="20"/>
              </w:rPr>
              <w:t>36</w:t>
            </w:r>
          </w:p>
        </w:tc>
        <w:tc>
          <w:tcPr>
            <w:tcW w:w="960" w:type="dxa"/>
            <w:tcBorders>
              <w:top w:val="nil"/>
              <w:left w:val="nil"/>
              <w:bottom w:val="single" w:sz="4" w:space="0" w:color="auto"/>
              <w:right w:val="single" w:sz="4" w:space="0" w:color="auto"/>
            </w:tcBorders>
            <w:noWrap/>
            <w:vAlign w:val="bottom"/>
          </w:tcPr>
          <w:p w14:paraId="4C248C89" w14:textId="77777777" w:rsidR="006D3AD5" w:rsidRPr="0073014D" w:rsidRDefault="006D3AD5" w:rsidP="00443B8F">
            <w:pPr>
              <w:overflowPunct/>
              <w:autoSpaceDE/>
              <w:autoSpaceDN/>
              <w:adjustRightInd/>
              <w:jc w:val="right"/>
              <w:textAlignment w:val="auto"/>
              <w:rPr>
                <w:rFonts w:cs="Arial"/>
                <w:sz w:val="20"/>
              </w:rPr>
            </w:pPr>
            <w:r>
              <w:rPr>
                <w:sz w:val="20"/>
              </w:rPr>
              <w:t>13.4%</w:t>
            </w:r>
          </w:p>
        </w:tc>
      </w:tr>
      <w:tr w:rsidR="006D3AD5" w:rsidRPr="0073014D" w14:paraId="5133CEF3" w14:textId="77777777" w:rsidTr="00443B8F">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14:paraId="207F34F4" w14:textId="77777777" w:rsidR="006D3AD5" w:rsidRPr="0073014D" w:rsidRDefault="006D3AD5" w:rsidP="00443B8F">
            <w:pPr>
              <w:overflowPunct/>
              <w:autoSpaceDE/>
              <w:autoSpaceDN/>
              <w:adjustRightInd/>
              <w:jc w:val="left"/>
              <w:textAlignment w:val="auto"/>
              <w:rPr>
                <w:rFonts w:cs="Arial"/>
                <w:sz w:val="20"/>
              </w:rPr>
            </w:pPr>
          </w:p>
        </w:tc>
        <w:tc>
          <w:tcPr>
            <w:tcW w:w="1298" w:type="dxa"/>
            <w:tcBorders>
              <w:top w:val="nil"/>
              <w:left w:val="nil"/>
              <w:bottom w:val="single" w:sz="4" w:space="0" w:color="auto"/>
              <w:right w:val="single" w:sz="4" w:space="0" w:color="auto"/>
            </w:tcBorders>
            <w:noWrap/>
            <w:vAlign w:val="bottom"/>
          </w:tcPr>
          <w:p w14:paraId="4B1F3202" w14:textId="77777777" w:rsidR="006D3AD5" w:rsidRPr="0073014D" w:rsidRDefault="006D3AD5" w:rsidP="00443B8F">
            <w:pPr>
              <w:overflowPunct/>
              <w:autoSpaceDE/>
              <w:autoSpaceDN/>
              <w:adjustRightInd/>
              <w:jc w:val="left"/>
              <w:textAlignment w:val="auto"/>
              <w:rPr>
                <w:rFonts w:cs="Arial"/>
                <w:sz w:val="20"/>
              </w:rPr>
            </w:pPr>
            <w:r>
              <w:rPr>
                <w:sz w:val="20"/>
              </w:rPr>
              <w:t>over CZK 30 million</w:t>
            </w:r>
          </w:p>
        </w:tc>
        <w:tc>
          <w:tcPr>
            <w:tcW w:w="963" w:type="dxa"/>
            <w:tcBorders>
              <w:top w:val="nil"/>
              <w:left w:val="nil"/>
              <w:bottom w:val="single" w:sz="4" w:space="0" w:color="auto"/>
              <w:right w:val="single" w:sz="4" w:space="0" w:color="auto"/>
            </w:tcBorders>
            <w:noWrap/>
            <w:vAlign w:val="bottom"/>
          </w:tcPr>
          <w:p w14:paraId="06CE4781" w14:textId="77777777" w:rsidR="006D3AD5" w:rsidRPr="0073014D" w:rsidRDefault="006D3AD5" w:rsidP="00443B8F">
            <w:pPr>
              <w:overflowPunct/>
              <w:autoSpaceDE/>
              <w:autoSpaceDN/>
              <w:adjustRightInd/>
              <w:jc w:val="right"/>
              <w:textAlignment w:val="auto"/>
              <w:rPr>
                <w:rFonts w:cs="Arial"/>
                <w:sz w:val="20"/>
              </w:rPr>
            </w:pPr>
            <w:r>
              <w:rPr>
                <w:sz w:val="20"/>
              </w:rPr>
              <w:t>12</w:t>
            </w:r>
          </w:p>
        </w:tc>
        <w:tc>
          <w:tcPr>
            <w:tcW w:w="960" w:type="dxa"/>
            <w:tcBorders>
              <w:top w:val="nil"/>
              <w:left w:val="nil"/>
              <w:bottom w:val="single" w:sz="4" w:space="0" w:color="auto"/>
              <w:right w:val="single" w:sz="4" w:space="0" w:color="auto"/>
            </w:tcBorders>
            <w:noWrap/>
            <w:vAlign w:val="bottom"/>
          </w:tcPr>
          <w:p w14:paraId="3299CBFF" w14:textId="77777777" w:rsidR="006D3AD5" w:rsidRPr="0073014D" w:rsidRDefault="006D3AD5" w:rsidP="00443B8F">
            <w:pPr>
              <w:overflowPunct/>
              <w:autoSpaceDE/>
              <w:autoSpaceDN/>
              <w:adjustRightInd/>
              <w:jc w:val="right"/>
              <w:textAlignment w:val="auto"/>
              <w:rPr>
                <w:rFonts w:cs="Arial"/>
                <w:sz w:val="20"/>
              </w:rPr>
            </w:pPr>
            <w:r>
              <w:rPr>
                <w:sz w:val="20"/>
              </w:rPr>
              <w:t>4.5%</w:t>
            </w:r>
          </w:p>
        </w:tc>
      </w:tr>
      <w:tr w:rsidR="006D3AD5" w:rsidRPr="0073014D" w14:paraId="1AD0E39A" w14:textId="77777777" w:rsidTr="00443B8F">
        <w:trPr>
          <w:trHeight w:val="255"/>
        </w:trPr>
        <w:tc>
          <w:tcPr>
            <w:tcW w:w="5978" w:type="dxa"/>
            <w:tcBorders>
              <w:top w:val="nil"/>
              <w:left w:val="nil"/>
              <w:bottom w:val="nil"/>
              <w:right w:val="nil"/>
            </w:tcBorders>
            <w:noWrap/>
            <w:vAlign w:val="bottom"/>
          </w:tcPr>
          <w:p w14:paraId="4B972DE6"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1298" w:type="dxa"/>
            <w:tcBorders>
              <w:top w:val="nil"/>
              <w:left w:val="nil"/>
              <w:bottom w:val="nil"/>
              <w:right w:val="nil"/>
            </w:tcBorders>
            <w:noWrap/>
            <w:vAlign w:val="bottom"/>
          </w:tcPr>
          <w:p w14:paraId="01C8A06F" w14:textId="77777777" w:rsidR="006D3AD5" w:rsidRPr="0073014D" w:rsidRDefault="006D3AD5" w:rsidP="00443B8F">
            <w:pPr>
              <w:overflowPunct/>
              <w:autoSpaceDE/>
              <w:autoSpaceDN/>
              <w:adjustRightInd/>
              <w:jc w:val="right"/>
              <w:textAlignment w:val="auto"/>
              <w:rPr>
                <w:rFonts w:cs="Arial"/>
                <w:sz w:val="20"/>
              </w:rPr>
            </w:pPr>
            <w:r>
              <w:rPr>
                <w:sz w:val="20"/>
              </w:rPr>
              <w:t>269</w:t>
            </w:r>
          </w:p>
        </w:tc>
        <w:tc>
          <w:tcPr>
            <w:tcW w:w="963" w:type="dxa"/>
            <w:tcBorders>
              <w:top w:val="nil"/>
              <w:left w:val="nil"/>
              <w:bottom w:val="nil"/>
              <w:right w:val="nil"/>
            </w:tcBorders>
            <w:noWrap/>
            <w:vAlign w:val="bottom"/>
          </w:tcPr>
          <w:p w14:paraId="08BF6791" w14:textId="77777777" w:rsidR="006D3AD5" w:rsidRPr="0073014D" w:rsidRDefault="006D3AD5" w:rsidP="00443B8F">
            <w:pPr>
              <w:overflowPunct/>
              <w:autoSpaceDE/>
              <w:autoSpaceDN/>
              <w:adjustRightInd/>
              <w:jc w:val="left"/>
              <w:textAlignment w:val="auto"/>
              <w:rPr>
                <w:rFonts w:cs="Arial"/>
                <w:sz w:val="20"/>
              </w:rPr>
            </w:pPr>
          </w:p>
        </w:tc>
        <w:tc>
          <w:tcPr>
            <w:tcW w:w="960" w:type="dxa"/>
            <w:tcBorders>
              <w:top w:val="nil"/>
              <w:left w:val="nil"/>
              <w:bottom w:val="nil"/>
              <w:right w:val="nil"/>
            </w:tcBorders>
            <w:noWrap/>
            <w:vAlign w:val="bottom"/>
          </w:tcPr>
          <w:p w14:paraId="31F4E3B8" w14:textId="77777777" w:rsidR="006D3AD5" w:rsidRPr="0073014D" w:rsidRDefault="006D3AD5" w:rsidP="00443B8F">
            <w:pPr>
              <w:overflowPunct/>
              <w:autoSpaceDE/>
              <w:autoSpaceDN/>
              <w:adjustRightInd/>
              <w:jc w:val="left"/>
              <w:textAlignment w:val="auto"/>
              <w:rPr>
                <w:rFonts w:cs="Arial"/>
                <w:sz w:val="20"/>
              </w:rPr>
            </w:pPr>
          </w:p>
        </w:tc>
      </w:tr>
    </w:tbl>
    <w:p w14:paraId="5AB84666" w14:textId="77777777" w:rsidR="006D3AD5" w:rsidRPr="0073014D" w:rsidRDefault="006D3AD5" w:rsidP="006D3AD5">
      <w:r>
        <w:t>The interviewed companies prefer from the viewpoint of their planned investments to energy efficiency rather minor projects of no more than CZK 10 million, namely in more than 82 % cases, which is most of all the specific objectives. Concurrently, it is a surprising result with respect to a high share of large enterprises among the respondents. Therefore, this will include, in particular, very small projects of partial purchases of technologies or minor reconstructions of buildings in order to increase energy efficiency.</w:t>
      </w:r>
    </w:p>
    <w:p w14:paraId="6A71A921" w14:textId="77777777" w:rsidR="006D3AD5" w:rsidRPr="0073014D" w:rsidRDefault="006D3AD5" w:rsidP="006D3AD5"/>
    <w:p w14:paraId="25725911" w14:textId="267A9CDA" w:rsidR="006D3AD5" w:rsidRPr="0073014D" w:rsidRDefault="006D3AD5" w:rsidP="003D68AA">
      <w:pPr>
        <w:pStyle w:val="Titulek"/>
      </w:pPr>
      <w:r>
        <w:t xml:space="preserve">Table </w:t>
      </w:r>
      <w:r w:rsidR="00696819">
        <w:t>73</w:t>
      </w:r>
      <w:r>
        <w:t>: Estimated payback period of planned investments</w:t>
      </w:r>
    </w:p>
    <w:tbl>
      <w:tblPr>
        <w:tblW w:w="5088" w:type="dxa"/>
        <w:tblInd w:w="55" w:type="dxa"/>
        <w:tblCellMar>
          <w:left w:w="70" w:type="dxa"/>
          <w:right w:w="70" w:type="dxa"/>
        </w:tblCellMar>
        <w:tblLook w:val="00A0" w:firstRow="1" w:lastRow="0" w:firstColumn="1" w:lastColumn="0" w:noHBand="0" w:noVBand="0"/>
      </w:tblPr>
      <w:tblGrid>
        <w:gridCol w:w="3165"/>
        <w:gridCol w:w="963"/>
        <w:gridCol w:w="960"/>
      </w:tblGrid>
      <w:tr w:rsidR="006D3AD5" w:rsidRPr="0073014D" w14:paraId="70173D00" w14:textId="77777777" w:rsidTr="00443B8F">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14:paraId="2ECFA13E" w14:textId="77777777" w:rsidR="006D3AD5" w:rsidRPr="0073014D" w:rsidRDefault="006D3AD5" w:rsidP="00443B8F">
            <w:pPr>
              <w:overflowPunct/>
              <w:autoSpaceDE/>
              <w:autoSpaceDN/>
              <w:adjustRightInd/>
              <w:jc w:val="left"/>
              <w:textAlignment w:val="auto"/>
              <w:rPr>
                <w:rFonts w:cs="Arial"/>
                <w:b/>
                <w:bCs/>
                <w:sz w:val="20"/>
              </w:rPr>
            </w:pPr>
            <w:r>
              <w:rPr>
                <w:b/>
                <w:sz w:val="20"/>
              </w:rPr>
              <w:t>Estimated payback period of planned investments</w:t>
            </w:r>
          </w:p>
        </w:tc>
        <w:tc>
          <w:tcPr>
            <w:tcW w:w="963" w:type="dxa"/>
            <w:tcBorders>
              <w:top w:val="single" w:sz="4" w:space="0" w:color="auto"/>
              <w:left w:val="nil"/>
              <w:bottom w:val="single" w:sz="4" w:space="0" w:color="auto"/>
              <w:right w:val="single" w:sz="4" w:space="0" w:color="auto"/>
            </w:tcBorders>
            <w:noWrap/>
            <w:vAlign w:val="bottom"/>
          </w:tcPr>
          <w:p w14:paraId="6E69869C"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615E0CA0"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1B413A8F"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468C11E6" w14:textId="77777777" w:rsidR="006D3AD5" w:rsidRPr="0073014D" w:rsidRDefault="006D3AD5" w:rsidP="00443B8F">
            <w:pPr>
              <w:overflowPunct/>
              <w:autoSpaceDE/>
              <w:autoSpaceDN/>
              <w:adjustRightInd/>
              <w:jc w:val="left"/>
              <w:textAlignment w:val="auto"/>
              <w:rPr>
                <w:rFonts w:cs="Arial"/>
                <w:sz w:val="20"/>
              </w:rPr>
            </w:pPr>
            <w:r>
              <w:rPr>
                <w:sz w:val="20"/>
              </w:rPr>
              <w:t>Payback period within 1-3 years</w:t>
            </w:r>
          </w:p>
        </w:tc>
        <w:tc>
          <w:tcPr>
            <w:tcW w:w="963" w:type="dxa"/>
            <w:tcBorders>
              <w:top w:val="nil"/>
              <w:left w:val="nil"/>
              <w:bottom w:val="single" w:sz="4" w:space="0" w:color="auto"/>
              <w:right w:val="single" w:sz="4" w:space="0" w:color="auto"/>
            </w:tcBorders>
            <w:noWrap/>
            <w:vAlign w:val="bottom"/>
          </w:tcPr>
          <w:p w14:paraId="069789C9" w14:textId="77777777" w:rsidR="006D3AD5" w:rsidRPr="0073014D" w:rsidRDefault="006D3AD5" w:rsidP="00443B8F">
            <w:pPr>
              <w:overflowPunct/>
              <w:autoSpaceDE/>
              <w:autoSpaceDN/>
              <w:adjustRightInd/>
              <w:jc w:val="right"/>
              <w:textAlignment w:val="auto"/>
              <w:rPr>
                <w:rFonts w:cs="Arial"/>
                <w:sz w:val="20"/>
              </w:rPr>
            </w:pPr>
            <w:r>
              <w:rPr>
                <w:sz w:val="20"/>
              </w:rPr>
              <w:t>37</w:t>
            </w:r>
          </w:p>
        </w:tc>
        <w:tc>
          <w:tcPr>
            <w:tcW w:w="960" w:type="dxa"/>
            <w:tcBorders>
              <w:top w:val="nil"/>
              <w:left w:val="nil"/>
              <w:bottom w:val="single" w:sz="4" w:space="0" w:color="auto"/>
              <w:right w:val="single" w:sz="4" w:space="0" w:color="auto"/>
            </w:tcBorders>
            <w:noWrap/>
            <w:vAlign w:val="bottom"/>
          </w:tcPr>
          <w:p w14:paraId="7E8DA6B4" w14:textId="77777777" w:rsidR="006D3AD5" w:rsidRPr="0073014D" w:rsidRDefault="006D3AD5" w:rsidP="00443B8F">
            <w:pPr>
              <w:overflowPunct/>
              <w:autoSpaceDE/>
              <w:autoSpaceDN/>
              <w:adjustRightInd/>
              <w:jc w:val="right"/>
              <w:textAlignment w:val="auto"/>
              <w:rPr>
                <w:rFonts w:cs="Arial"/>
                <w:sz w:val="20"/>
              </w:rPr>
            </w:pPr>
            <w:r>
              <w:rPr>
                <w:sz w:val="20"/>
              </w:rPr>
              <w:t>14.6%</w:t>
            </w:r>
          </w:p>
        </w:tc>
      </w:tr>
      <w:tr w:rsidR="006D3AD5" w:rsidRPr="0073014D" w14:paraId="2567D7CB"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30703A78" w14:textId="77777777" w:rsidR="006D3AD5" w:rsidRPr="0073014D" w:rsidRDefault="006D3AD5" w:rsidP="00443B8F">
            <w:pPr>
              <w:overflowPunct/>
              <w:autoSpaceDE/>
              <w:autoSpaceDN/>
              <w:adjustRightInd/>
              <w:jc w:val="left"/>
              <w:textAlignment w:val="auto"/>
              <w:rPr>
                <w:rFonts w:cs="Arial"/>
                <w:sz w:val="20"/>
              </w:rPr>
            </w:pPr>
            <w:r>
              <w:rPr>
                <w:sz w:val="20"/>
              </w:rPr>
              <w:t>Payback period within 3-5 years</w:t>
            </w:r>
          </w:p>
        </w:tc>
        <w:tc>
          <w:tcPr>
            <w:tcW w:w="963" w:type="dxa"/>
            <w:tcBorders>
              <w:top w:val="nil"/>
              <w:left w:val="nil"/>
              <w:bottom w:val="single" w:sz="4" w:space="0" w:color="auto"/>
              <w:right w:val="single" w:sz="4" w:space="0" w:color="auto"/>
            </w:tcBorders>
            <w:noWrap/>
            <w:vAlign w:val="bottom"/>
          </w:tcPr>
          <w:p w14:paraId="5C7FE21D" w14:textId="77777777" w:rsidR="006D3AD5" w:rsidRPr="0073014D" w:rsidRDefault="006D3AD5" w:rsidP="00443B8F">
            <w:pPr>
              <w:overflowPunct/>
              <w:autoSpaceDE/>
              <w:autoSpaceDN/>
              <w:adjustRightInd/>
              <w:jc w:val="right"/>
              <w:textAlignment w:val="auto"/>
              <w:rPr>
                <w:rFonts w:cs="Arial"/>
                <w:sz w:val="20"/>
              </w:rPr>
            </w:pPr>
            <w:r>
              <w:rPr>
                <w:sz w:val="20"/>
              </w:rPr>
              <w:t>82</w:t>
            </w:r>
          </w:p>
        </w:tc>
        <w:tc>
          <w:tcPr>
            <w:tcW w:w="960" w:type="dxa"/>
            <w:tcBorders>
              <w:top w:val="nil"/>
              <w:left w:val="nil"/>
              <w:bottom w:val="single" w:sz="4" w:space="0" w:color="auto"/>
              <w:right w:val="single" w:sz="4" w:space="0" w:color="auto"/>
            </w:tcBorders>
            <w:noWrap/>
            <w:vAlign w:val="bottom"/>
          </w:tcPr>
          <w:p w14:paraId="3112482E" w14:textId="77777777" w:rsidR="006D3AD5" w:rsidRPr="0073014D" w:rsidRDefault="006D3AD5" w:rsidP="00443B8F">
            <w:pPr>
              <w:overflowPunct/>
              <w:autoSpaceDE/>
              <w:autoSpaceDN/>
              <w:adjustRightInd/>
              <w:jc w:val="right"/>
              <w:textAlignment w:val="auto"/>
              <w:rPr>
                <w:rFonts w:cs="Arial"/>
                <w:sz w:val="20"/>
              </w:rPr>
            </w:pPr>
            <w:r>
              <w:rPr>
                <w:sz w:val="20"/>
              </w:rPr>
              <w:t>32.3%</w:t>
            </w:r>
          </w:p>
        </w:tc>
      </w:tr>
      <w:tr w:rsidR="006D3AD5" w:rsidRPr="0073014D" w14:paraId="2E44871F"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1BCE3A60" w14:textId="77777777" w:rsidR="006D3AD5" w:rsidRPr="0073014D" w:rsidRDefault="006D3AD5" w:rsidP="00443B8F">
            <w:pPr>
              <w:overflowPunct/>
              <w:autoSpaceDE/>
              <w:autoSpaceDN/>
              <w:adjustRightInd/>
              <w:jc w:val="left"/>
              <w:textAlignment w:val="auto"/>
              <w:rPr>
                <w:rFonts w:cs="Arial"/>
                <w:sz w:val="20"/>
              </w:rPr>
            </w:pPr>
            <w:r>
              <w:rPr>
                <w:sz w:val="20"/>
              </w:rPr>
              <w:t>Payback period within 5-10 years</w:t>
            </w:r>
          </w:p>
        </w:tc>
        <w:tc>
          <w:tcPr>
            <w:tcW w:w="963" w:type="dxa"/>
            <w:tcBorders>
              <w:top w:val="nil"/>
              <w:left w:val="nil"/>
              <w:bottom w:val="single" w:sz="4" w:space="0" w:color="auto"/>
              <w:right w:val="single" w:sz="4" w:space="0" w:color="auto"/>
            </w:tcBorders>
            <w:noWrap/>
            <w:vAlign w:val="bottom"/>
          </w:tcPr>
          <w:p w14:paraId="51A22E1F" w14:textId="77777777" w:rsidR="006D3AD5" w:rsidRPr="0073014D" w:rsidRDefault="006D3AD5" w:rsidP="00443B8F">
            <w:pPr>
              <w:overflowPunct/>
              <w:autoSpaceDE/>
              <w:autoSpaceDN/>
              <w:adjustRightInd/>
              <w:jc w:val="right"/>
              <w:textAlignment w:val="auto"/>
              <w:rPr>
                <w:rFonts w:cs="Arial"/>
                <w:sz w:val="20"/>
              </w:rPr>
            </w:pPr>
            <w:r>
              <w:rPr>
                <w:sz w:val="20"/>
              </w:rPr>
              <w:t>111</w:t>
            </w:r>
          </w:p>
        </w:tc>
        <w:tc>
          <w:tcPr>
            <w:tcW w:w="960" w:type="dxa"/>
            <w:tcBorders>
              <w:top w:val="nil"/>
              <w:left w:val="nil"/>
              <w:bottom w:val="single" w:sz="4" w:space="0" w:color="auto"/>
              <w:right w:val="single" w:sz="4" w:space="0" w:color="auto"/>
            </w:tcBorders>
            <w:noWrap/>
            <w:vAlign w:val="bottom"/>
          </w:tcPr>
          <w:p w14:paraId="55D02C68" w14:textId="77777777" w:rsidR="006D3AD5" w:rsidRPr="0073014D" w:rsidRDefault="006D3AD5" w:rsidP="00443B8F">
            <w:pPr>
              <w:overflowPunct/>
              <w:autoSpaceDE/>
              <w:autoSpaceDN/>
              <w:adjustRightInd/>
              <w:jc w:val="right"/>
              <w:textAlignment w:val="auto"/>
              <w:rPr>
                <w:rFonts w:cs="Arial"/>
                <w:sz w:val="20"/>
              </w:rPr>
            </w:pPr>
            <w:r>
              <w:rPr>
                <w:sz w:val="20"/>
              </w:rPr>
              <w:t>43.7%</w:t>
            </w:r>
          </w:p>
        </w:tc>
      </w:tr>
      <w:tr w:rsidR="006D3AD5" w:rsidRPr="0073014D" w14:paraId="1971E4EE" w14:textId="77777777" w:rsidTr="00443B8F">
        <w:trPr>
          <w:trHeight w:val="255"/>
        </w:trPr>
        <w:tc>
          <w:tcPr>
            <w:tcW w:w="3165" w:type="dxa"/>
            <w:tcBorders>
              <w:top w:val="nil"/>
              <w:left w:val="single" w:sz="4" w:space="0" w:color="auto"/>
              <w:bottom w:val="single" w:sz="4" w:space="0" w:color="auto"/>
              <w:right w:val="single" w:sz="4" w:space="0" w:color="auto"/>
            </w:tcBorders>
            <w:noWrap/>
            <w:vAlign w:val="bottom"/>
          </w:tcPr>
          <w:p w14:paraId="160074F9" w14:textId="77777777" w:rsidR="006D3AD5" w:rsidRPr="0073014D" w:rsidRDefault="006D3AD5" w:rsidP="00443B8F">
            <w:pPr>
              <w:overflowPunct/>
              <w:autoSpaceDE/>
              <w:autoSpaceDN/>
              <w:adjustRightInd/>
              <w:jc w:val="left"/>
              <w:textAlignment w:val="auto"/>
              <w:rPr>
                <w:rFonts w:cs="Arial"/>
                <w:sz w:val="20"/>
              </w:rPr>
            </w:pPr>
            <w:r>
              <w:rPr>
                <w:sz w:val="20"/>
              </w:rPr>
              <w:t>Payback period within 10 years and more</w:t>
            </w:r>
          </w:p>
        </w:tc>
        <w:tc>
          <w:tcPr>
            <w:tcW w:w="963" w:type="dxa"/>
            <w:tcBorders>
              <w:top w:val="nil"/>
              <w:left w:val="nil"/>
              <w:bottom w:val="single" w:sz="4" w:space="0" w:color="auto"/>
              <w:right w:val="single" w:sz="4" w:space="0" w:color="auto"/>
            </w:tcBorders>
            <w:noWrap/>
            <w:vAlign w:val="bottom"/>
          </w:tcPr>
          <w:p w14:paraId="2A943D97" w14:textId="77777777" w:rsidR="006D3AD5" w:rsidRPr="0073014D" w:rsidRDefault="006D3AD5" w:rsidP="00443B8F">
            <w:pPr>
              <w:overflowPunct/>
              <w:autoSpaceDE/>
              <w:autoSpaceDN/>
              <w:adjustRightInd/>
              <w:jc w:val="right"/>
              <w:textAlignment w:val="auto"/>
              <w:rPr>
                <w:rFonts w:cs="Arial"/>
                <w:sz w:val="20"/>
              </w:rPr>
            </w:pPr>
            <w:r>
              <w:rPr>
                <w:sz w:val="20"/>
              </w:rPr>
              <w:t>24</w:t>
            </w:r>
          </w:p>
        </w:tc>
        <w:tc>
          <w:tcPr>
            <w:tcW w:w="960" w:type="dxa"/>
            <w:tcBorders>
              <w:top w:val="nil"/>
              <w:left w:val="nil"/>
              <w:bottom w:val="single" w:sz="4" w:space="0" w:color="auto"/>
              <w:right w:val="single" w:sz="4" w:space="0" w:color="auto"/>
            </w:tcBorders>
            <w:noWrap/>
            <w:vAlign w:val="bottom"/>
          </w:tcPr>
          <w:p w14:paraId="140B8820" w14:textId="77777777" w:rsidR="006D3AD5" w:rsidRPr="0073014D" w:rsidRDefault="006D3AD5" w:rsidP="00443B8F">
            <w:pPr>
              <w:overflowPunct/>
              <w:autoSpaceDE/>
              <w:autoSpaceDN/>
              <w:adjustRightInd/>
              <w:jc w:val="right"/>
              <w:textAlignment w:val="auto"/>
              <w:rPr>
                <w:rFonts w:cs="Arial"/>
                <w:sz w:val="20"/>
              </w:rPr>
            </w:pPr>
            <w:r>
              <w:rPr>
                <w:sz w:val="20"/>
              </w:rPr>
              <w:t>9.4%</w:t>
            </w:r>
          </w:p>
        </w:tc>
      </w:tr>
      <w:tr w:rsidR="006D3AD5" w:rsidRPr="0073014D" w14:paraId="5A550B39" w14:textId="77777777" w:rsidTr="00443B8F">
        <w:trPr>
          <w:trHeight w:val="255"/>
        </w:trPr>
        <w:tc>
          <w:tcPr>
            <w:tcW w:w="3165" w:type="dxa"/>
            <w:tcBorders>
              <w:top w:val="nil"/>
              <w:left w:val="nil"/>
              <w:bottom w:val="nil"/>
              <w:right w:val="nil"/>
            </w:tcBorders>
            <w:noWrap/>
            <w:vAlign w:val="bottom"/>
          </w:tcPr>
          <w:p w14:paraId="416845DE"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584D3375" w14:textId="77777777" w:rsidR="006D3AD5" w:rsidRPr="0073014D" w:rsidRDefault="006D3AD5" w:rsidP="00443B8F">
            <w:pPr>
              <w:overflowPunct/>
              <w:autoSpaceDE/>
              <w:autoSpaceDN/>
              <w:adjustRightInd/>
              <w:jc w:val="right"/>
              <w:textAlignment w:val="auto"/>
              <w:rPr>
                <w:rFonts w:cs="Arial"/>
                <w:sz w:val="20"/>
              </w:rPr>
            </w:pPr>
            <w:r>
              <w:rPr>
                <w:sz w:val="20"/>
              </w:rPr>
              <w:t>254</w:t>
            </w:r>
          </w:p>
        </w:tc>
        <w:tc>
          <w:tcPr>
            <w:tcW w:w="960" w:type="dxa"/>
            <w:tcBorders>
              <w:top w:val="nil"/>
              <w:left w:val="nil"/>
              <w:bottom w:val="nil"/>
              <w:right w:val="nil"/>
            </w:tcBorders>
            <w:noWrap/>
            <w:vAlign w:val="bottom"/>
          </w:tcPr>
          <w:p w14:paraId="24BBF93B" w14:textId="77777777" w:rsidR="006D3AD5" w:rsidRPr="0073014D" w:rsidRDefault="006D3AD5" w:rsidP="00443B8F">
            <w:pPr>
              <w:overflowPunct/>
              <w:autoSpaceDE/>
              <w:autoSpaceDN/>
              <w:adjustRightInd/>
              <w:jc w:val="left"/>
              <w:textAlignment w:val="auto"/>
              <w:rPr>
                <w:rFonts w:cs="Arial"/>
                <w:sz w:val="20"/>
              </w:rPr>
            </w:pPr>
          </w:p>
        </w:tc>
      </w:tr>
    </w:tbl>
    <w:p w14:paraId="0B9C6BCB" w14:textId="77777777" w:rsidR="006D3AD5" w:rsidRPr="0073014D" w:rsidRDefault="006D3AD5" w:rsidP="006D3AD5">
      <w:r>
        <w:t>The estimated payback period is on average of 5-6 years, which corresponds with the common market border of implementation of such a type of projects in the private sector, which was indicated in the interviews with the inquired experts. Companies do not consider energy efficiency a priority and they require quick return.</w:t>
      </w:r>
    </w:p>
    <w:p w14:paraId="0ADFF54F" w14:textId="77777777" w:rsidR="006D3AD5" w:rsidRPr="0073014D" w:rsidRDefault="006D3AD5" w:rsidP="006D3AD5"/>
    <w:p w14:paraId="4CD291C5" w14:textId="48E02100" w:rsidR="006D3AD5" w:rsidRPr="00685AEF" w:rsidRDefault="006D3AD5" w:rsidP="00685AEF">
      <w:pPr>
        <w:pStyle w:val="Titulek"/>
      </w:pPr>
      <w:r w:rsidRPr="00685AEF">
        <w:t xml:space="preserve">Figure </w:t>
      </w:r>
      <w:r w:rsidR="00243196">
        <w:t>30</w:t>
      </w:r>
      <w:r w:rsidRPr="00685AEF">
        <w:t xml:space="preserve">: Estimated payback period of planned investments in energy efficiency </w:t>
      </w:r>
    </w:p>
    <w:p w14:paraId="452F03A4" w14:textId="77777777" w:rsidR="006D3AD5" w:rsidRPr="0073014D" w:rsidRDefault="006D3AD5" w:rsidP="006D3AD5">
      <w:r>
        <w:rPr>
          <w:noProof/>
        </w:rPr>
        <w:drawing>
          <wp:inline distT="0" distB="0" distL="0" distR="0" wp14:anchorId="23FE9D42" wp14:editId="3D922F48">
            <wp:extent cx="5829300" cy="2524125"/>
            <wp:effectExtent l="0" t="0" r="0" b="9525"/>
            <wp:docPr id="118" name="Graf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AB7296" w14:textId="77777777" w:rsidR="006D3AD5" w:rsidRPr="0073014D" w:rsidRDefault="006D3AD5" w:rsidP="006D3AD5"/>
    <w:p w14:paraId="4757AD53" w14:textId="77777777" w:rsidR="006D3AD5" w:rsidRPr="0073014D" w:rsidRDefault="006D3AD5" w:rsidP="006D3AD5">
      <w:r>
        <w:t>The following table maps in detail funding availability for such enterprises in the period of last three years</w:t>
      </w:r>
    </w:p>
    <w:p w14:paraId="09A111E9" w14:textId="595ED39E" w:rsidR="006D3AD5" w:rsidRPr="0073014D" w:rsidRDefault="006D3AD5" w:rsidP="003D68AA">
      <w:pPr>
        <w:pStyle w:val="Titulek"/>
      </w:pPr>
      <w:r>
        <w:t xml:space="preserve">Table </w:t>
      </w:r>
      <w:r w:rsidR="00696819">
        <w:t>74</w:t>
      </w:r>
      <w:r>
        <w:t xml:space="preserve">: Funding availability for investments </w:t>
      </w:r>
    </w:p>
    <w:tbl>
      <w:tblPr>
        <w:tblW w:w="9157" w:type="dxa"/>
        <w:tblInd w:w="55" w:type="dxa"/>
        <w:tblCellMar>
          <w:left w:w="70" w:type="dxa"/>
          <w:right w:w="70" w:type="dxa"/>
        </w:tblCellMar>
        <w:tblLook w:val="00A0" w:firstRow="1" w:lastRow="0" w:firstColumn="1" w:lastColumn="0" w:noHBand="0" w:noVBand="0"/>
      </w:tblPr>
      <w:tblGrid>
        <w:gridCol w:w="3918"/>
        <w:gridCol w:w="975"/>
        <w:gridCol w:w="1568"/>
        <w:gridCol w:w="984"/>
        <w:gridCol w:w="1771"/>
      </w:tblGrid>
      <w:tr w:rsidR="006D3AD5" w:rsidRPr="0073014D" w14:paraId="36FA3D3C" w14:textId="77777777" w:rsidTr="00443B8F">
        <w:trPr>
          <w:trHeight w:val="255"/>
        </w:trPr>
        <w:tc>
          <w:tcPr>
            <w:tcW w:w="9157" w:type="dxa"/>
            <w:gridSpan w:val="5"/>
            <w:tcBorders>
              <w:top w:val="single" w:sz="4" w:space="0" w:color="auto"/>
              <w:left w:val="single" w:sz="4" w:space="0" w:color="auto"/>
              <w:bottom w:val="single" w:sz="4" w:space="0" w:color="auto"/>
              <w:right w:val="single" w:sz="4" w:space="0" w:color="auto"/>
            </w:tcBorders>
            <w:noWrap/>
            <w:vAlign w:val="bottom"/>
          </w:tcPr>
          <w:p w14:paraId="0338D970" w14:textId="77777777" w:rsidR="006D3AD5" w:rsidRPr="0073014D" w:rsidRDefault="006D3AD5" w:rsidP="00443B8F">
            <w:pPr>
              <w:overflowPunct/>
              <w:autoSpaceDE/>
              <w:autoSpaceDN/>
              <w:adjustRightInd/>
              <w:jc w:val="left"/>
              <w:textAlignment w:val="auto"/>
              <w:rPr>
                <w:rFonts w:cs="Arial"/>
                <w:b/>
                <w:bCs/>
                <w:sz w:val="20"/>
              </w:rPr>
            </w:pPr>
            <w:r>
              <w:rPr>
                <w:b/>
                <w:sz w:val="20"/>
              </w:rPr>
              <w:t>Availability of funding for investments in last three years</w:t>
            </w:r>
          </w:p>
        </w:tc>
      </w:tr>
      <w:tr w:rsidR="006D3AD5" w:rsidRPr="0073014D" w14:paraId="1E5BB28C"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390BEC55" w14:textId="77777777" w:rsidR="006D3AD5" w:rsidRPr="0073014D" w:rsidRDefault="006D3AD5" w:rsidP="00443B8F">
            <w:pPr>
              <w:overflowPunct/>
              <w:autoSpaceDE/>
              <w:autoSpaceDN/>
              <w:adjustRightInd/>
              <w:jc w:val="left"/>
              <w:textAlignment w:val="auto"/>
              <w:rPr>
                <w:rFonts w:cs="Arial"/>
                <w:sz w:val="20"/>
              </w:rPr>
            </w:pPr>
            <w:r>
              <w:rPr>
                <w:sz w:val="20"/>
              </w:rPr>
              <w:t> </w:t>
            </w:r>
          </w:p>
        </w:tc>
        <w:tc>
          <w:tcPr>
            <w:tcW w:w="916" w:type="dxa"/>
            <w:tcBorders>
              <w:top w:val="nil"/>
              <w:left w:val="nil"/>
              <w:bottom w:val="single" w:sz="4" w:space="0" w:color="auto"/>
              <w:right w:val="single" w:sz="4" w:space="0" w:color="auto"/>
            </w:tcBorders>
            <w:noWrap/>
            <w:vAlign w:val="bottom"/>
          </w:tcPr>
          <w:p w14:paraId="197658F1" w14:textId="77777777" w:rsidR="006D3AD5" w:rsidRPr="0073014D" w:rsidRDefault="006D3AD5" w:rsidP="00443B8F">
            <w:pPr>
              <w:overflowPunct/>
              <w:autoSpaceDE/>
              <w:autoSpaceDN/>
              <w:adjustRightInd/>
              <w:jc w:val="left"/>
              <w:textAlignment w:val="auto"/>
              <w:rPr>
                <w:rFonts w:cs="Arial"/>
                <w:sz w:val="20"/>
              </w:rPr>
            </w:pPr>
            <w:r>
              <w:rPr>
                <w:sz w:val="20"/>
              </w:rPr>
              <w:t>Successful</w:t>
            </w:r>
          </w:p>
        </w:tc>
        <w:tc>
          <w:tcPr>
            <w:tcW w:w="1568" w:type="dxa"/>
            <w:tcBorders>
              <w:top w:val="nil"/>
              <w:left w:val="nil"/>
              <w:bottom w:val="single" w:sz="4" w:space="0" w:color="auto"/>
              <w:right w:val="single" w:sz="4" w:space="0" w:color="auto"/>
            </w:tcBorders>
            <w:noWrap/>
            <w:vAlign w:val="bottom"/>
          </w:tcPr>
          <w:p w14:paraId="6C3EC3C7" w14:textId="77777777" w:rsidR="006D3AD5" w:rsidRPr="0073014D" w:rsidRDefault="006D3AD5" w:rsidP="00443B8F">
            <w:pPr>
              <w:overflowPunct/>
              <w:autoSpaceDE/>
              <w:autoSpaceDN/>
              <w:adjustRightInd/>
              <w:jc w:val="left"/>
              <w:textAlignment w:val="auto"/>
              <w:rPr>
                <w:rFonts w:cs="Arial"/>
                <w:sz w:val="20"/>
              </w:rPr>
            </w:pPr>
            <w:r>
              <w:rPr>
                <w:sz w:val="20"/>
              </w:rPr>
              <w:t>Unsuccessful or partially successful</w:t>
            </w:r>
          </w:p>
        </w:tc>
        <w:tc>
          <w:tcPr>
            <w:tcW w:w="984" w:type="dxa"/>
            <w:tcBorders>
              <w:top w:val="nil"/>
              <w:left w:val="nil"/>
              <w:bottom w:val="single" w:sz="4" w:space="0" w:color="auto"/>
              <w:right w:val="single" w:sz="4" w:space="0" w:color="auto"/>
            </w:tcBorders>
            <w:noWrap/>
            <w:vAlign w:val="bottom"/>
          </w:tcPr>
          <w:p w14:paraId="3EE9AC45" w14:textId="77777777" w:rsidR="006D3AD5" w:rsidRPr="0073014D" w:rsidRDefault="006D3AD5" w:rsidP="00443B8F">
            <w:pPr>
              <w:overflowPunct/>
              <w:autoSpaceDE/>
              <w:autoSpaceDN/>
              <w:adjustRightInd/>
              <w:jc w:val="left"/>
              <w:textAlignment w:val="auto"/>
              <w:rPr>
                <w:rFonts w:cs="Arial"/>
                <w:sz w:val="20"/>
              </w:rPr>
            </w:pPr>
            <w:r>
              <w:rPr>
                <w:sz w:val="20"/>
              </w:rPr>
              <w:t>Total</w:t>
            </w:r>
          </w:p>
        </w:tc>
        <w:tc>
          <w:tcPr>
            <w:tcW w:w="1771" w:type="dxa"/>
            <w:tcBorders>
              <w:top w:val="nil"/>
              <w:left w:val="nil"/>
              <w:bottom w:val="single" w:sz="4" w:space="0" w:color="auto"/>
              <w:right w:val="single" w:sz="4" w:space="0" w:color="auto"/>
            </w:tcBorders>
            <w:noWrap/>
            <w:vAlign w:val="bottom"/>
          </w:tcPr>
          <w:p w14:paraId="25829A07" w14:textId="77777777" w:rsidR="006D3AD5" w:rsidRPr="0073014D" w:rsidRDefault="006D3AD5" w:rsidP="00443B8F">
            <w:pPr>
              <w:overflowPunct/>
              <w:autoSpaceDE/>
              <w:autoSpaceDN/>
              <w:adjustRightInd/>
              <w:jc w:val="left"/>
              <w:textAlignment w:val="auto"/>
              <w:rPr>
                <w:rFonts w:cs="Arial"/>
                <w:sz w:val="20"/>
              </w:rPr>
            </w:pPr>
            <w:r>
              <w:rPr>
                <w:sz w:val="20"/>
              </w:rPr>
              <w:t>Share of unsuccessful</w:t>
            </w:r>
          </w:p>
        </w:tc>
      </w:tr>
      <w:tr w:rsidR="006D3AD5" w:rsidRPr="0073014D" w14:paraId="7995BBD0"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3EDD5A95" w14:textId="77777777" w:rsidR="006D3AD5" w:rsidRPr="0073014D" w:rsidRDefault="006D3AD5" w:rsidP="00443B8F">
            <w:pPr>
              <w:overflowPunct/>
              <w:autoSpaceDE/>
              <w:autoSpaceDN/>
              <w:adjustRightInd/>
              <w:jc w:val="left"/>
              <w:textAlignment w:val="auto"/>
              <w:rPr>
                <w:rFonts w:cs="Arial"/>
                <w:sz w:val="20"/>
              </w:rPr>
            </w:pPr>
            <w:r>
              <w:rPr>
                <w:sz w:val="20"/>
              </w:rPr>
              <w:t>Short-term loans, overdrafts, credit lines</w:t>
            </w:r>
          </w:p>
        </w:tc>
        <w:tc>
          <w:tcPr>
            <w:tcW w:w="916" w:type="dxa"/>
            <w:tcBorders>
              <w:top w:val="nil"/>
              <w:left w:val="nil"/>
              <w:bottom w:val="single" w:sz="4" w:space="0" w:color="auto"/>
              <w:right w:val="single" w:sz="4" w:space="0" w:color="auto"/>
            </w:tcBorders>
            <w:noWrap/>
            <w:vAlign w:val="bottom"/>
          </w:tcPr>
          <w:p w14:paraId="4CE8E909" w14:textId="77777777" w:rsidR="006D3AD5" w:rsidRPr="0073014D" w:rsidRDefault="006D3AD5" w:rsidP="00443B8F">
            <w:pPr>
              <w:overflowPunct/>
              <w:autoSpaceDE/>
              <w:autoSpaceDN/>
              <w:adjustRightInd/>
              <w:jc w:val="right"/>
              <w:textAlignment w:val="auto"/>
              <w:rPr>
                <w:rFonts w:cs="Arial"/>
                <w:sz w:val="20"/>
              </w:rPr>
            </w:pPr>
            <w:r>
              <w:rPr>
                <w:sz w:val="20"/>
              </w:rPr>
              <w:t>164</w:t>
            </w:r>
          </w:p>
        </w:tc>
        <w:tc>
          <w:tcPr>
            <w:tcW w:w="1568" w:type="dxa"/>
            <w:tcBorders>
              <w:top w:val="nil"/>
              <w:left w:val="nil"/>
              <w:bottom w:val="single" w:sz="4" w:space="0" w:color="auto"/>
              <w:right w:val="single" w:sz="4" w:space="0" w:color="auto"/>
            </w:tcBorders>
            <w:noWrap/>
            <w:vAlign w:val="bottom"/>
          </w:tcPr>
          <w:p w14:paraId="1E40CF1F" w14:textId="77777777" w:rsidR="006D3AD5" w:rsidRPr="0073014D" w:rsidRDefault="006D3AD5" w:rsidP="00443B8F">
            <w:pPr>
              <w:overflowPunct/>
              <w:autoSpaceDE/>
              <w:autoSpaceDN/>
              <w:adjustRightInd/>
              <w:jc w:val="right"/>
              <w:textAlignment w:val="auto"/>
              <w:rPr>
                <w:rFonts w:cs="Arial"/>
                <w:sz w:val="20"/>
              </w:rPr>
            </w:pPr>
            <w:r>
              <w:rPr>
                <w:sz w:val="20"/>
              </w:rPr>
              <w:t>8</w:t>
            </w:r>
          </w:p>
        </w:tc>
        <w:tc>
          <w:tcPr>
            <w:tcW w:w="984" w:type="dxa"/>
            <w:tcBorders>
              <w:top w:val="nil"/>
              <w:left w:val="nil"/>
              <w:bottom w:val="single" w:sz="4" w:space="0" w:color="auto"/>
              <w:right w:val="single" w:sz="4" w:space="0" w:color="auto"/>
            </w:tcBorders>
            <w:noWrap/>
            <w:vAlign w:val="bottom"/>
          </w:tcPr>
          <w:p w14:paraId="37568B5D" w14:textId="77777777" w:rsidR="006D3AD5" w:rsidRPr="0073014D" w:rsidRDefault="006D3AD5" w:rsidP="00443B8F">
            <w:pPr>
              <w:overflowPunct/>
              <w:autoSpaceDE/>
              <w:autoSpaceDN/>
              <w:adjustRightInd/>
              <w:jc w:val="right"/>
              <w:textAlignment w:val="auto"/>
              <w:rPr>
                <w:rFonts w:cs="Arial"/>
                <w:sz w:val="20"/>
              </w:rPr>
            </w:pPr>
            <w:r>
              <w:rPr>
                <w:sz w:val="20"/>
              </w:rPr>
              <w:t>172</w:t>
            </w:r>
          </w:p>
        </w:tc>
        <w:tc>
          <w:tcPr>
            <w:tcW w:w="1771" w:type="dxa"/>
            <w:tcBorders>
              <w:top w:val="nil"/>
              <w:left w:val="nil"/>
              <w:bottom w:val="single" w:sz="4" w:space="0" w:color="auto"/>
              <w:right w:val="single" w:sz="4" w:space="0" w:color="auto"/>
            </w:tcBorders>
            <w:noWrap/>
            <w:vAlign w:val="bottom"/>
          </w:tcPr>
          <w:p w14:paraId="0E2D43FB" w14:textId="77777777" w:rsidR="006D3AD5" w:rsidRPr="0073014D" w:rsidRDefault="006D3AD5" w:rsidP="00443B8F">
            <w:pPr>
              <w:overflowPunct/>
              <w:autoSpaceDE/>
              <w:autoSpaceDN/>
              <w:adjustRightInd/>
              <w:jc w:val="right"/>
              <w:textAlignment w:val="auto"/>
              <w:rPr>
                <w:rFonts w:cs="Arial"/>
                <w:sz w:val="20"/>
              </w:rPr>
            </w:pPr>
            <w:r>
              <w:rPr>
                <w:sz w:val="20"/>
              </w:rPr>
              <w:t>4.7%</w:t>
            </w:r>
          </w:p>
        </w:tc>
      </w:tr>
      <w:tr w:rsidR="006D3AD5" w:rsidRPr="0073014D" w14:paraId="6CEC726B"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00530D48" w14:textId="77777777" w:rsidR="006D3AD5" w:rsidRPr="0073014D" w:rsidRDefault="006D3AD5" w:rsidP="00443B8F">
            <w:pPr>
              <w:overflowPunct/>
              <w:autoSpaceDE/>
              <w:autoSpaceDN/>
              <w:adjustRightInd/>
              <w:jc w:val="left"/>
              <w:textAlignment w:val="auto"/>
              <w:rPr>
                <w:rFonts w:cs="Arial"/>
                <w:sz w:val="20"/>
              </w:rPr>
            </w:pPr>
            <w:r>
              <w:rPr>
                <w:sz w:val="20"/>
              </w:rPr>
              <w:t>Long-term and medium-term loans</w:t>
            </w:r>
          </w:p>
        </w:tc>
        <w:tc>
          <w:tcPr>
            <w:tcW w:w="916" w:type="dxa"/>
            <w:tcBorders>
              <w:top w:val="nil"/>
              <w:left w:val="nil"/>
              <w:bottom w:val="single" w:sz="4" w:space="0" w:color="auto"/>
              <w:right w:val="single" w:sz="4" w:space="0" w:color="auto"/>
            </w:tcBorders>
            <w:noWrap/>
            <w:vAlign w:val="bottom"/>
          </w:tcPr>
          <w:p w14:paraId="0D313A3B" w14:textId="77777777" w:rsidR="006D3AD5" w:rsidRPr="0073014D" w:rsidRDefault="006D3AD5" w:rsidP="00443B8F">
            <w:pPr>
              <w:overflowPunct/>
              <w:autoSpaceDE/>
              <w:autoSpaceDN/>
              <w:adjustRightInd/>
              <w:jc w:val="right"/>
              <w:textAlignment w:val="auto"/>
              <w:rPr>
                <w:rFonts w:cs="Arial"/>
                <w:sz w:val="20"/>
              </w:rPr>
            </w:pPr>
            <w:r>
              <w:rPr>
                <w:sz w:val="20"/>
              </w:rPr>
              <w:t>160</w:t>
            </w:r>
          </w:p>
        </w:tc>
        <w:tc>
          <w:tcPr>
            <w:tcW w:w="1568" w:type="dxa"/>
            <w:tcBorders>
              <w:top w:val="nil"/>
              <w:left w:val="nil"/>
              <w:bottom w:val="single" w:sz="4" w:space="0" w:color="auto"/>
              <w:right w:val="single" w:sz="4" w:space="0" w:color="auto"/>
            </w:tcBorders>
            <w:noWrap/>
            <w:vAlign w:val="bottom"/>
          </w:tcPr>
          <w:p w14:paraId="3493B051" w14:textId="77777777" w:rsidR="006D3AD5" w:rsidRPr="0073014D" w:rsidRDefault="006D3AD5" w:rsidP="00443B8F">
            <w:pPr>
              <w:overflowPunct/>
              <w:autoSpaceDE/>
              <w:autoSpaceDN/>
              <w:adjustRightInd/>
              <w:jc w:val="right"/>
              <w:textAlignment w:val="auto"/>
              <w:rPr>
                <w:rFonts w:cs="Arial"/>
                <w:sz w:val="20"/>
              </w:rPr>
            </w:pPr>
            <w:r>
              <w:rPr>
                <w:sz w:val="20"/>
              </w:rPr>
              <w:t>12</w:t>
            </w:r>
          </w:p>
        </w:tc>
        <w:tc>
          <w:tcPr>
            <w:tcW w:w="984" w:type="dxa"/>
            <w:tcBorders>
              <w:top w:val="nil"/>
              <w:left w:val="nil"/>
              <w:bottom w:val="single" w:sz="4" w:space="0" w:color="auto"/>
              <w:right w:val="single" w:sz="4" w:space="0" w:color="auto"/>
            </w:tcBorders>
            <w:noWrap/>
            <w:vAlign w:val="bottom"/>
          </w:tcPr>
          <w:p w14:paraId="20DFF533" w14:textId="77777777" w:rsidR="006D3AD5" w:rsidRPr="0073014D" w:rsidRDefault="006D3AD5" w:rsidP="00443B8F">
            <w:pPr>
              <w:overflowPunct/>
              <w:autoSpaceDE/>
              <w:autoSpaceDN/>
              <w:adjustRightInd/>
              <w:jc w:val="right"/>
              <w:textAlignment w:val="auto"/>
              <w:rPr>
                <w:rFonts w:cs="Arial"/>
                <w:sz w:val="20"/>
              </w:rPr>
            </w:pPr>
            <w:r>
              <w:rPr>
                <w:sz w:val="20"/>
              </w:rPr>
              <w:t>172</w:t>
            </w:r>
          </w:p>
        </w:tc>
        <w:tc>
          <w:tcPr>
            <w:tcW w:w="1771" w:type="dxa"/>
            <w:tcBorders>
              <w:top w:val="nil"/>
              <w:left w:val="nil"/>
              <w:bottom w:val="single" w:sz="4" w:space="0" w:color="auto"/>
              <w:right w:val="single" w:sz="4" w:space="0" w:color="auto"/>
            </w:tcBorders>
            <w:noWrap/>
            <w:vAlign w:val="bottom"/>
          </w:tcPr>
          <w:p w14:paraId="4ACE71B1" w14:textId="77777777" w:rsidR="006D3AD5" w:rsidRPr="0073014D" w:rsidRDefault="006D3AD5" w:rsidP="00443B8F">
            <w:pPr>
              <w:overflowPunct/>
              <w:autoSpaceDE/>
              <w:autoSpaceDN/>
              <w:adjustRightInd/>
              <w:jc w:val="right"/>
              <w:textAlignment w:val="auto"/>
              <w:rPr>
                <w:rFonts w:cs="Arial"/>
                <w:sz w:val="20"/>
              </w:rPr>
            </w:pPr>
            <w:r>
              <w:rPr>
                <w:sz w:val="20"/>
              </w:rPr>
              <w:t>7.0%</w:t>
            </w:r>
          </w:p>
        </w:tc>
      </w:tr>
      <w:tr w:rsidR="006D3AD5" w:rsidRPr="0073014D" w14:paraId="199068F0"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45EE7698" w14:textId="77777777" w:rsidR="006D3AD5" w:rsidRPr="0073014D" w:rsidRDefault="006D3AD5" w:rsidP="00443B8F">
            <w:pPr>
              <w:overflowPunct/>
              <w:autoSpaceDE/>
              <w:autoSpaceDN/>
              <w:adjustRightInd/>
              <w:jc w:val="left"/>
              <w:textAlignment w:val="auto"/>
              <w:rPr>
                <w:rFonts w:cs="Arial"/>
                <w:sz w:val="20"/>
              </w:rPr>
            </w:pPr>
            <w:r>
              <w:rPr>
                <w:sz w:val="20"/>
              </w:rPr>
              <w:lastRenderedPageBreak/>
              <w:t>Guarantees</w:t>
            </w:r>
          </w:p>
        </w:tc>
        <w:tc>
          <w:tcPr>
            <w:tcW w:w="916" w:type="dxa"/>
            <w:tcBorders>
              <w:top w:val="nil"/>
              <w:left w:val="nil"/>
              <w:bottom w:val="single" w:sz="4" w:space="0" w:color="auto"/>
              <w:right w:val="single" w:sz="4" w:space="0" w:color="auto"/>
            </w:tcBorders>
            <w:noWrap/>
            <w:vAlign w:val="bottom"/>
          </w:tcPr>
          <w:p w14:paraId="68488BA5" w14:textId="77777777" w:rsidR="006D3AD5" w:rsidRPr="0073014D" w:rsidRDefault="006D3AD5" w:rsidP="00443B8F">
            <w:pPr>
              <w:overflowPunct/>
              <w:autoSpaceDE/>
              <w:autoSpaceDN/>
              <w:adjustRightInd/>
              <w:jc w:val="right"/>
              <w:textAlignment w:val="auto"/>
              <w:rPr>
                <w:rFonts w:cs="Arial"/>
                <w:sz w:val="20"/>
              </w:rPr>
            </w:pPr>
            <w:r>
              <w:rPr>
                <w:sz w:val="20"/>
              </w:rPr>
              <w:t>52</w:t>
            </w:r>
          </w:p>
        </w:tc>
        <w:tc>
          <w:tcPr>
            <w:tcW w:w="1568" w:type="dxa"/>
            <w:tcBorders>
              <w:top w:val="nil"/>
              <w:left w:val="nil"/>
              <w:bottom w:val="single" w:sz="4" w:space="0" w:color="auto"/>
              <w:right w:val="single" w:sz="4" w:space="0" w:color="auto"/>
            </w:tcBorders>
            <w:noWrap/>
            <w:vAlign w:val="bottom"/>
          </w:tcPr>
          <w:p w14:paraId="42221E65" w14:textId="77777777" w:rsidR="006D3AD5" w:rsidRPr="0073014D" w:rsidRDefault="006D3AD5" w:rsidP="00443B8F">
            <w:pPr>
              <w:overflowPunct/>
              <w:autoSpaceDE/>
              <w:autoSpaceDN/>
              <w:adjustRightInd/>
              <w:jc w:val="right"/>
              <w:textAlignment w:val="auto"/>
              <w:rPr>
                <w:rFonts w:cs="Arial"/>
                <w:sz w:val="20"/>
              </w:rPr>
            </w:pPr>
            <w:r>
              <w:rPr>
                <w:sz w:val="20"/>
              </w:rPr>
              <w:t>4</w:t>
            </w:r>
          </w:p>
        </w:tc>
        <w:tc>
          <w:tcPr>
            <w:tcW w:w="984" w:type="dxa"/>
            <w:tcBorders>
              <w:top w:val="nil"/>
              <w:left w:val="nil"/>
              <w:bottom w:val="single" w:sz="4" w:space="0" w:color="auto"/>
              <w:right w:val="single" w:sz="4" w:space="0" w:color="auto"/>
            </w:tcBorders>
            <w:noWrap/>
            <w:vAlign w:val="bottom"/>
          </w:tcPr>
          <w:p w14:paraId="31F4E049" w14:textId="77777777" w:rsidR="006D3AD5" w:rsidRPr="0073014D" w:rsidRDefault="006D3AD5" w:rsidP="00443B8F">
            <w:pPr>
              <w:overflowPunct/>
              <w:autoSpaceDE/>
              <w:autoSpaceDN/>
              <w:adjustRightInd/>
              <w:jc w:val="right"/>
              <w:textAlignment w:val="auto"/>
              <w:rPr>
                <w:rFonts w:cs="Arial"/>
                <w:sz w:val="20"/>
              </w:rPr>
            </w:pPr>
            <w:r>
              <w:rPr>
                <w:sz w:val="20"/>
              </w:rPr>
              <w:t>56</w:t>
            </w:r>
          </w:p>
        </w:tc>
        <w:tc>
          <w:tcPr>
            <w:tcW w:w="1771" w:type="dxa"/>
            <w:tcBorders>
              <w:top w:val="nil"/>
              <w:left w:val="nil"/>
              <w:bottom w:val="single" w:sz="4" w:space="0" w:color="auto"/>
              <w:right w:val="single" w:sz="4" w:space="0" w:color="auto"/>
            </w:tcBorders>
            <w:noWrap/>
            <w:vAlign w:val="bottom"/>
          </w:tcPr>
          <w:p w14:paraId="1A4D10F6" w14:textId="77777777" w:rsidR="006D3AD5" w:rsidRPr="0073014D" w:rsidRDefault="006D3AD5" w:rsidP="00443B8F">
            <w:pPr>
              <w:overflowPunct/>
              <w:autoSpaceDE/>
              <w:autoSpaceDN/>
              <w:adjustRightInd/>
              <w:jc w:val="right"/>
              <w:textAlignment w:val="auto"/>
              <w:rPr>
                <w:rFonts w:cs="Arial"/>
                <w:sz w:val="20"/>
              </w:rPr>
            </w:pPr>
            <w:r>
              <w:rPr>
                <w:sz w:val="20"/>
              </w:rPr>
              <w:t>7.1%</w:t>
            </w:r>
          </w:p>
        </w:tc>
      </w:tr>
      <w:tr w:rsidR="006D3AD5" w:rsidRPr="0073014D" w14:paraId="5697EDE4"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5416822C" w14:textId="77777777" w:rsidR="006D3AD5" w:rsidRPr="0073014D" w:rsidRDefault="006D3AD5" w:rsidP="00443B8F">
            <w:pPr>
              <w:overflowPunct/>
              <w:autoSpaceDE/>
              <w:autoSpaceDN/>
              <w:adjustRightInd/>
              <w:jc w:val="left"/>
              <w:textAlignment w:val="auto"/>
              <w:rPr>
                <w:rFonts w:cs="Arial"/>
                <w:sz w:val="20"/>
              </w:rPr>
            </w:pPr>
            <w:r>
              <w:rPr>
                <w:sz w:val="20"/>
              </w:rPr>
              <w:t>Subsidy or another support of public institution</w:t>
            </w:r>
          </w:p>
        </w:tc>
        <w:tc>
          <w:tcPr>
            <w:tcW w:w="916" w:type="dxa"/>
            <w:tcBorders>
              <w:top w:val="nil"/>
              <w:left w:val="nil"/>
              <w:bottom w:val="single" w:sz="4" w:space="0" w:color="auto"/>
              <w:right w:val="single" w:sz="4" w:space="0" w:color="auto"/>
            </w:tcBorders>
            <w:noWrap/>
            <w:vAlign w:val="bottom"/>
          </w:tcPr>
          <w:p w14:paraId="7E8CBAA8" w14:textId="77777777" w:rsidR="006D3AD5" w:rsidRPr="0073014D" w:rsidRDefault="006D3AD5" w:rsidP="00443B8F">
            <w:pPr>
              <w:overflowPunct/>
              <w:autoSpaceDE/>
              <w:autoSpaceDN/>
              <w:adjustRightInd/>
              <w:jc w:val="right"/>
              <w:textAlignment w:val="auto"/>
              <w:rPr>
                <w:rFonts w:cs="Arial"/>
                <w:sz w:val="20"/>
              </w:rPr>
            </w:pPr>
            <w:r>
              <w:rPr>
                <w:sz w:val="20"/>
              </w:rPr>
              <w:t>191</w:t>
            </w:r>
          </w:p>
        </w:tc>
        <w:tc>
          <w:tcPr>
            <w:tcW w:w="1568" w:type="dxa"/>
            <w:tcBorders>
              <w:top w:val="nil"/>
              <w:left w:val="nil"/>
              <w:bottom w:val="single" w:sz="4" w:space="0" w:color="auto"/>
              <w:right w:val="single" w:sz="4" w:space="0" w:color="auto"/>
            </w:tcBorders>
            <w:noWrap/>
            <w:vAlign w:val="bottom"/>
          </w:tcPr>
          <w:p w14:paraId="77E1B5B7" w14:textId="77777777" w:rsidR="006D3AD5" w:rsidRPr="0073014D" w:rsidRDefault="006D3AD5" w:rsidP="00443B8F">
            <w:pPr>
              <w:overflowPunct/>
              <w:autoSpaceDE/>
              <w:autoSpaceDN/>
              <w:adjustRightInd/>
              <w:jc w:val="right"/>
              <w:textAlignment w:val="auto"/>
              <w:rPr>
                <w:rFonts w:cs="Arial"/>
                <w:sz w:val="20"/>
              </w:rPr>
            </w:pPr>
            <w:r>
              <w:rPr>
                <w:sz w:val="20"/>
              </w:rPr>
              <w:t>14</w:t>
            </w:r>
          </w:p>
        </w:tc>
        <w:tc>
          <w:tcPr>
            <w:tcW w:w="984" w:type="dxa"/>
            <w:tcBorders>
              <w:top w:val="nil"/>
              <w:left w:val="nil"/>
              <w:bottom w:val="single" w:sz="4" w:space="0" w:color="auto"/>
              <w:right w:val="single" w:sz="4" w:space="0" w:color="auto"/>
            </w:tcBorders>
            <w:noWrap/>
            <w:vAlign w:val="bottom"/>
          </w:tcPr>
          <w:p w14:paraId="290522E5" w14:textId="77777777" w:rsidR="006D3AD5" w:rsidRPr="0073014D" w:rsidRDefault="006D3AD5" w:rsidP="00443B8F">
            <w:pPr>
              <w:overflowPunct/>
              <w:autoSpaceDE/>
              <w:autoSpaceDN/>
              <w:adjustRightInd/>
              <w:jc w:val="right"/>
              <w:textAlignment w:val="auto"/>
              <w:rPr>
                <w:rFonts w:cs="Arial"/>
                <w:sz w:val="20"/>
              </w:rPr>
            </w:pPr>
            <w:r>
              <w:rPr>
                <w:sz w:val="20"/>
              </w:rPr>
              <w:t>205</w:t>
            </w:r>
          </w:p>
        </w:tc>
        <w:tc>
          <w:tcPr>
            <w:tcW w:w="1771" w:type="dxa"/>
            <w:tcBorders>
              <w:top w:val="nil"/>
              <w:left w:val="nil"/>
              <w:bottom w:val="single" w:sz="4" w:space="0" w:color="auto"/>
              <w:right w:val="single" w:sz="4" w:space="0" w:color="auto"/>
            </w:tcBorders>
            <w:noWrap/>
            <w:vAlign w:val="bottom"/>
          </w:tcPr>
          <w:p w14:paraId="451876F2" w14:textId="77777777" w:rsidR="006D3AD5" w:rsidRPr="0073014D" w:rsidRDefault="006D3AD5" w:rsidP="00443B8F">
            <w:pPr>
              <w:overflowPunct/>
              <w:autoSpaceDE/>
              <w:autoSpaceDN/>
              <w:adjustRightInd/>
              <w:jc w:val="right"/>
              <w:textAlignment w:val="auto"/>
              <w:rPr>
                <w:rFonts w:cs="Arial"/>
                <w:sz w:val="20"/>
              </w:rPr>
            </w:pPr>
            <w:r>
              <w:rPr>
                <w:sz w:val="20"/>
              </w:rPr>
              <w:t>6.8%</w:t>
            </w:r>
          </w:p>
        </w:tc>
      </w:tr>
      <w:tr w:rsidR="006D3AD5" w:rsidRPr="0073014D" w14:paraId="30C6DB48"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1D8E24B6" w14:textId="77777777" w:rsidR="006D3AD5" w:rsidRPr="0073014D" w:rsidRDefault="006D3AD5" w:rsidP="00443B8F">
            <w:pPr>
              <w:overflowPunct/>
              <w:autoSpaceDE/>
              <w:autoSpaceDN/>
              <w:adjustRightInd/>
              <w:jc w:val="left"/>
              <w:textAlignment w:val="auto"/>
              <w:rPr>
                <w:rFonts w:cs="Arial"/>
                <w:sz w:val="20"/>
              </w:rPr>
            </w:pPr>
            <w:r>
              <w:rPr>
                <w:sz w:val="20"/>
              </w:rPr>
              <w:t>Energy performance contracting (EPC)</w:t>
            </w:r>
          </w:p>
        </w:tc>
        <w:tc>
          <w:tcPr>
            <w:tcW w:w="916" w:type="dxa"/>
            <w:tcBorders>
              <w:top w:val="nil"/>
              <w:left w:val="nil"/>
              <w:bottom w:val="single" w:sz="4" w:space="0" w:color="auto"/>
              <w:right w:val="single" w:sz="4" w:space="0" w:color="auto"/>
            </w:tcBorders>
            <w:noWrap/>
            <w:vAlign w:val="bottom"/>
          </w:tcPr>
          <w:p w14:paraId="71232EA2" w14:textId="77777777" w:rsidR="006D3AD5" w:rsidRPr="0073014D" w:rsidRDefault="006D3AD5" w:rsidP="00443B8F">
            <w:pPr>
              <w:overflowPunct/>
              <w:autoSpaceDE/>
              <w:autoSpaceDN/>
              <w:adjustRightInd/>
              <w:jc w:val="right"/>
              <w:textAlignment w:val="auto"/>
              <w:rPr>
                <w:rFonts w:cs="Arial"/>
                <w:sz w:val="20"/>
              </w:rPr>
            </w:pPr>
            <w:r>
              <w:rPr>
                <w:sz w:val="20"/>
              </w:rPr>
              <w:t>2</w:t>
            </w:r>
          </w:p>
        </w:tc>
        <w:tc>
          <w:tcPr>
            <w:tcW w:w="1568" w:type="dxa"/>
            <w:tcBorders>
              <w:top w:val="nil"/>
              <w:left w:val="nil"/>
              <w:bottom w:val="single" w:sz="4" w:space="0" w:color="auto"/>
              <w:right w:val="single" w:sz="4" w:space="0" w:color="auto"/>
            </w:tcBorders>
            <w:noWrap/>
            <w:vAlign w:val="bottom"/>
          </w:tcPr>
          <w:p w14:paraId="6DC0F8DB" w14:textId="77777777" w:rsidR="006D3AD5" w:rsidRPr="0073014D" w:rsidRDefault="006D3AD5" w:rsidP="00443B8F">
            <w:pPr>
              <w:overflowPunct/>
              <w:autoSpaceDE/>
              <w:autoSpaceDN/>
              <w:adjustRightInd/>
              <w:jc w:val="right"/>
              <w:textAlignment w:val="auto"/>
              <w:rPr>
                <w:rFonts w:cs="Arial"/>
                <w:sz w:val="20"/>
              </w:rPr>
            </w:pPr>
            <w:r>
              <w:rPr>
                <w:sz w:val="20"/>
              </w:rPr>
              <w:t>1</w:t>
            </w:r>
          </w:p>
        </w:tc>
        <w:tc>
          <w:tcPr>
            <w:tcW w:w="984" w:type="dxa"/>
            <w:tcBorders>
              <w:top w:val="nil"/>
              <w:left w:val="nil"/>
              <w:bottom w:val="single" w:sz="4" w:space="0" w:color="auto"/>
              <w:right w:val="single" w:sz="4" w:space="0" w:color="auto"/>
            </w:tcBorders>
            <w:noWrap/>
            <w:vAlign w:val="bottom"/>
          </w:tcPr>
          <w:p w14:paraId="1F17DB14"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771" w:type="dxa"/>
            <w:tcBorders>
              <w:top w:val="nil"/>
              <w:left w:val="nil"/>
              <w:bottom w:val="single" w:sz="4" w:space="0" w:color="auto"/>
              <w:right w:val="single" w:sz="4" w:space="0" w:color="auto"/>
            </w:tcBorders>
            <w:noWrap/>
            <w:vAlign w:val="bottom"/>
          </w:tcPr>
          <w:p w14:paraId="713C48EF" w14:textId="77777777" w:rsidR="006D3AD5" w:rsidRPr="0073014D" w:rsidRDefault="006D3AD5" w:rsidP="00443B8F">
            <w:pPr>
              <w:overflowPunct/>
              <w:autoSpaceDE/>
              <w:autoSpaceDN/>
              <w:adjustRightInd/>
              <w:jc w:val="right"/>
              <w:textAlignment w:val="auto"/>
              <w:rPr>
                <w:rFonts w:cs="Arial"/>
                <w:sz w:val="20"/>
              </w:rPr>
            </w:pPr>
            <w:r>
              <w:rPr>
                <w:sz w:val="20"/>
              </w:rPr>
              <w:t>33.3%</w:t>
            </w:r>
          </w:p>
        </w:tc>
      </w:tr>
      <w:tr w:rsidR="006D3AD5" w:rsidRPr="0073014D" w14:paraId="2E1EFC51"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57D726B5" w14:textId="77777777" w:rsidR="006D3AD5" w:rsidRPr="0073014D" w:rsidRDefault="006D3AD5" w:rsidP="00443B8F">
            <w:pPr>
              <w:overflowPunct/>
              <w:autoSpaceDE/>
              <w:autoSpaceDN/>
              <w:adjustRightInd/>
              <w:jc w:val="left"/>
              <w:textAlignment w:val="auto"/>
              <w:rPr>
                <w:rFonts w:cs="Arial"/>
                <w:sz w:val="20"/>
              </w:rPr>
            </w:pPr>
            <w:r>
              <w:rPr>
                <w:sz w:val="20"/>
              </w:rPr>
              <w:t>Venture capital, incl. Business angels</w:t>
            </w:r>
          </w:p>
        </w:tc>
        <w:tc>
          <w:tcPr>
            <w:tcW w:w="916" w:type="dxa"/>
            <w:tcBorders>
              <w:top w:val="nil"/>
              <w:left w:val="nil"/>
              <w:bottom w:val="single" w:sz="4" w:space="0" w:color="auto"/>
              <w:right w:val="single" w:sz="4" w:space="0" w:color="auto"/>
            </w:tcBorders>
            <w:noWrap/>
            <w:vAlign w:val="bottom"/>
          </w:tcPr>
          <w:p w14:paraId="73F4C784"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568" w:type="dxa"/>
            <w:tcBorders>
              <w:top w:val="nil"/>
              <w:left w:val="nil"/>
              <w:bottom w:val="single" w:sz="4" w:space="0" w:color="auto"/>
              <w:right w:val="single" w:sz="4" w:space="0" w:color="auto"/>
            </w:tcBorders>
            <w:noWrap/>
            <w:vAlign w:val="bottom"/>
          </w:tcPr>
          <w:p w14:paraId="10970406" w14:textId="77777777" w:rsidR="006D3AD5" w:rsidRPr="0073014D" w:rsidRDefault="006D3AD5" w:rsidP="00443B8F">
            <w:pPr>
              <w:overflowPunct/>
              <w:autoSpaceDE/>
              <w:autoSpaceDN/>
              <w:adjustRightInd/>
              <w:jc w:val="right"/>
              <w:textAlignment w:val="auto"/>
              <w:rPr>
                <w:rFonts w:cs="Arial"/>
                <w:sz w:val="20"/>
              </w:rPr>
            </w:pPr>
            <w:r>
              <w:rPr>
                <w:sz w:val="20"/>
              </w:rPr>
              <w:t>2</w:t>
            </w:r>
          </w:p>
        </w:tc>
        <w:tc>
          <w:tcPr>
            <w:tcW w:w="984" w:type="dxa"/>
            <w:tcBorders>
              <w:top w:val="nil"/>
              <w:left w:val="nil"/>
              <w:bottom w:val="single" w:sz="4" w:space="0" w:color="auto"/>
              <w:right w:val="single" w:sz="4" w:space="0" w:color="auto"/>
            </w:tcBorders>
            <w:noWrap/>
            <w:vAlign w:val="bottom"/>
          </w:tcPr>
          <w:p w14:paraId="0C821168" w14:textId="77777777" w:rsidR="006D3AD5" w:rsidRPr="0073014D" w:rsidRDefault="006D3AD5" w:rsidP="00443B8F">
            <w:pPr>
              <w:overflowPunct/>
              <w:autoSpaceDE/>
              <w:autoSpaceDN/>
              <w:adjustRightInd/>
              <w:jc w:val="right"/>
              <w:textAlignment w:val="auto"/>
              <w:rPr>
                <w:rFonts w:cs="Arial"/>
                <w:sz w:val="20"/>
              </w:rPr>
            </w:pPr>
            <w:r>
              <w:rPr>
                <w:sz w:val="20"/>
              </w:rPr>
              <w:t>5</w:t>
            </w:r>
          </w:p>
        </w:tc>
        <w:tc>
          <w:tcPr>
            <w:tcW w:w="1771" w:type="dxa"/>
            <w:tcBorders>
              <w:top w:val="nil"/>
              <w:left w:val="nil"/>
              <w:bottom w:val="single" w:sz="4" w:space="0" w:color="auto"/>
              <w:right w:val="single" w:sz="4" w:space="0" w:color="auto"/>
            </w:tcBorders>
            <w:noWrap/>
            <w:vAlign w:val="bottom"/>
          </w:tcPr>
          <w:p w14:paraId="74E2713C" w14:textId="77777777" w:rsidR="006D3AD5" w:rsidRPr="0073014D" w:rsidRDefault="006D3AD5" w:rsidP="00443B8F">
            <w:pPr>
              <w:overflowPunct/>
              <w:autoSpaceDE/>
              <w:autoSpaceDN/>
              <w:adjustRightInd/>
              <w:jc w:val="right"/>
              <w:textAlignment w:val="auto"/>
              <w:rPr>
                <w:rFonts w:cs="Arial"/>
                <w:sz w:val="20"/>
              </w:rPr>
            </w:pPr>
            <w:r>
              <w:rPr>
                <w:sz w:val="20"/>
              </w:rPr>
              <w:t>40.0%</w:t>
            </w:r>
          </w:p>
        </w:tc>
      </w:tr>
      <w:tr w:rsidR="006D3AD5" w:rsidRPr="0073014D" w14:paraId="2FECA007"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75C26A17" w14:textId="77777777" w:rsidR="006D3AD5" w:rsidRPr="0073014D" w:rsidRDefault="006D3AD5" w:rsidP="00443B8F">
            <w:pPr>
              <w:overflowPunct/>
              <w:autoSpaceDE/>
              <w:autoSpaceDN/>
              <w:adjustRightInd/>
              <w:jc w:val="left"/>
              <w:textAlignment w:val="auto"/>
              <w:rPr>
                <w:rFonts w:cs="Arial"/>
                <w:sz w:val="20"/>
              </w:rPr>
            </w:pPr>
            <w:r>
              <w:rPr>
                <w:sz w:val="20"/>
              </w:rPr>
              <w:t>Private equity</w:t>
            </w:r>
          </w:p>
        </w:tc>
        <w:tc>
          <w:tcPr>
            <w:tcW w:w="916" w:type="dxa"/>
            <w:tcBorders>
              <w:top w:val="nil"/>
              <w:left w:val="nil"/>
              <w:bottom w:val="single" w:sz="4" w:space="0" w:color="auto"/>
              <w:right w:val="single" w:sz="4" w:space="0" w:color="auto"/>
            </w:tcBorders>
            <w:noWrap/>
            <w:vAlign w:val="bottom"/>
          </w:tcPr>
          <w:p w14:paraId="3E6CFD2D"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568" w:type="dxa"/>
            <w:tcBorders>
              <w:top w:val="nil"/>
              <w:left w:val="nil"/>
              <w:bottom w:val="single" w:sz="4" w:space="0" w:color="auto"/>
              <w:right w:val="single" w:sz="4" w:space="0" w:color="auto"/>
            </w:tcBorders>
            <w:noWrap/>
            <w:vAlign w:val="bottom"/>
          </w:tcPr>
          <w:p w14:paraId="763974E5" w14:textId="77777777" w:rsidR="006D3AD5" w:rsidRPr="0073014D" w:rsidRDefault="006D3AD5" w:rsidP="00443B8F">
            <w:pPr>
              <w:overflowPunct/>
              <w:autoSpaceDE/>
              <w:autoSpaceDN/>
              <w:adjustRightInd/>
              <w:jc w:val="right"/>
              <w:textAlignment w:val="auto"/>
              <w:rPr>
                <w:rFonts w:cs="Arial"/>
                <w:sz w:val="20"/>
              </w:rPr>
            </w:pPr>
            <w:r>
              <w:rPr>
                <w:sz w:val="20"/>
              </w:rPr>
              <w:t>1</w:t>
            </w:r>
          </w:p>
        </w:tc>
        <w:tc>
          <w:tcPr>
            <w:tcW w:w="984" w:type="dxa"/>
            <w:tcBorders>
              <w:top w:val="nil"/>
              <w:left w:val="nil"/>
              <w:bottom w:val="single" w:sz="4" w:space="0" w:color="auto"/>
              <w:right w:val="single" w:sz="4" w:space="0" w:color="auto"/>
            </w:tcBorders>
            <w:noWrap/>
            <w:vAlign w:val="bottom"/>
          </w:tcPr>
          <w:p w14:paraId="15467552" w14:textId="77777777" w:rsidR="006D3AD5" w:rsidRPr="0073014D" w:rsidRDefault="006D3AD5" w:rsidP="00443B8F">
            <w:pPr>
              <w:overflowPunct/>
              <w:autoSpaceDE/>
              <w:autoSpaceDN/>
              <w:adjustRightInd/>
              <w:jc w:val="right"/>
              <w:textAlignment w:val="auto"/>
              <w:rPr>
                <w:rFonts w:cs="Arial"/>
                <w:sz w:val="20"/>
              </w:rPr>
            </w:pPr>
            <w:r>
              <w:rPr>
                <w:sz w:val="20"/>
              </w:rPr>
              <w:t>4</w:t>
            </w:r>
          </w:p>
        </w:tc>
        <w:tc>
          <w:tcPr>
            <w:tcW w:w="1771" w:type="dxa"/>
            <w:tcBorders>
              <w:top w:val="nil"/>
              <w:left w:val="nil"/>
              <w:bottom w:val="single" w:sz="4" w:space="0" w:color="auto"/>
              <w:right w:val="single" w:sz="4" w:space="0" w:color="auto"/>
            </w:tcBorders>
            <w:noWrap/>
            <w:vAlign w:val="bottom"/>
          </w:tcPr>
          <w:p w14:paraId="4B0F95A4" w14:textId="77777777" w:rsidR="006D3AD5" w:rsidRPr="0073014D" w:rsidRDefault="006D3AD5" w:rsidP="00443B8F">
            <w:pPr>
              <w:overflowPunct/>
              <w:autoSpaceDE/>
              <w:autoSpaceDN/>
              <w:adjustRightInd/>
              <w:jc w:val="right"/>
              <w:textAlignment w:val="auto"/>
              <w:rPr>
                <w:rFonts w:cs="Arial"/>
                <w:sz w:val="20"/>
              </w:rPr>
            </w:pPr>
            <w:r>
              <w:rPr>
                <w:sz w:val="20"/>
              </w:rPr>
              <w:t>25.0%</w:t>
            </w:r>
          </w:p>
        </w:tc>
      </w:tr>
      <w:tr w:rsidR="006D3AD5" w:rsidRPr="0073014D" w14:paraId="4B475BFF"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23C3F227" w14:textId="77777777" w:rsidR="006D3AD5" w:rsidRPr="0073014D" w:rsidRDefault="006D3AD5" w:rsidP="00443B8F">
            <w:pPr>
              <w:overflowPunct/>
              <w:autoSpaceDE/>
              <w:autoSpaceDN/>
              <w:adjustRightInd/>
              <w:jc w:val="left"/>
              <w:textAlignment w:val="auto"/>
              <w:rPr>
                <w:rFonts w:cs="Arial"/>
                <w:sz w:val="20"/>
              </w:rPr>
            </w:pPr>
            <w:r>
              <w:rPr>
                <w:sz w:val="20"/>
              </w:rPr>
              <w:t>Mezzanine financing or subordinated loans</w:t>
            </w:r>
          </w:p>
        </w:tc>
        <w:tc>
          <w:tcPr>
            <w:tcW w:w="916" w:type="dxa"/>
            <w:tcBorders>
              <w:top w:val="nil"/>
              <w:left w:val="nil"/>
              <w:bottom w:val="single" w:sz="4" w:space="0" w:color="auto"/>
              <w:right w:val="single" w:sz="4" w:space="0" w:color="auto"/>
            </w:tcBorders>
            <w:noWrap/>
            <w:vAlign w:val="bottom"/>
          </w:tcPr>
          <w:p w14:paraId="2F2D9231"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568" w:type="dxa"/>
            <w:tcBorders>
              <w:top w:val="nil"/>
              <w:left w:val="nil"/>
              <w:bottom w:val="single" w:sz="4" w:space="0" w:color="auto"/>
              <w:right w:val="single" w:sz="4" w:space="0" w:color="auto"/>
            </w:tcBorders>
            <w:noWrap/>
            <w:vAlign w:val="bottom"/>
          </w:tcPr>
          <w:p w14:paraId="024E3B58" w14:textId="77777777" w:rsidR="006D3AD5" w:rsidRPr="0073014D" w:rsidRDefault="006D3AD5" w:rsidP="00443B8F">
            <w:pPr>
              <w:overflowPunct/>
              <w:autoSpaceDE/>
              <w:autoSpaceDN/>
              <w:adjustRightInd/>
              <w:jc w:val="right"/>
              <w:textAlignment w:val="auto"/>
              <w:rPr>
                <w:rFonts w:cs="Arial"/>
                <w:sz w:val="20"/>
              </w:rPr>
            </w:pPr>
            <w:r>
              <w:rPr>
                <w:sz w:val="20"/>
              </w:rPr>
              <w:t>1</w:t>
            </w:r>
          </w:p>
        </w:tc>
        <w:tc>
          <w:tcPr>
            <w:tcW w:w="984" w:type="dxa"/>
            <w:tcBorders>
              <w:top w:val="nil"/>
              <w:left w:val="nil"/>
              <w:bottom w:val="single" w:sz="4" w:space="0" w:color="auto"/>
              <w:right w:val="single" w:sz="4" w:space="0" w:color="auto"/>
            </w:tcBorders>
            <w:noWrap/>
            <w:vAlign w:val="bottom"/>
          </w:tcPr>
          <w:p w14:paraId="0E4754C5" w14:textId="77777777" w:rsidR="006D3AD5" w:rsidRPr="0073014D" w:rsidRDefault="006D3AD5" w:rsidP="00443B8F">
            <w:pPr>
              <w:overflowPunct/>
              <w:autoSpaceDE/>
              <w:autoSpaceDN/>
              <w:adjustRightInd/>
              <w:jc w:val="right"/>
              <w:textAlignment w:val="auto"/>
              <w:rPr>
                <w:rFonts w:cs="Arial"/>
                <w:sz w:val="20"/>
              </w:rPr>
            </w:pPr>
            <w:r>
              <w:rPr>
                <w:sz w:val="20"/>
              </w:rPr>
              <w:t>4</w:t>
            </w:r>
          </w:p>
        </w:tc>
        <w:tc>
          <w:tcPr>
            <w:tcW w:w="1771" w:type="dxa"/>
            <w:tcBorders>
              <w:top w:val="nil"/>
              <w:left w:val="nil"/>
              <w:bottom w:val="single" w:sz="4" w:space="0" w:color="auto"/>
              <w:right w:val="single" w:sz="4" w:space="0" w:color="auto"/>
            </w:tcBorders>
            <w:noWrap/>
            <w:vAlign w:val="bottom"/>
          </w:tcPr>
          <w:p w14:paraId="618BCD14" w14:textId="77777777" w:rsidR="006D3AD5" w:rsidRPr="0073014D" w:rsidRDefault="006D3AD5" w:rsidP="00443B8F">
            <w:pPr>
              <w:overflowPunct/>
              <w:autoSpaceDE/>
              <w:autoSpaceDN/>
              <w:adjustRightInd/>
              <w:jc w:val="right"/>
              <w:textAlignment w:val="auto"/>
              <w:rPr>
                <w:rFonts w:cs="Arial"/>
                <w:sz w:val="20"/>
              </w:rPr>
            </w:pPr>
            <w:r>
              <w:rPr>
                <w:sz w:val="20"/>
              </w:rPr>
              <w:t>25.0%</w:t>
            </w:r>
          </w:p>
        </w:tc>
      </w:tr>
      <w:tr w:rsidR="006D3AD5" w:rsidRPr="0073014D" w14:paraId="1B3A1146"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0BA1166A" w14:textId="77777777" w:rsidR="006D3AD5" w:rsidRPr="0073014D" w:rsidRDefault="006D3AD5" w:rsidP="00443B8F">
            <w:pPr>
              <w:overflowPunct/>
              <w:autoSpaceDE/>
              <w:autoSpaceDN/>
              <w:adjustRightInd/>
              <w:jc w:val="left"/>
              <w:textAlignment w:val="auto"/>
              <w:rPr>
                <w:rFonts w:cs="Arial"/>
                <w:sz w:val="20"/>
              </w:rPr>
            </w:pPr>
            <w:r>
              <w:rPr>
                <w:sz w:val="20"/>
              </w:rPr>
              <w:t>Corporate bonds</w:t>
            </w:r>
          </w:p>
        </w:tc>
        <w:tc>
          <w:tcPr>
            <w:tcW w:w="916" w:type="dxa"/>
            <w:tcBorders>
              <w:top w:val="nil"/>
              <w:left w:val="nil"/>
              <w:bottom w:val="single" w:sz="4" w:space="0" w:color="auto"/>
              <w:right w:val="single" w:sz="4" w:space="0" w:color="auto"/>
            </w:tcBorders>
            <w:noWrap/>
            <w:vAlign w:val="bottom"/>
          </w:tcPr>
          <w:p w14:paraId="3DE58CA4" w14:textId="77777777" w:rsidR="006D3AD5" w:rsidRPr="0073014D" w:rsidRDefault="006D3AD5" w:rsidP="00443B8F">
            <w:pPr>
              <w:overflowPunct/>
              <w:autoSpaceDE/>
              <w:autoSpaceDN/>
              <w:adjustRightInd/>
              <w:jc w:val="right"/>
              <w:textAlignment w:val="auto"/>
              <w:rPr>
                <w:rFonts w:cs="Arial"/>
                <w:sz w:val="20"/>
              </w:rPr>
            </w:pPr>
            <w:r>
              <w:rPr>
                <w:sz w:val="20"/>
              </w:rPr>
              <w:t>8</w:t>
            </w:r>
          </w:p>
        </w:tc>
        <w:tc>
          <w:tcPr>
            <w:tcW w:w="1568" w:type="dxa"/>
            <w:tcBorders>
              <w:top w:val="nil"/>
              <w:left w:val="nil"/>
              <w:bottom w:val="single" w:sz="4" w:space="0" w:color="auto"/>
              <w:right w:val="single" w:sz="4" w:space="0" w:color="auto"/>
            </w:tcBorders>
            <w:noWrap/>
            <w:vAlign w:val="bottom"/>
          </w:tcPr>
          <w:p w14:paraId="2A5148E5" w14:textId="77777777" w:rsidR="006D3AD5" w:rsidRPr="0073014D" w:rsidRDefault="006D3AD5" w:rsidP="00443B8F">
            <w:pPr>
              <w:overflowPunct/>
              <w:autoSpaceDE/>
              <w:autoSpaceDN/>
              <w:adjustRightInd/>
              <w:jc w:val="right"/>
              <w:textAlignment w:val="auto"/>
              <w:rPr>
                <w:rFonts w:cs="Arial"/>
                <w:sz w:val="20"/>
              </w:rPr>
            </w:pPr>
            <w:r>
              <w:rPr>
                <w:sz w:val="20"/>
              </w:rPr>
              <w:t>0</w:t>
            </w:r>
          </w:p>
        </w:tc>
        <w:tc>
          <w:tcPr>
            <w:tcW w:w="984" w:type="dxa"/>
            <w:tcBorders>
              <w:top w:val="nil"/>
              <w:left w:val="nil"/>
              <w:bottom w:val="single" w:sz="4" w:space="0" w:color="auto"/>
              <w:right w:val="single" w:sz="4" w:space="0" w:color="auto"/>
            </w:tcBorders>
            <w:noWrap/>
            <w:vAlign w:val="bottom"/>
          </w:tcPr>
          <w:p w14:paraId="0B664074" w14:textId="77777777" w:rsidR="006D3AD5" w:rsidRPr="0073014D" w:rsidRDefault="006D3AD5" w:rsidP="00443B8F">
            <w:pPr>
              <w:overflowPunct/>
              <w:autoSpaceDE/>
              <w:autoSpaceDN/>
              <w:adjustRightInd/>
              <w:jc w:val="right"/>
              <w:textAlignment w:val="auto"/>
              <w:rPr>
                <w:rFonts w:cs="Arial"/>
                <w:sz w:val="20"/>
              </w:rPr>
            </w:pPr>
            <w:r>
              <w:rPr>
                <w:sz w:val="20"/>
              </w:rPr>
              <w:t>8</w:t>
            </w:r>
          </w:p>
        </w:tc>
        <w:tc>
          <w:tcPr>
            <w:tcW w:w="1771" w:type="dxa"/>
            <w:tcBorders>
              <w:top w:val="nil"/>
              <w:left w:val="nil"/>
              <w:bottom w:val="single" w:sz="4" w:space="0" w:color="auto"/>
              <w:right w:val="single" w:sz="4" w:space="0" w:color="auto"/>
            </w:tcBorders>
            <w:noWrap/>
            <w:vAlign w:val="bottom"/>
          </w:tcPr>
          <w:p w14:paraId="6CC34BA6" w14:textId="77777777" w:rsidR="006D3AD5" w:rsidRPr="0073014D" w:rsidRDefault="006D3AD5" w:rsidP="00443B8F">
            <w:pPr>
              <w:overflowPunct/>
              <w:autoSpaceDE/>
              <w:autoSpaceDN/>
              <w:adjustRightInd/>
              <w:jc w:val="right"/>
              <w:textAlignment w:val="auto"/>
              <w:rPr>
                <w:rFonts w:cs="Arial"/>
                <w:sz w:val="20"/>
              </w:rPr>
            </w:pPr>
            <w:r>
              <w:rPr>
                <w:sz w:val="20"/>
              </w:rPr>
              <w:t>0.0%</w:t>
            </w:r>
          </w:p>
        </w:tc>
      </w:tr>
      <w:tr w:rsidR="006D3AD5" w:rsidRPr="0073014D" w14:paraId="73A3617F"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1DB5688C" w14:textId="77777777" w:rsidR="006D3AD5" w:rsidRPr="0073014D" w:rsidRDefault="006D3AD5" w:rsidP="00443B8F">
            <w:pPr>
              <w:overflowPunct/>
              <w:autoSpaceDE/>
              <w:autoSpaceDN/>
              <w:adjustRightInd/>
              <w:jc w:val="left"/>
              <w:textAlignment w:val="auto"/>
              <w:rPr>
                <w:rFonts w:cs="Arial"/>
                <w:sz w:val="20"/>
              </w:rPr>
            </w:pPr>
            <w:r>
              <w:rPr>
                <w:sz w:val="20"/>
              </w:rPr>
              <w:t xml:space="preserve">Microcredit </w:t>
            </w:r>
          </w:p>
        </w:tc>
        <w:tc>
          <w:tcPr>
            <w:tcW w:w="916" w:type="dxa"/>
            <w:tcBorders>
              <w:top w:val="nil"/>
              <w:left w:val="nil"/>
              <w:bottom w:val="single" w:sz="4" w:space="0" w:color="auto"/>
              <w:right w:val="single" w:sz="4" w:space="0" w:color="auto"/>
            </w:tcBorders>
            <w:noWrap/>
            <w:vAlign w:val="bottom"/>
          </w:tcPr>
          <w:p w14:paraId="53788C97" w14:textId="77777777" w:rsidR="006D3AD5" w:rsidRPr="0073014D" w:rsidRDefault="006D3AD5" w:rsidP="00443B8F">
            <w:pPr>
              <w:overflowPunct/>
              <w:autoSpaceDE/>
              <w:autoSpaceDN/>
              <w:adjustRightInd/>
              <w:jc w:val="right"/>
              <w:textAlignment w:val="auto"/>
              <w:rPr>
                <w:rFonts w:cs="Arial"/>
                <w:sz w:val="20"/>
              </w:rPr>
            </w:pPr>
            <w:r>
              <w:rPr>
                <w:sz w:val="20"/>
              </w:rPr>
              <w:t>1</w:t>
            </w:r>
          </w:p>
        </w:tc>
        <w:tc>
          <w:tcPr>
            <w:tcW w:w="1568" w:type="dxa"/>
            <w:tcBorders>
              <w:top w:val="nil"/>
              <w:left w:val="nil"/>
              <w:bottom w:val="single" w:sz="4" w:space="0" w:color="auto"/>
              <w:right w:val="single" w:sz="4" w:space="0" w:color="auto"/>
            </w:tcBorders>
            <w:noWrap/>
            <w:vAlign w:val="bottom"/>
          </w:tcPr>
          <w:p w14:paraId="52B64C81" w14:textId="77777777" w:rsidR="006D3AD5" w:rsidRPr="0073014D" w:rsidRDefault="006D3AD5" w:rsidP="00443B8F">
            <w:pPr>
              <w:overflowPunct/>
              <w:autoSpaceDE/>
              <w:autoSpaceDN/>
              <w:adjustRightInd/>
              <w:jc w:val="right"/>
              <w:textAlignment w:val="auto"/>
              <w:rPr>
                <w:rFonts w:cs="Arial"/>
                <w:sz w:val="20"/>
              </w:rPr>
            </w:pPr>
            <w:r>
              <w:rPr>
                <w:sz w:val="20"/>
              </w:rPr>
              <w:t>2</w:t>
            </w:r>
          </w:p>
        </w:tc>
        <w:tc>
          <w:tcPr>
            <w:tcW w:w="984" w:type="dxa"/>
            <w:tcBorders>
              <w:top w:val="nil"/>
              <w:left w:val="nil"/>
              <w:bottom w:val="single" w:sz="4" w:space="0" w:color="auto"/>
              <w:right w:val="single" w:sz="4" w:space="0" w:color="auto"/>
            </w:tcBorders>
            <w:noWrap/>
            <w:vAlign w:val="bottom"/>
          </w:tcPr>
          <w:p w14:paraId="36A1CDED"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771" w:type="dxa"/>
            <w:tcBorders>
              <w:top w:val="nil"/>
              <w:left w:val="nil"/>
              <w:bottom w:val="single" w:sz="4" w:space="0" w:color="auto"/>
              <w:right w:val="single" w:sz="4" w:space="0" w:color="auto"/>
            </w:tcBorders>
            <w:noWrap/>
            <w:vAlign w:val="bottom"/>
          </w:tcPr>
          <w:p w14:paraId="7865C780" w14:textId="77777777" w:rsidR="006D3AD5" w:rsidRPr="0073014D" w:rsidRDefault="006D3AD5" w:rsidP="00443B8F">
            <w:pPr>
              <w:overflowPunct/>
              <w:autoSpaceDE/>
              <w:autoSpaceDN/>
              <w:adjustRightInd/>
              <w:jc w:val="right"/>
              <w:textAlignment w:val="auto"/>
              <w:rPr>
                <w:rFonts w:cs="Arial"/>
                <w:sz w:val="20"/>
              </w:rPr>
            </w:pPr>
            <w:r>
              <w:rPr>
                <w:sz w:val="20"/>
              </w:rPr>
              <w:t>66.7%</w:t>
            </w:r>
          </w:p>
        </w:tc>
      </w:tr>
      <w:tr w:rsidR="006D3AD5" w:rsidRPr="0073014D" w14:paraId="315A5C84"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5DE049D5" w14:textId="77777777" w:rsidR="006D3AD5" w:rsidRPr="0073014D" w:rsidRDefault="006D3AD5" w:rsidP="00443B8F">
            <w:pPr>
              <w:overflowPunct/>
              <w:autoSpaceDE/>
              <w:autoSpaceDN/>
              <w:adjustRightInd/>
              <w:jc w:val="left"/>
              <w:textAlignment w:val="auto"/>
              <w:rPr>
                <w:rFonts w:cs="Arial"/>
                <w:sz w:val="20"/>
              </w:rPr>
            </w:pPr>
            <w:r>
              <w:rPr>
                <w:sz w:val="20"/>
              </w:rPr>
              <w:t>Leasing</w:t>
            </w:r>
          </w:p>
        </w:tc>
        <w:tc>
          <w:tcPr>
            <w:tcW w:w="916" w:type="dxa"/>
            <w:tcBorders>
              <w:top w:val="nil"/>
              <w:left w:val="nil"/>
              <w:bottom w:val="single" w:sz="4" w:space="0" w:color="auto"/>
              <w:right w:val="single" w:sz="4" w:space="0" w:color="auto"/>
            </w:tcBorders>
            <w:noWrap/>
            <w:vAlign w:val="bottom"/>
          </w:tcPr>
          <w:p w14:paraId="007D6499" w14:textId="77777777" w:rsidR="006D3AD5" w:rsidRPr="0073014D" w:rsidRDefault="006D3AD5" w:rsidP="00443B8F">
            <w:pPr>
              <w:overflowPunct/>
              <w:autoSpaceDE/>
              <w:autoSpaceDN/>
              <w:adjustRightInd/>
              <w:jc w:val="right"/>
              <w:textAlignment w:val="auto"/>
              <w:rPr>
                <w:rFonts w:cs="Arial"/>
                <w:sz w:val="20"/>
              </w:rPr>
            </w:pPr>
            <w:r>
              <w:rPr>
                <w:sz w:val="20"/>
              </w:rPr>
              <w:t>125</w:t>
            </w:r>
          </w:p>
        </w:tc>
        <w:tc>
          <w:tcPr>
            <w:tcW w:w="1568" w:type="dxa"/>
            <w:tcBorders>
              <w:top w:val="nil"/>
              <w:left w:val="nil"/>
              <w:bottom w:val="single" w:sz="4" w:space="0" w:color="auto"/>
              <w:right w:val="single" w:sz="4" w:space="0" w:color="auto"/>
            </w:tcBorders>
            <w:noWrap/>
            <w:vAlign w:val="bottom"/>
          </w:tcPr>
          <w:p w14:paraId="6588EA7E"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984" w:type="dxa"/>
            <w:tcBorders>
              <w:top w:val="nil"/>
              <w:left w:val="nil"/>
              <w:bottom w:val="single" w:sz="4" w:space="0" w:color="auto"/>
              <w:right w:val="single" w:sz="4" w:space="0" w:color="auto"/>
            </w:tcBorders>
            <w:noWrap/>
            <w:vAlign w:val="bottom"/>
          </w:tcPr>
          <w:p w14:paraId="5098C45B" w14:textId="77777777" w:rsidR="006D3AD5" w:rsidRPr="0073014D" w:rsidRDefault="006D3AD5" w:rsidP="00443B8F">
            <w:pPr>
              <w:overflowPunct/>
              <w:autoSpaceDE/>
              <w:autoSpaceDN/>
              <w:adjustRightInd/>
              <w:jc w:val="right"/>
              <w:textAlignment w:val="auto"/>
              <w:rPr>
                <w:rFonts w:cs="Arial"/>
                <w:sz w:val="20"/>
              </w:rPr>
            </w:pPr>
            <w:r>
              <w:rPr>
                <w:sz w:val="20"/>
              </w:rPr>
              <w:t>128</w:t>
            </w:r>
          </w:p>
        </w:tc>
        <w:tc>
          <w:tcPr>
            <w:tcW w:w="1771" w:type="dxa"/>
            <w:tcBorders>
              <w:top w:val="nil"/>
              <w:left w:val="nil"/>
              <w:bottom w:val="single" w:sz="4" w:space="0" w:color="auto"/>
              <w:right w:val="single" w:sz="4" w:space="0" w:color="auto"/>
            </w:tcBorders>
            <w:noWrap/>
            <w:vAlign w:val="bottom"/>
          </w:tcPr>
          <w:p w14:paraId="0FB1C189" w14:textId="77777777" w:rsidR="006D3AD5" w:rsidRPr="0073014D" w:rsidRDefault="006D3AD5" w:rsidP="00443B8F">
            <w:pPr>
              <w:overflowPunct/>
              <w:autoSpaceDE/>
              <w:autoSpaceDN/>
              <w:adjustRightInd/>
              <w:jc w:val="right"/>
              <w:textAlignment w:val="auto"/>
              <w:rPr>
                <w:rFonts w:cs="Arial"/>
                <w:sz w:val="20"/>
              </w:rPr>
            </w:pPr>
            <w:r>
              <w:rPr>
                <w:sz w:val="20"/>
              </w:rPr>
              <w:t>2.3%</w:t>
            </w:r>
          </w:p>
        </w:tc>
      </w:tr>
      <w:tr w:rsidR="006D3AD5" w:rsidRPr="0073014D" w14:paraId="604B3F9B"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729C132F" w14:textId="77777777" w:rsidR="006D3AD5" w:rsidRPr="0073014D" w:rsidRDefault="006D3AD5" w:rsidP="00443B8F">
            <w:pPr>
              <w:overflowPunct/>
              <w:autoSpaceDE/>
              <w:autoSpaceDN/>
              <w:adjustRightInd/>
              <w:jc w:val="left"/>
              <w:textAlignment w:val="auto"/>
              <w:rPr>
                <w:rFonts w:cs="Arial"/>
                <w:sz w:val="20"/>
              </w:rPr>
            </w:pPr>
            <w:r>
              <w:rPr>
                <w:sz w:val="20"/>
              </w:rPr>
              <w:t>Factoring</w:t>
            </w:r>
          </w:p>
        </w:tc>
        <w:tc>
          <w:tcPr>
            <w:tcW w:w="916" w:type="dxa"/>
            <w:tcBorders>
              <w:top w:val="nil"/>
              <w:left w:val="nil"/>
              <w:bottom w:val="single" w:sz="4" w:space="0" w:color="auto"/>
              <w:right w:val="single" w:sz="4" w:space="0" w:color="auto"/>
            </w:tcBorders>
            <w:noWrap/>
            <w:vAlign w:val="bottom"/>
          </w:tcPr>
          <w:p w14:paraId="6898ED1B" w14:textId="77777777" w:rsidR="006D3AD5" w:rsidRPr="0073014D" w:rsidRDefault="006D3AD5" w:rsidP="00443B8F">
            <w:pPr>
              <w:overflowPunct/>
              <w:autoSpaceDE/>
              <w:autoSpaceDN/>
              <w:adjustRightInd/>
              <w:jc w:val="right"/>
              <w:textAlignment w:val="auto"/>
              <w:rPr>
                <w:rFonts w:cs="Arial"/>
                <w:sz w:val="20"/>
              </w:rPr>
            </w:pPr>
            <w:r>
              <w:rPr>
                <w:sz w:val="20"/>
              </w:rPr>
              <w:t>26</w:t>
            </w:r>
          </w:p>
        </w:tc>
        <w:tc>
          <w:tcPr>
            <w:tcW w:w="1568" w:type="dxa"/>
            <w:tcBorders>
              <w:top w:val="nil"/>
              <w:left w:val="nil"/>
              <w:bottom w:val="single" w:sz="4" w:space="0" w:color="auto"/>
              <w:right w:val="single" w:sz="4" w:space="0" w:color="auto"/>
            </w:tcBorders>
            <w:noWrap/>
            <w:vAlign w:val="bottom"/>
          </w:tcPr>
          <w:p w14:paraId="4DCD088A" w14:textId="77777777" w:rsidR="006D3AD5" w:rsidRPr="0073014D" w:rsidRDefault="006D3AD5" w:rsidP="00443B8F">
            <w:pPr>
              <w:overflowPunct/>
              <w:autoSpaceDE/>
              <w:autoSpaceDN/>
              <w:adjustRightInd/>
              <w:jc w:val="right"/>
              <w:textAlignment w:val="auto"/>
              <w:rPr>
                <w:rFonts w:cs="Arial"/>
                <w:sz w:val="20"/>
              </w:rPr>
            </w:pPr>
            <w:r>
              <w:rPr>
                <w:sz w:val="20"/>
              </w:rPr>
              <w:t>4</w:t>
            </w:r>
          </w:p>
        </w:tc>
        <w:tc>
          <w:tcPr>
            <w:tcW w:w="984" w:type="dxa"/>
            <w:tcBorders>
              <w:top w:val="nil"/>
              <w:left w:val="nil"/>
              <w:bottom w:val="single" w:sz="4" w:space="0" w:color="auto"/>
              <w:right w:val="single" w:sz="4" w:space="0" w:color="auto"/>
            </w:tcBorders>
            <w:noWrap/>
            <w:vAlign w:val="bottom"/>
          </w:tcPr>
          <w:p w14:paraId="4DCD66E8" w14:textId="77777777" w:rsidR="006D3AD5" w:rsidRPr="0073014D" w:rsidRDefault="006D3AD5" w:rsidP="00443B8F">
            <w:pPr>
              <w:overflowPunct/>
              <w:autoSpaceDE/>
              <w:autoSpaceDN/>
              <w:adjustRightInd/>
              <w:jc w:val="right"/>
              <w:textAlignment w:val="auto"/>
              <w:rPr>
                <w:rFonts w:cs="Arial"/>
                <w:sz w:val="20"/>
              </w:rPr>
            </w:pPr>
            <w:r>
              <w:rPr>
                <w:sz w:val="20"/>
              </w:rPr>
              <w:t>30</w:t>
            </w:r>
          </w:p>
        </w:tc>
        <w:tc>
          <w:tcPr>
            <w:tcW w:w="1771" w:type="dxa"/>
            <w:tcBorders>
              <w:top w:val="nil"/>
              <w:left w:val="nil"/>
              <w:bottom w:val="single" w:sz="4" w:space="0" w:color="auto"/>
              <w:right w:val="single" w:sz="4" w:space="0" w:color="auto"/>
            </w:tcBorders>
            <w:noWrap/>
            <w:vAlign w:val="bottom"/>
          </w:tcPr>
          <w:p w14:paraId="5BF1A4C7" w14:textId="77777777" w:rsidR="006D3AD5" w:rsidRPr="0073014D" w:rsidRDefault="006D3AD5" w:rsidP="00443B8F">
            <w:pPr>
              <w:overflowPunct/>
              <w:autoSpaceDE/>
              <w:autoSpaceDN/>
              <w:adjustRightInd/>
              <w:jc w:val="right"/>
              <w:textAlignment w:val="auto"/>
              <w:rPr>
                <w:rFonts w:cs="Arial"/>
                <w:sz w:val="20"/>
              </w:rPr>
            </w:pPr>
            <w:r>
              <w:rPr>
                <w:sz w:val="20"/>
              </w:rPr>
              <w:t>13.3%</w:t>
            </w:r>
          </w:p>
        </w:tc>
      </w:tr>
      <w:tr w:rsidR="006D3AD5" w:rsidRPr="0073014D" w14:paraId="31A71460"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41D40AEE" w14:textId="77777777" w:rsidR="006D3AD5" w:rsidRPr="0073014D" w:rsidRDefault="006D3AD5" w:rsidP="00443B8F">
            <w:pPr>
              <w:overflowPunct/>
              <w:autoSpaceDE/>
              <w:autoSpaceDN/>
              <w:adjustRightInd/>
              <w:jc w:val="left"/>
              <w:textAlignment w:val="auto"/>
              <w:rPr>
                <w:rFonts w:cs="Arial"/>
                <w:sz w:val="20"/>
              </w:rPr>
            </w:pPr>
            <w:r>
              <w:rPr>
                <w:sz w:val="20"/>
              </w:rPr>
              <w:t>Issue of shares at public traded market (stock exchange)</w:t>
            </w:r>
          </w:p>
        </w:tc>
        <w:tc>
          <w:tcPr>
            <w:tcW w:w="916" w:type="dxa"/>
            <w:tcBorders>
              <w:top w:val="nil"/>
              <w:left w:val="nil"/>
              <w:bottom w:val="single" w:sz="4" w:space="0" w:color="auto"/>
              <w:right w:val="single" w:sz="4" w:space="0" w:color="auto"/>
            </w:tcBorders>
            <w:noWrap/>
            <w:vAlign w:val="bottom"/>
          </w:tcPr>
          <w:p w14:paraId="7EB41C55"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568" w:type="dxa"/>
            <w:tcBorders>
              <w:top w:val="nil"/>
              <w:left w:val="nil"/>
              <w:bottom w:val="single" w:sz="4" w:space="0" w:color="auto"/>
              <w:right w:val="single" w:sz="4" w:space="0" w:color="auto"/>
            </w:tcBorders>
            <w:noWrap/>
            <w:vAlign w:val="bottom"/>
          </w:tcPr>
          <w:p w14:paraId="5EAFDAD8" w14:textId="77777777" w:rsidR="006D3AD5" w:rsidRPr="0073014D" w:rsidRDefault="006D3AD5" w:rsidP="00443B8F">
            <w:pPr>
              <w:overflowPunct/>
              <w:autoSpaceDE/>
              <w:autoSpaceDN/>
              <w:adjustRightInd/>
              <w:jc w:val="right"/>
              <w:textAlignment w:val="auto"/>
              <w:rPr>
                <w:rFonts w:cs="Arial"/>
                <w:sz w:val="20"/>
              </w:rPr>
            </w:pPr>
            <w:r>
              <w:rPr>
                <w:sz w:val="20"/>
              </w:rPr>
              <w:t>0</w:t>
            </w:r>
          </w:p>
        </w:tc>
        <w:tc>
          <w:tcPr>
            <w:tcW w:w="984" w:type="dxa"/>
            <w:tcBorders>
              <w:top w:val="nil"/>
              <w:left w:val="nil"/>
              <w:bottom w:val="single" w:sz="4" w:space="0" w:color="auto"/>
              <w:right w:val="single" w:sz="4" w:space="0" w:color="auto"/>
            </w:tcBorders>
            <w:noWrap/>
            <w:vAlign w:val="bottom"/>
          </w:tcPr>
          <w:p w14:paraId="1B6B74F3" w14:textId="77777777" w:rsidR="006D3AD5" w:rsidRPr="0073014D" w:rsidRDefault="006D3AD5" w:rsidP="00443B8F">
            <w:pPr>
              <w:overflowPunct/>
              <w:autoSpaceDE/>
              <w:autoSpaceDN/>
              <w:adjustRightInd/>
              <w:jc w:val="right"/>
              <w:textAlignment w:val="auto"/>
              <w:rPr>
                <w:rFonts w:cs="Arial"/>
                <w:sz w:val="20"/>
              </w:rPr>
            </w:pPr>
            <w:r>
              <w:rPr>
                <w:sz w:val="20"/>
              </w:rPr>
              <w:t>3</w:t>
            </w:r>
          </w:p>
        </w:tc>
        <w:tc>
          <w:tcPr>
            <w:tcW w:w="1771" w:type="dxa"/>
            <w:tcBorders>
              <w:top w:val="nil"/>
              <w:left w:val="nil"/>
              <w:bottom w:val="single" w:sz="4" w:space="0" w:color="auto"/>
              <w:right w:val="single" w:sz="4" w:space="0" w:color="auto"/>
            </w:tcBorders>
            <w:noWrap/>
            <w:vAlign w:val="bottom"/>
          </w:tcPr>
          <w:p w14:paraId="04725803" w14:textId="77777777" w:rsidR="006D3AD5" w:rsidRPr="0073014D" w:rsidRDefault="006D3AD5" w:rsidP="00443B8F">
            <w:pPr>
              <w:overflowPunct/>
              <w:autoSpaceDE/>
              <w:autoSpaceDN/>
              <w:adjustRightInd/>
              <w:jc w:val="right"/>
              <w:textAlignment w:val="auto"/>
              <w:rPr>
                <w:rFonts w:cs="Arial"/>
                <w:sz w:val="20"/>
              </w:rPr>
            </w:pPr>
            <w:r>
              <w:rPr>
                <w:sz w:val="20"/>
              </w:rPr>
              <w:t>0.0%</w:t>
            </w:r>
          </w:p>
        </w:tc>
      </w:tr>
      <w:tr w:rsidR="006D3AD5" w:rsidRPr="0073014D" w14:paraId="5B960F9A"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71C583EF" w14:textId="77777777" w:rsidR="006D3AD5" w:rsidRPr="0073014D" w:rsidRDefault="006D3AD5" w:rsidP="00443B8F">
            <w:pPr>
              <w:overflowPunct/>
              <w:autoSpaceDE/>
              <w:autoSpaceDN/>
              <w:adjustRightInd/>
              <w:jc w:val="left"/>
              <w:textAlignment w:val="auto"/>
              <w:rPr>
                <w:rFonts w:cs="Arial"/>
                <w:sz w:val="20"/>
              </w:rPr>
            </w:pPr>
            <w:r>
              <w:rPr>
                <w:sz w:val="20"/>
              </w:rPr>
              <w:t>Family, friends and relatives</w:t>
            </w:r>
          </w:p>
        </w:tc>
        <w:tc>
          <w:tcPr>
            <w:tcW w:w="916" w:type="dxa"/>
            <w:tcBorders>
              <w:top w:val="nil"/>
              <w:left w:val="nil"/>
              <w:bottom w:val="single" w:sz="4" w:space="0" w:color="auto"/>
              <w:right w:val="single" w:sz="4" w:space="0" w:color="auto"/>
            </w:tcBorders>
            <w:noWrap/>
            <w:vAlign w:val="bottom"/>
          </w:tcPr>
          <w:p w14:paraId="41635897" w14:textId="77777777" w:rsidR="006D3AD5" w:rsidRPr="0073014D" w:rsidRDefault="006D3AD5" w:rsidP="00443B8F">
            <w:pPr>
              <w:overflowPunct/>
              <w:autoSpaceDE/>
              <w:autoSpaceDN/>
              <w:adjustRightInd/>
              <w:jc w:val="right"/>
              <w:textAlignment w:val="auto"/>
              <w:rPr>
                <w:rFonts w:cs="Arial"/>
                <w:sz w:val="20"/>
              </w:rPr>
            </w:pPr>
            <w:r>
              <w:rPr>
                <w:sz w:val="20"/>
              </w:rPr>
              <w:t>29</w:t>
            </w:r>
          </w:p>
        </w:tc>
        <w:tc>
          <w:tcPr>
            <w:tcW w:w="1568" w:type="dxa"/>
            <w:tcBorders>
              <w:top w:val="nil"/>
              <w:left w:val="nil"/>
              <w:bottom w:val="single" w:sz="4" w:space="0" w:color="auto"/>
              <w:right w:val="single" w:sz="4" w:space="0" w:color="auto"/>
            </w:tcBorders>
            <w:noWrap/>
            <w:vAlign w:val="bottom"/>
          </w:tcPr>
          <w:p w14:paraId="1B4A80EF" w14:textId="77777777" w:rsidR="006D3AD5" w:rsidRPr="0073014D" w:rsidRDefault="006D3AD5" w:rsidP="00443B8F">
            <w:pPr>
              <w:overflowPunct/>
              <w:autoSpaceDE/>
              <w:autoSpaceDN/>
              <w:adjustRightInd/>
              <w:jc w:val="right"/>
              <w:textAlignment w:val="auto"/>
              <w:rPr>
                <w:rFonts w:cs="Arial"/>
                <w:sz w:val="20"/>
              </w:rPr>
            </w:pPr>
            <w:r>
              <w:rPr>
                <w:sz w:val="20"/>
              </w:rPr>
              <w:t>2</w:t>
            </w:r>
          </w:p>
        </w:tc>
        <w:tc>
          <w:tcPr>
            <w:tcW w:w="984" w:type="dxa"/>
            <w:tcBorders>
              <w:top w:val="nil"/>
              <w:left w:val="nil"/>
              <w:bottom w:val="single" w:sz="4" w:space="0" w:color="auto"/>
              <w:right w:val="single" w:sz="4" w:space="0" w:color="auto"/>
            </w:tcBorders>
            <w:noWrap/>
            <w:vAlign w:val="bottom"/>
          </w:tcPr>
          <w:p w14:paraId="14410FC4" w14:textId="77777777" w:rsidR="006D3AD5" w:rsidRPr="0073014D" w:rsidRDefault="006D3AD5" w:rsidP="00443B8F">
            <w:pPr>
              <w:overflowPunct/>
              <w:autoSpaceDE/>
              <w:autoSpaceDN/>
              <w:adjustRightInd/>
              <w:jc w:val="right"/>
              <w:textAlignment w:val="auto"/>
              <w:rPr>
                <w:rFonts w:cs="Arial"/>
                <w:sz w:val="20"/>
              </w:rPr>
            </w:pPr>
            <w:r>
              <w:rPr>
                <w:sz w:val="20"/>
              </w:rPr>
              <w:t>31</w:t>
            </w:r>
          </w:p>
        </w:tc>
        <w:tc>
          <w:tcPr>
            <w:tcW w:w="1771" w:type="dxa"/>
            <w:tcBorders>
              <w:top w:val="nil"/>
              <w:left w:val="nil"/>
              <w:bottom w:val="single" w:sz="4" w:space="0" w:color="auto"/>
              <w:right w:val="single" w:sz="4" w:space="0" w:color="auto"/>
            </w:tcBorders>
            <w:noWrap/>
            <w:vAlign w:val="bottom"/>
          </w:tcPr>
          <w:p w14:paraId="1F069BDC" w14:textId="77777777" w:rsidR="006D3AD5" w:rsidRPr="0073014D" w:rsidRDefault="006D3AD5" w:rsidP="00443B8F">
            <w:pPr>
              <w:overflowPunct/>
              <w:autoSpaceDE/>
              <w:autoSpaceDN/>
              <w:adjustRightInd/>
              <w:jc w:val="right"/>
              <w:textAlignment w:val="auto"/>
              <w:rPr>
                <w:rFonts w:cs="Arial"/>
                <w:sz w:val="20"/>
              </w:rPr>
            </w:pPr>
            <w:r>
              <w:rPr>
                <w:sz w:val="20"/>
              </w:rPr>
              <w:t>6.5%</w:t>
            </w:r>
          </w:p>
        </w:tc>
      </w:tr>
      <w:tr w:rsidR="006D3AD5" w:rsidRPr="0073014D" w14:paraId="67D9C7EA" w14:textId="77777777" w:rsidTr="00443B8F">
        <w:trPr>
          <w:trHeight w:val="255"/>
        </w:trPr>
        <w:tc>
          <w:tcPr>
            <w:tcW w:w="3918" w:type="dxa"/>
            <w:tcBorders>
              <w:top w:val="nil"/>
              <w:left w:val="single" w:sz="4" w:space="0" w:color="auto"/>
              <w:bottom w:val="single" w:sz="4" w:space="0" w:color="auto"/>
              <w:right w:val="single" w:sz="4" w:space="0" w:color="auto"/>
            </w:tcBorders>
            <w:noWrap/>
            <w:vAlign w:val="bottom"/>
          </w:tcPr>
          <w:p w14:paraId="26E16821" w14:textId="77777777" w:rsidR="006D3AD5" w:rsidRPr="0073014D" w:rsidRDefault="006D3AD5" w:rsidP="00443B8F">
            <w:pPr>
              <w:overflowPunct/>
              <w:autoSpaceDE/>
              <w:autoSpaceDN/>
              <w:adjustRightInd/>
              <w:jc w:val="left"/>
              <w:textAlignment w:val="auto"/>
              <w:rPr>
                <w:rFonts w:cs="Arial"/>
                <w:sz w:val="20"/>
              </w:rPr>
            </w:pPr>
            <w:r>
              <w:rPr>
                <w:sz w:val="20"/>
              </w:rPr>
              <w:t>Own financing resources</w:t>
            </w:r>
          </w:p>
        </w:tc>
        <w:tc>
          <w:tcPr>
            <w:tcW w:w="916" w:type="dxa"/>
            <w:tcBorders>
              <w:top w:val="nil"/>
              <w:left w:val="nil"/>
              <w:bottom w:val="single" w:sz="4" w:space="0" w:color="auto"/>
              <w:right w:val="single" w:sz="4" w:space="0" w:color="auto"/>
            </w:tcBorders>
            <w:noWrap/>
            <w:vAlign w:val="bottom"/>
          </w:tcPr>
          <w:p w14:paraId="30648405" w14:textId="77777777" w:rsidR="006D3AD5" w:rsidRPr="0073014D" w:rsidRDefault="006D3AD5" w:rsidP="00443B8F">
            <w:pPr>
              <w:overflowPunct/>
              <w:autoSpaceDE/>
              <w:autoSpaceDN/>
              <w:adjustRightInd/>
              <w:jc w:val="right"/>
              <w:textAlignment w:val="auto"/>
              <w:rPr>
                <w:rFonts w:cs="Arial"/>
                <w:sz w:val="20"/>
              </w:rPr>
            </w:pPr>
            <w:r>
              <w:rPr>
                <w:sz w:val="20"/>
              </w:rPr>
              <w:t>164</w:t>
            </w:r>
          </w:p>
        </w:tc>
        <w:tc>
          <w:tcPr>
            <w:tcW w:w="1568" w:type="dxa"/>
            <w:tcBorders>
              <w:top w:val="nil"/>
              <w:left w:val="nil"/>
              <w:bottom w:val="single" w:sz="4" w:space="0" w:color="auto"/>
              <w:right w:val="single" w:sz="4" w:space="0" w:color="auto"/>
            </w:tcBorders>
            <w:noWrap/>
            <w:vAlign w:val="bottom"/>
          </w:tcPr>
          <w:p w14:paraId="1B2978FA" w14:textId="77777777" w:rsidR="006D3AD5" w:rsidRPr="0073014D" w:rsidRDefault="006D3AD5" w:rsidP="00443B8F">
            <w:pPr>
              <w:overflowPunct/>
              <w:autoSpaceDE/>
              <w:autoSpaceDN/>
              <w:adjustRightInd/>
              <w:jc w:val="right"/>
              <w:textAlignment w:val="auto"/>
              <w:rPr>
                <w:rFonts w:cs="Arial"/>
                <w:sz w:val="20"/>
              </w:rPr>
            </w:pPr>
            <w:r>
              <w:rPr>
                <w:sz w:val="20"/>
              </w:rPr>
              <w:t>0</w:t>
            </w:r>
          </w:p>
        </w:tc>
        <w:tc>
          <w:tcPr>
            <w:tcW w:w="984" w:type="dxa"/>
            <w:tcBorders>
              <w:top w:val="nil"/>
              <w:left w:val="nil"/>
              <w:bottom w:val="single" w:sz="4" w:space="0" w:color="auto"/>
              <w:right w:val="single" w:sz="4" w:space="0" w:color="auto"/>
            </w:tcBorders>
            <w:noWrap/>
            <w:vAlign w:val="bottom"/>
          </w:tcPr>
          <w:p w14:paraId="2112DB66" w14:textId="77777777" w:rsidR="006D3AD5" w:rsidRPr="0073014D" w:rsidRDefault="006D3AD5" w:rsidP="00443B8F">
            <w:pPr>
              <w:overflowPunct/>
              <w:autoSpaceDE/>
              <w:autoSpaceDN/>
              <w:adjustRightInd/>
              <w:jc w:val="right"/>
              <w:textAlignment w:val="auto"/>
              <w:rPr>
                <w:rFonts w:cs="Arial"/>
                <w:sz w:val="20"/>
              </w:rPr>
            </w:pPr>
            <w:r>
              <w:rPr>
                <w:sz w:val="20"/>
              </w:rPr>
              <w:t>164</w:t>
            </w:r>
          </w:p>
        </w:tc>
        <w:tc>
          <w:tcPr>
            <w:tcW w:w="1771" w:type="dxa"/>
            <w:tcBorders>
              <w:top w:val="nil"/>
              <w:left w:val="nil"/>
              <w:bottom w:val="single" w:sz="4" w:space="0" w:color="auto"/>
              <w:right w:val="single" w:sz="4" w:space="0" w:color="auto"/>
            </w:tcBorders>
            <w:noWrap/>
            <w:vAlign w:val="bottom"/>
          </w:tcPr>
          <w:p w14:paraId="6B77A3F4" w14:textId="77777777" w:rsidR="006D3AD5" w:rsidRPr="0073014D" w:rsidRDefault="006D3AD5" w:rsidP="00443B8F">
            <w:pPr>
              <w:overflowPunct/>
              <w:autoSpaceDE/>
              <w:autoSpaceDN/>
              <w:adjustRightInd/>
              <w:jc w:val="right"/>
              <w:textAlignment w:val="auto"/>
              <w:rPr>
                <w:rFonts w:cs="Arial"/>
                <w:sz w:val="20"/>
              </w:rPr>
            </w:pPr>
            <w:r>
              <w:rPr>
                <w:sz w:val="20"/>
              </w:rPr>
              <w:t>0.0%</w:t>
            </w:r>
          </w:p>
        </w:tc>
      </w:tr>
    </w:tbl>
    <w:p w14:paraId="28D75B03" w14:textId="77777777" w:rsidR="006D3AD5" w:rsidRPr="0073014D" w:rsidRDefault="006D3AD5" w:rsidP="006D3AD5"/>
    <w:p w14:paraId="68CB575B" w14:textId="77777777" w:rsidR="006D3AD5" w:rsidRPr="0073014D" w:rsidRDefault="006D3AD5" w:rsidP="006D3AD5">
      <w:r>
        <w:t>The enterprises which want to invest in energy efficiency in the next three years so far endeavoured to finance, in particular, by means of loans, in which their success rate amounted to 93% in the case of medium-term and long-term loans. Alternative resources of funding are not usually utilised for specifically such a type of projects. Nevertheless, interesting is a very small number of companies that stated utilisation of funding through the EPC. This result proves that this method has not found its corresponding utilisation yet.</w:t>
      </w:r>
    </w:p>
    <w:p w14:paraId="5BE33305" w14:textId="77777777" w:rsidR="006D3AD5" w:rsidRPr="0073014D" w:rsidRDefault="006D3AD5" w:rsidP="006D3AD5"/>
    <w:p w14:paraId="36293569" w14:textId="77777777" w:rsidR="006D3AD5" w:rsidRPr="0073014D" w:rsidRDefault="006D3AD5" w:rsidP="006D3AD5"/>
    <w:p w14:paraId="65F2DAE1" w14:textId="77777777" w:rsidR="006D3AD5" w:rsidRPr="0073014D" w:rsidRDefault="006D3AD5" w:rsidP="006D3AD5"/>
    <w:p w14:paraId="30C3CC7F" w14:textId="77777777" w:rsidR="006D3AD5" w:rsidRPr="0073014D" w:rsidRDefault="006D3AD5" w:rsidP="006D3AD5"/>
    <w:p w14:paraId="6288E70C" w14:textId="25E92D57" w:rsidR="006D3AD5" w:rsidRPr="0073014D" w:rsidRDefault="006D3AD5" w:rsidP="003D68AA">
      <w:pPr>
        <w:pStyle w:val="Titulek"/>
      </w:pPr>
      <w:r>
        <w:t xml:space="preserve">Table </w:t>
      </w:r>
      <w:r w:rsidR="00696819">
        <w:t>75</w:t>
      </w:r>
      <w:r>
        <w:t>: Funding availability for investments</w:t>
      </w:r>
    </w:p>
    <w:tbl>
      <w:tblPr>
        <w:tblW w:w="9087" w:type="dxa"/>
        <w:tblInd w:w="55" w:type="dxa"/>
        <w:tblCellMar>
          <w:left w:w="70" w:type="dxa"/>
          <w:right w:w="70" w:type="dxa"/>
        </w:tblCellMar>
        <w:tblLook w:val="00A0" w:firstRow="1" w:lastRow="0" w:firstColumn="1" w:lastColumn="0" w:noHBand="0" w:noVBand="0"/>
      </w:tblPr>
      <w:tblGrid>
        <w:gridCol w:w="6252"/>
        <w:gridCol w:w="1560"/>
        <w:gridCol w:w="1275"/>
      </w:tblGrid>
      <w:tr w:rsidR="006D3AD5" w:rsidRPr="0073014D" w14:paraId="7059CEE2" w14:textId="77777777" w:rsidTr="00443B8F">
        <w:trPr>
          <w:trHeight w:val="255"/>
        </w:trPr>
        <w:tc>
          <w:tcPr>
            <w:tcW w:w="6252" w:type="dxa"/>
            <w:tcBorders>
              <w:top w:val="single" w:sz="4" w:space="0" w:color="auto"/>
              <w:left w:val="single" w:sz="4" w:space="0" w:color="auto"/>
              <w:bottom w:val="single" w:sz="4" w:space="0" w:color="auto"/>
              <w:right w:val="single" w:sz="4" w:space="0" w:color="auto"/>
            </w:tcBorders>
            <w:noWrap/>
            <w:vAlign w:val="bottom"/>
          </w:tcPr>
          <w:p w14:paraId="39149911" w14:textId="77777777" w:rsidR="006D3AD5" w:rsidRPr="0073014D" w:rsidRDefault="006D3AD5" w:rsidP="00443B8F">
            <w:pPr>
              <w:overflowPunct/>
              <w:autoSpaceDE/>
              <w:autoSpaceDN/>
              <w:adjustRightInd/>
              <w:jc w:val="left"/>
              <w:textAlignment w:val="auto"/>
              <w:rPr>
                <w:rFonts w:cs="Arial"/>
                <w:b/>
                <w:bCs/>
                <w:sz w:val="20"/>
              </w:rPr>
            </w:pPr>
            <w:r>
              <w:rPr>
                <w:b/>
                <w:sz w:val="20"/>
              </w:rPr>
              <w:t>Availability of funding for investments in last three years</w:t>
            </w:r>
          </w:p>
        </w:tc>
        <w:tc>
          <w:tcPr>
            <w:tcW w:w="1560" w:type="dxa"/>
            <w:tcBorders>
              <w:top w:val="single" w:sz="4" w:space="0" w:color="auto"/>
              <w:left w:val="nil"/>
              <w:bottom w:val="single" w:sz="4" w:space="0" w:color="auto"/>
              <w:right w:val="single" w:sz="4" w:space="0" w:color="auto"/>
            </w:tcBorders>
            <w:noWrap/>
            <w:vAlign w:val="bottom"/>
          </w:tcPr>
          <w:p w14:paraId="6640F59E"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1275" w:type="dxa"/>
            <w:tcBorders>
              <w:top w:val="single" w:sz="4" w:space="0" w:color="auto"/>
              <w:left w:val="nil"/>
              <w:bottom w:val="single" w:sz="4" w:space="0" w:color="auto"/>
              <w:right w:val="single" w:sz="4" w:space="0" w:color="auto"/>
            </w:tcBorders>
            <w:noWrap/>
            <w:vAlign w:val="bottom"/>
          </w:tcPr>
          <w:p w14:paraId="651BA36F"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6F5CC083" w14:textId="77777777" w:rsidTr="00443B8F">
        <w:trPr>
          <w:trHeight w:val="255"/>
        </w:trPr>
        <w:tc>
          <w:tcPr>
            <w:tcW w:w="6252" w:type="dxa"/>
            <w:tcBorders>
              <w:top w:val="nil"/>
              <w:left w:val="single" w:sz="4" w:space="0" w:color="auto"/>
              <w:bottom w:val="single" w:sz="4" w:space="0" w:color="auto"/>
              <w:right w:val="single" w:sz="4" w:space="0" w:color="auto"/>
            </w:tcBorders>
            <w:noWrap/>
            <w:vAlign w:val="bottom"/>
          </w:tcPr>
          <w:p w14:paraId="4062B414" w14:textId="77777777" w:rsidR="006D3AD5" w:rsidRPr="0073014D" w:rsidRDefault="006D3AD5" w:rsidP="00443B8F">
            <w:pPr>
              <w:overflowPunct/>
              <w:autoSpaceDE/>
              <w:autoSpaceDN/>
              <w:adjustRightInd/>
              <w:jc w:val="left"/>
              <w:textAlignment w:val="auto"/>
              <w:rPr>
                <w:rFonts w:cs="Arial"/>
                <w:sz w:val="20"/>
              </w:rPr>
            </w:pPr>
            <w:r>
              <w:rPr>
                <w:sz w:val="20"/>
              </w:rPr>
              <w:t>Problem-free – we obtain resources relatively quickly and simply, dealings are usually effective and successful</w:t>
            </w:r>
          </w:p>
        </w:tc>
        <w:tc>
          <w:tcPr>
            <w:tcW w:w="1560" w:type="dxa"/>
            <w:tcBorders>
              <w:top w:val="nil"/>
              <w:left w:val="nil"/>
              <w:bottom w:val="single" w:sz="4" w:space="0" w:color="auto"/>
              <w:right w:val="single" w:sz="4" w:space="0" w:color="auto"/>
            </w:tcBorders>
            <w:noWrap/>
            <w:vAlign w:val="bottom"/>
          </w:tcPr>
          <w:p w14:paraId="25A34666" w14:textId="77777777" w:rsidR="006D3AD5" w:rsidRPr="0073014D" w:rsidRDefault="006D3AD5" w:rsidP="00443B8F">
            <w:pPr>
              <w:overflowPunct/>
              <w:autoSpaceDE/>
              <w:autoSpaceDN/>
              <w:adjustRightInd/>
              <w:jc w:val="right"/>
              <w:textAlignment w:val="auto"/>
              <w:rPr>
                <w:rFonts w:cs="Arial"/>
                <w:sz w:val="20"/>
              </w:rPr>
            </w:pPr>
            <w:r>
              <w:rPr>
                <w:sz w:val="20"/>
              </w:rPr>
              <w:t>120</w:t>
            </w:r>
          </w:p>
        </w:tc>
        <w:tc>
          <w:tcPr>
            <w:tcW w:w="1275" w:type="dxa"/>
            <w:tcBorders>
              <w:top w:val="nil"/>
              <w:left w:val="nil"/>
              <w:bottom w:val="single" w:sz="4" w:space="0" w:color="auto"/>
              <w:right w:val="single" w:sz="4" w:space="0" w:color="auto"/>
            </w:tcBorders>
            <w:noWrap/>
            <w:vAlign w:val="bottom"/>
          </w:tcPr>
          <w:p w14:paraId="03D07673" w14:textId="77777777" w:rsidR="006D3AD5" w:rsidRPr="0073014D" w:rsidRDefault="006D3AD5" w:rsidP="00443B8F">
            <w:pPr>
              <w:overflowPunct/>
              <w:autoSpaceDE/>
              <w:autoSpaceDN/>
              <w:adjustRightInd/>
              <w:jc w:val="right"/>
              <w:textAlignment w:val="auto"/>
              <w:rPr>
                <w:rFonts w:cs="Arial"/>
                <w:sz w:val="20"/>
              </w:rPr>
            </w:pPr>
            <w:r>
              <w:rPr>
                <w:sz w:val="20"/>
              </w:rPr>
              <w:t>48.2%</w:t>
            </w:r>
          </w:p>
        </w:tc>
      </w:tr>
      <w:tr w:rsidR="006D3AD5" w:rsidRPr="0073014D" w14:paraId="5B7E032F" w14:textId="77777777" w:rsidTr="00443B8F">
        <w:trPr>
          <w:trHeight w:val="255"/>
        </w:trPr>
        <w:tc>
          <w:tcPr>
            <w:tcW w:w="6252" w:type="dxa"/>
            <w:tcBorders>
              <w:top w:val="nil"/>
              <w:left w:val="single" w:sz="4" w:space="0" w:color="auto"/>
              <w:bottom w:val="single" w:sz="4" w:space="0" w:color="auto"/>
              <w:right w:val="single" w:sz="4" w:space="0" w:color="auto"/>
            </w:tcBorders>
            <w:noWrap/>
            <w:vAlign w:val="bottom"/>
          </w:tcPr>
          <w:p w14:paraId="54525E45" w14:textId="77777777" w:rsidR="006D3AD5" w:rsidRPr="0073014D" w:rsidRDefault="006D3AD5" w:rsidP="00443B8F">
            <w:pPr>
              <w:overflowPunct/>
              <w:autoSpaceDE/>
              <w:autoSpaceDN/>
              <w:adjustRightInd/>
              <w:jc w:val="left"/>
              <w:textAlignment w:val="auto"/>
              <w:rPr>
                <w:rFonts w:cs="Arial"/>
                <w:sz w:val="20"/>
              </w:rPr>
            </w:pPr>
            <w:r>
              <w:rPr>
                <w:sz w:val="20"/>
              </w:rPr>
              <w:t>With minor problems – we have enough information and funding entity can be found after several-round negotiation</w:t>
            </w:r>
          </w:p>
        </w:tc>
        <w:tc>
          <w:tcPr>
            <w:tcW w:w="1560" w:type="dxa"/>
            <w:tcBorders>
              <w:top w:val="nil"/>
              <w:left w:val="nil"/>
              <w:bottom w:val="single" w:sz="4" w:space="0" w:color="auto"/>
              <w:right w:val="single" w:sz="4" w:space="0" w:color="auto"/>
            </w:tcBorders>
            <w:noWrap/>
            <w:vAlign w:val="bottom"/>
          </w:tcPr>
          <w:p w14:paraId="76F7607E" w14:textId="77777777" w:rsidR="006D3AD5" w:rsidRPr="0073014D" w:rsidRDefault="006D3AD5" w:rsidP="00443B8F">
            <w:pPr>
              <w:overflowPunct/>
              <w:autoSpaceDE/>
              <w:autoSpaceDN/>
              <w:adjustRightInd/>
              <w:jc w:val="right"/>
              <w:textAlignment w:val="auto"/>
              <w:rPr>
                <w:rFonts w:cs="Arial"/>
                <w:sz w:val="20"/>
              </w:rPr>
            </w:pPr>
            <w:r>
              <w:rPr>
                <w:sz w:val="20"/>
              </w:rPr>
              <w:t>58</w:t>
            </w:r>
          </w:p>
        </w:tc>
        <w:tc>
          <w:tcPr>
            <w:tcW w:w="1275" w:type="dxa"/>
            <w:tcBorders>
              <w:top w:val="nil"/>
              <w:left w:val="nil"/>
              <w:bottom w:val="single" w:sz="4" w:space="0" w:color="auto"/>
              <w:right w:val="single" w:sz="4" w:space="0" w:color="auto"/>
            </w:tcBorders>
            <w:noWrap/>
            <w:vAlign w:val="bottom"/>
          </w:tcPr>
          <w:p w14:paraId="0B3DC367" w14:textId="77777777" w:rsidR="006D3AD5" w:rsidRPr="0073014D" w:rsidRDefault="006D3AD5" w:rsidP="00443B8F">
            <w:pPr>
              <w:overflowPunct/>
              <w:autoSpaceDE/>
              <w:autoSpaceDN/>
              <w:adjustRightInd/>
              <w:jc w:val="right"/>
              <w:textAlignment w:val="auto"/>
              <w:rPr>
                <w:rFonts w:cs="Arial"/>
                <w:sz w:val="20"/>
              </w:rPr>
            </w:pPr>
            <w:r>
              <w:rPr>
                <w:sz w:val="20"/>
              </w:rPr>
              <w:t>23.3%</w:t>
            </w:r>
          </w:p>
        </w:tc>
      </w:tr>
      <w:tr w:rsidR="006D3AD5" w:rsidRPr="0073014D" w14:paraId="5EC0C769" w14:textId="77777777" w:rsidTr="00443B8F">
        <w:trPr>
          <w:trHeight w:val="255"/>
        </w:trPr>
        <w:tc>
          <w:tcPr>
            <w:tcW w:w="6252" w:type="dxa"/>
            <w:tcBorders>
              <w:top w:val="nil"/>
              <w:left w:val="single" w:sz="4" w:space="0" w:color="auto"/>
              <w:bottom w:val="single" w:sz="4" w:space="0" w:color="auto"/>
              <w:right w:val="single" w:sz="4" w:space="0" w:color="auto"/>
            </w:tcBorders>
            <w:noWrap/>
            <w:vAlign w:val="bottom"/>
          </w:tcPr>
          <w:p w14:paraId="0C4D07D5" w14:textId="77777777" w:rsidR="006D3AD5" w:rsidRPr="0073014D" w:rsidRDefault="006D3AD5" w:rsidP="00443B8F">
            <w:pPr>
              <w:overflowPunct/>
              <w:autoSpaceDE/>
              <w:autoSpaceDN/>
              <w:adjustRightInd/>
              <w:jc w:val="left"/>
              <w:textAlignment w:val="auto"/>
              <w:rPr>
                <w:rFonts w:cs="Arial"/>
                <w:sz w:val="20"/>
              </w:rPr>
            </w:pPr>
            <w:r>
              <w:rPr>
                <w:sz w:val="20"/>
              </w:rPr>
              <w:t>Availability is only good -financial resources exist here, but it is difficult to obtain them</w:t>
            </w:r>
          </w:p>
        </w:tc>
        <w:tc>
          <w:tcPr>
            <w:tcW w:w="1560" w:type="dxa"/>
            <w:tcBorders>
              <w:top w:val="nil"/>
              <w:left w:val="nil"/>
              <w:bottom w:val="single" w:sz="4" w:space="0" w:color="auto"/>
              <w:right w:val="single" w:sz="4" w:space="0" w:color="auto"/>
            </w:tcBorders>
            <w:noWrap/>
            <w:vAlign w:val="bottom"/>
          </w:tcPr>
          <w:p w14:paraId="02321D1F" w14:textId="77777777" w:rsidR="006D3AD5" w:rsidRPr="0073014D" w:rsidRDefault="006D3AD5" w:rsidP="00443B8F">
            <w:pPr>
              <w:overflowPunct/>
              <w:autoSpaceDE/>
              <w:autoSpaceDN/>
              <w:adjustRightInd/>
              <w:jc w:val="right"/>
              <w:textAlignment w:val="auto"/>
              <w:rPr>
                <w:rFonts w:cs="Arial"/>
                <w:sz w:val="20"/>
              </w:rPr>
            </w:pPr>
            <w:r>
              <w:rPr>
                <w:sz w:val="20"/>
              </w:rPr>
              <w:t>42</w:t>
            </w:r>
          </w:p>
        </w:tc>
        <w:tc>
          <w:tcPr>
            <w:tcW w:w="1275" w:type="dxa"/>
            <w:tcBorders>
              <w:top w:val="nil"/>
              <w:left w:val="nil"/>
              <w:bottom w:val="single" w:sz="4" w:space="0" w:color="auto"/>
              <w:right w:val="single" w:sz="4" w:space="0" w:color="auto"/>
            </w:tcBorders>
            <w:noWrap/>
            <w:vAlign w:val="bottom"/>
          </w:tcPr>
          <w:p w14:paraId="5793DE37" w14:textId="77777777" w:rsidR="006D3AD5" w:rsidRPr="0073014D" w:rsidRDefault="006D3AD5" w:rsidP="00443B8F">
            <w:pPr>
              <w:overflowPunct/>
              <w:autoSpaceDE/>
              <w:autoSpaceDN/>
              <w:adjustRightInd/>
              <w:jc w:val="right"/>
              <w:textAlignment w:val="auto"/>
              <w:rPr>
                <w:rFonts w:cs="Arial"/>
                <w:sz w:val="20"/>
              </w:rPr>
            </w:pPr>
            <w:r>
              <w:rPr>
                <w:sz w:val="20"/>
              </w:rPr>
              <w:t>16.9%</w:t>
            </w:r>
          </w:p>
        </w:tc>
      </w:tr>
      <w:tr w:rsidR="006D3AD5" w:rsidRPr="0073014D" w14:paraId="203EA2A0" w14:textId="77777777" w:rsidTr="00443B8F">
        <w:trPr>
          <w:trHeight w:val="255"/>
        </w:trPr>
        <w:tc>
          <w:tcPr>
            <w:tcW w:w="6252" w:type="dxa"/>
            <w:tcBorders>
              <w:top w:val="nil"/>
              <w:left w:val="single" w:sz="4" w:space="0" w:color="auto"/>
              <w:bottom w:val="single" w:sz="4" w:space="0" w:color="auto"/>
              <w:right w:val="single" w:sz="4" w:space="0" w:color="auto"/>
            </w:tcBorders>
            <w:noWrap/>
            <w:vAlign w:val="bottom"/>
          </w:tcPr>
          <w:p w14:paraId="24AEF96A" w14:textId="77777777" w:rsidR="006D3AD5" w:rsidRPr="0073014D" w:rsidRDefault="006D3AD5" w:rsidP="00443B8F">
            <w:pPr>
              <w:overflowPunct/>
              <w:autoSpaceDE/>
              <w:autoSpaceDN/>
              <w:adjustRightInd/>
              <w:jc w:val="left"/>
              <w:textAlignment w:val="auto"/>
              <w:rPr>
                <w:rFonts w:cs="Arial"/>
                <w:sz w:val="20"/>
              </w:rPr>
            </w:pPr>
            <w:r>
              <w:rPr>
                <w:sz w:val="20"/>
              </w:rPr>
              <w:t>Availability is bad – there is information barrier, bank requirements for the assets value are high, etc.</w:t>
            </w:r>
          </w:p>
        </w:tc>
        <w:tc>
          <w:tcPr>
            <w:tcW w:w="1560" w:type="dxa"/>
            <w:tcBorders>
              <w:top w:val="nil"/>
              <w:left w:val="nil"/>
              <w:bottom w:val="single" w:sz="4" w:space="0" w:color="auto"/>
              <w:right w:val="single" w:sz="4" w:space="0" w:color="auto"/>
            </w:tcBorders>
            <w:noWrap/>
            <w:vAlign w:val="bottom"/>
          </w:tcPr>
          <w:p w14:paraId="67A30B0E" w14:textId="77777777" w:rsidR="006D3AD5" w:rsidRPr="0073014D" w:rsidRDefault="006D3AD5" w:rsidP="00443B8F">
            <w:pPr>
              <w:overflowPunct/>
              <w:autoSpaceDE/>
              <w:autoSpaceDN/>
              <w:adjustRightInd/>
              <w:jc w:val="right"/>
              <w:textAlignment w:val="auto"/>
              <w:rPr>
                <w:rFonts w:cs="Arial"/>
                <w:sz w:val="20"/>
              </w:rPr>
            </w:pPr>
            <w:r>
              <w:rPr>
                <w:sz w:val="20"/>
              </w:rPr>
              <w:t>29</w:t>
            </w:r>
          </w:p>
        </w:tc>
        <w:tc>
          <w:tcPr>
            <w:tcW w:w="1275" w:type="dxa"/>
            <w:tcBorders>
              <w:top w:val="nil"/>
              <w:left w:val="nil"/>
              <w:bottom w:val="single" w:sz="4" w:space="0" w:color="auto"/>
              <w:right w:val="single" w:sz="4" w:space="0" w:color="auto"/>
            </w:tcBorders>
            <w:noWrap/>
            <w:vAlign w:val="bottom"/>
          </w:tcPr>
          <w:p w14:paraId="74EC1716" w14:textId="77777777" w:rsidR="006D3AD5" w:rsidRPr="0073014D" w:rsidRDefault="006D3AD5" w:rsidP="00443B8F">
            <w:pPr>
              <w:overflowPunct/>
              <w:autoSpaceDE/>
              <w:autoSpaceDN/>
              <w:adjustRightInd/>
              <w:jc w:val="right"/>
              <w:textAlignment w:val="auto"/>
              <w:rPr>
                <w:rFonts w:cs="Arial"/>
                <w:sz w:val="20"/>
              </w:rPr>
            </w:pPr>
            <w:r>
              <w:rPr>
                <w:sz w:val="20"/>
              </w:rPr>
              <w:t>11.6%</w:t>
            </w:r>
          </w:p>
        </w:tc>
      </w:tr>
      <w:tr w:rsidR="006D3AD5" w:rsidRPr="0073014D" w14:paraId="4A453B6A" w14:textId="77777777" w:rsidTr="00443B8F">
        <w:trPr>
          <w:trHeight w:val="255"/>
        </w:trPr>
        <w:tc>
          <w:tcPr>
            <w:tcW w:w="6252" w:type="dxa"/>
            <w:tcBorders>
              <w:top w:val="nil"/>
              <w:left w:val="nil"/>
              <w:bottom w:val="nil"/>
              <w:right w:val="nil"/>
            </w:tcBorders>
            <w:noWrap/>
            <w:vAlign w:val="bottom"/>
          </w:tcPr>
          <w:p w14:paraId="1DF1A2E1"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1560" w:type="dxa"/>
            <w:tcBorders>
              <w:top w:val="nil"/>
              <w:left w:val="nil"/>
              <w:bottom w:val="nil"/>
              <w:right w:val="nil"/>
            </w:tcBorders>
            <w:noWrap/>
            <w:vAlign w:val="bottom"/>
          </w:tcPr>
          <w:p w14:paraId="5A02418B" w14:textId="77777777" w:rsidR="006D3AD5" w:rsidRPr="0073014D" w:rsidRDefault="006D3AD5" w:rsidP="00443B8F">
            <w:pPr>
              <w:overflowPunct/>
              <w:autoSpaceDE/>
              <w:autoSpaceDN/>
              <w:adjustRightInd/>
              <w:jc w:val="right"/>
              <w:textAlignment w:val="auto"/>
              <w:rPr>
                <w:rFonts w:cs="Arial"/>
                <w:sz w:val="20"/>
              </w:rPr>
            </w:pPr>
            <w:r>
              <w:rPr>
                <w:sz w:val="20"/>
              </w:rPr>
              <w:t>249</w:t>
            </w:r>
          </w:p>
        </w:tc>
        <w:tc>
          <w:tcPr>
            <w:tcW w:w="1275" w:type="dxa"/>
            <w:tcBorders>
              <w:top w:val="nil"/>
              <w:left w:val="nil"/>
              <w:bottom w:val="nil"/>
              <w:right w:val="nil"/>
            </w:tcBorders>
            <w:noWrap/>
            <w:vAlign w:val="bottom"/>
          </w:tcPr>
          <w:p w14:paraId="239946FE" w14:textId="77777777" w:rsidR="006D3AD5" w:rsidRPr="0073014D" w:rsidRDefault="006D3AD5" w:rsidP="00443B8F">
            <w:pPr>
              <w:overflowPunct/>
              <w:autoSpaceDE/>
              <w:autoSpaceDN/>
              <w:adjustRightInd/>
              <w:jc w:val="left"/>
              <w:textAlignment w:val="auto"/>
              <w:rPr>
                <w:rFonts w:cs="Arial"/>
                <w:sz w:val="20"/>
              </w:rPr>
            </w:pPr>
          </w:p>
        </w:tc>
      </w:tr>
    </w:tbl>
    <w:p w14:paraId="5D0533BD" w14:textId="77777777" w:rsidR="006D3AD5" w:rsidRPr="0073014D" w:rsidRDefault="006D3AD5" w:rsidP="006D3AD5"/>
    <w:p w14:paraId="2B9EB885" w14:textId="77777777" w:rsidR="006D3AD5" w:rsidRPr="0073014D" w:rsidRDefault="006D3AD5" w:rsidP="006D3AD5">
      <w:r>
        <w:t>In total, the respondents evaluated their access to funding as worse in 28.8% of the cases.</w:t>
      </w:r>
    </w:p>
    <w:p w14:paraId="03199E83" w14:textId="77777777" w:rsidR="006D3AD5" w:rsidRPr="0073014D" w:rsidRDefault="006D3AD5" w:rsidP="006D3AD5">
      <w:pPr>
        <w:pStyle w:val="Titulek"/>
        <w:keepNext/>
        <w:rPr>
          <w:color w:val="000000"/>
        </w:rPr>
      </w:pPr>
    </w:p>
    <w:p w14:paraId="08E2B30D" w14:textId="7D7D2D61" w:rsidR="006D3AD5" w:rsidRPr="00685AEF" w:rsidRDefault="006D3AD5" w:rsidP="00685AEF">
      <w:pPr>
        <w:pStyle w:val="Titulek"/>
      </w:pPr>
      <w:r w:rsidRPr="00685AEF">
        <w:t xml:space="preserve">Figure </w:t>
      </w:r>
      <w:r w:rsidR="00243196">
        <w:t>31</w:t>
      </w:r>
      <w:r w:rsidRPr="00685AEF">
        <w:t>: Funding availability of respondents in last three years</w:t>
      </w:r>
    </w:p>
    <w:p w14:paraId="7BFBBAAF" w14:textId="77777777" w:rsidR="006D3AD5" w:rsidRPr="0073014D" w:rsidRDefault="006D3AD5" w:rsidP="006D3AD5">
      <w:r>
        <w:rPr>
          <w:noProof/>
        </w:rPr>
        <w:lastRenderedPageBreak/>
        <w:drawing>
          <wp:inline distT="0" distB="0" distL="0" distR="0" wp14:anchorId="2E444028" wp14:editId="400D1072">
            <wp:extent cx="5876925" cy="3038475"/>
            <wp:effectExtent l="0" t="0" r="9525" b="9525"/>
            <wp:docPr id="117" name="Graf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35CEEB" w14:textId="77777777" w:rsidR="006D3AD5" w:rsidRPr="0073014D" w:rsidRDefault="006D3AD5" w:rsidP="006D3AD5"/>
    <w:p w14:paraId="424FC199" w14:textId="77777777" w:rsidR="006D3AD5" w:rsidRPr="0073014D" w:rsidRDefault="006D3AD5" w:rsidP="006D3AD5">
      <w:r>
        <w:t xml:space="preserve">Other details are again stated only on behalf of enterprises which stated that they have worse access to funding. </w:t>
      </w:r>
    </w:p>
    <w:p w14:paraId="08C2D537" w14:textId="4642ED15" w:rsidR="006D3AD5" w:rsidRPr="0073014D" w:rsidRDefault="006D3AD5" w:rsidP="003D68AA">
      <w:pPr>
        <w:pStyle w:val="Titulek"/>
      </w:pPr>
      <w:r>
        <w:t xml:space="preserve">Table </w:t>
      </w:r>
      <w:r w:rsidR="00696819">
        <w:t>76</w:t>
      </w:r>
      <w:r>
        <w:t>: Reasons of  worse access to funding</w:t>
      </w:r>
    </w:p>
    <w:tbl>
      <w:tblPr>
        <w:tblW w:w="4886" w:type="dxa"/>
        <w:tblInd w:w="55" w:type="dxa"/>
        <w:tblCellMar>
          <w:left w:w="70" w:type="dxa"/>
          <w:right w:w="70" w:type="dxa"/>
        </w:tblCellMar>
        <w:tblLook w:val="00A0" w:firstRow="1" w:lastRow="0" w:firstColumn="1" w:lastColumn="0" w:noHBand="0" w:noVBand="0"/>
      </w:tblPr>
      <w:tblGrid>
        <w:gridCol w:w="2966"/>
        <w:gridCol w:w="960"/>
        <w:gridCol w:w="960"/>
      </w:tblGrid>
      <w:tr w:rsidR="006D3AD5" w:rsidRPr="0073014D" w14:paraId="47D1A536" w14:textId="77777777" w:rsidTr="00443B8F">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14:paraId="357A662A" w14:textId="77777777" w:rsidR="006D3AD5" w:rsidRPr="0073014D" w:rsidRDefault="006D3AD5" w:rsidP="00443B8F">
            <w:pPr>
              <w:overflowPunct/>
              <w:autoSpaceDE/>
              <w:autoSpaceDN/>
              <w:adjustRightInd/>
              <w:jc w:val="left"/>
              <w:textAlignment w:val="auto"/>
              <w:rPr>
                <w:rFonts w:cs="Arial"/>
                <w:b/>
                <w:bCs/>
                <w:sz w:val="20"/>
              </w:rPr>
            </w:pPr>
            <w:r>
              <w:rPr>
                <w:b/>
                <w:sz w:val="20"/>
              </w:rPr>
              <w:t>Major reasons of worse access to funding</w:t>
            </w:r>
          </w:p>
        </w:tc>
        <w:tc>
          <w:tcPr>
            <w:tcW w:w="960" w:type="dxa"/>
            <w:tcBorders>
              <w:top w:val="single" w:sz="4" w:space="0" w:color="auto"/>
              <w:left w:val="nil"/>
              <w:bottom w:val="single" w:sz="4" w:space="0" w:color="auto"/>
              <w:right w:val="single" w:sz="4" w:space="0" w:color="auto"/>
            </w:tcBorders>
            <w:noWrap/>
            <w:vAlign w:val="bottom"/>
          </w:tcPr>
          <w:p w14:paraId="33AE222A"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960" w:type="dxa"/>
            <w:tcBorders>
              <w:top w:val="single" w:sz="4" w:space="0" w:color="auto"/>
              <w:left w:val="nil"/>
              <w:bottom w:val="single" w:sz="4" w:space="0" w:color="auto"/>
              <w:right w:val="single" w:sz="4" w:space="0" w:color="auto"/>
            </w:tcBorders>
            <w:noWrap/>
            <w:vAlign w:val="bottom"/>
          </w:tcPr>
          <w:p w14:paraId="3A6174FB"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1105B2C8"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50BBF543" w14:textId="77777777" w:rsidR="006D3AD5" w:rsidRPr="0073014D" w:rsidRDefault="006D3AD5" w:rsidP="00443B8F">
            <w:pPr>
              <w:overflowPunct/>
              <w:autoSpaceDE/>
              <w:autoSpaceDN/>
              <w:adjustRightInd/>
              <w:jc w:val="left"/>
              <w:textAlignment w:val="auto"/>
              <w:rPr>
                <w:rFonts w:cs="Arial"/>
                <w:sz w:val="20"/>
              </w:rPr>
            </w:pPr>
            <w:r>
              <w:rPr>
                <w:sz w:val="20"/>
              </w:rPr>
              <w:t>Long payback period of project</w:t>
            </w:r>
          </w:p>
        </w:tc>
        <w:tc>
          <w:tcPr>
            <w:tcW w:w="960" w:type="dxa"/>
            <w:tcBorders>
              <w:top w:val="nil"/>
              <w:left w:val="nil"/>
              <w:bottom w:val="single" w:sz="4" w:space="0" w:color="auto"/>
              <w:right w:val="single" w:sz="4" w:space="0" w:color="auto"/>
            </w:tcBorders>
            <w:noWrap/>
            <w:vAlign w:val="bottom"/>
          </w:tcPr>
          <w:p w14:paraId="55BCF3B7" w14:textId="77777777" w:rsidR="006D3AD5" w:rsidRPr="0073014D" w:rsidRDefault="006D3AD5" w:rsidP="00443B8F">
            <w:pPr>
              <w:overflowPunct/>
              <w:autoSpaceDE/>
              <w:autoSpaceDN/>
              <w:adjustRightInd/>
              <w:jc w:val="right"/>
              <w:textAlignment w:val="auto"/>
              <w:rPr>
                <w:rFonts w:cs="Arial"/>
                <w:sz w:val="20"/>
              </w:rPr>
            </w:pPr>
            <w:r>
              <w:rPr>
                <w:sz w:val="20"/>
              </w:rPr>
              <w:t>17</w:t>
            </w:r>
          </w:p>
        </w:tc>
        <w:tc>
          <w:tcPr>
            <w:tcW w:w="960" w:type="dxa"/>
            <w:tcBorders>
              <w:top w:val="nil"/>
              <w:left w:val="nil"/>
              <w:bottom w:val="single" w:sz="4" w:space="0" w:color="auto"/>
              <w:right w:val="single" w:sz="4" w:space="0" w:color="auto"/>
            </w:tcBorders>
            <w:noWrap/>
            <w:vAlign w:val="bottom"/>
          </w:tcPr>
          <w:p w14:paraId="4CDE8E4B" w14:textId="77777777" w:rsidR="006D3AD5" w:rsidRPr="0073014D" w:rsidRDefault="006D3AD5" w:rsidP="00443B8F">
            <w:pPr>
              <w:overflowPunct/>
              <w:autoSpaceDE/>
              <w:autoSpaceDN/>
              <w:adjustRightInd/>
              <w:jc w:val="right"/>
              <w:textAlignment w:val="auto"/>
              <w:rPr>
                <w:rFonts w:cs="Arial"/>
                <w:sz w:val="20"/>
              </w:rPr>
            </w:pPr>
            <w:r>
              <w:rPr>
                <w:sz w:val="20"/>
              </w:rPr>
              <w:t>23.9%</w:t>
            </w:r>
          </w:p>
        </w:tc>
      </w:tr>
      <w:tr w:rsidR="006D3AD5" w:rsidRPr="0073014D" w14:paraId="041A67B5"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22A86CD6" w14:textId="77777777" w:rsidR="006D3AD5" w:rsidRPr="0073014D" w:rsidRDefault="006D3AD5" w:rsidP="00443B8F">
            <w:pPr>
              <w:overflowPunct/>
              <w:autoSpaceDE/>
              <w:autoSpaceDN/>
              <w:adjustRightInd/>
              <w:jc w:val="left"/>
              <w:textAlignment w:val="auto"/>
              <w:rPr>
                <w:rFonts w:cs="Arial"/>
                <w:sz w:val="20"/>
              </w:rPr>
            </w:pPr>
            <w:r>
              <w:rPr>
                <w:sz w:val="20"/>
              </w:rPr>
              <w:t>Short-term business history</w:t>
            </w:r>
          </w:p>
        </w:tc>
        <w:tc>
          <w:tcPr>
            <w:tcW w:w="960" w:type="dxa"/>
            <w:tcBorders>
              <w:top w:val="nil"/>
              <w:left w:val="nil"/>
              <w:bottom w:val="single" w:sz="4" w:space="0" w:color="auto"/>
              <w:right w:val="single" w:sz="4" w:space="0" w:color="auto"/>
            </w:tcBorders>
            <w:noWrap/>
            <w:vAlign w:val="bottom"/>
          </w:tcPr>
          <w:p w14:paraId="326420D7" w14:textId="77777777" w:rsidR="006D3AD5" w:rsidRPr="0073014D" w:rsidRDefault="006D3AD5" w:rsidP="00443B8F">
            <w:pPr>
              <w:overflowPunct/>
              <w:autoSpaceDE/>
              <w:autoSpaceDN/>
              <w:adjustRightInd/>
              <w:jc w:val="right"/>
              <w:textAlignment w:val="auto"/>
              <w:rPr>
                <w:rFonts w:cs="Arial"/>
                <w:sz w:val="20"/>
              </w:rPr>
            </w:pPr>
            <w:r>
              <w:rPr>
                <w:sz w:val="20"/>
              </w:rPr>
              <w:t>20</w:t>
            </w:r>
          </w:p>
        </w:tc>
        <w:tc>
          <w:tcPr>
            <w:tcW w:w="960" w:type="dxa"/>
            <w:tcBorders>
              <w:top w:val="nil"/>
              <w:left w:val="nil"/>
              <w:bottom w:val="single" w:sz="4" w:space="0" w:color="auto"/>
              <w:right w:val="single" w:sz="4" w:space="0" w:color="auto"/>
            </w:tcBorders>
            <w:noWrap/>
            <w:vAlign w:val="bottom"/>
          </w:tcPr>
          <w:p w14:paraId="464C9C71" w14:textId="77777777" w:rsidR="006D3AD5" w:rsidRPr="0073014D" w:rsidRDefault="006D3AD5" w:rsidP="00443B8F">
            <w:pPr>
              <w:overflowPunct/>
              <w:autoSpaceDE/>
              <w:autoSpaceDN/>
              <w:adjustRightInd/>
              <w:jc w:val="right"/>
              <w:textAlignment w:val="auto"/>
              <w:rPr>
                <w:rFonts w:cs="Arial"/>
                <w:sz w:val="20"/>
              </w:rPr>
            </w:pPr>
            <w:r>
              <w:rPr>
                <w:sz w:val="20"/>
              </w:rPr>
              <w:t>28.2%</w:t>
            </w:r>
          </w:p>
        </w:tc>
      </w:tr>
      <w:tr w:rsidR="006D3AD5" w:rsidRPr="0073014D" w14:paraId="7EE167E4"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04093744" w14:textId="77777777" w:rsidR="006D3AD5" w:rsidRPr="0073014D" w:rsidRDefault="006D3AD5" w:rsidP="00443B8F">
            <w:pPr>
              <w:overflowPunct/>
              <w:autoSpaceDE/>
              <w:autoSpaceDN/>
              <w:adjustRightInd/>
              <w:jc w:val="left"/>
              <w:textAlignment w:val="auto"/>
              <w:rPr>
                <w:rFonts w:cs="Arial"/>
                <w:sz w:val="20"/>
              </w:rPr>
            </w:pPr>
            <w:r>
              <w:rPr>
                <w:sz w:val="20"/>
              </w:rPr>
              <w:t>Options of security</w:t>
            </w:r>
          </w:p>
        </w:tc>
        <w:tc>
          <w:tcPr>
            <w:tcW w:w="960" w:type="dxa"/>
            <w:tcBorders>
              <w:top w:val="nil"/>
              <w:left w:val="nil"/>
              <w:bottom w:val="single" w:sz="4" w:space="0" w:color="auto"/>
              <w:right w:val="single" w:sz="4" w:space="0" w:color="auto"/>
            </w:tcBorders>
            <w:noWrap/>
            <w:vAlign w:val="bottom"/>
          </w:tcPr>
          <w:p w14:paraId="7099DB21" w14:textId="77777777" w:rsidR="006D3AD5" w:rsidRPr="0073014D" w:rsidRDefault="006D3AD5" w:rsidP="00443B8F">
            <w:pPr>
              <w:overflowPunct/>
              <w:autoSpaceDE/>
              <w:autoSpaceDN/>
              <w:adjustRightInd/>
              <w:jc w:val="right"/>
              <w:textAlignment w:val="auto"/>
              <w:rPr>
                <w:rFonts w:cs="Arial"/>
                <w:sz w:val="20"/>
              </w:rPr>
            </w:pPr>
            <w:r>
              <w:rPr>
                <w:sz w:val="20"/>
              </w:rPr>
              <w:t>23</w:t>
            </w:r>
          </w:p>
        </w:tc>
        <w:tc>
          <w:tcPr>
            <w:tcW w:w="960" w:type="dxa"/>
            <w:tcBorders>
              <w:top w:val="nil"/>
              <w:left w:val="nil"/>
              <w:bottom w:val="single" w:sz="4" w:space="0" w:color="auto"/>
              <w:right w:val="single" w:sz="4" w:space="0" w:color="auto"/>
            </w:tcBorders>
            <w:noWrap/>
            <w:vAlign w:val="bottom"/>
          </w:tcPr>
          <w:p w14:paraId="5978805D" w14:textId="77777777" w:rsidR="006D3AD5" w:rsidRPr="0073014D" w:rsidRDefault="006D3AD5" w:rsidP="00443B8F">
            <w:pPr>
              <w:overflowPunct/>
              <w:autoSpaceDE/>
              <w:autoSpaceDN/>
              <w:adjustRightInd/>
              <w:jc w:val="right"/>
              <w:textAlignment w:val="auto"/>
              <w:rPr>
                <w:rFonts w:cs="Arial"/>
                <w:sz w:val="20"/>
              </w:rPr>
            </w:pPr>
            <w:r>
              <w:rPr>
                <w:sz w:val="20"/>
              </w:rPr>
              <w:t>32.4%</w:t>
            </w:r>
          </w:p>
        </w:tc>
      </w:tr>
      <w:tr w:rsidR="006D3AD5" w:rsidRPr="0073014D" w14:paraId="31417F2E"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285B9C8D" w14:textId="77777777" w:rsidR="006D3AD5" w:rsidRPr="0073014D" w:rsidRDefault="006D3AD5" w:rsidP="00443B8F">
            <w:pPr>
              <w:overflowPunct/>
              <w:autoSpaceDE/>
              <w:autoSpaceDN/>
              <w:adjustRightInd/>
              <w:jc w:val="left"/>
              <w:textAlignment w:val="auto"/>
              <w:rPr>
                <w:rFonts w:cs="Arial"/>
                <w:sz w:val="20"/>
              </w:rPr>
            </w:pPr>
            <w:r>
              <w:rPr>
                <w:sz w:val="20"/>
              </w:rPr>
              <w:t>Financial expenses</w:t>
            </w:r>
          </w:p>
        </w:tc>
        <w:tc>
          <w:tcPr>
            <w:tcW w:w="960" w:type="dxa"/>
            <w:tcBorders>
              <w:top w:val="nil"/>
              <w:left w:val="nil"/>
              <w:bottom w:val="single" w:sz="4" w:space="0" w:color="auto"/>
              <w:right w:val="single" w:sz="4" w:space="0" w:color="auto"/>
            </w:tcBorders>
            <w:noWrap/>
            <w:vAlign w:val="bottom"/>
          </w:tcPr>
          <w:p w14:paraId="5D91977A" w14:textId="77777777" w:rsidR="006D3AD5" w:rsidRPr="0073014D" w:rsidRDefault="006D3AD5" w:rsidP="00443B8F">
            <w:pPr>
              <w:overflowPunct/>
              <w:autoSpaceDE/>
              <w:autoSpaceDN/>
              <w:adjustRightInd/>
              <w:jc w:val="right"/>
              <w:textAlignment w:val="auto"/>
              <w:rPr>
                <w:rFonts w:cs="Arial"/>
                <w:sz w:val="20"/>
              </w:rPr>
            </w:pPr>
            <w:r>
              <w:rPr>
                <w:sz w:val="20"/>
              </w:rPr>
              <w:t>26</w:t>
            </w:r>
          </w:p>
        </w:tc>
        <w:tc>
          <w:tcPr>
            <w:tcW w:w="960" w:type="dxa"/>
            <w:tcBorders>
              <w:top w:val="nil"/>
              <w:left w:val="nil"/>
              <w:bottom w:val="single" w:sz="4" w:space="0" w:color="auto"/>
              <w:right w:val="single" w:sz="4" w:space="0" w:color="auto"/>
            </w:tcBorders>
            <w:noWrap/>
            <w:vAlign w:val="bottom"/>
          </w:tcPr>
          <w:p w14:paraId="356CFD63" w14:textId="77777777" w:rsidR="006D3AD5" w:rsidRPr="0073014D" w:rsidRDefault="006D3AD5" w:rsidP="00443B8F">
            <w:pPr>
              <w:overflowPunct/>
              <w:autoSpaceDE/>
              <w:autoSpaceDN/>
              <w:adjustRightInd/>
              <w:jc w:val="right"/>
              <w:textAlignment w:val="auto"/>
              <w:rPr>
                <w:rFonts w:cs="Arial"/>
                <w:sz w:val="20"/>
              </w:rPr>
            </w:pPr>
            <w:r>
              <w:rPr>
                <w:sz w:val="20"/>
              </w:rPr>
              <w:t>36.6%</w:t>
            </w:r>
          </w:p>
        </w:tc>
      </w:tr>
      <w:tr w:rsidR="006D3AD5" w:rsidRPr="0073014D" w14:paraId="313D38AF"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38B8D4BD" w14:textId="77777777" w:rsidR="006D3AD5" w:rsidRPr="0073014D" w:rsidRDefault="006D3AD5" w:rsidP="00443B8F">
            <w:pPr>
              <w:overflowPunct/>
              <w:autoSpaceDE/>
              <w:autoSpaceDN/>
              <w:adjustRightInd/>
              <w:jc w:val="left"/>
              <w:textAlignment w:val="auto"/>
              <w:rPr>
                <w:rFonts w:cs="Arial"/>
                <w:sz w:val="20"/>
              </w:rPr>
            </w:pPr>
            <w:r>
              <w:rPr>
                <w:sz w:val="20"/>
              </w:rPr>
              <w:t>Economic potential of project</w:t>
            </w:r>
          </w:p>
        </w:tc>
        <w:tc>
          <w:tcPr>
            <w:tcW w:w="960" w:type="dxa"/>
            <w:tcBorders>
              <w:top w:val="nil"/>
              <w:left w:val="nil"/>
              <w:bottom w:val="single" w:sz="4" w:space="0" w:color="auto"/>
              <w:right w:val="single" w:sz="4" w:space="0" w:color="auto"/>
            </w:tcBorders>
            <w:noWrap/>
            <w:vAlign w:val="bottom"/>
          </w:tcPr>
          <w:p w14:paraId="25C62603" w14:textId="77777777" w:rsidR="006D3AD5" w:rsidRPr="0073014D" w:rsidRDefault="006D3AD5" w:rsidP="00443B8F">
            <w:pPr>
              <w:overflowPunct/>
              <w:autoSpaceDE/>
              <w:autoSpaceDN/>
              <w:adjustRightInd/>
              <w:jc w:val="right"/>
              <w:textAlignment w:val="auto"/>
              <w:rPr>
                <w:rFonts w:cs="Arial"/>
                <w:sz w:val="20"/>
              </w:rPr>
            </w:pPr>
            <w:r>
              <w:rPr>
                <w:sz w:val="20"/>
              </w:rPr>
              <w:t>12</w:t>
            </w:r>
          </w:p>
        </w:tc>
        <w:tc>
          <w:tcPr>
            <w:tcW w:w="960" w:type="dxa"/>
            <w:tcBorders>
              <w:top w:val="nil"/>
              <w:left w:val="nil"/>
              <w:bottom w:val="single" w:sz="4" w:space="0" w:color="auto"/>
              <w:right w:val="single" w:sz="4" w:space="0" w:color="auto"/>
            </w:tcBorders>
            <w:noWrap/>
            <w:vAlign w:val="bottom"/>
          </w:tcPr>
          <w:p w14:paraId="3DAD0247" w14:textId="77777777" w:rsidR="006D3AD5" w:rsidRPr="0073014D" w:rsidRDefault="006D3AD5" w:rsidP="00443B8F">
            <w:pPr>
              <w:overflowPunct/>
              <w:autoSpaceDE/>
              <w:autoSpaceDN/>
              <w:adjustRightInd/>
              <w:jc w:val="right"/>
              <w:textAlignment w:val="auto"/>
              <w:rPr>
                <w:rFonts w:cs="Arial"/>
                <w:sz w:val="20"/>
              </w:rPr>
            </w:pPr>
            <w:r>
              <w:rPr>
                <w:sz w:val="20"/>
              </w:rPr>
              <w:t>16.9%</w:t>
            </w:r>
          </w:p>
        </w:tc>
      </w:tr>
      <w:tr w:rsidR="006D3AD5" w:rsidRPr="0073014D" w14:paraId="46BCAF1F" w14:textId="77777777" w:rsidTr="00443B8F">
        <w:trPr>
          <w:trHeight w:val="255"/>
        </w:trPr>
        <w:tc>
          <w:tcPr>
            <w:tcW w:w="2966" w:type="dxa"/>
            <w:tcBorders>
              <w:top w:val="nil"/>
              <w:left w:val="single" w:sz="4" w:space="0" w:color="auto"/>
              <w:bottom w:val="single" w:sz="4" w:space="0" w:color="auto"/>
              <w:right w:val="single" w:sz="4" w:space="0" w:color="auto"/>
            </w:tcBorders>
            <w:noWrap/>
            <w:vAlign w:val="bottom"/>
          </w:tcPr>
          <w:p w14:paraId="14B451B7" w14:textId="77777777" w:rsidR="006D3AD5" w:rsidRPr="0073014D" w:rsidRDefault="006D3AD5" w:rsidP="00443B8F">
            <w:pPr>
              <w:overflowPunct/>
              <w:autoSpaceDE/>
              <w:autoSpaceDN/>
              <w:adjustRightInd/>
              <w:jc w:val="left"/>
              <w:textAlignment w:val="auto"/>
              <w:rPr>
                <w:rFonts w:cs="Arial"/>
                <w:sz w:val="20"/>
              </w:rPr>
            </w:pPr>
            <w:r>
              <w:rPr>
                <w:sz w:val="20"/>
              </w:rPr>
              <w:t>Current high indebtedness</w:t>
            </w:r>
          </w:p>
        </w:tc>
        <w:tc>
          <w:tcPr>
            <w:tcW w:w="960" w:type="dxa"/>
            <w:tcBorders>
              <w:top w:val="nil"/>
              <w:left w:val="nil"/>
              <w:bottom w:val="single" w:sz="4" w:space="0" w:color="auto"/>
              <w:right w:val="single" w:sz="4" w:space="0" w:color="auto"/>
            </w:tcBorders>
            <w:noWrap/>
            <w:vAlign w:val="bottom"/>
          </w:tcPr>
          <w:p w14:paraId="64AF9F89" w14:textId="77777777" w:rsidR="006D3AD5" w:rsidRPr="0073014D" w:rsidRDefault="006D3AD5" w:rsidP="00443B8F">
            <w:pPr>
              <w:overflowPunct/>
              <w:autoSpaceDE/>
              <w:autoSpaceDN/>
              <w:adjustRightInd/>
              <w:jc w:val="right"/>
              <w:textAlignment w:val="auto"/>
              <w:rPr>
                <w:rFonts w:cs="Arial"/>
                <w:sz w:val="20"/>
              </w:rPr>
            </w:pPr>
            <w:r>
              <w:rPr>
                <w:sz w:val="20"/>
              </w:rPr>
              <w:t>6</w:t>
            </w:r>
          </w:p>
        </w:tc>
        <w:tc>
          <w:tcPr>
            <w:tcW w:w="960" w:type="dxa"/>
            <w:tcBorders>
              <w:top w:val="nil"/>
              <w:left w:val="nil"/>
              <w:bottom w:val="single" w:sz="4" w:space="0" w:color="auto"/>
              <w:right w:val="single" w:sz="4" w:space="0" w:color="auto"/>
            </w:tcBorders>
            <w:noWrap/>
            <w:vAlign w:val="bottom"/>
          </w:tcPr>
          <w:p w14:paraId="4088449A" w14:textId="77777777" w:rsidR="006D3AD5" w:rsidRPr="0073014D" w:rsidRDefault="006D3AD5" w:rsidP="00443B8F">
            <w:pPr>
              <w:overflowPunct/>
              <w:autoSpaceDE/>
              <w:autoSpaceDN/>
              <w:adjustRightInd/>
              <w:jc w:val="right"/>
              <w:textAlignment w:val="auto"/>
              <w:rPr>
                <w:rFonts w:cs="Arial"/>
                <w:sz w:val="20"/>
              </w:rPr>
            </w:pPr>
            <w:r>
              <w:rPr>
                <w:sz w:val="20"/>
              </w:rPr>
              <w:t>8.5%</w:t>
            </w:r>
          </w:p>
        </w:tc>
      </w:tr>
      <w:tr w:rsidR="006D3AD5" w:rsidRPr="0073014D" w14:paraId="56E202A0" w14:textId="77777777" w:rsidTr="00443B8F">
        <w:trPr>
          <w:trHeight w:val="255"/>
        </w:trPr>
        <w:tc>
          <w:tcPr>
            <w:tcW w:w="2966" w:type="dxa"/>
            <w:tcBorders>
              <w:top w:val="nil"/>
              <w:left w:val="nil"/>
              <w:bottom w:val="nil"/>
              <w:right w:val="nil"/>
            </w:tcBorders>
            <w:noWrap/>
            <w:vAlign w:val="bottom"/>
          </w:tcPr>
          <w:p w14:paraId="4F9716AC"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0" w:type="dxa"/>
            <w:tcBorders>
              <w:top w:val="nil"/>
              <w:left w:val="nil"/>
              <w:bottom w:val="nil"/>
              <w:right w:val="nil"/>
            </w:tcBorders>
            <w:noWrap/>
            <w:vAlign w:val="bottom"/>
          </w:tcPr>
          <w:p w14:paraId="724D993A" w14:textId="77777777" w:rsidR="006D3AD5" w:rsidRPr="0073014D" w:rsidRDefault="006D3AD5" w:rsidP="00443B8F">
            <w:pPr>
              <w:overflowPunct/>
              <w:autoSpaceDE/>
              <w:autoSpaceDN/>
              <w:adjustRightInd/>
              <w:jc w:val="right"/>
              <w:textAlignment w:val="auto"/>
              <w:rPr>
                <w:rFonts w:cs="Arial"/>
                <w:sz w:val="20"/>
              </w:rPr>
            </w:pPr>
            <w:r>
              <w:rPr>
                <w:sz w:val="20"/>
              </w:rPr>
              <w:t>71</w:t>
            </w:r>
          </w:p>
        </w:tc>
        <w:tc>
          <w:tcPr>
            <w:tcW w:w="960" w:type="dxa"/>
            <w:tcBorders>
              <w:top w:val="nil"/>
              <w:left w:val="nil"/>
              <w:bottom w:val="nil"/>
              <w:right w:val="nil"/>
            </w:tcBorders>
            <w:noWrap/>
            <w:vAlign w:val="bottom"/>
          </w:tcPr>
          <w:p w14:paraId="25FC309F" w14:textId="77777777" w:rsidR="006D3AD5" w:rsidRPr="0073014D" w:rsidRDefault="006D3AD5" w:rsidP="00443B8F">
            <w:pPr>
              <w:overflowPunct/>
              <w:autoSpaceDE/>
              <w:autoSpaceDN/>
              <w:adjustRightInd/>
              <w:jc w:val="left"/>
              <w:textAlignment w:val="auto"/>
              <w:rPr>
                <w:rFonts w:cs="Arial"/>
                <w:sz w:val="20"/>
              </w:rPr>
            </w:pPr>
          </w:p>
        </w:tc>
      </w:tr>
    </w:tbl>
    <w:p w14:paraId="378B9D2D" w14:textId="77777777" w:rsidR="006D3AD5" w:rsidRPr="0073014D" w:rsidRDefault="006D3AD5" w:rsidP="006D3AD5"/>
    <w:p w14:paraId="02199427" w14:textId="77777777" w:rsidR="006D3AD5" w:rsidRPr="0073014D" w:rsidRDefault="006D3AD5" w:rsidP="006D3AD5">
      <w:r>
        <w:t xml:space="preserve">Major reasons of worsen access to funding of commercial assets included, above all, financial costs, options of security but also the payback period and the length of own history. However, they do not see these problems so dramatically as in some other specific objectives. </w:t>
      </w:r>
    </w:p>
    <w:p w14:paraId="2A55569D" w14:textId="108E0870" w:rsidR="006D3AD5" w:rsidRPr="0073014D" w:rsidRDefault="006D3AD5" w:rsidP="003D68AA">
      <w:pPr>
        <w:pStyle w:val="Titulek"/>
      </w:pPr>
      <w:r>
        <w:t xml:space="preserve">Table </w:t>
      </w:r>
      <w:r w:rsidR="00696819">
        <w:t>77</w:t>
      </w:r>
      <w:r>
        <w:t>: Economically viable projects with worsened access to funding</w:t>
      </w:r>
    </w:p>
    <w:tbl>
      <w:tblPr>
        <w:tblW w:w="7316" w:type="dxa"/>
        <w:tblInd w:w="55" w:type="dxa"/>
        <w:tblCellMar>
          <w:left w:w="70" w:type="dxa"/>
          <w:right w:w="70" w:type="dxa"/>
        </w:tblCellMar>
        <w:tblLook w:val="00A0" w:firstRow="1" w:lastRow="0" w:firstColumn="1" w:lastColumn="0" w:noHBand="0" w:noVBand="0"/>
      </w:tblPr>
      <w:tblGrid>
        <w:gridCol w:w="2934"/>
        <w:gridCol w:w="3422"/>
        <w:gridCol w:w="960"/>
      </w:tblGrid>
      <w:tr w:rsidR="006D3AD5" w:rsidRPr="0073014D" w14:paraId="673B4CFA"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26E89297" w14:textId="77777777" w:rsidR="006D3AD5" w:rsidRPr="0073014D" w:rsidRDefault="006D3AD5" w:rsidP="00443B8F">
            <w:pPr>
              <w:overflowPunct/>
              <w:autoSpaceDE/>
              <w:autoSpaceDN/>
              <w:adjustRightInd/>
              <w:jc w:val="left"/>
              <w:textAlignment w:val="auto"/>
              <w:rPr>
                <w:rFonts w:cs="Arial"/>
                <w:b/>
                <w:bCs/>
                <w:sz w:val="20"/>
              </w:rPr>
            </w:pPr>
            <w:r>
              <w:rPr>
                <w:b/>
                <w:sz w:val="20"/>
              </w:rPr>
              <w:t>Potentially economically viable projects with worsened access to funding</w:t>
            </w:r>
          </w:p>
        </w:tc>
        <w:tc>
          <w:tcPr>
            <w:tcW w:w="960" w:type="dxa"/>
            <w:tcBorders>
              <w:top w:val="single" w:sz="4" w:space="0" w:color="auto"/>
              <w:left w:val="nil"/>
              <w:bottom w:val="single" w:sz="4" w:space="0" w:color="auto"/>
              <w:right w:val="single" w:sz="4" w:space="0" w:color="auto"/>
            </w:tcBorders>
            <w:noWrap/>
            <w:vAlign w:val="bottom"/>
          </w:tcPr>
          <w:p w14:paraId="434C7542" w14:textId="77777777" w:rsidR="006D3AD5" w:rsidRPr="0073014D" w:rsidRDefault="006D3AD5" w:rsidP="00443B8F">
            <w:pPr>
              <w:overflowPunct/>
              <w:autoSpaceDE/>
              <w:autoSpaceDN/>
              <w:adjustRightInd/>
              <w:jc w:val="left"/>
              <w:textAlignment w:val="auto"/>
              <w:rPr>
                <w:rFonts w:cs="Arial"/>
                <w:sz w:val="20"/>
              </w:rPr>
            </w:pPr>
            <w:r>
              <w:rPr>
                <w:sz w:val="20"/>
              </w:rPr>
              <w:t> </w:t>
            </w:r>
          </w:p>
        </w:tc>
      </w:tr>
      <w:tr w:rsidR="006D3AD5" w:rsidRPr="0073014D" w14:paraId="2502F402"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6904F127" w14:textId="77777777" w:rsidR="006D3AD5" w:rsidRPr="0073014D" w:rsidRDefault="006D3AD5" w:rsidP="00443B8F">
            <w:pPr>
              <w:overflowPunct/>
              <w:autoSpaceDE/>
              <w:autoSpaceDN/>
              <w:adjustRightInd/>
              <w:jc w:val="left"/>
              <w:textAlignment w:val="auto"/>
              <w:rPr>
                <w:rFonts w:cs="Arial"/>
                <w:sz w:val="20"/>
              </w:rPr>
            </w:pPr>
            <w:r>
              <w:rPr>
                <w:sz w:val="20"/>
              </w:rPr>
              <w:t>Share in enterprises planning investments to energy efficiency in next three years</w:t>
            </w:r>
          </w:p>
        </w:tc>
        <w:tc>
          <w:tcPr>
            <w:tcW w:w="960" w:type="dxa"/>
            <w:tcBorders>
              <w:top w:val="nil"/>
              <w:left w:val="nil"/>
              <w:bottom w:val="single" w:sz="4" w:space="0" w:color="auto"/>
              <w:right w:val="single" w:sz="4" w:space="0" w:color="auto"/>
            </w:tcBorders>
            <w:noWrap/>
            <w:vAlign w:val="bottom"/>
          </w:tcPr>
          <w:p w14:paraId="7DA4594E" w14:textId="77777777" w:rsidR="006D3AD5" w:rsidRPr="0073014D" w:rsidRDefault="006D3AD5" w:rsidP="00443B8F">
            <w:pPr>
              <w:overflowPunct/>
              <w:autoSpaceDE/>
              <w:autoSpaceDN/>
              <w:adjustRightInd/>
              <w:jc w:val="right"/>
              <w:textAlignment w:val="auto"/>
              <w:rPr>
                <w:rFonts w:cs="Arial"/>
                <w:sz w:val="20"/>
              </w:rPr>
            </w:pPr>
            <w:r>
              <w:rPr>
                <w:sz w:val="20"/>
              </w:rPr>
              <w:t>19.7%</w:t>
            </w:r>
          </w:p>
        </w:tc>
      </w:tr>
      <w:tr w:rsidR="006D3AD5" w:rsidRPr="0073014D" w14:paraId="5ED341BD" w14:textId="77777777" w:rsidTr="00443B8F">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14:paraId="7D57AF23" w14:textId="77777777" w:rsidR="006D3AD5" w:rsidRPr="0073014D" w:rsidRDefault="006D3AD5" w:rsidP="00443B8F">
            <w:pPr>
              <w:overflowPunct/>
              <w:autoSpaceDE/>
              <w:autoSpaceDN/>
              <w:adjustRightInd/>
              <w:jc w:val="left"/>
              <w:textAlignment w:val="auto"/>
              <w:rPr>
                <w:rFonts w:cs="Arial"/>
                <w:sz w:val="20"/>
              </w:rPr>
            </w:pPr>
            <w:r>
              <w:rPr>
                <w:sz w:val="20"/>
              </w:rPr>
              <w:t>Share in projects with worsened access to funding</w:t>
            </w:r>
          </w:p>
        </w:tc>
        <w:tc>
          <w:tcPr>
            <w:tcW w:w="960" w:type="dxa"/>
            <w:tcBorders>
              <w:top w:val="nil"/>
              <w:left w:val="nil"/>
              <w:bottom w:val="single" w:sz="4" w:space="0" w:color="auto"/>
              <w:right w:val="single" w:sz="4" w:space="0" w:color="auto"/>
            </w:tcBorders>
            <w:noWrap/>
            <w:vAlign w:val="bottom"/>
          </w:tcPr>
          <w:p w14:paraId="27E6DDAF" w14:textId="77777777" w:rsidR="006D3AD5" w:rsidRPr="0073014D" w:rsidRDefault="006D3AD5" w:rsidP="00443B8F">
            <w:pPr>
              <w:overflowPunct/>
              <w:autoSpaceDE/>
              <w:autoSpaceDN/>
              <w:adjustRightInd/>
              <w:jc w:val="right"/>
              <w:textAlignment w:val="auto"/>
              <w:rPr>
                <w:rFonts w:cs="Arial"/>
                <w:sz w:val="20"/>
              </w:rPr>
            </w:pPr>
            <w:r>
              <w:rPr>
                <w:sz w:val="20"/>
              </w:rPr>
              <w:t>74.6%</w:t>
            </w:r>
          </w:p>
        </w:tc>
      </w:tr>
      <w:tr w:rsidR="006D3AD5" w:rsidRPr="0073014D" w14:paraId="0FA5E7E1" w14:textId="77777777" w:rsidTr="00443B8F">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14:paraId="698DCE38" w14:textId="77777777" w:rsidR="006D3AD5" w:rsidRPr="0073014D" w:rsidRDefault="006D3AD5" w:rsidP="00443B8F">
            <w:pPr>
              <w:overflowPunct/>
              <w:autoSpaceDE/>
              <w:autoSpaceDN/>
              <w:adjustRightInd/>
              <w:jc w:val="center"/>
              <w:textAlignment w:val="auto"/>
              <w:rPr>
                <w:rFonts w:cs="Arial"/>
                <w:sz w:val="20"/>
              </w:rPr>
            </w:pPr>
            <w:r>
              <w:rPr>
                <w:sz w:val="20"/>
              </w:rPr>
              <w:t>Major identifiable barriers</w:t>
            </w:r>
          </w:p>
        </w:tc>
        <w:tc>
          <w:tcPr>
            <w:tcW w:w="3422" w:type="dxa"/>
            <w:tcBorders>
              <w:top w:val="nil"/>
              <w:left w:val="nil"/>
              <w:bottom w:val="single" w:sz="4" w:space="0" w:color="auto"/>
              <w:right w:val="single" w:sz="4" w:space="0" w:color="auto"/>
            </w:tcBorders>
            <w:noWrap/>
            <w:vAlign w:val="bottom"/>
          </w:tcPr>
          <w:p w14:paraId="002D1D07" w14:textId="77777777" w:rsidR="006D3AD5" w:rsidRPr="0073014D" w:rsidRDefault="006D3AD5" w:rsidP="00443B8F">
            <w:pPr>
              <w:overflowPunct/>
              <w:autoSpaceDE/>
              <w:autoSpaceDN/>
              <w:adjustRightInd/>
              <w:jc w:val="left"/>
              <w:textAlignment w:val="auto"/>
              <w:rPr>
                <w:rFonts w:cs="Arial"/>
                <w:sz w:val="20"/>
              </w:rPr>
            </w:pPr>
            <w:r>
              <w:rPr>
                <w:sz w:val="20"/>
              </w:rPr>
              <w:t>Long payback period of project</w:t>
            </w:r>
          </w:p>
        </w:tc>
        <w:tc>
          <w:tcPr>
            <w:tcW w:w="960" w:type="dxa"/>
            <w:tcBorders>
              <w:top w:val="nil"/>
              <w:left w:val="nil"/>
              <w:bottom w:val="single" w:sz="4" w:space="0" w:color="auto"/>
              <w:right w:val="single" w:sz="4" w:space="0" w:color="auto"/>
            </w:tcBorders>
            <w:noWrap/>
            <w:vAlign w:val="bottom"/>
          </w:tcPr>
          <w:p w14:paraId="5DBF517C" w14:textId="77777777" w:rsidR="006D3AD5" w:rsidRPr="0073014D" w:rsidRDefault="006D3AD5" w:rsidP="00443B8F">
            <w:pPr>
              <w:overflowPunct/>
              <w:autoSpaceDE/>
              <w:autoSpaceDN/>
              <w:adjustRightInd/>
              <w:jc w:val="right"/>
              <w:textAlignment w:val="auto"/>
              <w:rPr>
                <w:rFonts w:cs="Arial"/>
                <w:sz w:val="20"/>
              </w:rPr>
            </w:pPr>
            <w:r>
              <w:rPr>
                <w:sz w:val="20"/>
              </w:rPr>
              <w:t>54.7%</w:t>
            </w:r>
          </w:p>
        </w:tc>
      </w:tr>
      <w:tr w:rsidR="006D3AD5" w:rsidRPr="0073014D" w14:paraId="75D7E9FD"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6ABD5ED4" w14:textId="77777777" w:rsidR="006D3AD5" w:rsidRPr="0073014D"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7DEBDEC7" w14:textId="77777777" w:rsidR="006D3AD5" w:rsidRPr="0073014D" w:rsidRDefault="006D3AD5" w:rsidP="00443B8F">
            <w:pPr>
              <w:overflowPunct/>
              <w:autoSpaceDE/>
              <w:autoSpaceDN/>
              <w:adjustRightInd/>
              <w:jc w:val="left"/>
              <w:textAlignment w:val="auto"/>
              <w:rPr>
                <w:rFonts w:cs="Arial"/>
                <w:sz w:val="20"/>
              </w:rPr>
            </w:pPr>
            <w:r>
              <w:rPr>
                <w:sz w:val="20"/>
              </w:rPr>
              <w:t>Short-term business history</w:t>
            </w:r>
          </w:p>
        </w:tc>
        <w:tc>
          <w:tcPr>
            <w:tcW w:w="960" w:type="dxa"/>
            <w:tcBorders>
              <w:top w:val="nil"/>
              <w:left w:val="nil"/>
              <w:bottom w:val="single" w:sz="4" w:space="0" w:color="auto"/>
              <w:right w:val="single" w:sz="4" w:space="0" w:color="auto"/>
            </w:tcBorders>
            <w:noWrap/>
            <w:vAlign w:val="bottom"/>
          </w:tcPr>
          <w:p w14:paraId="5CCE6A7B" w14:textId="77777777" w:rsidR="006D3AD5" w:rsidRPr="0073014D" w:rsidRDefault="006D3AD5" w:rsidP="00443B8F">
            <w:pPr>
              <w:overflowPunct/>
              <w:autoSpaceDE/>
              <w:autoSpaceDN/>
              <w:adjustRightInd/>
              <w:jc w:val="right"/>
              <w:textAlignment w:val="auto"/>
              <w:rPr>
                <w:rFonts w:cs="Arial"/>
                <w:sz w:val="20"/>
              </w:rPr>
            </w:pPr>
            <w:r>
              <w:rPr>
                <w:sz w:val="20"/>
              </w:rPr>
              <w:t>54.7%</w:t>
            </w:r>
          </w:p>
        </w:tc>
      </w:tr>
      <w:tr w:rsidR="006D3AD5" w:rsidRPr="0073014D" w14:paraId="082D9ABB"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77389208" w14:textId="77777777" w:rsidR="006D3AD5" w:rsidRPr="0073014D"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50473850" w14:textId="77777777" w:rsidR="006D3AD5" w:rsidRPr="0073014D" w:rsidRDefault="006D3AD5" w:rsidP="00443B8F">
            <w:pPr>
              <w:overflowPunct/>
              <w:autoSpaceDE/>
              <w:autoSpaceDN/>
              <w:adjustRightInd/>
              <w:jc w:val="left"/>
              <w:textAlignment w:val="auto"/>
              <w:rPr>
                <w:rFonts w:cs="Arial"/>
                <w:sz w:val="20"/>
              </w:rPr>
            </w:pPr>
            <w:r>
              <w:rPr>
                <w:sz w:val="20"/>
              </w:rPr>
              <w:t>Options of security</w:t>
            </w:r>
          </w:p>
        </w:tc>
        <w:tc>
          <w:tcPr>
            <w:tcW w:w="960" w:type="dxa"/>
            <w:tcBorders>
              <w:top w:val="nil"/>
              <w:left w:val="nil"/>
              <w:bottom w:val="single" w:sz="4" w:space="0" w:color="auto"/>
              <w:right w:val="single" w:sz="4" w:space="0" w:color="auto"/>
            </w:tcBorders>
            <w:noWrap/>
            <w:vAlign w:val="bottom"/>
          </w:tcPr>
          <w:p w14:paraId="57483532" w14:textId="77777777" w:rsidR="006D3AD5" w:rsidRPr="0073014D" w:rsidRDefault="006D3AD5" w:rsidP="00443B8F">
            <w:pPr>
              <w:overflowPunct/>
              <w:autoSpaceDE/>
              <w:autoSpaceDN/>
              <w:adjustRightInd/>
              <w:jc w:val="right"/>
              <w:textAlignment w:val="auto"/>
              <w:rPr>
                <w:rFonts w:cs="Arial"/>
                <w:sz w:val="20"/>
              </w:rPr>
            </w:pPr>
            <w:r>
              <w:rPr>
                <w:sz w:val="20"/>
              </w:rPr>
              <w:t>73.6%</w:t>
            </w:r>
          </w:p>
        </w:tc>
      </w:tr>
      <w:tr w:rsidR="006D3AD5" w:rsidRPr="0073014D" w14:paraId="7730F900" w14:textId="77777777" w:rsidTr="00443B8F">
        <w:trPr>
          <w:trHeight w:val="255"/>
        </w:trPr>
        <w:tc>
          <w:tcPr>
            <w:tcW w:w="2934" w:type="dxa"/>
            <w:vMerge/>
            <w:tcBorders>
              <w:top w:val="nil"/>
              <w:left w:val="single" w:sz="4" w:space="0" w:color="auto"/>
              <w:bottom w:val="single" w:sz="4" w:space="0" w:color="auto"/>
              <w:right w:val="single" w:sz="4" w:space="0" w:color="auto"/>
            </w:tcBorders>
            <w:vAlign w:val="center"/>
          </w:tcPr>
          <w:p w14:paraId="5895AA0F" w14:textId="77777777" w:rsidR="006D3AD5" w:rsidRPr="0073014D" w:rsidRDefault="006D3AD5" w:rsidP="00443B8F">
            <w:pPr>
              <w:overflowPunct/>
              <w:autoSpaceDE/>
              <w:autoSpaceDN/>
              <w:adjustRightInd/>
              <w:jc w:val="left"/>
              <w:textAlignment w:val="auto"/>
              <w:rPr>
                <w:rFonts w:cs="Arial"/>
                <w:sz w:val="20"/>
              </w:rPr>
            </w:pPr>
          </w:p>
        </w:tc>
        <w:tc>
          <w:tcPr>
            <w:tcW w:w="3422" w:type="dxa"/>
            <w:tcBorders>
              <w:top w:val="nil"/>
              <w:left w:val="nil"/>
              <w:bottom w:val="single" w:sz="4" w:space="0" w:color="auto"/>
              <w:right w:val="single" w:sz="4" w:space="0" w:color="auto"/>
            </w:tcBorders>
            <w:noWrap/>
            <w:vAlign w:val="bottom"/>
          </w:tcPr>
          <w:p w14:paraId="00A9EF26" w14:textId="77777777" w:rsidR="006D3AD5" w:rsidRPr="0073014D" w:rsidRDefault="006D3AD5" w:rsidP="00443B8F">
            <w:pPr>
              <w:overflowPunct/>
              <w:autoSpaceDE/>
              <w:autoSpaceDN/>
              <w:adjustRightInd/>
              <w:jc w:val="left"/>
              <w:textAlignment w:val="auto"/>
              <w:rPr>
                <w:rFonts w:cs="Arial"/>
                <w:sz w:val="20"/>
              </w:rPr>
            </w:pPr>
            <w:r>
              <w:rPr>
                <w:sz w:val="20"/>
              </w:rPr>
              <w:t>Financial expenses</w:t>
            </w:r>
          </w:p>
        </w:tc>
        <w:tc>
          <w:tcPr>
            <w:tcW w:w="960" w:type="dxa"/>
            <w:tcBorders>
              <w:top w:val="nil"/>
              <w:left w:val="nil"/>
              <w:bottom w:val="single" w:sz="4" w:space="0" w:color="auto"/>
              <w:right w:val="single" w:sz="4" w:space="0" w:color="auto"/>
            </w:tcBorders>
            <w:noWrap/>
            <w:vAlign w:val="bottom"/>
          </w:tcPr>
          <w:p w14:paraId="12483549" w14:textId="77777777" w:rsidR="006D3AD5" w:rsidRPr="0073014D" w:rsidRDefault="006D3AD5" w:rsidP="00443B8F">
            <w:pPr>
              <w:overflowPunct/>
              <w:autoSpaceDE/>
              <w:autoSpaceDN/>
              <w:adjustRightInd/>
              <w:jc w:val="right"/>
              <w:textAlignment w:val="auto"/>
              <w:rPr>
                <w:rFonts w:cs="Arial"/>
                <w:sz w:val="20"/>
              </w:rPr>
            </w:pPr>
            <w:r>
              <w:rPr>
                <w:sz w:val="20"/>
              </w:rPr>
              <w:t>64.2%</w:t>
            </w:r>
          </w:p>
        </w:tc>
      </w:tr>
      <w:tr w:rsidR="006D3AD5" w:rsidRPr="0073014D" w14:paraId="6C2E315D" w14:textId="77777777" w:rsidTr="00443B8F">
        <w:trPr>
          <w:trHeight w:val="255"/>
        </w:trPr>
        <w:tc>
          <w:tcPr>
            <w:tcW w:w="2934" w:type="dxa"/>
            <w:tcBorders>
              <w:top w:val="nil"/>
              <w:left w:val="nil"/>
              <w:bottom w:val="nil"/>
              <w:right w:val="nil"/>
            </w:tcBorders>
            <w:noWrap/>
            <w:vAlign w:val="bottom"/>
          </w:tcPr>
          <w:p w14:paraId="2CCD6548"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3422" w:type="dxa"/>
            <w:tcBorders>
              <w:top w:val="nil"/>
              <w:left w:val="nil"/>
              <w:bottom w:val="nil"/>
              <w:right w:val="nil"/>
            </w:tcBorders>
            <w:noWrap/>
            <w:vAlign w:val="bottom"/>
          </w:tcPr>
          <w:p w14:paraId="5EB34928" w14:textId="77777777" w:rsidR="006D3AD5" w:rsidRPr="0073014D" w:rsidRDefault="006D3AD5" w:rsidP="00443B8F">
            <w:pPr>
              <w:overflowPunct/>
              <w:autoSpaceDE/>
              <w:autoSpaceDN/>
              <w:adjustRightInd/>
              <w:jc w:val="left"/>
              <w:textAlignment w:val="auto"/>
              <w:rPr>
                <w:rFonts w:cs="Arial"/>
                <w:sz w:val="20"/>
              </w:rPr>
            </w:pPr>
            <w:r>
              <w:rPr>
                <w:sz w:val="20"/>
              </w:rPr>
              <w:t>64</w:t>
            </w:r>
          </w:p>
        </w:tc>
        <w:tc>
          <w:tcPr>
            <w:tcW w:w="960" w:type="dxa"/>
            <w:tcBorders>
              <w:top w:val="nil"/>
              <w:left w:val="nil"/>
              <w:bottom w:val="nil"/>
              <w:right w:val="nil"/>
            </w:tcBorders>
            <w:noWrap/>
            <w:vAlign w:val="bottom"/>
          </w:tcPr>
          <w:p w14:paraId="1F0A60BF" w14:textId="77777777" w:rsidR="006D3AD5" w:rsidRPr="0073014D" w:rsidRDefault="006D3AD5" w:rsidP="00443B8F">
            <w:pPr>
              <w:overflowPunct/>
              <w:autoSpaceDE/>
              <w:autoSpaceDN/>
              <w:adjustRightInd/>
              <w:jc w:val="left"/>
              <w:textAlignment w:val="auto"/>
              <w:rPr>
                <w:rFonts w:cs="Arial"/>
                <w:sz w:val="20"/>
              </w:rPr>
            </w:pPr>
          </w:p>
        </w:tc>
      </w:tr>
    </w:tbl>
    <w:p w14:paraId="43289C8B" w14:textId="77777777" w:rsidR="006D3AD5" w:rsidRPr="0073014D" w:rsidRDefault="006D3AD5" w:rsidP="006D3AD5">
      <w:pPr>
        <w:rPr>
          <w:b/>
        </w:rPr>
      </w:pPr>
    </w:p>
    <w:p w14:paraId="080A5FBC" w14:textId="77777777" w:rsidR="006D3AD5" w:rsidRPr="0073014D" w:rsidRDefault="006D3AD5" w:rsidP="006D3AD5">
      <w:r>
        <w:rPr>
          <w:b/>
        </w:rPr>
        <w:t>A total share of the potentially viable companies with worsened access to funding in the number of respondents amounted to 19.7%.</w:t>
      </w:r>
      <w:r>
        <w:t xml:space="preserve"> More then 73% of them stated that their major problem includes limited options of security followed by financial costs. This sub-optimum investment situation can be solved through the financial instrument providing soft loans or also the guarantee financial instrument, in each case combined with the subsidy of the interest rate or repayable assistance (recoverable support converted to irrecoverable in case of the completion of the project goals).</w:t>
      </w:r>
    </w:p>
    <w:p w14:paraId="11075D9B" w14:textId="77777777" w:rsidR="006D3AD5" w:rsidRPr="0073014D" w:rsidRDefault="006D3AD5" w:rsidP="006D3AD5"/>
    <w:p w14:paraId="629EC086" w14:textId="33E660F1" w:rsidR="006D3AD5" w:rsidRPr="0073014D" w:rsidRDefault="006D3AD5" w:rsidP="00685AEF">
      <w:pPr>
        <w:pStyle w:val="Titulek"/>
      </w:pPr>
      <w:r>
        <w:t xml:space="preserve">Figure </w:t>
      </w:r>
      <w:r w:rsidR="00243196">
        <w:t>32</w:t>
      </w:r>
      <w:r>
        <w:t>: Economically viable projects with worsened access to funding and specification of major reasons of worsen access (more responses could be entered)</w:t>
      </w:r>
    </w:p>
    <w:p w14:paraId="7F4CBDE0" w14:textId="77777777" w:rsidR="006D3AD5" w:rsidRPr="0073014D" w:rsidRDefault="006D3AD5" w:rsidP="006D3AD5">
      <w:pPr>
        <w:rPr>
          <w:sz w:val="24"/>
        </w:rPr>
      </w:pPr>
      <w:r>
        <w:rPr>
          <w:noProof/>
        </w:rPr>
        <w:drawing>
          <wp:inline distT="0" distB="0" distL="0" distR="0" wp14:anchorId="31EB5C6E" wp14:editId="30C8C988">
            <wp:extent cx="5572125" cy="3067050"/>
            <wp:effectExtent l="0" t="0" r="9525" b="0"/>
            <wp:docPr id="116" name="Graf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1D3B7A" w14:textId="77777777" w:rsidR="006D3AD5" w:rsidRPr="0073014D" w:rsidRDefault="006D3AD5" w:rsidP="006D3AD5">
      <w:pPr>
        <w:rPr>
          <w:sz w:val="24"/>
        </w:rPr>
      </w:pPr>
    </w:p>
    <w:p w14:paraId="027F8FF7" w14:textId="77777777" w:rsidR="006D3AD5" w:rsidRDefault="006D3AD5" w:rsidP="006D3AD5">
      <w:r>
        <w:t>These conclusions also correlate with the respondents' responses regarding the preferred form of support – the companies most often stated obtaining  a more advantageous interest rate, payment of interests for the commercial loan, securing guarantee and increase in credit financing. The enterprises would also welcome a reduction of administrative barriers at obtaining loans. The most important element is a reduction of interest costs, which can be achieved through the provision of subsidy of interest rate and  the soft loan with a lower interest rate.</w:t>
      </w:r>
    </w:p>
    <w:p w14:paraId="548C6398" w14:textId="77777777" w:rsidR="00696819" w:rsidRPr="0073014D" w:rsidRDefault="00696819" w:rsidP="006D3AD5"/>
    <w:p w14:paraId="72C2A5A2" w14:textId="2821D67E" w:rsidR="006D3AD5" w:rsidRPr="0073014D" w:rsidRDefault="006D3AD5" w:rsidP="003D68AA">
      <w:pPr>
        <w:pStyle w:val="Titulek"/>
      </w:pPr>
      <w:r>
        <w:t xml:space="preserve">Table </w:t>
      </w:r>
      <w:r w:rsidR="00696819">
        <w:t>78</w:t>
      </w:r>
      <w:r>
        <w:t>: Preferred forms of support</w:t>
      </w:r>
    </w:p>
    <w:tbl>
      <w:tblPr>
        <w:tblW w:w="9969" w:type="dxa"/>
        <w:tblInd w:w="55" w:type="dxa"/>
        <w:tblCellMar>
          <w:left w:w="70" w:type="dxa"/>
          <w:right w:w="70" w:type="dxa"/>
        </w:tblCellMar>
        <w:tblLook w:val="00A0" w:firstRow="1" w:lastRow="0" w:firstColumn="1" w:lastColumn="0" w:noHBand="0" w:noVBand="0"/>
      </w:tblPr>
      <w:tblGrid>
        <w:gridCol w:w="8298"/>
        <w:gridCol w:w="963"/>
        <w:gridCol w:w="708"/>
      </w:tblGrid>
      <w:tr w:rsidR="006D3AD5" w:rsidRPr="0073014D" w14:paraId="26FA41E5" w14:textId="77777777" w:rsidTr="00443B8F">
        <w:trPr>
          <w:trHeight w:val="255"/>
        </w:trPr>
        <w:tc>
          <w:tcPr>
            <w:tcW w:w="8298" w:type="dxa"/>
            <w:tcBorders>
              <w:top w:val="single" w:sz="4" w:space="0" w:color="auto"/>
              <w:left w:val="single" w:sz="4" w:space="0" w:color="auto"/>
              <w:bottom w:val="single" w:sz="4" w:space="0" w:color="auto"/>
              <w:right w:val="single" w:sz="4" w:space="0" w:color="auto"/>
            </w:tcBorders>
            <w:noWrap/>
            <w:vAlign w:val="bottom"/>
          </w:tcPr>
          <w:p w14:paraId="30592CD1" w14:textId="77777777" w:rsidR="006D3AD5" w:rsidRPr="0073014D" w:rsidRDefault="006D3AD5" w:rsidP="00443B8F">
            <w:pPr>
              <w:overflowPunct/>
              <w:autoSpaceDE/>
              <w:autoSpaceDN/>
              <w:adjustRightInd/>
              <w:jc w:val="left"/>
              <w:textAlignment w:val="auto"/>
              <w:rPr>
                <w:rFonts w:cs="Arial"/>
                <w:b/>
                <w:bCs/>
                <w:sz w:val="20"/>
              </w:rPr>
            </w:pPr>
            <w:r>
              <w:rPr>
                <w:b/>
                <w:sz w:val="20"/>
              </w:rPr>
              <w:t>Preferred forms of support</w:t>
            </w:r>
          </w:p>
        </w:tc>
        <w:tc>
          <w:tcPr>
            <w:tcW w:w="963" w:type="dxa"/>
            <w:tcBorders>
              <w:top w:val="single" w:sz="4" w:space="0" w:color="auto"/>
              <w:left w:val="nil"/>
              <w:bottom w:val="single" w:sz="4" w:space="0" w:color="auto"/>
              <w:right w:val="single" w:sz="4" w:space="0" w:color="auto"/>
            </w:tcBorders>
            <w:noWrap/>
            <w:vAlign w:val="bottom"/>
          </w:tcPr>
          <w:p w14:paraId="68192D28" w14:textId="77777777" w:rsidR="006D3AD5" w:rsidRPr="0073014D" w:rsidRDefault="006D3AD5" w:rsidP="00443B8F">
            <w:pPr>
              <w:overflowPunct/>
              <w:autoSpaceDE/>
              <w:autoSpaceDN/>
              <w:adjustRightInd/>
              <w:jc w:val="left"/>
              <w:textAlignment w:val="auto"/>
              <w:rPr>
                <w:rFonts w:cs="Arial"/>
                <w:sz w:val="20"/>
              </w:rPr>
            </w:pPr>
            <w:r>
              <w:rPr>
                <w:sz w:val="20"/>
              </w:rPr>
              <w:t>Number of responses</w:t>
            </w:r>
          </w:p>
        </w:tc>
        <w:tc>
          <w:tcPr>
            <w:tcW w:w="708" w:type="dxa"/>
            <w:tcBorders>
              <w:top w:val="single" w:sz="4" w:space="0" w:color="auto"/>
              <w:left w:val="nil"/>
              <w:bottom w:val="single" w:sz="4" w:space="0" w:color="auto"/>
              <w:right w:val="single" w:sz="4" w:space="0" w:color="auto"/>
            </w:tcBorders>
            <w:noWrap/>
            <w:vAlign w:val="bottom"/>
          </w:tcPr>
          <w:p w14:paraId="28E65291" w14:textId="77777777" w:rsidR="006D3AD5" w:rsidRPr="0073014D" w:rsidRDefault="006D3AD5" w:rsidP="00443B8F">
            <w:pPr>
              <w:overflowPunct/>
              <w:autoSpaceDE/>
              <w:autoSpaceDN/>
              <w:adjustRightInd/>
              <w:jc w:val="left"/>
              <w:textAlignment w:val="auto"/>
              <w:rPr>
                <w:rFonts w:cs="Arial"/>
                <w:sz w:val="20"/>
              </w:rPr>
            </w:pPr>
            <w:r>
              <w:rPr>
                <w:sz w:val="20"/>
              </w:rPr>
              <w:t>Share</w:t>
            </w:r>
          </w:p>
        </w:tc>
      </w:tr>
      <w:tr w:rsidR="006D3AD5" w:rsidRPr="0073014D" w14:paraId="3D413582"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69BEB106" w14:textId="77777777" w:rsidR="006D3AD5" w:rsidRPr="0073014D" w:rsidRDefault="006D3AD5" w:rsidP="00443B8F">
            <w:pPr>
              <w:overflowPunct/>
              <w:autoSpaceDE/>
              <w:autoSpaceDN/>
              <w:adjustRightInd/>
              <w:jc w:val="left"/>
              <w:textAlignment w:val="auto"/>
              <w:rPr>
                <w:rFonts w:cs="Arial"/>
                <w:sz w:val="20"/>
              </w:rPr>
            </w:pPr>
            <w:r>
              <w:rPr>
                <w:sz w:val="20"/>
              </w:rPr>
              <w:t>Ensuring guarantee for loan</w:t>
            </w:r>
          </w:p>
        </w:tc>
        <w:tc>
          <w:tcPr>
            <w:tcW w:w="963" w:type="dxa"/>
            <w:tcBorders>
              <w:top w:val="nil"/>
              <w:left w:val="nil"/>
              <w:bottom w:val="single" w:sz="4" w:space="0" w:color="auto"/>
              <w:right w:val="single" w:sz="4" w:space="0" w:color="auto"/>
            </w:tcBorders>
            <w:noWrap/>
            <w:vAlign w:val="bottom"/>
          </w:tcPr>
          <w:p w14:paraId="539A3448" w14:textId="77777777" w:rsidR="006D3AD5" w:rsidRPr="0073014D" w:rsidRDefault="006D3AD5" w:rsidP="00443B8F">
            <w:pPr>
              <w:overflowPunct/>
              <w:autoSpaceDE/>
              <w:autoSpaceDN/>
              <w:adjustRightInd/>
              <w:jc w:val="right"/>
              <w:textAlignment w:val="auto"/>
              <w:rPr>
                <w:rFonts w:cs="Arial"/>
                <w:sz w:val="20"/>
              </w:rPr>
            </w:pPr>
            <w:r>
              <w:rPr>
                <w:sz w:val="20"/>
              </w:rPr>
              <w:t>25</w:t>
            </w:r>
          </w:p>
        </w:tc>
        <w:tc>
          <w:tcPr>
            <w:tcW w:w="708" w:type="dxa"/>
            <w:tcBorders>
              <w:top w:val="nil"/>
              <w:left w:val="nil"/>
              <w:bottom w:val="single" w:sz="4" w:space="0" w:color="auto"/>
              <w:right w:val="single" w:sz="4" w:space="0" w:color="auto"/>
            </w:tcBorders>
            <w:noWrap/>
            <w:vAlign w:val="bottom"/>
          </w:tcPr>
          <w:p w14:paraId="5DD486B8" w14:textId="77777777" w:rsidR="006D3AD5" w:rsidRPr="0073014D" w:rsidRDefault="006D3AD5" w:rsidP="00443B8F">
            <w:pPr>
              <w:overflowPunct/>
              <w:autoSpaceDE/>
              <w:autoSpaceDN/>
              <w:adjustRightInd/>
              <w:jc w:val="right"/>
              <w:textAlignment w:val="auto"/>
              <w:rPr>
                <w:rFonts w:cs="Arial"/>
                <w:sz w:val="20"/>
              </w:rPr>
            </w:pPr>
            <w:r>
              <w:rPr>
                <w:sz w:val="20"/>
              </w:rPr>
              <w:t>39.1%</w:t>
            </w:r>
          </w:p>
        </w:tc>
      </w:tr>
      <w:tr w:rsidR="006D3AD5" w:rsidRPr="0073014D" w14:paraId="2E84AEAC"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09AE8EF3" w14:textId="77777777" w:rsidR="006D3AD5" w:rsidRPr="0073014D" w:rsidRDefault="006D3AD5" w:rsidP="00443B8F">
            <w:pPr>
              <w:overflowPunct/>
              <w:autoSpaceDE/>
              <w:autoSpaceDN/>
              <w:adjustRightInd/>
              <w:jc w:val="left"/>
              <w:textAlignment w:val="auto"/>
              <w:rPr>
                <w:rFonts w:cs="Arial"/>
                <w:sz w:val="20"/>
              </w:rPr>
            </w:pPr>
            <w:r>
              <w:rPr>
                <w:sz w:val="20"/>
              </w:rPr>
              <w:t>Increase in credit financing for project</w:t>
            </w:r>
          </w:p>
        </w:tc>
        <w:tc>
          <w:tcPr>
            <w:tcW w:w="963" w:type="dxa"/>
            <w:tcBorders>
              <w:top w:val="nil"/>
              <w:left w:val="nil"/>
              <w:bottom w:val="single" w:sz="4" w:space="0" w:color="auto"/>
              <w:right w:val="single" w:sz="4" w:space="0" w:color="auto"/>
            </w:tcBorders>
            <w:noWrap/>
            <w:vAlign w:val="bottom"/>
          </w:tcPr>
          <w:p w14:paraId="08AEC823" w14:textId="77777777" w:rsidR="006D3AD5" w:rsidRPr="0073014D" w:rsidRDefault="006D3AD5" w:rsidP="00443B8F">
            <w:pPr>
              <w:overflowPunct/>
              <w:autoSpaceDE/>
              <w:autoSpaceDN/>
              <w:adjustRightInd/>
              <w:jc w:val="right"/>
              <w:textAlignment w:val="auto"/>
              <w:rPr>
                <w:rFonts w:cs="Arial"/>
                <w:sz w:val="20"/>
              </w:rPr>
            </w:pPr>
            <w:r>
              <w:rPr>
                <w:sz w:val="20"/>
              </w:rPr>
              <w:t>17</w:t>
            </w:r>
          </w:p>
        </w:tc>
        <w:tc>
          <w:tcPr>
            <w:tcW w:w="708" w:type="dxa"/>
            <w:tcBorders>
              <w:top w:val="nil"/>
              <w:left w:val="nil"/>
              <w:bottom w:val="single" w:sz="4" w:space="0" w:color="auto"/>
              <w:right w:val="single" w:sz="4" w:space="0" w:color="auto"/>
            </w:tcBorders>
            <w:noWrap/>
            <w:vAlign w:val="bottom"/>
          </w:tcPr>
          <w:p w14:paraId="3440A19C" w14:textId="77777777" w:rsidR="006D3AD5" w:rsidRPr="0073014D" w:rsidRDefault="006D3AD5" w:rsidP="00443B8F">
            <w:pPr>
              <w:overflowPunct/>
              <w:autoSpaceDE/>
              <w:autoSpaceDN/>
              <w:adjustRightInd/>
              <w:jc w:val="right"/>
              <w:textAlignment w:val="auto"/>
              <w:rPr>
                <w:rFonts w:cs="Arial"/>
                <w:sz w:val="20"/>
              </w:rPr>
            </w:pPr>
            <w:r>
              <w:rPr>
                <w:sz w:val="20"/>
              </w:rPr>
              <w:t>26.6%</w:t>
            </w:r>
          </w:p>
        </w:tc>
      </w:tr>
      <w:tr w:rsidR="006D3AD5" w:rsidRPr="0073014D" w14:paraId="6C409041"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332DBD86" w14:textId="77777777" w:rsidR="006D3AD5" w:rsidRPr="0073014D" w:rsidRDefault="006D3AD5" w:rsidP="00443B8F">
            <w:pPr>
              <w:overflowPunct/>
              <w:autoSpaceDE/>
              <w:autoSpaceDN/>
              <w:adjustRightInd/>
              <w:jc w:val="left"/>
              <w:textAlignment w:val="auto"/>
              <w:rPr>
                <w:rFonts w:cs="Arial"/>
                <w:sz w:val="20"/>
              </w:rPr>
            </w:pPr>
            <w:r>
              <w:rPr>
                <w:sz w:val="20"/>
              </w:rPr>
              <w:t>Reimbursement of interests for a commercial loan</w:t>
            </w:r>
          </w:p>
        </w:tc>
        <w:tc>
          <w:tcPr>
            <w:tcW w:w="963" w:type="dxa"/>
            <w:tcBorders>
              <w:top w:val="nil"/>
              <w:left w:val="nil"/>
              <w:bottom w:val="single" w:sz="4" w:space="0" w:color="auto"/>
              <w:right w:val="single" w:sz="4" w:space="0" w:color="auto"/>
            </w:tcBorders>
            <w:noWrap/>
            <w:vAlign w:val="bottom"/>
          </w:tcPr>
          <w:p w14:paraId="7CCC8AA1" w14:textId="77777777" w:rsidR="006D3AD5" w:rsidRPr="0073014D" w:rsidRDefault="006D3AD5" w:rsidP="00443B8F">
            <w:pPr>
              <w:overflowPunct/>
              <w:autoSpaceDE/>
              <w:autoSpaceDN/>
              <w:adjustRightInd/>
              <w:jc w:val="right"/>
              <w:textAlignment w:val="auto"/>
              <w:rPr>
                <w:rFonts w:cs="Arial"/>
                <w:sz w:val="20"/>
              </w:rPr>
            </w:pPr>
            <w:r>
              <w:rPr>
                <w:sz w:val="20"/>
              </w:rPr>
              <w:t>30</w:t>
            </w:r>
          </w:p>
        </w:tc>
        <w:tc>
          <w:tcPr>
            <w:tcW w:w="708" w:type="dxa"/>
            <w:tcBorders>
              <w:top w:val="nil"/>
              <w:left w:val="nil"/>
              <w:bottom w:val="single" w:sz="4" w:space="0" w:color="auto"/>
              <w:right w:val="single" w:sz="4" w:space="0" w:color="auto"/>
            </w:tcBorders>
            <w:noWrap/>
            <w:vAlign w:val="bottom"/>
          </w:tcPr>
          <w:p w14:paraId="4DEF313B" w14:textId="77777777" w:rsidR="006D3AD5" w:rsidRPr="0073014D" w:rsidRDefault="006D3AD5" w:rsidP="00443B8F">
            <w:pPr>
              <w:overflowPunct/>
              <w:autoSpaceDE/>
              <w:autoSpaceDN/>
              <w:adjustRightInd/>
              <w:jc w:val="right"/>
              <w:textAlignment w:val="auto"/>
              <w:rPr>
                <w:rFonts w:cs="Arial"/>
                <w:sz w:val="20"/>
              </w:rPr>
            </w:pPr>
            <w:r>
              <w:rPr>
                <w:sz w:val="20"/>
              </w:rPr>
              <w:t>46.9%</w:t>
            </w:r>
          </w:p>
        </w:tc>
      </w:tr>
      <w:tr w:rsidR="006D3AD5" w:rsidRPr="0073014D" w14:paraId="02E04C31"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03EAF611" w14:textId="77777777" w:rsidR="006D3AD5" w:rsidRPr="0073014D" w:rsidRDefault="006D3AD5" w:rsidP="00443B8F">
            <w:pPr>
              <w:overflowPunct/>
              <w:autoSpaceDE/>
              <w:autoSpaceDN/>
              <w:adjustRightInd/>
              <w:jc w:val="left"/>
              <w:textAlignment w:val="auto"/>
              <w:rPr>
                <w:rFonts w:cs="Arial"/>
                <w:sz w:val="20"/>
              </w:rPr>
            </w:pPr>
            <w:r>
              <w:rPr>
                <w:sz w:val="20"/>
              </w:rPr>
              <w:t>Obtaining more advantageous interest rate</w:t>
            </w:r>
          </w:p>
        </w:tc>
        <w:tc>
          <w:tcPr>
            <w:tcW w:w="963" w:type="dxa"/>
            <w:tcBorders>
              <w:top w:val="nil"/>
              <w:left w:val="nil"/>
              <w:bottom w:val="single" w:sz="4" w:space="0" w:color="auto"/>
              <w:right w:val="single" w:sz="4" w:space="0" w:color="auto"/>
            </w:tcBorders>
            <w:noWrap/>
            <w:vAlign w:val="bottom"/>
          </w:tcPr>
          <w:p w14:paraId="67EEA5BE" w14:textId="77777777" w:rsidR="006D3AD5" w:rsidRPr="0073014D" w:rsidRDefault="006D3AD5" w:rsidP="00443B8F">
            <w:pPr>
              <w:overflowPunct/>
              <w:autoSpaceDE/>
              <w:autoSpaceDN/>
              <w:adjustRightInd/>
              <w:jc w:val="right"/>
              <w:textAlignment w:val="auto"/>
              <w:rPr>
                <w:rFonts w:cs="Arial"/>
                <w:sz w:val="20"/>
              </w:rPr>
            </w:pPr>
            <w:r>
              <w:rPr>
                <w:sz w:val="20"/>
              </w:rPr>
              <w:t>32</w:t>
            </w:r>
          </w:p>
        </w:tc>
        <w:tc>
          <w:tcPr>
            <w:tcW w:w="708" w:type="dxa"/>
            <w:tcBorders>
              <w:top w:val="nil"/>
              <w:left w:val="nil"/>
              <w:bottom w:val="single" w:sz="4" w:space="0" w:color="auto"/>
              <w:right w:val="single" w:sz="4" w:space="0" w:color="auto"/>
            </w:tcBorders>
            <w:noWrap/>
            <w:vAlign w:val="bottom"/>
          </w:tcPr>
          <w:p w14:paraId="4959535F" w14:textId="77777777" w:rsidR="006D3AD5" w:rsidRPr="0073014D" w:rsidRDefault="006D3AD5" w:rsidP="00443B8F">
            <w:pPr>
              <w:overflowPunct/>
              <w:autoSpaceDE/>
              <w:autoSpaceDN/>
              <w:adjustRightInd/>
              <w:jc w:val="right"/>
              <w:textAlignment w:val="auto"/>
              <w:rPr>
                <w:rFonts w:cs="Arial"/>
                <w:sz w:val="20"/>
              </w:rPr>
            </w:pPr>
            <w:r>
              <w:rPr>
                <w:sz w:val="20"/>
              </w:rPr>
              <w:t>50.0%</w:t>
            </w:r>
          </w:p>
        </w:tc>
      </w:tr>
      <w:tr w:rsidR="006D3AD5" w:rsidRPr="0073014D" w14:paraId="1E2EA69C"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71D79DC2" w14:textId="77777777" w:rsidR="006D3AD5" w:rsidRPr="0073014D" w:rsidRDefault="006D3AD5" w:rsidP="00443B8F">
            <w:pPr>
              <w:overflowPunct/>
              <w:autoSpaceDE/>
              <w:autoSpaceDN/>
              <w:adjustRightInd/>
              <w:jc w:val="left"/>
              <w:textAlignment w:val="auto"/>
              <w:rPr>
                <w:rFonts w:cs="Arial"/>
                <w:sz w:val="20"/>
              </w:rPr>
            </w:pPr>
            <w:r>
              <w:rPr>
                <w:sz w:val="20"/>
              </w:rPr>
              <w:t>Extension of loan maturity period</w:t>
            </w:r>
          </w:p>
        </w:tc>
        <w:tc>
          <w:tcPr>
            <w:tcW w:w="963" w:type="dxa"/>
            <w:tcBorders>
              <w:top w:val="nil"/>
              <w:left w:val="nil"/>
              <w:bottom w:val="single" w:sz="4" w:space="0" w:color="auto"/>
              <w:right w:val="single" w:sz="4" w:space="0" w:color="auto"/>
            </w:tcBorders>
            <w:noWrap/>
            <w:vAlign w:val="bottom"/>
          </w:tcPr>
          <w:p w14:paraId="77CC10E3" w14:textId="77777777" w:rsidR="006D3AD5" w:rsidRPr="0073014D" w:rsidRDefault="006D3AD5" w:rsidP="00443B8F">
            <w:pPr>
              <w:overflowPunct/>
              <w:autoSpaceDE/>
              <w:autoSpaceDN/>
              <w:adjustRightInd/>
              <w:jc w:val="right"/>
              <w:textAlignment w:val="auto"/>
              <w:rPr>
                <w:rFonts w:cs="Arial"/>
                <w:sz w:val="20"/>
              </w:rPr>
            </w:pPr>
            <w:r>
              <w:rPr>
                <w:sz w:val="20"/>
              </w:rPr>
              <w:t>11</w:t>
            </w:r>
          </w:p>
        </w:tc>
        <w:tc>
          <w:tcPr>
            <w:tcW w:w="708" w:type="dxa"/>
            <w:tcBorders>
              <w:top w:val="nil"/>
              <w:left w:val="nil"/>
              <w:bottom w:val="single" w:sz="4" w:space="0" w:color="auto"/>
              <w:right w:val="single" w:sz="4" w:space="0" w:color="auto"/>
            </w:tcBorders>
            <w:noWrap/>
            <w:vAlign w:val="bottom"/>
          </w:tcPr>
          <w:p w14:paraId="6AB0DD82" w14:textId="77777777" w:rsidR="006D3AD5" w:rsidRPr="0073014D" w:rsidRDefault="006D3AD5" w:rsidP="00443B8F">
            <w:pPr>
              <w:overflowPunct/>
              <w:autoSpaceDE/>
              <w:autoSpaceDN/>
              <w:adjustRightInd/>
              <w:jc w:val="right"/>
              <w:textAlignment w:val="auto"/>
              <w:rPr>
                <w:rFonts w:cs="Arial"/>
                <w:sz w:val="20"/>
              </w:rPr>
            </w:pPr>
            <w:r>
              <w:rPr>
                <w:sz w:val="20"/>
              </w:rPr>
              <w:t>17.2%</w:t>
            </w:r>
          </w:p>
        </w:tc>
      </w:tr>
      <w:tr w:rsidR="006D3AD5" w:rsidRPr="0073014D" w14:paraId="5C3EF983"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7EBA751A" w14:textId="77777777" w:rsidR="006D3AD5" w:rsidRPr="0073014D" w:rsidRDefault="006D3AD5" w:rsidP="00443B8F">
            <w:pPr>
              <w:overflowPunct/>
              <w:autoSpaceDE/>
              <w:autoSpaceDN/>
              <w:adjustRightInd/>
              <w:jc w:val="left"/>
              <w:textAlignment w:val="auto"/>
              <w:rPr>
                <w:rFonts w:cs="Arial"/>
                <w:sz w:val="20"/>
              </w:rPr>
            </w:pPr>
            <w:r>
              <w:rPr>
                <w:sz w:val="20"/>
              </w:rPr>
              <w:t>Postponement of loan instalments</w:t>
            </w:r>
          </w:p>
        </w:tc>
        <w:tc>
          <w:tcPr>
            <w:tcW w:w="963" w:type="dxa"/>
            <w:tcBorders>
              <w:top w:val="nil"/>
              <w:left w:val="nil"/>
              <w:bottom w:val="single" w:sz="4" w:space="0" w:color="auto"/>
              <w:right w:val="single" w:sz="4" w:space="0" w:color="auto"/>
            </w:tcBorders>
            <w:noWrap/>
            <w:vAlign w:val="bottom"/>
          </w:tcPr>
          <w:p w14:paraId="522B5CC2" w14:textId="77777777" w:rsidR="006D3AD5" w:rsidRPr="0073014D" w:rsidRDefault="006D3AD5" w:rsidP="00443B8F">
            <w:pPr>
              <w:overflowPunct/>
              <w:autoSpaceDE/>
              <w:autoSpaceDN/>
              <w:adjustRightInd/>
              <w:jc w:val="right"/>
              <w:textAlignment w:val="auto"/>
              <w:rPr>
                <w:rFonts w:cs="Arial"/>
                <w:sz w:val="20"/>
              </w:rPr>
            </w:pPr>
            <w:r>
              <w:rPr>
                <w:sz w:val="20"/>
              </w:rPr>
              <w:t>10</w:t>
            </w:r>
          </w:p>
        </w:tc>
        <w:tc>
          <w:tcPr>
            <w:tcW w:w="708" w:type="dxa"/>
            <w:tcBorders>
              <w:top w:val="nil"/>
              <w:left w:val="nil"/>
              <w:bottom w:val="single" w:sz="4" w:space="0" w:color="auto"/>
              <w:right w:val="single" w:sz="4" w:space="0" w:color="auto"/>
            </w:tcBorders>
            <w:noWrap/>
            <w:vAlign w:val="bottom"/>
          </w:tcPr>
          <w:p w14:paraId="6492511F" w14:textId="77777777" w:rsidR="006D3AD5" w:rsidRPr="0073014D" w:rsidRDefault="006D3AD5" w:rsidP="00443B8F">
            <w:pPr>
              <w:overflowPunct/>
              <w:autoSpaceDE/>
              <w:autoSpaceDN/>
              <w:adjustRightInd/>
              <w:jc w:val="right"/>
              <w:textAlignment w:val="auto"/>
              <w:rPr>
                <w:rFonts w:cs="Arial"/>
                <w:sz w:val="20"/>
              </w:rPr>
            </w:pPr>
            <w:r>
              <w:rPr>
                <w:sz w:val="20"/>
              </w:rPr>
              <w:t>15.6%</w:t>
            </w:r>
          </w:p>
        </w:tc>
      </w:tr>
      <w:tr w:rsidR="006D3AD5" w:rsidRPr="0073014D" w14:paraId="63681D0C"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76F6FBF7" w14:textId="77777777" w:rsidR="006D3AD5" w:rsidRPr="0073014D" w:rsidRDefault="006D3AD5" w:rsidP="00443B8F">
            <w:pPr>
              <w:overflowPunct/>
              <w:autoSpaceDE/>
              <w:autoSpaceDN/>
              <w:adjustRightInd/>
              <w:jc w:val="left"/>
              <w:textAlignment w:val="auto"/>
              <w:rPr>
                <w:rFonts w:cs="Arial"/>
                <w:sz w:val="20"/>
              </w:rPr>
            </w:pPr>
            <w:r>
              <w:rPr>
                <w:sz w:val="20"/>
              </w:rPr>
              <w:t>Remission of several last loan instalments</w:t>
            </w:r>
          </w:p>
        </w:tc>
        <w:tc>
          <w:tcPr>
            <w:tcW w:w="963" w:type="dxa"/>
            <w:tcBorders>
              <w:top w:val="nil"/>
              <w:left w:val="nil"/>
              <w:bottom w:val="single" w:sz="4" w:space="0" w:color="auto"/>
              <w:right w:val="single" w:sz="4" w:space="0" w:color="auto"/>
            </w:tcBorders>
            <w:noWrap/>
            <w:vAlign w:val="bottom"/>
          </w:tcPr>
          <w:p w14:paraId="7C2D29B7" w14:textId="77777777" w:rsidR="006D3AD5" w:rsidRPr="0073014D" w:rsidRDefault="006D3AD5" w:rsidP="00443B8F">
            <w:pPr>
              <w:overflowPunct/>
              <w:autoSpaceDE/>
              <w:autoSpaceDN/>
              <w:adjustRightInd/>
              <w:jc w:val="right"/>
              <w:textAlignment w:val="auto"/>
              <w:rPr>
                <w:rFonts w:cs="Arial"/>
                <w:sz w:val="20"/>
              </w:rPr>
            </w:pPr>
            <w:r>
              <w:rPr>
                <w:sz w:val="20"/>
              </w:rPr>
              <w:t>19</w:t>
            </w:r>
          </w:p>
        </w:tc>
        <w:tc>
          <w:tcPr>
            <w:tcW w:w="708" w:type="dxa"/>
            <w:tcBorders>
              <w:top w:val="nil"/>
              <w:left w:val="nil"/>
              <w:bottom w:val="single" w:sz="4" w:space="0" w:color="auto"/>
              <w:right w:val="single" w:sz="4" w:space="0" w:color="auto"/>
            </w:tcBorders>
            <w:noWrap/>
            <w:vAlign w:val="bottom"/>
          </w:tcPr>
          <w:p w14:paraId="6BA63C67" w14:textId="77777777" w:rsidR="006D3AD5" w:rsidRPr="0073014D" w:rsidRDefault="006D3AD5" w:rsidP="00443B8F">
            <w:pPr>
              <w:overflowPunct/>
              <w:autoSpaceDE/>
              <w:autoSpaceDN/>
              <w:adjustRightInd/>
              <w:jc w:val="right"/>
              <w:textAlignment w:val="auto"/>
              <w:rPr>
                <w:rFonts w:cs="Arial"/>
                <w:sz w:val="20"/>
              </w:rPr>
            </w:pPr>
            <w:r>
              <w:rPr>
                <w:sz w:val="20"/>
              </w:rPr>
              <w:t>29.7%</w:t>
            </w:r>
          </w:p>
        </w:tc>
      </w:tr>
      <w:tr w:rsidR="006D3AD5" w:rsidRPr="0073014D" w14:paraId="56BF0628"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2C2F4946" w14:textId="77777777" w:rsidR="006D3AD5" w:rsidRPr="0073014D" w:rsidRDefault="006D3AD5" w:rsidP="00443B8F">
            <w:pPr>
              <w:overflowPunct/>
              <w:autoSpaceDE/>
              <w:autoSpaceDN/>
              <w:adjustRightInd/>
              <w:jc w:val="left"/>
              <w:textAlignment w:val="auto"/>
              <w:rPr>
                <w:rFonts w:cs="Arial"/>
                <w:sz w:val="20"/>
              </w:rPr>
            </w:pPr>
            <w:r>
              <w:rPr>
                <w:sz w:val="20"/>
              </w:rPr>
              <w:t>Obtaining means from investor</w:t>
            </w:r>
          </w:p>
        </w:tc>
        <w:tc>
          <w:tcPr>
            <w:tcW w:w="963" w:type="dxa"/>
            <w:tcBorders>
              <w:top w:val="nil"/>
              <w:left w:val="nil"/>
              <w:bottom w:val="single" w:sz="4" w:space="0" w:color="auto"/>
              <w:right w:val="single" w:sz="4" w:space="0" w:color="auto"/>
            </w:tcBorders>
            <w:noWrap/>
            <w:vAlign w:val="bottom"/>
          </w:tcPr>
          <w:p w14:paraId="2D1ADC32" w14:textId="77777777" w:rsidR="006D3AD5" w:rsidRPr="0073014D" w:rsidRDefault="006D3AD5" w:rsidP="00443B8F">
            <w:pPr>
              <w:overflowPunct/>
              <w:autoSpaceDE/>
              <w:autoSpaceDN/>
              <w:adjustRightInd/>
              <w:jc w:val="right"/>
              <w:textAlignment w:val="auto"/>
              <w:rPr>
                <w:rFonts w:cs="Arial"/>
                <w:sz w:val="20"/>
              </w:rPr>
            </w:pPr>
            <w:r>
              <w:rPr>
                <w:sz w:val="20"/>
              </w:rPr>
              <w:t>11</w:t>
            </w:r>
          </w:p>
        </w:tc>
        <w:tc>
          <w:tcPr>
            <w:tcW w:w="708" w:type="dxa"/>
            <w:tcBorders>
              <w:top w:val="nil"/>
              <w:left w:val="nil"/>
              <w:bottom w:val="single" w:sz="4" w:space="0" w:color="auto"/>
              <w:right w:val="single" w:sz="4" w:space="0" w:color="auto"/>
            </w:tcBorders>
            <w:noWrap/>
            <w:vAlign w:val="bottom"/>
          </w:tcPr>
          <w:p w14:paraId="7A7E34DD" w14:textId="77777777" w:rsidR="006D3AD5" w:rsidRPr="0073014D" w:rsidRDefault="006D3AD5" w:rsidP="00443B8F">
            <w:pPr>
              <w:overflowPunct/>
              <w:autoSpaceDE/>
              <w:autoSpaceDN/>
              <w:adjustRightInd/>
              <w:jc w:val="right"/>
              <w:textAlignment w:val="auto"/>
              <w:rPr>
                <w:rFonts w:cs="Arial"/>
                <w:sz w:val="20"/>
              </w:rPr>
            </w:pPr>
            <w:r>
              <w:rPr>
                <w:sz w:val="20"/>
              </w:rPr>
              <w:t>17.2%</w:t>
            </w:r>
          </w:p>
        </w:tc>
      </w:tr>
      <w:tr w:rsidR="006D3AD5" w:rsidRPr="0073014D" w14:paraId="57349A92"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795C20BE" w14:textId="77777777" w:rsidR="006D3AD5" w:rsidRPr="0073014D" w:rsidRDefault="006D3AD5" w:rsidP="00443B8F">
            <w:pPr>
              <w:overflowPunct/>
              <w:autoSpaceDE/>
              <w:autoSpaceDN/>
              <w:adjustRightInd/>
              <w:jc w:val="left"/>
              <w:textAlignment w:val="auto"/>
              <w:rPr>
                <w:rFonts w:cs="Arial"/>
                <w:sz w:val="20"/>
              </w:rPr>
            </w:pPr>
            <w:r>
              <w:rPr>
                <w:sz w:val="20"/>
              </w:rPr>
              <w:t>Improving awareness of available financing resources</w:t>
            </w:r>
          </w:p>
        </w:tc>
        <w:tc>
          <w:tcPr>
            <w:tcW w:w="963" w:type="dxa"/>
            <w:tcBorders>
              <w:top w:val="nil"/>
              <w:left w:val="nil"/>
              <w:bottom w:val="single" w:sz="4" w:space="0" w:color="auto"/>
              <w:right w:val="single" w:sz="4" w:space="0" w:color="auto"/>
            </w:tcBorders>
            <w:noWrap/>
            <w:vAlign w:val="bottom"/>
          </w:tcPr>
          <w:p w14:paraId="5E610EA9" w14:textId="77777777" w:rsidR="006D3AD5" w:rsidRPr="0073014D" w:rsidRDefault="006D3AD5" w:rsidP="00443B8F">
            <w:pPr>
              <w:overflowPunct/>
              <w:autoSpaceDE/>
              <w:autoSpaceDN/>
              <w:adjustRightInd/>
              <w:jc w:val="right"/>
              <w:textAlignment w:val="auto"/>
              <w:rPr>
                <w:rFonts w:cs="Arial"/>
                <w:sz w:val="20"/>
              </w:rPr>
            </w:pPr>
            <w:r>
              <w:rPr>
                <w:sz w:val="20"/>
              </w:rPr>
              <w:t>9</w:t>
            </w:r>
          </w:p>
        </w:tc>
        <w:tc>
          <w:tcPr>
            <w:tcW w:w="708" w:type="dxa"/>
            <w:tcBorders>
              <w:top w:val="nil"/>
              <w:left w:val="nil"/>
              <w:bottom w:val="single" w:sz="4" w:space="0" w:color="auto"/>
              <w:right w:val="single" w:sz="4" w:space="0" w:color="auto"/>
            </w:tcBorders>
            <w:noWrap/>
            <w:vAlign w:val="bottom"/>
          </w:tcPr>
          <w:p w14:paraId="4C7C4A20" w14:textId="77777777" w:rsidR="006D3AD5" w:rsidRPr="0073014D" w:rsidRDefault="006D3AD5" w:rsidP="00443B8F">
            <w:pPr>
              <w:overflowPunct/>
              <w:autoSpaceDE/>
              <w:autoSpaceDN/>
              <w:adjustRightInd/>
              <w:jc w:val="right"/>
              <w:textAlignment w:val="auto"/>
              <w:rPr>
                <w:rFonts w:cs="Arial"/>
                <w:sz w:val="20"/>
              </w:rPr>
            </w:pPr>
            <w:r>
              <w:rPr>
                <w:sz w:val="20"/>
              </w:rPr>
              <w:t>14.1%</w:t>
            </w:r>
          </w:p>
        </w:tc>
      </w:tr>
      <w:tr w:rsidR="006D3AD5" w:rsidRPr="0073014D" w14:paraId="614E4EF1"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181AB0ED" w14:textId="77777777" w:rsidR="006D3AD5" w:rsidRPr="0073014D" w:rsidRDefault="006D3AD5" w:rsidP="00443B8F">
            <w:pPr>
              <w:overflowPunct/>
              <w:autoSpaceDE/>
              <w:autoSpaceDN/>
              <w:adjustRightInd/>
              <w:jc w:val="left"/>
              <w:textAlignment w:val="auto"/>
              <w:rPr>
                <w:rFonts w:cs="Arial"/>
                <w:sz w:val="20"/>
              </w:rPr>
            </w:pPr>
            <w:r>
              <w:rPr>
                <w:sz w:val="20"/>
              </w:rPr>
              <w:t>Reduction of administrative barrier in obtaining funding</w:t>
            </w:r>
          </w:p>
        </w:tc>
        <w:tc>
          <w:tcPr>
            <w:tcW w:w="963" w:type="dxa"/>
            <w:tcBorders>
              <w:top w:val="nil"/>
              <w:left w:val="nil"/>
              <w:bottom w:val="single" w:sz="4" w:space="0" w:color="auto"/>
              <w:right w:val="single" w:sz="4" w:space="0" w:color="auto"/>
            </w:tcBorders>
            <w:noWrap/>
            <w:vAlign w:val="bottom"/>
          </w:tcPr>
          <w:p w14:paraId="53023E6D" w14:textId="77777777" w:rsidR="006D3AD5" w:rsidRPr="0073014D" w:rsidRDefault="006D3AD5" w:rsidP="00443B8F">
            <w:pPr>
              <w:overflowPunct/>
              <w:autoSpaceDE/>
              <w:autoSpaceDN/>
              <w:adjustRightInd/>
              <w:jc w:val="right"/>
              <w:textAlignment w:val="auto"/>
              <w:rPr>
                <w:rFonts w:cs="Arial"/>
                <w:sz w:val="20"/>
              </w:rPr>
            </w:pPr>
            <w:r>
              <w:rPr>
                <w:sz w:val="20"/>
              </w:rPr>
              <w:t>20</w:t>
            </w:r>
          </w:p>
        </w:tc>
        <w:tc>
          <w:tcPr>
            <w:tcW w:w="708" w:type="dxa"/>
            <w:tcBorders>
              <w:top w:val="nil"/>
              <w:left w:val="nil"/>
              <w:bottom w:val="single" w:sz="4" w:space="0" w:color="auto"/>
              <w:right w:val="single" w:sz="4" w:space="0" w:color="auto"/>
            </w:tcBorders>
            <w:noWrap/>
            <w:vAlign w:val="bottom"/>
          </w:tcPr>
          <w:p w14:paraId="1821BCA2" w14:textId="77777777" w:rsidR="006D3AD5" w:rsidRPr="0073014D" w:rsidRDefault="006D3AD5" w:rsidP="00443B8F">
            <w:pPr>
              <w:overflowPunct/>
              <w:autoSpaceDE/>
              <w:autoSpaceDN/>
              <w:adjustRightInd/>
              <w:jc w:val="right"/>
              <w:textAlignment w:val="auto"/>
              <w:rPr>
                <w:rFonts w:cs="Arial"/>
                <w:sz w:val="20"/>
              </w:rPr>
            </w:pPr>
            <w:r>
              <w:rPr>
                <w:sz w:val="20"/>
              </w:rPr>
              <w:t>31.3%</w:t>
            </w:r>
          </w:p>
        </w:tc>
      </w:tr>
      <w:tr w:rsidR="006D3AD5" w:rsidRPr="0073014D" w14:paraId="5E4844B5" w14:textId="77777777" w:rsidTr="00443B8F">
        <w:trPr>
          <w:trHeight w:val="255"/>
        </w:trPr>
        <w:tc>
          <w:tcPr>
            <w:tcW w:w="8298" w:type="dxa"/>
            <w:tcBorders>
              <w:top w:val="nil"/>
              <w:left w:val="single" w:sz="4" w:space="0" w:color="auto"/>
              <w:bottom w:val="single" w:sz="4" w:space="0" w:color="auto"/>
              <w:right w:val="single" w:sz="4" w:space="0" w:color="auto"/>
            </w:tcBorders>
            <w:noWrap/>
            <w:vAlign w:val="bottom"/>
          </w:tcPr>
          <w:p w14:paraId="14376751" w14:textId="77777777" w:rsidR="006D3AD5" w:rsidRPr="0073014D" w:rsidRDefault="006D3AD5" w:rsidP="00443B8F">
            <w:pPr>
              <w:overflowPunct/>
              <w:autoSpaceDE/>
              <w:autoSpaceDN/>
              <w:adjustRightInd/>
              <w:jc w:val="left"/>
              <w:textAlignment w:val="auto"/>
              <w:rPr>
                <w:rFonts w:cs="Arial"/>
                <w:sz w:val="20"/>
              </w:rPr>
            </w:pPr>
            <w:r>
              <w:rPr>
                <w:sz w:val="20"/>
              </w:rPr>
              <w:t>Assistance in project preparation (e.g. business plan or specialised consulting: financing preparation of project documentation, energy audit, etc.)</w:t>
            </w:r>
          </w:p>
        </w:tc>
        <w:tc>
          <w:tcPr>
            <w:tcW w:w="963" w:type="dxa"/>
            <w:tcBorders>
              <w:top w:val="nil"/>
              <w:left w:val="nil"/>
              <w:bottom w:val="single" w:sz="4" w:space="0" w:color="auto"/>
              <w:right w:val="single" w:sz="4" w:space="0" w:color="auto"/>
            </w:tcBorders>
            <w:noWrap/>
            <w:vAlign w:val="bottom"/>
          </w:tcPr>
          <w:p w14:paraId="2C835A41" w14:textId="77777777" w:rsidR="006D3AD5" w:rsidRPr="0073014D" w:rsidRDefault="006D3AD5" w:rsidP="00443B8F">
            <w:pPr>
              <w:overflowPunct/>
              <w:autoSpaceDE/>
              <w:autoSpaceDN/>
              <w:adjustRightInd/>
              <w:jc w:val="right"/>
              <w:textAlignment w:val="auto"/>
              <w:rPr>
                <w:rFonts w:cs="Arial"/>
                <w:sz w:val="20"/>
              </w:rPr>
            </w:pPr>
            <w:r>
              <w:rPr>
                <w:sz w:val="20"/>
              </w:rPr>
              <w:t>17</w:t>
            </w:r>
          </w:p>
        </w:tc>
        <w:tc>
          <w:tcPr>
            <w:tcW w:w="708" w:type="dxa"/>
            <w:tcBorders>
              <w:top w:val="nil"/>
              <w:left w:val="nil"/>
              <w:bottom w:val="single" w:sz="4" w:space="0" w:color="auto"/>
              <w:right w:val="single" w:sz="4" w:space="0" w:color="auto"/>
            </w:tcBorders>
            <w:noWrap/>
            <w:vAlign w:val="bottom"/>
          </w:tcPr>
          <w:p w14:paraId="462A428F" w14:textId="77777777" w:rsidR="006D3AD5" w:rsidRPr="0073014D" w:rsidRDefault="006D3AD5" w:rsidP="00443B8F">
            <w:pPr>
              <w:overflowPunct/>
              <w:autoSpaceDE/>
              <w:autoSpaceDN/>
              <w:adjustRightInd/>
              <w:jc w:val="right"/>
              <w:textAlignment w:val="auto"/>
              <w:rPr>
                <w:rFonts w:cs="Arial"/>
                <w:sz w:val="20"/>
              </w:rPr>
            </w:pPr>
            <w:r>
              <w:rPr>
                <w:sz w:val="20"/>
              </w:rPr>
              <w:t>26.6%</w:t>
            </w:r>
          </w:p>
        </w:tc>
      </w:tr>
      <w:tr w:rsidR="006D3AD5" w:rsidRPr="0073014D" w14:paraId="3C8B1A01" w14:textId="77777777" w:rsidTr="00443B8F">
        <w:trPr>
          <w:trHeight w:val="255"/>
        </w:trPr>
        <w:tc>
          <w:tcPr>
            <w:tcW w:w="8298" w:type="dxa"/>
            <w:tcBorders>
              <w:top w:val="nil"/>
              <w:left w:val="nil"/>
              <w:bottom w:val="nil"/>
              <w:right w:val="nil"/>
            </w:tcBorders>
            <w:noWrap/>
            <w:vAlign w:val="bottom"/>
          </w:tcPr>
          <w:p w14:paraId="1580CF04" w14:textId="77777777" w:rsidR="006D3AD5" w:rsidRPr="0073014D" w:rsidRDefault="006D3AD5" w:rsidP="00443B8F">
            <w:pPr>
              <w:overflowPunct/>
              <w:autoSpaceDE/>
              <w:autoSpaceDN/>
              <w:adjustRightInd/>
              <w:jc w:val="right"/>
              <w:textAlignment w:val="auto"/>
              <w:rPr>
                <w:rFonts w:cs="Arial"/>
                <w:sz w:val="20"/>
              </w:rPr>
            </w:pPr>
            <w:r>
              <w:rPr>
                <w:sz w:val="20"/>
              </w:rPr>
              <w:t>n=</w:t>
            </w:r>
          </w:p>
        </w:tc>
        <w:tc>
          <w:tcPr>
            <w:tcW w:w="963" w:type="dxa"/>
            <w:tcBorders>
              <w:top w:val="nil"/>
              <w:left w:val="nil"/>
              <w:bottom w:val="nil"/>
              <w:right w:val="nil"/>
            </w:tcBorders>
            <w:noWrap/>
            <w:vAlign w:val="bottom"/>
          </w:tcPr>
          <w:p w14:paraId="09927837" w14:textId="77777777" w:rsidR="006D3AD5" w:rsidRPr="0073014D" w:rsidRDefault="006D3AD5" w:rsidP="00443B8F">
            <w:pPr>
              <w:overflowPunct/>
              <w:autoSpaceDE/>
              <w:autoSpaceDN/>
              <w:adjustRightInd/>
              <w:jc w:val="right"/>
              <w:textAlignment w:val="auto"/>
              <w:rPr>
                <w:rFonts w:cs="Arial"/>
                <w:sz w:val="20"/>
              </w:rPr>
            </w:pPr>
            <w:r>
              <w:rPr>
                <w:sz w:val="20"/>
              </w:rPr>
              <w:t>64</w:t>
            </w:r>
          </w:p>
        </w:tc>
        <w:tc>
          <w:tcPr>
            <w:tcW w:w="708" w:type="dxa"/>
            <w:tcBorders>
              <w:top w:val="nil"/>
              <w:left w:val="nil"/>
              <w:bottom w:val="nil"/>
              <w:right w:val="nil"/>
            </w:tcBorders>
            <w:noWrap/>
            <w:vAlign w:val="bottom"/>
          </w:tcPr>
          <w:p w14:paraId="531A8C74" w14:textId="77777777" w:rsidR="006D3AD5" w:rsidRPr="0073014D" w:rsidRDefault="006D3AD5" w:rsidP="00443B8F">
            <w:pPr>
              <w:overflowPunct/>
              <w:autoSpaceDE/>
              <w:autoSpaceDN/>
              <w:adjustRightInd/>
              <w:jc w:val="left"/>
              <w:textAlignment w:val="auto"/>
              <w:rPr>
                <w:rFonts w:cs="Arial"/>
                <w:sz w:val="20"/>
              </w:rPr>
            </w:pPr>
          </w:p>
        </w:tc>
      </w:tr>
    </w:tbl>
    <w:p w14:paraId="3F71665D" w14:textId="77777777" w:rsidR="006D3AD5" w:rsidRPr="0073014D" w:rsidRDefault="006D3AD5" w:rsidP="006D3AD5"/>
    <w:p w14:paraId="7C70DAFE" w14:textId="77777777" w:rsidR="006D3AD5" w:rsidRPr="0073014D" w:rsidRDefault="006D3AD5" w:rsidP="006D3AD5"/>
    <w:p w14:paraId="108E40FB" w14:textId="77777777" w:rsidR="006D3AD5" w:rsidRDefault="006D3AD5" w:rsidP="006D3AD5">
      <w:r>
        <w:t>Within the comparison of three options of public support, substantially greater interest was shown, in particular, in soft loans, in almost 70% cases.</w:t>
      </w:r>
    </w:p>
    <w:p w14:paraId="134D0F63" w14:textId="77777777" w:rsidR="00A24AFA" w:rsidRPr="0073014D" w:rsidRDefault="00A24AFA" w:rsidP="006D3AD5"/>
    <w:p w14:paraId="2F5E5457" w14:textId="77777777" w:rsidR="006D3AD5" w:rsidRPr="0073014D" w:rsidRDefault="006D3AD5" w:rsidP="006D3AD5">
      <w:pPr>
        <w:pStyle w:val="Nadpis4"/>
        <w:rPr>
          <w:rFonts w:ascii="Calibri" w:hAnsi="Calibri"/>
          <w:color w:val="000000"/>
        </w:rPr>
      </w:pPr>
      <w:r>
        <w:rPr>
          <w:rFonts w:ascii="Calibri" w:hAnsi="Calibri"/>
          <w:color w:val="000000"/>
        </w:rPr>
        <w:lastRenderedPageBreak/>
        <w:t>The estimation of absorption capacity of the public support and the financial instrument</w:t>
      </w:r>
    </w:p>
    <w:p w14:paraId="50D66A71" w14:textId="77777777" w:rsidR="006D3AD5" w:rsidRPr="0073014D" w:rsidRDefault="006D3AD5" w:rsidP="006D3AD5">
      <w:r>
        <w:t xml:space="preserve">The general idea regarding the current investment need for funding is reflected in the demand for last support within the Eco-energie and Efekt 2013 programmes.  </w:t>
      </w:r>
      <w:r>
        <w:rPr>
          <w:b/>
        </w:rPr>
        <w:t>The study of  Seven</w:t>
      </w:r>
      <w:r>
        <w:rPr>
          <w:rStyle w:val="Znakapoznpodarou"/>
          <w:rFonts w:ascii="Calibri" w:hAnsi="Calibri"/>
          <w:b/>
        </w:rPr>
        <w:footnoteReference w:id="39"/>
      </w:r>
      <w:r>
        <w:rPr>
          <w:b/>
        </w:rPr>
        <w:t>estimates the absorption capacity of CZK 20 million on the basis of the projects implemented in the last programming period.</w:t>
      </w:r>
    </w:p>
    <w:p w14:paraId="4CBE4CEA" w14:textId="77777777" w:rsidR="006D3AD5" w:rsidRPr="0073014D" w:rsidRDefault="006D3AD5" w:rsidP="006D3AD5"/>
    <w:p w14:paraId="3B997B02" w14:textId="77777777" w:rsidR="006D3AD5" w:rsidRPr="0073014D" w:rsidRDefault="006D3AD5" w:rsidP="006D3AD5">
      <w:r>
        <w:t>This estimation relatively corresponds with the mentioned estimation of the Czech Savings Bank for EPC (CZK 18 billion in next five years), which concerns also commercial project – although only in the category suitable for EPC.</w:t>
      </w:r>
    </w:p>
    <w:p w14:paraId="0A10D8F1" w14:textId="77777777" w:rsidR="006D3AD5" w:rsidRPr="0073014D" w:rsidRDefault="006D3AD5" w:rsidP="006D3AD5"/>
    <w:p w14:paraId="435F4787" w14:textId="77E21AD0" w:rsidR="006D3AD5" w:rsidRPr="0073014D" w:rsidRDefault="006D3AD5" w:rsidP="006D3AD5">
      <w:r>
        <w:t xml:space="preserve">Total prepared investments in energy efficiency amounted to CZK 2 billion of the received responses of the  questionnaire inquiry. Extrapolating this sample to the national level (the estimation of representativeness of  9-12.5%), </w:t>
      </w:r>
      <w:r>
        <w:rPr>
          <w:b/>
        </w:rPr>
        <w:t xml:space="preserve">Deloitte Advisory, s.r.o. estimates the total absorption capacity of investments in energy efficiency in </w:t>
      </w:r>
      <w:r w:rsidR="00685AEF">
        <w:rPr>
          <w:b/>
        </w:rPr>
        <w:t xml:space="preserve">SO </w:t>
      </w:r>
      <w:r>
        <w:rPr>
          <w:b/>
        </w:rPr>
        <w:t>2.3 of CZK 16-24 billion</w:t>
      </w:r>
      <w:r>
        <w:t xml:space="preserve">. With respect to other mentioned estimates, this range for the next period shows to be realistic. </w:t>
      </w:r>
    </w:p>
    <w:p w14:paraId="3947E5CD" w14:textId="77777777" w:rsidR="006D3AD5" w:rsidRPr="0073014D" w:rsidRDefault="006D3AD5" w:rsidP="006D3AD5"/>
    <w:p w14:paraId="1647C88F" w14:textId="77777777" w:rsidR="006D3AD5" w:rsidRPr="0073014D" w:rsidRDefault="006D3AD5" w:rsidP="006D3AD5">
      <w:pPr>
        <w:rPr>
          <w:b/>
        </w:rPr>
      </w:pPr>
      <w:r>
        <w:t>In preserving the share of potentially viable companies with worsen access to funding, as per the findings of the questionnaire (19.7%),</w:t>
      </w:r>
      <w:r>
        <w:rPr>
          <w:b/>
        </w:rPr>
        <w:t xml:space="preserve"> the support via a credit instrument should effectively assist in the project implementation of ca. CZK 3-5 billion. </w:t>
      </w:r>
    </w:p>
    <w:p w14:paraId="5AE5DCAE" w14:textId="77777777" w:rsidR="006D3AD5" w:rsidRPr="0073014D" w:rsidRDefault="006D3AD5" w:rsidP="006D3AD5"/>
    <w:p w14:paraId="3F4FEB08" w14:textId="77777777" w:rsidR="006D3AD5" w:rsidRPr="0073014D" w:rsidRDefault="006D3AD5" w:rsidP="006D3AD5">
      <w:r>
        <w:t>Another part of the evaluation of absorption capacity includes the solution of the problem of long-term payback period of the project. Nevertheless, the aforesaid experience from OPEI shows that the absorption capacity potential for the FI is also from this point of view essential.</w:t>
      </w:r>
    </w:p>
    <w:p w14:paraId="77F87A5A" w14:textId="77777777" w:rsidR="006D3AD5" w:rsidRPr="0073014D" w:rsidRDefault="006D3AD5" w:rsidP="006D3AD5"/>
    <w:p w14:paraId="127AD6D8" w14:textId="77777777" w:rsidR="006D3AD5" w:rsidRPr="0073014D" w:rsidRDefault="006D3AD5" w:rsidP="006D3AD5">
      <w:pPr>
        <w:pStyle w:val="Nadpis4"/>
        <w:rPr>
          <w:rFonts w:ascii="Calibri" w:hAnsi="Calibri"/>
          <w:color w:val="000000"/>
        </w:rPr>
      </w:pPr>
      <w:bookmarkStart w:id="900" w:name="_Toc416800460"/>
      <w:r>
        <w:rPr>
          <w:rFonts w:ascii="Calibri" w:hAnsi="Calibri"/>
          <w:color w:val="000000"/>
        </w:rPr>
        <w:t>Identification of market failure and suboptimum investment situations</w:t>
      </w:r>
    </w:p>
    <w:p w14:paraId="0D90D199" w14:textId="77777777" w:rsidR="006D3AD5" w:rsidRPr="0073014D" w:rsidRDefault="006D3AD5" w:rsidP="006D3AD5"/>
    <w:bookmarkEnd w:id="900"/>
    <w:p w14:paraId="07C585BF" w14:textId="77777777" w:rsidR="006D3AD5" w:rsidRPr="0073014D" w:rsidRDefault="006D3AD5" w:rsidP="006D3AD5">
      <w:r>
        <w:t>In the recent years, the area of energy savings is typical of a high degree of market development in CZ, also in the area of banking financing and energy services. In spite of this fact, the investment activity does not correspond with  still a large potential in the commercial area and set European goals and obligations of the Czech Republic.</w:t>
      </w:r>
    </w:p>
    <w:p w14:paraId="3FA8957A" w14:textId="77777777" w:rsidR="006D3AD5" w:rsidRPr="0073014D" w:rsidRDefault="006D3AD5" w:rsidP="006D3AD5"/>
    <w:p w14:paraId="417B3FCA" w14:textId="77777777" w:rsidR="006D3AD5" w:rsidRPr="0073014D" w:rsidRDefault="006D3AD5" w:rsidP="006D3AD5">
      <w:r>
        <w:t>In spite of the profitable profile of the investments in the reduction of companies' energy intensity, we cannot assume that they would have a priority in the investment plan of the enterprise, in particular, if such enterprise is right in the expansion stage. This period of the company's life cycle is characteristic for the investments in the production extension, which are largely financed in the form of debt and, consequently, the enterprises will often have to face the problems with the security or excess crediting. As a result, the growing enterprise will not be willing to fix costly own resources in the investment.</w:t>
      </w:r>
    </w:p>
    <w:p w14:paraId="304AF363" w14:textId="77777777" w:rsidR="006D3AD5" w:rsidRPr="0073014D" w:rsidRDefault="006D3AD5" w:rsidP="006D3AD5"/>
    <w:p w14:paraId="4667EFFC" w14:textId="77777777" w:rsidR="006D3AD5" w:rsidRPr="0073014D" w:rsidRDefault="006D3AD5" w:rsidP="006D3AD5">
      <w:r>
        <w:t>Once the enterprise accedes to investments in energy saving, under the market conditions, it searches, in particular, for quick-return activities, not comprehensive costly projects with a totally higher potential of savings. These are characterised by a longer payback period and higher costs of the project preparation when compared to simple technical innovations (LED lighting). At the present time, this is one of the barrier of larger application of the EPC method in the commercial sector. The potential of the classical EPC in the commercial sphere is lower when compared to public entities owing to higher risks on the part of enterprises and, very often, a worse predictable consumption level, which is dependent on consumption.</w:t>
      </w:r>
    </w:p>
    <w:p w14:paraId="1C6E7A47" w14:textId="77777777" w:rsidR="006D3AD5" w:rsidRPr="0073014D" w:rsidRDefault="006D3AD5" w:rsidP="006D3AD5"/>
    <w:p w14:paraId="5555C691" w14:textId="77777777" w:rsidR="006D3AD5" w:rsidRPr="0073014D" w:rsidRDefault="006D3AD5" w:rsidP="006D3AD5">
      <w:r>
        <w:t>In any case, the completed interviews confirm that</w:t>
      </w:r>
      <w:r>
        <w:rPr>
          <w:b/>
        </w:rPr>
        <w:t xml:space="preserve"> in the commercial area, in this area, there are unacceptable projects with the payback period of more than 5 years.</w:t>
      </w:r>
      <w:r>
        <w:t xml:space="preserve">  </w:t>
      </w:r>
      <w:r>
        <w:rPr>
          <w:b/>
        </w:rPr>
        <w:t xml:space="preserve"> </w:t>
      </w:r>
      <w:r>
        <w:t xml:space="preserve">Therefore, from this point of </w:t>
      </w:r>
      <w:r>
        <w:lastRenderedPageBreak/>
        <w:t xml:space="preserve">view, in many cases enterprises need to be motivated to investments in more extensive saving measures through public support which will favour them in the investment plan of the enterprise. A risk of extensive subsidy support of last years is, nevertheless, the adjustment of market behaviour to these stimuli. As a result, </w:t>
      </w:r>
      <w:r>
        <w:rPr>
          <w:b/>
        </w:rPr>
        <w:t>high retained investment demand occurs, which awaits the announcement of the next subsidy call</w:t>
      </w:r>
      <w:r>
        <w:t>. A dramatic excess of demand over supply in the past subsidy programmes indicates a substantial market failure in this respect.</w:t>
      </w:r>
    </w:p>
    <w:p w14:paraId="56AF7B2C" w14:textId="77777777" w:rsidR="006D3AD5" w:rsidRPr="0073014D" w:rsidRDefault="006D3AD5" w:rsidP="006D3AD5"/>
    <w:p w14:paraId="2515204D" w14:textId="77777777" w:rsidR="006D3AD5" w:rsidRPr="0073014D" w:rsidRDefault="006D3AD5" w:rsidP="006D3AD5"/>
    <w:p w14:paraId="3684F13B" w14:textId="77777777" w:rsidR="006D3AD5" w:rsidRPr="0073014D" w:rsidRDefault="006D3AD5" w:rsidP="006D3AD5">
      <w:r>
        <w:rPr>
          <w:b/>
        </w:rPr>
        <w:t>A frequent barrier of implementation of the economically reasonable project includes costs</w:t>
      </w:r>
      <w:r>
        <w:t xml:space="preserve"> which can distinctly discourage from the consideration over implementing the investment. Energy audits themselves, which are an assumption of the support of economical measures as well as own quantification of the economical potential, are cost-intensive. Initial costs can include also the costs of the time for obtaining information. A cost-saving potential and, therefore, also attractiveness of cost-saving investments are also reduced by the current drop in electric power prices – which, nevertheless, due to RES charges, remain at a relatively high level, like the prices of other energies.</w:t>
      </w:r>
    </w:p>
    <w:p w14:paraId="2527344F" w14:textId="77777777" w:rsidR="006D3AD5" w:rsidRPr="0073014D" w:rsidRDefault="006D3AD5" w:rsidP="006D3AD5"/>
    <w:p w14:paraId="6C0E864D" w14:textId="77777777" w:rsidR="006D3AD5" w:rsidRPr="0073014D" w:rsidRDefault="006D3AD5" w:rsidP="006D3AD5">
      <w:r>
        <w:t>The investments in the reduction of companies' energy intensity are, when compared to well-established types of projects, for some banking houses  more difficult to handle and, therefore, they assign them a worse risk score and, therefore, also worse conditions of financing – nevertheless, currently, this is a case of only smaller banks. However, SMEs may still have, due to default risk, rather more difficult access to loans and higher costs of them when compared to larger enterprises – also in the case of project loans.</w:t>
      </w:r>
    </w:p>
    <w:p w14:paraId="04431C61" w14:textId="77777777" w:rsidR="006D3AD5" w:rsidRPr="0073014D" w:rsidRDefault="006D3AD5" w:rsidP="006D3AD5"/>
    <w:p w14:paraId="1DA47800" w14:textId="77777777" w:rsidR="006D3AD5" w:rsidRPr="0073014D" w:rsidRDefault="006D3AD5" w:rsidP="006D3AD5">
      <w:pPr>
        <w:pStyle w:val="Nadpis4"/>
        <w:rPr>
          <w:rFonts w:ascii="Calibri" w:hAnsi="Calibri"/>
          <w:color w:val="000000"/>
        </w:rPr>
      </w:pPr>
      <w:bookmarkStart w:id="901" w:name="_Toc416383861"/>
      <w:bookmarkStart w:id="902" w:name="_Toc416447860"/>
      <w:bookmarkStart w:id="903" w:name="_Toc416383862"/>
      <w:bookmarkStart w:id="904" w:name="_Toc416447861"/>
      <w:bookmarkStart w:id="905" w:name="_Toc416800461"/>
      <w:bookmarkEnd w:id="901"/>
      <w:bookmarkEnd w:id="902"/>
      <w:bookmarkEnd w:id="903"/>
      <w:bookmarkEnd w:id="904"/>
      <w:r>
        <w:rPr>
          <w:rFonts w:ascii="Calibri" w:hAnsi="Calibri"/>
          <w:color w:val="000000"/>
        </w:rPr>
        <w:t>Proposed solution of identified market failures</w:t>
      </w:r>
    </w:p>
    <w:p w14:paraId="499C6BC5" w14:textId="77777777" w:rsidR="006D3AD5" w:rsidRPr="0073014D" w:rsidRDefault="006D3AD5" w:rsidP="006D3AD5"/>
    <w:bookmarkEnd w:id="905"/>
    <w:p w14:paraId="10DF4142" w14:textId="77777777" w:rsidR="006D3AD5" w:rsidRPr="0073014D" w:rsidRDefault="006D3AD5" w:rsidP="006D3AD5">
      <w:r>
        <w:t xml:space="preserve">The profit potential is in the case of the investments in the reduction of cost intensity obvious, nevertheless, the payback period of such projects ranges is at a relatively large scale.  Moreover, we have to take positive externality into account, when, in addition to a direct commercial benefit for the applicant, the implementation of the investment has a positive impact in the form of nation-wide benefit. </w:t>
      </w:r>
    </w:p>
    <w:p w14:paraId="5FD72889" w14:textId="77777777" w:rsidR="006D3AD5" w:rsidRPr="0073014D" w:rsidRDefault="006D3AD5" w:rsidP="006D3AD5"/>
    <w:p w14:paraId="5C3B0C60" w14:textId="77777777" w:rsidR="006D3AD5" w:rsidRPr="0073014D" w:rsidRDefault="006D3AD5" w:rsidP="006D3AD5">
      <w:r>
        <w:t xml:space="preserve">Within the OPEI projects, the projects with extremely high yield spread, IRR from 15 to 40%, applied for a subsidy. With respect to the market acceptable payback period of around 5-6 years, it is optimal to support part of projects with a shorter payback period in the form of </w:t>
      </w:r>
      <w:r>
        <w:rPr>
          <w:b/>
        </w:rPr>
        <w:t>the credit financial instrument in combination with a financial contribution for the payment of interests and preparation of the energy audit, which would motivate the companies to meet the project goals and achieve the highest possible savings.</w:t>
      </w:r>
      <w:r>
        <w:t xml:space="preserve"> On the other hand, it is obvious that in the case of some projects with a longer payback period which, however, show higher savings and, consequently, higher positive externality, subsidy support should be preserved.</w:t>
      </w:r>
    </w:p>
    <w:p w14:paraId="60569B56" w14:textId="77777777" w:rsidR="006D3AD5" w:rsidRPr="0073014D" w:rsidRDefault="006D3AD5" w:rsidP="006D3AD5"/>
    <w:p w14:paraId="7592119F" w14:textId="77777777" w:rsidR="006D3AD5" w:rsidRPr="0073014D" w:rsidRDefault="006D3AD5" w:rsidP="006D3AD5">
      <w:r>
        <w:t xml:space="preserve">Moreover, the questionnaire inquiry showed that right funding availability and mitigation of their terms and conditions are often preferred by the applicants for support, if any. </w:t>
      </w:r>
    </w:p>
    <w:p w14:paraId="7FBB09BA" w14:textId="77777777" w:rsidR="006D3AD5" w:rsidRPr="0073014D" w:rsidRDefault="006D3AD5" w:rsidP="006D3AD5"/>
    <w:p w14:paraId="45712645" w14:textId="77777777" w:rsidR="006D3AD5" w:rsidRPr="0073014D" w:rsidRDefault="006D3AD5" w:rsidP="006D3AD5">
      <w:r>
        <w:t>Combination of the soft loan with the subsidy for different eligible costs or repayable assistance (repayable aid converted to irrecoverable in the case of meeting project goals) would enable wider options of the application of soft loans from the point of the limit of required return. We have to further consider technical feasibility and complexity of such a method of the provision in particular legislative restrictions of structural funds.</w:t>
      </w:r>
    </w:p>
    <w:p w14:paraId="20D60F18" w14:textId="77777777" w:rsidR="006D3AD5" w:rsidRPr="0073014D" w:rsidRDefault="006D3AD5" w:rsidP="006D3AD5"/>
    <w:p w14:paraId="4F0DC005" w14:textId="77777777" w:rsidR="006D3AD5" w:rsidRPr="0073014D" w:rsidRDefault="006D3AD5" w:rsidP="006D3AD5">
      <w:r>
        <w:lastRenderedPageBreak/>
        <w:t>When selecting projects and distributing subsidy and credit support, we recommend setting such criteria that will motive entities to implement the most complex and most cost– saving projects. In this connection, we can consider e.g. the IRR criterion of projects.</w:t>
      </w:r>
    </w:p>
    <w:p w14:paraId="5D8C5169" w14:textId="77777777" w:rsidR="006D3AD5" w:rsidRPr="0073014D" w:rsidRDefault="006D3AD5" w:rsidP="006D3AD5">
      <w:pPr>
        <w:rPr>
          <w:b/>
        </w:rPr>
      </w:pPr>
    </w:p>
    <w:p w14:paraId="6B1C21ED" w14:textId="77777777" w:rsidR="006D3AD5" w:rsidRPr="0073014D" w:rsidRDefault="006D3AD5" w:rsidP="006D3AD5">
      <w:pPr>
        <w:pStyle w:val="Nadpis3"/>
        <w:rPr>
          <w:rFonts w:ascii="Calibri" w:hAnsi="Calibri"/>
          <w:color w:val="000000"/>
        </w:rPr>
      </w:pPr>
      <w:bookmarkStart w:id="906" w:name="_Toc416800462"/>
      <w:bookmarkStart w:id="907" w:name="_Toc422312125"/>
      <w:r>
        <w:rPr>
          <w:rFonts w:ascii="Calibri" w:hAnsi="Calibri"/>
          <w:color w:val="000000"/>
        </w:rPr>
        <w:t>Assessment of the added value of financial instruments</w:t>
      </w:r>
      <w:bookmarkEnd w:id="906"/>
      <w:bookmarkEnd w:id="907"/>
    </w:p>
    <w:p w14:paraId="314E79CF" w14:textId="77777777" w:rsidR="006D3AD5" w:rsidRPr="0073014D" w:rsidRDefault="006D3AD5" w:rsidP="006D3AD5">
      <w:pPr>
        <w:pStyle w:val="Nadpis4"/>
        <w:rPr>
          <w:rFonts w:ascii="Calibri" w:hAnsi="Calibri"/>
          <w:color w:val="000000"/>
        </w:rPr>
      </w:pPr>
      <w:r>
        <w:rPr>
          <w:rFonts w:ascii="Calibri" w:hAnsi="Calibri"/>
          <w:color w:val="000000"/>
        </w:rPr>
        <w:t>Presentation of standard projects</w:t>
      </w:r>
    </w:p>
    <w:p w14:paraId="2AA3C5A7" w14:textId="7D448EE1" w:rsidR="006D3AD5" w:rsidRPr="0073014D" w:rsidRDefault="006D3AD5" w:rsidP="006D3AD5">
      <w:r>
        <w:t xml:space="preserve">Projects </w:t>
      </w:r>
      <w:r w:rsidR="00685AEF">
        <w:t xml:space="preserve">SO </w:t>
      </w:r>
      <w:r>
        <w:t>3.2 can include a number of cost-saving measures with a different payback period. For illustration two examples are shown: Within the analysis of a potential impact of a public subsidy on the economic balance of the investment project, a variation analysis was prepared, which maps the impacts that can be monitored in the case of the option without public support, subsidy option, option of a soft loan and the option of a soft loan with a subsidy component.</w:t>
      </w:r>
    </w:p>
    <w:p w14:paraId="67E26E22" w14:textId="77777777" w:rsidR="006D3AD5" w:rsidRPr="0073014D" w:rsidRDefault="006D3AD5" w:rsidP="006D3AD5"/>
    <w:p w14:paraId="74A7FFB7" w14:textId="77777777" w:rsidR="006D3AD5" w:rsidRPr="0073014D" w:rsidRDefault="006D3AD5" w:rsidP="006D3AD5">
      <w:r>
        <w:t>The applicant for credit  was a production plant with the intention to invest in the reduction of investment intensity of a one-floor production hall with the expanse of 672m2. It included improvement of insulation qualities of the floor, roof as well as the circumference of the building, including windows, entrances and entries. The energy audit showed physical saving of energy of 74%.</w:t>
      </w:r>
    </w:p>
    <w:p w14:paraId="6C0A08DD" w14:textId="77777777" w:rsidR="006D3AD5" w:rsidRPr="0073014D" w:rsidRDefault="006D3AD5" w:rsidP="006D3AD5"/>
    <w:tbl>
      <w:tblPr>
        <w:tblW w:w="8922" w:type="dxa"/>
        <w:tblInd w:w="55" w:type="dxa"/>
        <w:tblCellMar>
          <w:left w:w="0" w:type="dxa"/>
          <w:right w:w="0" w:type="dxa"/>
        </w:tblCellMar>
        <w:tblLook w:val="00A0" w:firstRow="1" w:lastRow="0" w:firstColumn="1" w:lastColumn="0" w:noHBand="0" w:noVBand="0"/>
      </w:tblPr>
      <w:tblGrid>
        <w:gridCol w:w="2396"/>
        <w:gridCol w:w="1570"/>
        <w:gridCol w:w="1578"/>
        <w:gridCol w:w="1732"/>
        <w:gridCol w:w="1710"/>
      </w:tblGrid>
      <w:tr w:rsidR="006D3AD5" w:rsidRPr="0073014D" w14:paraId="25159CBD" w14:textId="77777777" w:rsidTr="00443B8F">
        <w:trPr>
          <w:trHeight w:val="20"/>
        </w:trPr>
        <w:tc>
          <w:tcPr>
            <w:tcW w:w="2380" w:type="dxa"/>
            <w:tcBorders>
              <w:top w:val="single" w:sz="4" w:space="0" w:color="002776"/>
              <w:left w:val="single" w:sz="4" w:space="0" w:color="002776"/>
              <w:bottom w:val="nil"/>
              <w:right w:val="nil"/>
            </w:tcBorders>
            <w:shd w:val="clear" w:color="000000" w:fill="002776"/>
            <w:noWrap/>
            <w:vAlign w:val="center"/>
          </w:tcPr>
          <w:p w14:paraId="5802EA03" w14:textId="30944AE9" w:rsidR="006D3AD5" w:rsidRPr="0073014D" w:rsidRDefault="006D3AD5" w:rsidP="00443B8F">
            <w:pPr>
              <w:jc w:val="center"/>
              <w:rPr>
                <w:b/>
                <w:bCs/>
                <w:sz w:val="18"/>
                <w:szCs w:val="18"/>
              </w:rPr>
            </w:pPr>
          </w:p>
        </w:tc>
        <w:tc>
          <w:tcPr>
            <w:tcW w:w="1554" w:type="dxa"/>
            <w:tcBorders>
              <w:top w:val="single" w:sz="4" w:space="0" w:color="002776"/>
              <w:left w:val="nil"/>
              <w:bottom w:val="nil"/>
              <w:right w:val="nil"/>
            </w:tcBorders>
            <w:shd w:val="clear" w:color="000000" w:fill="002776"/>
            <w:noWrap/>
            <w:vAlign w:val="bottom"/>
          </w:tcPr>
          <w:p w14:paraId="02D86C4E" w14:textId="77777777" w:rsidR="006D3AD5" w:rsidRPr="0073014D" w:rsidRDefault="006D3AD5" w:rsidP="00443B8F">
            <w:pPr>
              <w:jc w:val="left"/>
              <w:rPr>
                <w:b/>
                <w:bCs/>
                <w:sz w:val="18"/>
                <w:szCs w:val="18"/>
              </w:rPr>
            </w:pPr>
            <w:r>
              <w:rPr>
                <w:b/>
                <w:sz w:val="18"/>
              </w:rPr>
              <w:t> </w:t>
            </w:r>
          </w:p>
        </w:tc>
        <w:tc>
          <w:tcPr>
            <w:tcW w:w="1562" w:type="dxa"/>
            <w:tcBorders>
              <w:top w:val="single" w:sz="4" w:space="0" w:color="002776"/>
              <w:left w:val="nil"/>
              <w:bottom w:val="nil"/>
              <w:right w:val="nil"/>
            </w:tcBorders>
            <w:shd w:val="clear" w:color="000000" w:fill="002776"/>
            <w:noWrap/>
            <w:vAlign w:val="bottom"/>
          </w:tcPr>
          <w:p w14:paraId="43BF9F70" w14:textId="77777777" w:rsidR="006D3AD5" w:rsidRPr="0073014D" w:rsidRDefault="006D3AD5" w:rsidP="00443B8F">
            <w:pPr>
              <w:jc w:val="left"/>
              <w:rPr>
                <w:b/>
                <w:bCs/>
                <w:sz w:val="18"/>
                <w:szCs w:val="18"/>
              </w:rPr>
            </w:pPr>
            <w:r>
              <w:rPr>
                <w:b/>
                <w:sz w:val="18"/>
              </w:rPr>
              <w:t> </w:t>
            </w:r>
          </w:p>
        </w:tc>
        <w:tc>
          <w:tcPr>
            <w:tcW w:w="3426" w:type="dxa"/>
            <w:gridSpan w:val="2"/>
            <w:tcBorders>
              <w:top w:val="single" w:sz="4" w:space="0" w:color="002776"/>
              <w:left w:val="nil"/>
              <w:bottom w:val="single" w:sz="4" w:space="0" w:color="FFFFFF"/>
              <w:right w:val="single" w:sz="4" w:space="0" w:color="002776"/>
            </w:tcBorders>
            <w:shd w:val="clear" w:color="000000" w:fill="002776"/>
            <w:vAlign w:val="bottom"/>
          </w:tcPr>
          <w:p w14:paraId="295460E3" w14:textId="77777777" w:rsidR="006D3AD5" w:rsidRPr="0073014D" w:rsidRDefault="006D3AD5" w:rsidP="00443B8F">
            <w:pPr>
              <w:ind w:left="-678"/>
              <w:jc w:val="right"/>
              <w:rPr>
                <w:b/>
                <w:bCs/>
                <w:i/>
                <w:iCs/>
                <w:sz w:val="18"/>
                <w:szCs w:val="18"/>
              </w:rPr>
            </w:pPr>
            <w:r>
              <w:rPr>
                <w:b/>
                <w:i/>
                <w:sz w:val="18"/>
              </w:rPr>
              <w:t xml:space="preserve">Investments: CZK 2,555,984  </w:t>
            </w:r>
            <w:r>
              <w:br/>
            </w:r>
            <w:r>
              <w:rPr>
                <w:b/>
                <w:i/>
                <w:sz w:val="18"/>
              </w:rPr>
              <w:t xml:space="preserve">Annual income/saving CZK 277,386  </w:t>
            </w:r>
            <w:r>
              <w:br/>
            </w:r>
            <w:r>
              <w:rPr>
                <w:b/>
                <w:i/>
                <w:sz w:val="18"/>
              </w:rPr>
              <w:t xml:space="preserve">Commercial loan - interest rate: 2.50%  Soft loan – interest rate: 1.50 % </w:t>
            </w:r>
          </w:p>
        </w:tc>
      </w:tr>
      <w:tr w:rsidR="006D3AD5" w:rsidRPr="0073014D" w14:paraId="17C7B8AB" w14:textId="77777777" w:rsidTr="00443B8F">
        <w:trPr>
          <w:trHeight w:val="20"/>
        </w:trPr>
        <w:tc>
          <w:tcPr>
            <w:tcW w:w="2380" w:type="dxa"/>
            <w:tcBorders>
              <w:top w:val="nil"/>
              <w:left w:val="single" w:sz="4" w:space="0" w:color="002776"/>
              <w:bottom w:val="single" w:sz="4" w:space="0" w:color="002776"/>
              <w:right w:val="nil"/>
            </w:tcBorders>
            <w:shd w:val="clear" w:color="000000" w:fill="002776"/>
            <w:noWrap/>
            <w:vAlign w:val="center"/>
          </w:tcPr>
          <w:p w14:paraId="492AC1F2" w14:textId="77777777" w:rsidR="006D3AD5" w:rsidRPr="0073014D" w:rsidRDefault="006D3AD5" w:rsidP="00443B8F">
            <w:pPr>
              <w:jc w:val="left"/>
              <w:rPr>
                <w:b/>
                <w:bCs/>
                <w:sz w:val="18"/>
                <w:szCs w:val="18"/>
              </w:rPr>
            </w:pPr>
            <w:r>
              <w:rPr>
                <w:b/>
                <w:sz w:val="18"/>
              </w:rPr>
              <w:t> </w:t>
            </w:r>
          </w:p>
        </w:tc>
        <w:tc>
          <w:tcPr>
            <w:tcW w:w="1554" w:type="dxa"/>
            <w:tcBorders>
              <w:top w:val="single" w:sz="4" w:space="0" w:color="FFFFFF"/>
              <w:left w:val="nil"/>
              <w:bottom w:val="single" w:sz="4" w:space="0" w:color="002776"/>
              <w:right w:val="nil"/>
            </w:tcBorders>
            <w:shd w:val="clear" w:color="000000" w:fill="002776"/>
            <w:noWrap/>
            <w:vAlign w:val="center"/>
          </w:tcPr>
          <w:p w14:paraId="085F3F1A" w14:textId="77777777" w:rsidR="006D3AD5" w:rsidRPr="0073014D" w:rsidRDefault="006D3AD5" w:rsidP="00443B8F">
            <w:pPr>
              <w:jc w:val="center"/>
              <w:rPr>
                <w:b/>
                <w:bCs/>
                <w:sz w:val="18"/>
                <w:szCs w:val="18"/>
              </w:rPr>
            </w:pPr>
            <w:r>
              <w:rPr>
                <w:b/>
                <w:sz w:val="18"/>
              </w:rPr>
              <w:t>100% market loan</w:t>
            </w:r>
          </w:p>
        </w:tc>
        <w:tc>
          <w:tcPr>
            <w:tcW w:w="1562" w:type="dxa"/>
            <w:tcBorders>
              <w:top w:val="single" w:sz="4" w:space="0" w:color="FFFFFF"/>
              <w:left w:val="nil"/>
              <w:bottom w:val="single" w:sz="4" w:space="0" w:color="002776"/>
              <w:right w:val="nil"/>
            </w:tcBorders>
            <w:shd w:val="clear" w:color="000000" w:fill="002776"/>
            <w:vAlign w:val="center"/>
          </w:tcPr>
          <w:p w14:paraId="49048849" w14:textId="77777777" w:rsidR="006D3AD5" w:rsidRPr="0073014D" w:rsidRDefault="006D3AD5" w:rsidP="00443B8F">
            <w:pPr>
              <w:jc w:val="center"/>
              <w:rPr>
                <w:b/>
                <w:bCs/>
                <w:sz w:val="18"/>
                <w:szCs w:val="18"/>
              </w:rPr>
            </w:pPr>
            <w:r>
              <w:rPr>
                <w:b/>
                <w:sz w:val="18"/>
              </w:rPr>
              <w:t>50% market loan, 50% subsidy</w:t>
            </w:r>
          </w:p>
        </w:tc>
        <w:tc>
          <w:tcPr>
            <w:tcW w:w="1724" w:type="dxa"/>
            <w:tcBorders>
              <w:top w:val="nil"/>
              <w:left w:val="nil"/>
              <w:bottom w:val="single" w:sz="4" w:space="0" w:color="002776"/>
              <w:right w:val="nil"/>
            </w:tcBorders>
            <w:shd w:val="clear" w:color="000000" w:fill="002776"/>
            <w:vAlign w:val="center"/>
          </w:tcPr>
          <w:p w14:paraId="4DED2911" w14:textId="77777777" w:rsidR="006D3AD5" w:rsidRPr="0073014D" w:rsidRDefault="006D3AD5" w:rsidP="00443B8F">
            <w:pPr>
              <w:jc w:val="center"/>
              <w:rPr>
                <w:b/>
                <w:bCs/>
                <w:sz w:val="18"/>
                <w:szCs w:val="18"/>
              </w:rPr>
            </w:pPr>
            <w:r>
              <w:rPr>
                <w:b/>
                <w:sz w:val="18"/>
              </w:rPr>
              <w:t>20% subsidy, 80% soft loan</w:t>
            </w:r>
          </w:p>
        </w:tc>
        <w:tc>
          <w:tcPr>
            <w:tcW w:w="1702" w:type="dxa"/>
            <w:tcBorders>
              <w:top w:val="nil"/>
              <w:left w:val="nil"/>
              <w:bottom w:val="single" w:sz="4" w:space="0" w:color="002776"/>
              <w:right w:val="single" w:sz="4" w:space="0" w:color="002776"/>
            </w:tcBorders>
            <w:shd w:val="clear" w:color="000000" w:fill="002776"/>
            <w:vAlign w:val="center"/>
          </w:tcPr>
          <w:p w14:paraId="1E4D5522" w14:textId="77777777" w:rsidR="006D3AD5" w:rsidRPr="0073014D" w:rsidRDefault="006D3AD5" w:rsidP="00443B8F">
            <w:pPr>
              <w:jc w:val="center"/>
              <w:rPr>
                <w:b/>
                <w:bCs/>
                <w:sz w:val="18"/>
                <w:szCs w:val="18"/>
              </w:rPr>
            </w:pPr>
            <w:r>
              <w:rPr>
                <w:b/>
                <w:sz w:val="18"/>
              </w:rPr>
              <w:t>100%  soft loan</w:t>
            </w:r>
          </w:p>
        </w:tc>
      </w:tr>
      <w:tr w:rsidR="006D3AD5" w:rsidRPr="0073014D" w14:paraId="6BB1C15A" w14:textId="77777777" w:rsidTr="00443B8F">
        <w:trPr>
          <w:trHeight w:val="20"/>
        </w:trPr>
        <w:tc>
          <w:tcPr>
            <w:tcW w:w="2380" w:type="dxa"/>
            <w:tcBorders>
              <w:top w:val="nil"/>
              <w:left w:val="single" w:sz="4" w:space="0" w:color="002776"/>
              <w:bottom w:val="single" w:sz="4" w:space="0" w:color="002776"/>
              <w:right w:val="nil"/>
            </w:tcBorders>
            <w:noWrap/>
            <w:vAlign w:val="center"/>
          </w:tcPr>
          <w:p w14:paraId="64043E41" w14:textId="77777777" w:rsidR="006D3AD5" w:rsidRPr="0073014D" w:rsidRDefault="006D3AD5" w:rsidP="00443B8F">
            <w:pPr>
              <w:jc w:val="left"/>
              <w:rPr>
                <w:sz w:val="18"/>
                <w:szCs w:val="18"/>
              </w:rPr>
            </w:pPr>
            <w:r>
              <w:rPr>
                <w:sz w:val="18"/>
              </w:rPr>
              <w:t>Internal rate of return (IRR)</w:t>
            </w:r>
          </w:p>
        </w:tc>
        <w:tc>
          <w:tcPr>
            <w:tcW w:w="1554" w:type="dxa"/>
            <w:tcBorders>
              <w:top w:val="nil"/>
              <w:left w:val="nil"/>
              <w:bottom w:val="single" w:sz="4" w:space="0" w:color="002776"/>
              <w:right w:val="nil"/>
            </w:tcBorders>
            <w:noWrap/>
            <w:vAlign w:val="center"/>
          </w:tcPr>
          <w:p w14:paraId="11D51E0E" w14:textId="77777777" w:rsidR="006D3AD5" w:rsidRPr="0073014D" w:rsidRDefault="006D3AD5" w:rsidP="00443B8F">
            <w:pPr>
              <w:jc w:val="center"/>
              <w:rPr>
                <w:sz w:val="18"/>
                <w:szCs w:val="18"/>
              </w:rPr>
            </w:pPr>
            <w:r>
              <w:t>8.87%</w:t>
            </w:r>
          </w:p>
        </w:tc>
        <w:tc>
          <w:tcPr>
            <w:tcW w:w="1562" w:type="dxa"/>
            <w:tcBorders>
              <w:top w:val="nil"/>
              <w:left w:val="nil"/>
              <w:bottom w:val="single" w:sz="4" w:space="0" w:color="002776"/>
              <w:right w:val="nil"/>
            </w:tcBorders>
            <w:noWrap/>
            <w:vAlign w:val="center"/>
          </w:tcPr>
          <w:p w14:paraId="37EEBBC7" w14:textId="77777777" w:rsidR="006D3AD5" w:rsidRPr="0073014D" w:rsidRDefault="006D3AD5" w:rsidP="00443B8F">
            <w:pPr>
              <w:jc w:val="center"/>
              <w:rPr>
                <w:sz w:val="18"/>
                <w:szCs w:val="18"/>
              </w:rPr>
            </w:pPr>
            <w:r>
              <w:t>21.24%</w:t>
            </w:r>
          </w:p>
        </w:tc>
        <w:tc>
          <w:tcPr>
            <w:tcW w:w="1724" w:type="dxa"/>
            <w:tcBorders>
              <w:top w:val="nil"/>
              <w:left w:val="nil"/>
              <w:bottom w:val="single" w:sz="4" w:space="0" w:color="002776"/>
              <w:right w:val="nil"/>
            </w:tcBorders>
            <w:noWrap/>
            <w:vAlign w:val="center"/>
          </w:tcPr>
          <w:p w14:paraId="5CA6A013" w14:textId="77777777" w:rsidR="006D3AD5" w:rsidRPr="0073014D" w:rsidRDefault="006D3AD5" w:rsidP="00443B8F">
            <w:pPr>
              <w:jc w:val="center"/>
              <w:rPr>
                <w:sz w:val="18"/>
                <w:szCs w:val="18"/>
              </w:rPr>
            </w:pPr>
            <w:r>
              <w:t>12.21%</w:t>
            </w:r>
          </w:p>
        </w:tc>
        <w:tc>
          <w:tcPr>
            <w:tcW w:w="1702" w:type="dxa"/>
            <w:tcBorders>
              <w:top w:val="nil"/>
              <w:left w:val="nil"/>
              <w:bottom w:val="single" w:sz="4" w:space="0" w:color="002776"/>
              <w:right w:val="single" w:sz="4" w:space="0" w:color="002776"/>
            </w:tcBorders>
            <w:noWrap/>
            <w:vAlign w:val="center"/>
          </w:tcPr>
          <w:p w14:paraId="7F57F07C" w14:textId="77777777" w:rsidR="006D3AD5" w:rsidRPr="0073014D" w:rsidRDefault="006D3AD5" w:rsidP="00443B8F">
            <w:pPr>
              <w:jc w:val="center"/>
              <w:rPr>
                <w:sz w:val="18"/>
                <w:szCs w:val="18"/>
              </w:rPr>
            </w:pPr>
            <w:r>
              <w:t>8.87%</w:t>
            </w:r>
          </w:p>
        </w:tc>
      </w:tr>
      <w:tr w:rsidR="006D3AD5" w:rsidRPr="0073014D" w14:paraId="69835DBD" w14:textId="77777777" w:rsidTr="00443B8F">
        <w:trPr>
          <w:trHeight w:val="20"/>
        </w:trPr>
        <w:tc>
          <w:tcPr>
            <w:tcW w:w="2380" w:type="dxa"/>
            <w:tcBorders>
              <w:top w:val="nil"/>
              <w:left w:val="single" w:sz="4" w:space="0" w:color="002776"/>
              <w:bottom w:val="single" w:sz="4" w:space="0" w:color="002776"/>
              <w:right w:val="nil"/>
            </w:tcBorders>
            <w:noWrap/>
            <w:vAlign w:val="center"/>
          </w:tcPr>
          <w:p w14:paraId="1D5380B9" w14:textId="77777777" w:rsidR="006D3AD5" w:rsidRPr="0073014D" w:rsidRDefault="006D3AD5" w:rsidP="00443B8F">
            <w:pPr>
              <w:jc w:val="left"/>
              <w:rPr>
                <w:sz w:val="18"/>
                <w:szCs w:val="18"/>
              </w:rPr>
            </w:pPr>
            <w:r>
              <w:rPr>
                <w:sz w:val="18"/>
              </w:rPr>
              <w:t>Net present value (NPV in CZK)</w:t>
            </w:r>
          </w:p>
        </w:tc>
        <w:tc>
          <w:tcPr>
            <w:tcW w:w="1554" w:type="dxa"/>
            <w:tcBorders>
              <w:top w:val="nil"/>
              <w:left w:val="nil"/>
              <w:bottom w:val="single" w:sz="4" w:space="0" w:color="002776"/>
              <w:right w:val="nil"/>
            </w:tcBorders>
            <w:noWrap/>
            <w:vAlign w:val="center"/>
          </w:tcPr>
          <w:p w14:paraId="277E09C2" w14:textId="77777777" w:rsidR="006D3AD5" w:rsidRPr="0073014D" w:rsidRDefault="006D3AD5" w:rsidP="00443B8F">
            <w:pPr>
              <w:jc w:val="center"/>
              <w:rPr>
                <w:sz w:val="18"/>
                <w:szCs w:val="18"/>
              </w:rPr>
            </w:pPr>
            <w:r>
              <w:t>1,725,103</w:t>
            </w:r>
          </w:p>
        </w:tc>
        <w:tc>
          <w:tcPr>
            <w:tcW w:w="1562" w:type="dxa"/>
            <w:tcBorders>
              <w:top w:val="nil"/>
              <w:left w:val="nil"/>
              <w:bottom w:val="single" w:sz="4" w:space="0" w:color="002776"/>
              <w:right w:val="nil"/>
            </w:tcBorders>
            <w:noWrap/>
            <w:vAlign w:val="center"/>
          </w:tcPr>
          <w:p w14:paraId="29491512" w14:textId="77777777" w:rsidR="006D3AD5" w:rsidRPr="0073014D" w:rsidRDefault="006D3AD5" w:rsidP="00443B8F">
            <w:pPr>
              <w:jc w:val="center"/>
              <w:rPr>
                <w:sz w:val="18"/>
                <w:szCs w:val="18"/>
              </w:rPr>
            </w:pPr>
            <w:r>
              <w:t>2,971,925</w:t>
            </w:r>
          </w:p>
        </w:tc>
        <w:tc>
          <w:tcPr>
            <w:tcW w:w="1724" w:type="dxa"/>
            <w:tcBorders>
              <w:top w:val="nil"/>
              <w:left w:val="nil"/>
              <w:bottom w:val="single" w:sz="4" w:space="0" w:color="002776"/>
              <w:right w:val="nil"/>
            </w:tcBorders>
            <w:noWrap/>
            <w:vAlign w:val="center"/>
          </w:tcPr>
          <w:p w14:paraId="73BA12DA" w14:textId="77777777" w:rsidR="006D3AD5" w:rsidRPr="0073014D" w:rsidRDefault="006D3AD5" w:rsidP="00443B8F">
            <w:pPr>
              <w:jc w:val="center"/>
              <w:rPr>
                <w:sz w:val="18"/>
                <w:szCs w:val="18"/>
              </w:rPr>
            </w:pPr>
            <w:r>
              <w:t>2,677,392</w:t>
            </w:r>
          </w:p>
        </w:tc>
        <w:tc>
          <w:tcPr>
            <w:tcW w:w="1702" w:type="dxa"/>
            <w:tcBorders>
              <w:top w:val="nil"/>
              <w:left w:val="nil"/>
              <w:bottom w:val="single" w:sz="4" w:space="0" w:color="002776"/>
              <w:right w:val="single" w:sz="4" w:space="0" w:color="002776"/>
            </w:tcBorders>
            <w:noWrap/>
            <w:vAlign w:val="center"/>
          </w:tcPr>
          <w:p w14:paraId="447221B1" w14:textId="77777777" w:rsidR="006D3AD5" w:rsidRPr="0073014D" w:rsidRDefault="006D3AD5" w:rsidP="00443B8F">
            <w:pPr>
              <w:jc w:val="center"/>
              <w:rPr>
                <w:sz w:val="18"/>
                <w:szCs w:val="18"/>
              </w:rPr>
            </w:pPr>
            <w:r>
              <w:t>2,173,749</w:t>
            </w:r>
          </w:p>
        </w:tc>
      </w:tr>
      <w:tr w:rsidR="006D3AD5" w:rsidRPr="0073014D" w14:paraId="24FAB234" w14:textId="77777777" w:rsidTr="00443B8F">
        <w:trPr>
          <w:trHeight w:val="20"/>
        </w:trPr>
        <w:tc>
          <w:tcPr>
            <w:tcW w:w="2380" w:type="dxa"/>
            <w:tcBorders>
              <w:top w:val="nil"/>
              <w:left w:val="single" w:sz="4" w:space="0" w:color="002776"/>
              <w:bottom w:val="single" w:sz="4" w:space="0" w:color="002776"/>
              <w:right w:val="nil"/>
            </w:tcBorders>
            <w:noWrap/>
            <w:vAlign w:val="center"/>
          </w:tcPr>
          <w:p w14:paraId="6FAFFEB6" w14:textId="77777777" w:rsidR="006D3AD5" w:rsidRPr="0073014D" w:rsidRDefault="006D3AD5" w:rsidP="00443B8F">
            <w:pPr>
              <w:jc w:val="left"/>
              <w:rPr>
                <w:sz w:val="18"/>
                <w:szCs w:val="18"/>
              </w:rPr>
            </w:pPr>
            <w:r>
              <w:rPr>
                <w:sz w:val="18"/>
              </w:rPr>
              <w:t>Simple payback period (years)</w:t>
            </w:r>
          </w:p>
        </w:tc>
        <w:tc>
          <w:tcPr>
            <w:tcW w:w="1554" w:type="dxa"/>
            <w:tcBorders>
              <w:top w:val="nil"/>
              <w:left w:val="nil"/>
              <w:bottom w:val="single" w:sz="4" w:space="0" w:color="002776"/>
              <w:right w:val="nil"/>
            </w:tcBorders>
            <w:noWrap/>
            <w:vAlign w:val="center"/>
          </w:tcPr>
          <w:p w14:paraId="4DCB9144" w14:textId="77777777" w:rsidR="006D3AD5" w:rsidRPr="0073014D" w:rsidRDefault="006D3AD5" w:rsidP="00443B8F">
            <w:pPr>
              <w:jc w:val="center"/>
              <w:rPr>
                <w:sz w:val="18"/>
                <w:szCs w:val="18"/>
              </w:rPr>
            </w:pPr>
            <w:r>
              <w:t>9.21</w:t>
            </w:r>
          </w:p>
        </w:tc>
        <w:tc>
          <w:tcPr>
            <w:tcW w:w="1562" w:type="dxa"/>
            <w:tcBorders>
              <w:top w:val="nil"/>
              <w:left w:val="nil"/>
              <w:bottom w:val="single" w:sz="4" w:space="0" w:color="002776"/>
              <w:right w:val="nil"/>
            </w:tcBorders>
            <w:noWrap/>
            <w:vAlign w:val="center"/>
          </w:tcPr>
          <w:p w14:paraId="1590AF01" w14:textId="77777777" w:rsidR="006D3AD5" w:rsidRPr="0073014D" w:rsidRDefault="006D3AD5" w:rsidP="00443B8F">
            <w:pPr>
              <w:jc w:val="center"/>
              <w:rPr>
                <w:sz w:val="18"/>
                <w:szCs w:val="18"/>
              </w:rPr>
            </w:pPr>
            <w:r>
              <w:t>4.61</w:t>
            </w:r>
          </w:p>
        </w:tc>
        <w:tc>
          <w:tcPr>
            <w:tcW w:w="1724" w:type="dxa"/>
            <w:tcBorders>
              <w:top w:val="nil"/>
              <w:left w:val="nil"/>
              <w:bottom w:val="single" w:sz="4" w:space="0" w:color="002776"/>
              <w:right w:val="nil"/>
            </w:tcBorders>
            <w:noWrap/>
            <w:vAlign w:val="center"/>
          </w:tcPr>
          <w:p w14:paraId="6A966FE9" w14:textId="77777777" w:rsidR="006D3AD5" w:rsidRPr="0073014D" w:rsidRDefault="006D3AD5" w:rsidP="00443B8F">
            <w:pPr>
              <w:jc w:val="center"/>
              <w:rPr>
                <w:sz w:val="18"/>
                <w:szCs w:val="18"/>
              </w:rPr>
            </w:pPr>
            <w:r>
              <w:t>7.37</w:t>
            </w:r>
          </w:p>
        </w:tc>
        <w:tc>
          <w:tcPr>
            <w:tcW w:w="1702" w:type="dxa"/>
            <w:tcBorders>
              <w:top w:val="nil"/>
              <w:left w:val="nil"/>
              <w:bottom w:val="single" w:sz="4" w:space="0" w:color="002776"/>
              <w:right w:val="single" w:sz="4" w:space="0" w:color="002776"/>
            </w:tcBorders>
            <w:noWrap/>
            <w:vAlign w:val="center"/>
          </w:tcPr>
          <w:p w14:paraId="2850207A" w14:textId="77777777" w:rsidR="006D3AD5" w:rsidRPr="0073014D" w:rsidRDefault="006D3AD5" w:rsidP="00443B8F">
            <w:pPr>
              <w:jc w:val="center"/>
              <w:rPr>
                <w:sz w:val="18"/>
                <w:szCs w:val="18"/>
              </w:rPr>
            </w:pPr>
            <w:r>
              <w:t>9.21</w:t>
            </w:r>
          </w:p>
        </w:tc>
      </w:tr>
      <w:tr w:rsidR="006D3AD5" w:rsidRPr="0073014D" w14:paraId="291A6D5A" w14:textId="77777777" w:rsidTr="00443B8F">
        <w:trPr>
          <w:trHeight w:val="20"/>
        </w:trPr>
        <w:tc>
          <w:tcPr>
            <w:tcW w:w="2380" w:type="dxa"/>
            <w:tcBorders>
              <w:top w:val="nil"/>
              <w:left w:val="single" w:sz="4" w:space="0" w:color="002776"/>
              <w:bottom w:val="single" w:sz="4" w:space="0" w:color="002776"/>
              <w:right w:val="nil"/>
            </w:tcBorders>
            <w:noWrap/>
            <w:vAlign w:val="center"/>
          </w:tcPr>
          <w:p w14:paraId="40932C1D" w14:textId="77777777" w:rsidR="006D3AD5" w:rsidRPr="0073014D" w:rsidRDefault="006D3AD5" w:rsidP="00443B8F">
            <w:pPr>
              <w:jc w:val="left"/>
              <w:rPr>
                <w:sz w:val="18"/>
                <w:szCs w:val="18"/>
              </w:rPr>
            </w:pPr>
            <w:r>
              <w:rPr>
                <w:sz w:val="18"/>
              </w:rPr>
              <w:t>Discounted payback period (years)</w:t>
            </w:r>
          </w:p>
        </w:tc>
        <w:tc>
          <w:tcPr>
            <w:tcW w:w="1554" w:type="dxa"/>
            <w:tcBorders>
              <w:top w:val="nil"/>
              <w:left w:val="nil"/>
              <w:bottom w:val="single" w:sz="4" w:space="0" w:color="002776"/>
              <w:right w:val="nil"/>
            </w:tcBorders>
            <w:noWrap/>
            <w:vAlign w:val="center"/>
          </w:tcPr>
          <w:p w14:paraId="6910295A" w14:textId="77777777" w:rsidR="006D3AD5" w:rsidRPr="0073014D" w:rsidRDefault="006D3AD5" w:rsidP="00443B8F">
            <w:pPr>
              <w:jc w:val="center"/>
              <w:rPr>
                <w:sz w:val="18"/>
                <w:szCs w:val="18"/>
              </w:rPr>
            </w:pPr>
            <w:r>
              <w:t>10.6</w:t>
            </w:r>
          </w:p>
        </w:tc>
        <w:tc>
          <w:tcPr>
            <w:tcW w:w="1562" w:type="dxa"/>
            <w:tcBorders>
              <w:top w:val="nil"/>
              <w:left w:val="nil"/>
              <w:bottom w:val="single" w:sz="4" w:space="0" w:color="002776"/>
              <w:right w:val="nil"/>
            </w:tcBorders>
            <w:noWrap/>
            <w:vAlign w:val="center"/>
          </w:tcPr>
          <w:p w14:paraId="2C0F5337" w14:textId="77777777" w:rsidR="006D3AD5" w:rsidRPr="0073014D" w:rsidRDefault="006D3AD5" w:rsidP="00443B8F">
            <w:pPr>
              <w:jc w:val="center"/>
              <w:rPr>
                <w:sz w:val="18"/>
                <w:szCs w:val="18"/>
              </w:rPr>
            </w:pPr>
            <w:r>
              <w:t>4.9</w:t>
            </w:r>
          </w:p>
        </w:tc>
        <w:tc>
          <w:tcPr>
            <w:tcW w:w="1724" w:type="dxa"/>
            <w:tcBorders>
              <w:top w:val="nil"/>
              <w:left w:val="nil"/>
              <w:bottom w:val="single" w:sz="4" w:space="0" w:color="002776"/>
              <w:right w:val="nil"/>
            </w:tcBorders>
            <w:noWrap/>
            <w:vAlign w:val="center"/>
          </w:tcPr>
          <w:p w14:paraId="62F81F93" w14:textId="77777777" w:rsidR="006D3AD5" w:rsidRPr="0073014D" w:rsidRDefault="006D3AD5" w:rsidP="00443B8F">
            <w:pPr>
              <w:jc w:val="center"/>
              <w:rPr>
                <w:sz w:val="18"/>
                <w:szCs w:val="18"/>
              </w:rPr>
            </w:pPr>
            <w:r>
              <w:t>7.9</w:t>
            </w:r>
          </w:p>
        </w:tc>
        <w:tc>
          <w:tcPr>
            <w:tcW w:w="1702" w:type="dxa"/>
            <w:tcBorders>
              <w:top w:val="nil"/>
              <w:left w:val="nil"/>
              <w:bottom w:val="single" w:sz="4" w:space="0" w:color="002776"/>
              <w:right w:val="single" w:sz="4" w:space="0" w:color="002776"/>
            </w:tcBorders>
            <w:noWrap/>
            <w:vAlign w:val="center"/>
          </w:tcPr>
          <w:p w14:paraId="63E025E3" w14:textId="77777777" w:rsidR="006D3AD5" w:rsidRPr="0073014D" w:rsidRDefault="006D3AD5" w:rsidP="00443B8F">
            <w:pPr>
              <w:keepNext/>
              <w:jc w:val="center"/>
              <w:rPr>
                <w:sz w:val="18"/>
                <w:szCs w:val="18"/>
              </w:rPr>
            </w:pPr>
            <w:r>
              <w:t>9.99</w:t>
            </w:r>
          </w:p>
        </w:tc>
      </w:tr>
    </w:tbl>
    <w:p w14:paraId="75E1E125" w14:textId="440AA9B5" w:rsidR="006D3AD5" w:rsidRPr="0073014D" w:rsidRDefault="006D3AD5" w:rsidP="00685AEF">
      <w:pPr>
        <w:pStyle w:val="Titulek"/>
      </w:pPr>
      <w:r>
        <w:t xml:space="preserve">Table </w:t>
      </w:r>
      <w:r w:rsidR="00A9664A">
        <w:t>79</w:t>
      </w:r>
      <w:r w:rsidR="00125522">
        <w:t xml:space="preserve"> </w:t>
      </w:r>
      <w:r>
        <w:t>– Influence of the support on the project economy</w:t>
      </w:r>
    </w:p>
    <w:p w14:paraId="75874545" w14:textId="77777777" w:rsidR="006D3AD5" w:rsidRPr="0073014D" w:rsidRDefault="006D3AD5" w:rsidP="006D3AD5"/>
    <w:p w14:paraId="61795995" w14:textId="77777777" w:rsidR="006D3AD5" w:rsidRPr="0073014D" w:rsidRDefault="006D3AD5" w:rsidP="006D3AD5">
      <w:pPr>
        <w:pStyle w:val="BodyText1"/>
        <w:jc w:val="both"/>
        <w:rPr>
          <w:rFonts w:ascii="Calibri" w:hAnsi="Calibri"/>
        </w:rPr>
      </w:pPr>
      <w:r>
        <w:rPr>
          <w:rFonts w:ascii="Calibri" w:hAnsi="Calibri"/>
        </w:rPr>
        <w:t>The subject matter of the standard project No. 2 is utilisation of waste heat of furnaces for the preparation of hot industrial water and for heating the operation in the two-floor brick building supported in the OPEI. The company operating in  real estates is a medium-size enterprise, which deals with bakery production. The investment expects reduction of energy consumption by 8.38%, which will bring the saving of 178,200CZK/year and reduction of emissions by 25t annually. Eligible costs for implantation amount to CZK 1.37 million. Total costs, including VAT, the energy audit (CZK 40,000) and consulting services (CZK 39,000) amount to almost CZK 1.74 million. The amount of subsidy was paid after the completion of the investment in the amount of 40% of eligible costs, the remaining part was paid by the final user from own resources and a bank loan.</w:t>
      </w:r>
    </w:p>
    <w:p w14:paraId="076E8A2A" w14:textId="77777777" w:rsidR="006D3AD5" w:rsidRPr="0073014D" w:rsidRDefault="006D3AD5" w:rsidP="006D3AD5">
      <w:pPr>
        <w:pStyle w:val="BodyText1"/>
        <w:jc w:val="both"/>
        <w:rPr>
          <w:rFonts w:ascii="Calibri" w:hAnsi="Calibri"/>
        </w:rPr>
      </w:pPr>
    </w:p>
    <w:tbl>
      <w:tblPr>
        <w:tblW w:w="9025" w:type="dxa"/>
        <w:tblInd w:w="55" w:type="dxa"/>
        <w:tblCellMar>
          <w:left w:w="0" w:type="dxa"/>
          <w:right w:w="0" w:type="dxa"/>
        </w:tblCellMar>
        <w:tblLook w:val="04A0" w:firstRow="1" w:lastRow="0" w:firstColumn="1" w:lastColumn="0" w:noHBand="0" w:noVBand="1"/>
      </w:tblPr>
      <w:tblGrid>
        <w:gridCol w:w="2411"/>
        <w:gridCol w:w="1584"/>
        <w:gridCol w:w="1584"/>
        <w:gridCol w:w="1754"/>
        <w:gridCol w:w="1732"/>
      </w:tblGrid>
      <w:tr w:rsidR="006D3AD5" w:rsidRPr="0073014D" w14:paraId="09C26B9F" w14:textId="77777777" w:rsidTr="00443B8F">
        <w:trPr>
          <w:trHeight w:val="1080"/>
        </w:trPr>
        <w:tc>
          <w:tcPr>
            <w:tcW w:w="2403" w:type="dxa"/>
            <w:tcBorders>
              <w:top w:val="single" w:sz="4" w:space="0" w:color="002776"/>
              <w:left w:val="single" w:sz="4" w:space="0" w:color="002776"/>
              <w:bottom w:val="nil"/>
              <w:right w:val="nil"/>
            </w:tcBorders>
            <w:shd w:val="clear" w:color="000000" w:fill="002776"/>
            <w:noWrap/>
            <w:vAlign w:val="center"/>
          </w:tcPr>
          <w:p w14:paraId="36B7295A" w14:textId="47729988" w:rsidR="006D3AD5" w:rsidRPr="0073014D" w:rsidRDefault="006D3AD5" w:rsidP="00443B8F">
            <w:pPr>
              <w:keepNext/>
              <w:keepLines/>
              <w:jc w:val="center"/>
              <w:rPr>
                <w:b/>
                <w:bCs/>
                <w:sz w:val="18"/>
                <w:szCs w:val="18"/>
              </w:rPr>
            </w:pPr>
          </w:p>
        </w:tc>
        <w:tc>
          <w:tcPr>
            <w:tcW w:w="6622" w:type="dxa"/>
            <w:gridSpan w:val="4"/>
            <w:tcBorders>
              <w:top w:val="single" w:sz="4" w:space="0" w:color="002776"/>
              <w:left w:val="nil"/>
              <w:bottom w:val="single" w:sz="4" w:space="0" w:color="FFFFFF"/>
              <w:right w:val="single" w:sz="4" w:space="0" w:color="002776"/>
            </w:tcBorders>
            <w:shd w:val="clear" w:color="000000" w:fill="002776"/>
            <w:noWrap/>
            <w:vAlign w:val="bottom"/>
          </w:tcPr>
          <w:p w14:paraId="2BBA2F19" w14:textId="77777777" w:rsidR="006D3AD5" w:rsidRPr="0073014D" w:rsidRDefault="006D3AD5" w:rsidP="00443B8F">
            <w:pPr>
              <w:keepNext/>
              <w:keepLines/>
              <w:jc w:val="left"/>
              <w:rPr>
                <w:b/>
                <w:bCs/>
                <w:sz w:val="18"/>
                <w:szCs w:val="18"/>
              </w:rPr>
            </w:pPr>
          </w:p>
          <w:p w14:paraId="20AD9DE9" w14:textId="77777777" w:rsidR="006D3AD5" w:rsidRPr="0073014D" w:rsidRDefault="006D3AD5" w:rsidP="00443B8F">
            <w:pPr>
              <w:keepNext/>
              <w:keepLines/>
              <w:jc w:val="right"/>
              <w:rPr>
                <w:b/>
                <w:bCs/>
                <w:i/>
                <w:iCs/>
                <w:sz w:val="18"/>
                <w:szCs w:val="18"/>
              </w:rPr>
            </w:pPr>
            <w:r>
              <w:rPr>
                <w:b/>
                <w:i/>
                <w:sz w:val="18"/>
              </w:rPr>
              <w:t xml:space="preserve">Investments: CZK 1,370,000 </w:t>
            </w:r>
            <w:r>
              <w:br/>
            </w:r>
            <w:r>
              <w:rPr>
                <w:b/>
                <w:i/>
                <w:sz w:val="18"/>
              </w:rPr>
              <w:t xml:space="preserve">Annual operating income/saving: CZK 178,200 </w:t>
            </w:r>
            <w:r>
              <w:br/>
            </w:r>
            <w:r>
              <w:rPr>
                <w:b/>
                <w:i/>
                <w:sz w:val="18"/>
              </w:rPr>
              <w:t xml:space="preserve">Commercial loan - interest rate: 4.0 % </w:t>
            </w:r>
          </w:p>
          <w:p w14:paraId="3F8FC697" w14:textId="77777777" w:rsidR="006D3AD5" w:rsidRPr="0073014D" w:rsidRDefault="006D3AD5" w:rsidP="00443B8F">
            <w:pPr>
              <w:keepNext/>
              <w:keepLines/>
              <w:jc w:val="right"/>
              <w:rPr>
                <w:b/>
                <w:bCs/>
                <w:i/>
                <w:iCs/>
                <w:sz w:val="18"/>
                <w:szCs w:val="18"/>
              </w:rPr>
            </w:pPr>
            <w:r>
              <w:rPr>
                <w:b/>
                <w:i/>
                <w:sz w:val="18"/>
              </w:rPr>
              <w:t xml:space="preserve">Soft loan: interest rate: 1.0 %  </w:t>
            </w:r>
          </w:p>
        </w:tc>
      </w:tr>
      <w:tr w:rsidR="006D3AD5" w:rsidRPr="0073014D" w14:paraId="4FF42416" w14:textId="77777777" w:rsidTr="00443B8F">
        <w:trPr>
          <w:trHeight w:val="20"/>
        </w:trPr>
        <w:tc>
          <w:tcPr>
            <w:tcW w:w="2403" w:type="dxa"/>
            <w:tcBorders>
              <w:top w:val="nil"/>
              <w:left w:val="single" w:sz="4" w:space="0" w:color="002776"/>
              <w:bottom w:val="single" w:sz="4" w:space="0" w:color="002776"/>
              <w:right w:val="nil"/>
            </w:tcBorders>
            <w:shd w:val="clear" w:color="000000" w:fill="002776"/>
            <w:noWrap/>
            <w:vAlign w:val="center"/>
          </w:tcPr>
          <w:p w14:paraId="02A7614C" w14:textId="77777777" w:rsidR="006D3AD5" w:rsidRPr="0073014D" w:rsidRDefault="006D3AD5" w:rsidP="00443B8F">
            <w:pPr>
              <w:keepNext/>
              <w:keepLines/>
              <w:jc w:val="left"/>
              <w:rPr>
                <w:b/>
                <w:bCs/>
                <w:sz w:val="18"/>
                <w:szCs w:val="18"/>
              </w:rPr>
            </w:pPr>
            <w:r>
              <w:rPr>
                <w:b/>
                <w:sz w:val="18"/>
              </w:rPr>
              <w:t> </w:t>
            </w:r>
          </w:p>
        </w:tc>
        <w:tc>
          <w:tcPr>
            <w:tcW w:w="1576" w:type="dxa"/>
            <w:tcBorders>
              <w:top w:val="single" w:sz="4" w:space="0" w:color="FFFFFF"/>
              <w:left w:val="nil"/>
              <w:bottom w:val="single" w:sz="4" w:space="0" w:color="002776"/>
              <w:right w:val="nil"/>
            </w:tcBorders>
            <w:shd w:val="clear" w:color="000000" w:fill="002776"/>
            <w:noWrap/>
            <w:vAlign w:val="center"/>
          </w:tcPr>
          <w:p w14:paraId="6A4C4C5E" w14:textId="77777777" w:rsidR="006D3AD5" w:rsidRPr="0073014D" w:rsidRDefault="006D3AD5" w:rsidP="00443B8F">
            <w:pPr>
              <w:keepNext/>
              <w:keepLines/>
              <w:jc w:val="center"/>
              <w:rPr>
                <w:b/>
                <w:bCs/>
                <w:sz w:val="18"/>
                <w:szCs w:val="18"/>
              </w:rPr>
            </w:pPr>
            <w:r>
              <w:rPr>
                <w:b/>
                <w:sz w:val="18"/>
              </w:rPr>
              <w:t>100% market loan</w:t>
            </w:r>
          </w:p>
        </w:tc>
        <w:tc>
          <w:tcPr>
            <w:tcW w:w="1576" w:type="dxa"/>
            <w:tcBorders>
              <w:top w:val="single" w:sz="4" w:space="0" w:color="FFFFFF"/>
              <w:left w:val="nil"/>
              <w:bottom w:val="single" w:sz="4" w:space="0" w:color="002776"/>
              <w:right w:val="nil"/>
            </w:tcBorders>
            <w:shd w:val="clear" w:color="000000" w:fill="002776"/>
            <w:vAlign w:val="center"/>
          </w:tcPr>
          <w:p w14:paraId="0C1A8EFE" w14:textId="77777777" w:rsidR="006D3AD5" w:rsidRPr="0073014D" w:rsidRDefault="006D3AD5" w:rsidP="00443B8F">
            <w:pPr>
              <w:keepNext/>
              <w:keepLines/>
              <w:jc w:val="center"/>
              <w:rPr>
                <w:b/>
                <w:bCs/>
                <w:sz w:val="18"/>
                <w:szCs w:val="18"/>
              </w:rPr>
            </w:pPr>
            <w:r>
              <w:rPr>
                <w:b/>
                <w:sz w:val="18"/>
              </w:rPr>
              <w:t>50% market loan, 50% subsidy</w:t>
            </w:r>
          </w:p>
        </w:tc>
        <w:tc>
          <w:tcPr>
            <w:tcW w:w="1746" w:type="dxa"/>
            <w:tcBorders>
              <w:top w:val="single" w:sz="4" w:space="0" w:color="FFFFFF"/>
              <w:left w:val="nil"/>
              <w:bottom w:val="single" w:sz="4" w:space="0" w:color="002776"/>
              <w:right w:val="nil"/>
            </w:tcBorders>
            <w:shd w:val="clear" w:color="000000" w:fill="002776"/>
            <w:vAlign w:val="center"/>
          </w:tcPr>
          <w:p w14:paraId="71EC4C69" w14:textId="77777777" w:rsidR="006D3AD5" w:rsidRPr="0073014D" w:rsidRDefault="006D3AD5" w:rsidP="00443B8F">
            <w:pPr>
              <w:keepNext/>
              <w:keepLines/>
              <w:jc w:val="center"/>
              <w:rPr>
                <w:b/>
                <w:bCs/>
                <w:sz w:val="18"/>
                <w:szCs w:val="18"/>
              </w:rPr>
            </w:pPr>
            <w:r>
              <w:rPr>
                <w:b/>
                <w:sz w:val="18"/>
              </w:rPr>
              <w:t>20% subsidy, 80% soft loan</w:t>
            </w:r>
          </w:p>
        </w:tc>
        <w:tc>
          <w:tcPr>
            <w:tcW w:w="1724" w:type="dxa"/>
            <w:tcBorders>
              <w:top w:val="single" w:sz="4" w:space="0" w:color="FFFFFF"/>
              <w:left w:val="nil"/>
              <w:bottom w:val="single" w:sz="4" w:space="0" w:color="002776"/>
              <w:right w:val="single" w:sz="4" w:space="0" w:color="002776"/>
            </w:tcBorders>
            <w:shd w:val="clear" w:color="000000" w:fill="002776"/>
            <w:vAlign w:val="center"/>
          </w:tcPr>
          <w:p w14:paraId="113C4372" w14:textId="77777777" w:rsidR="006D3AD5" w:rsidRPr="0073014D" w:rsidRDefault="006D3AD5" w:rsidP="00443B8F">
            <w:pPr>
              <w:keepNext/>
              <w:keepLines/>
              <w:jc w:val="center"/>
              <w:rPr>
                <w:b/>
                <w:bCs/>
                <w:sz w:val="18"/>
                <w:szCs w:val="18"/>
              </w:rPr>
            </w:pPr>
            <w:r>
              <w:rPr>
                <w:b/>
                <w:sz w:val="18"/>
              </w:rPr>
              <w:t>100%  soft loan</w:t>
            </w:r>
          </w:p>
        </w:tc>
      </w:tr>
      <w:tr w:rsidR="006D3AD5" w:rsidRPr="0073014D" w14:paraId="02916E2A" w14:textId="77777777" w:rsidTr="00443B8F">
        <w:trPr>
          <w:trHeight w:val="20"/>
        </w:trPr>
        <w:tc>
          <w:tcPr>
            <w:tcW w:w="2403" w:type="dxa"/>
            <w:tcBorders>
              <w:top w:val="nil"/>
              <w:left w:val="single" w:sz="4" w:space="0" w:color="002776"/>
              <w:bottom w:val="single" w:sz="4" w:space="0" w:color="002776"/>
              <w:right w:val="nil"/>
            </w:tcBorders>
            <w:shd w:val="clear" w:color="auto" w:fill="auto"/>
            <w:noWrap/>
            <w:vAlign w:val="center"/>
          </w:tcPr>
          <w:p w14:paraId="64193841" w14:textId="77777777" w:rsidR="006D3AD5" w:rsidRPr="0073014D" w:rsidRDefault="006D3AD5" w:rsidP="00443B8F">
            <w:pPr>
              <w:keepNext/>
              <w:keepLines/>
              <w:jc w:val="left"/>
              <w:rPr>
                <w:sz w:val="18"/>
                <w:szCs w:val="18"/>
              </w:rPr>
            </w:pPr>
            <w:r>
              <w:rPr>
                <w:sz w:val="18"/>
              </w:rPr>
              <w:t>Internal rate of return (IRR)</w:t>
            </w:r>
          </w:p>
        </w:tc>
        <w:tc>
          <w:tcPr>
            <w:tcW w:w="1576" w:type="dxa"/>
            <w:tcBorders>
              <w:top w:val="nil"/>
              <w:left w:val="nil"/>
              <w:bottom w:val="single" w:sz="4" w:space="0" w:color="002776"/>
              <w:right w:val="nil"/>
            </w:tcBorders>
            <w:shd w:val="clear" w:color="auto" w:fill="auto"/>
            <w:noWrap/>
            <w:vAlign w:val="center"/>
          </w:tcPr>
          <w:p w14:paraId="369014C4" w14:textId="77777777" w:rsidR="006D3AD5" w:rsidRPr="0073014D" w:rsidRDefault="006D3AD5" w:rsidP="00443B8F">
            <w:pPr>
              <w:keepNext/>
              <w:keepLines/>
              <w:jc w:val="right"/>
              <w:rPr>
                <w:sz w:val="18"/>
                <w:szCs w:val="18"/>
              </w:rPr>
            </w:pPr>
            <w:r>
              <w:rPr>
                <w:sz w:val="18"/>
              </w:rPr>
              <w:t>11.54%</w:t>
            </w:r>
          </w:p>
        </w:tc>
        <w:tc>
          <w:tcPr>
            <w:tcW w:w="1576" w:type="dxa"/>
            <w:tcBorders>
              <w:top w:val="nil"/>
              <w:left w:val="nil"/>
              <w:bottom w:val="single" w:sz="4" w:space="0" w:color="002776"/>
              <w:right w:val="nil"/>
            </w:tcBorders>
            <w:shd w:val="clear" w:color="auto" w:fill="auto"/>
            <w:noWrap/>
            <w:vAlign w:val="center"/>
          </w:tcPr>
          <w:p w14:paraId="50798668" w14:textId="77777777" w:rsidR="006D3AD5" w:rsidRPr="0073014D" w:rsidRDefault="006D3AD5" w:rsidP="00443B8F">
            <w:pPr>
              <w:keepNext/>
              <w:keepLines/>
              <w:jc w:val="right"/>
              <w:rPr>
                <w:sz w:val="18"/>
                <w:szCs w:val="18"/>
              </w:rPr>
            </w:pPr>
            <w:r>
              <w:rPr>
                <w:sz w:val="18"/>
              </w:rPr>
              <w:t>25.75%</w:t>
            </w:r>
          </w:p>
        </w:tc>
        <w:tc>
          <w:tcPr>
            <w:tcW w:w="1746" w:type="dxa"/>
            <w:tcBorders>
              <w:top w:val="nil"/>
              <w:left w:val="nil"/>
              <w:bottom w:val="single" w:sz="4" w:space="0" w:color="002776"/>
              <w:right w:val="nil"/>
            </w:tcBorders>
            <w:shd w:val="clear" w:color="auto" w:fill="auto"/>
            <w:noWrap/>
            <w:vAlign w:val="center"/>
          </w:tcPr>
          <w:p w14:paraId="61263080" w14:textId="77777777" w:rsidR="006D3AD5" w:rsidRPr="0073014D" w:rsidRDefault="006D3AD5" w:rsidP="00443B8F">
            <w:pPr>
              <w:keepNext/>
              <w:keepLines/>
              <w:jc w:val="right"/>
              <w:rPr>
                <w:sz w:val="18"/>
                <w:szCs w:val="18"/>
              </w:rPr>
            </w:pPr>
            <w:r>
              <w:rPr>
                <w:sz w:val="18"/>
              </w:rPr>
              <w:t>15.32%</w:t>
            </w:r>
          </w:p>
        </w:tc>
        <w:tc>
          <w:tcPr>
            <w:tcW w:w="1724" w:type="dxa"/>
            <w:tcBorders>
              <w:top w:val="nil"/>
              <w:left w:val="nil"/>
              <w:bottom w:val="single" w:sz="4" w:space="0" w:color="002776"/>
              <w:right w:val="single" w:sz="4" w:space="0" w:color="002776"/>
            </w:tcBorders>
            <w:shd w:val="clear" w:color="auto" w:fill="auto"/>
            <w:noWrap/>
            <w:vAlign w:val="center"/>
          </w:tcPr>
          <w:p w14:paraId="111F8DD9" w14:textId="77777777" w:rsidR="006D3AD5" w:rsidRPr="0073014D" w:rsidRDefault="006D3AD5" w:rsidP="00443B8F">
            <w:pPr>
              <w:keepNext/>
              <w:keepLines/>
              <w:jc w:val="right"/>
              <w:rPr>
                <w:sz w:val="18"/>
                <w:szCs w:val="18"/>
              </w:rPr>
            </w:pPr>
            <w:r>
              <w:rPr>
                <w:sz w:val="18"/>
              </w:rPr>
              <w:t>11.54%</w:t>
            </w:r>
          </w:p>
        </w:tc>
      </w:tr>
      <w:tr w:rsidR="006D3AD5" w:rsidRPr="0073014D" w14:paraId="2D3EF0B9" w14:textId="77777777" w:rsidTr="00443B8F">
        <w:trPr>
          <w:trHeight w:val="20"/>
        </w:trPr>
        <w:tc>
          <w:tcPr>
            <w:tcW w:w="2403" w:type="dxa"/>
            <w:tcBorders>
              <w:top w:val="nil"/>
              <w:left w:val="single" w:sz="4" w:space="0" w:color="002776"/>
              <w:bottom w:val="single" w:sz="4" w:space="0" w:color="002776"/>
              <w:right w:val="nil"/>
            </w:tcBorders>
            <w:shd w:val="clear" w:color="auto" w:fill="auto"/>
            <w:noWrap/>
            <w:vAlign w:val="center"/>
          </w:tcPr>
          <w:p w14:paraId="203BFACE" w14:textId="77777777" w:rsidR="006D3AD5" w:rsidRPr="0073014D" w:rsidRDefault="006D3AD5" w:rsidP="00443B8F">
            <w:pPr>
              <w:keepNext/>
              <w:keepLines/>
              <w:jc w:val="left"/>
              <w:rPr>
                <w:sz w:val="18"/>
                <w:szCs w:val="18"/>
              </w:rPr>
            </w:pPr>
            <w:r>
              <w:rPr>
                <w:sz w:val="18"/>
              </w:rPr>
              <w:t>Net present value (NPV in CZK)</w:t>
            </w:r>
          </w:p>
        </w:tc>
        <w:tc>
          <w:tcPr>
            <w:tcW w:w="1576" w:type="dxa"/>
            <w:tcBorders>
              <w:top w:val="nil"/>
              <w:left w:val="nil"/>
              <w:bottom w:val="single" w:sz="4" w:space="0" w:color="002776"/>
              <w:right w:val="nil"/>
            </w:tcBorders>
            <w:shd w:val="clear" w:color="auto" w:fill="auto"/>
            <w:noWrap/>
            <w:vAlign w:val="center"/>
          </w:tcPr>
          <w:p w14:paraId="3811777F" w14:textId="77777777" w:rsidR="006D3AD5" w:rsidRPr="0073014D" w:rsidRDefault="006D3AD5" w:rsidP="00443B8F">
            <w:pPr>
              <w:keepNext/>
              <w:keepLines/>
              <w:jc w:val="right"/>
              <w:rPr>
                <w:sz w:val="18"/>
                <w:szCs w:val="18"/>
              </w:rPr>
            </w:pPr>
            <w:r>
              <w:rPr>
                <w:sz w:val="18"/>
              </w:rPr>
              <w:t>1,011,342</w:t>
            </w:r>
          </w:p>
        </w:tc>
        <w:tc>
          <w:tcPr>
            <w:tcW w:w="1576" w:type="dxa"/>
            <w:tcBorders>
              <w:top w:val="nil"/>
              <w:left w:val="nil"/>
              <w:bottom w:val="single" w:sz="4" w:space="0" w:color="002776"/>
              <w:right w:val="nil"/>
            </w:tcBorders>
            <w:shd w:val="clear" w:color="auto" w:fill="auto"/>
            <w:noWrap/>
            <w:vAlign w:val="center"/>
          </w:tcPr>
          <w:p w14:paraId="112218A2" w14:textId="77777777" w:rsidR="006D3AD5" w:rsidRPr="0073014D" w:rsidRDefault="006D3AD5" w:rsidP="00443B8F">
            <w:pPr>
              <w:keepNext/>
              <w:keepLines/>
              <w:jc w:val="right"/>
              <w:rPr>
                <w:sz w:val="18"/>
                <w:szCs w:val="18"/>
              </w:rPr>
            </w:pPr>
            <w:r>
              <w:rPr>
                <w:sz w:val="18"/>
              </w:rPr>
              <w:t>1,669,996</w:t>
            </w:r>
          </w:p>
        </w:tc>
        <w:tc>
          <w:tcPr>
            <w:tcW w:w="1746" w:type="dxa"/>
            <w:tcBorders>
              <w:top w:val="nil"/>
              <w:left w:val="nil"/>
              <w:bottom w:val="single" w:sz="4" w:space="0" w:color="002776"/>
              <w:right w:val="nil"/>
            </w:tcBorders>
            <w:shd w:val="clear" w:color="auto" w:fill="auto"/>
            <w:noWrap/>
            <w:vAlign w:val="center"/>
          </w:tcPr>
          <w:p w14:paraId="6417BBFE" w14:textId="77777777" w:rsidR="006D3AD5" w:rsidRPr="0073014D" w:rsidRDefault="006D3AD5" w:rsidP="00443B8F">
            <w:pPr>
              <w:keepNext/>
              <w:keepLines/>
              <w:jc w:val="right"/>
              <w:rPr>
                <w:sz w:val="18"/>
                <w:szCs w:val="18"/>
              </w:rPr>
            </w:pPr>
            <w:r>
              <w:rPr>
                <w:sz w:val="18"/>
              </w:rPr>
              <w:t>2,098,730</w:t>
            </w:r>
          </w:p>
        </w:tc>
        <w:tc>
          <w:tcPr>
            <w:tcW w:w="1724" w:type="dxa"/>
            <w:tcBorders>
              <w:top w:val="nil"/>
              <w:left w:val="nil"/>
              <w:bottom w:val="single" w:sz="4" w:space="0" w:color="002776"/>
              <w:right w:val="single" w:sz="4" w:space="0" w:color="002776"/>
            </w:tcBorders>
            <w:shd w:val="clear" w:color="auto" w:fill="auto"/>
            <w:noWrap/>
            <w:vAlign w:val="center"/>
          </w:tcPr>
          <w:p w14:paraId="7D93E180" w14:textId="77777777" w:rsidR="006D3AD5" w:rsidRPr="0073014D" w:rsidRDefault="006D3AD5" w:rsidP="00443B8F">
            <w:pPr>
              <w:keepNext/>
              <w:keepLines/>
              <w:jc w:val="right"/>
              <w:rPr>
                <w:sz w:val="18"/>
                <w:szCs w:val="18"/>
              </w:rPr>
            </w:pPr>
            <w:r>
              <w:rPr>
                <w:sz w:val="18"/>
              </w:rPr>
              <w:t>1,827,443</w:t>
            </w:r>
          </w:p>
        </w:tc>
      </w:tr>
      <w:tr w:rsidR="006D3AD5" w:rsidRPr="0073014D" w14:paraId="62391CFC" w14:textId="77777777" w:rsidTr="00443B8F">
        <w:trPr>
          <w:trHeight w:val="20"/>
        </w:trPr>
        <w:tc>
          <w:tcPr>
            <w:tcW w:w="2403" w:type="dxa"/>
            <w:tcBorders>
              <w:top w:val="nil"/>
              <w:left w:val="single" w:sz="4" w:space="0" w:color="002776"/>
              <w:bottom w:val="single" w:sz="4" w:space="0" w:color="002776"/>
              <w:right w:val="nil"/>
            </w:tcBorders>
            <w:shd w:val="clear" w:color="auto" w:fill="auto"/>
            <w:noWrap/>
            <w:vAlign w:val="center"/>
          </w:tcPr>
          <w:p w14:paraId="62A5C18C" w14:textId="77777777" w:rsidR="006D3AD5" w:rsidRPr="0073014D" w:rsidRDefault="006D3AD5" w:rsidP="00443B8F">
            <w:pPr>
              <w:keepNext/>
              <w:keepLines/>
              <w:jc w:val="left"/>
              <w:rPr>
                <w:sz w:val="18"/>
                <w:szCs w:val="18"/>
              </w:rPr>
            </w:pPr>
            <w:r>
              <w:rPr>
                <w:sz w:val="18"/>
              </w:rPr>
              <w:t>Simple payback period (years)</w:t>
            </w:r>
          </w:p>
        </w:tc>
        <w:tc>
          <w:tcPr>
            <w:tcW w:w="1576" w:type="dxa"/>
            <w:tcBorders>
              <w:top w:val="nil"/>
              <w:left w:val="nil"/>
              <w:bottom w:val="single" w:sz="4" w:space="0" w:color="002776"/>
              <w:right w:val="nil"/>
            </w:tcBorders>
            <w:shd w:val="clear" w:color="auto" w:fill="auto"/>
            <w:noWrap/>
            <w:vAlign w:val="center"/>
          </w:tcPr>
          <w:p w14:paraId="0BFEF79F" w14:textId="77777777" w:rsidR="006D3AD5" w:rsidRPr="0073014D" w:rsidRDefault="006D3AD5" w:rsidP="00443B8F">
            <w:pPr>
              <w:keepNext/>
              <w:keepLines/>
              <w:jc w:val="right"/>
              <w:rPr>
                <w:sz w:val="18"/>
                <w:szCs w:val="18"/>
              </w:rPr>
            </w:pPr>
            <w:r>
              <w:rPr>
                <w:sz w:val="18"/>
              </w:rPr>
              <w:t>7.69</w:t>
            </w:r>
          </w:p>
        </w:tc>
        <w:tc>
          <w:tcPr>
            <w:tcW w:w="1576" w:type="dxa"/>
            <w:tcBorders>
              <w:top w:val="nil"/>
              <w:left w:val="nil"/>
              <w:bottom w:val="single" w:sz="4" w:space="0" w:color="002776"/>
              <w:right w:val="nil"/>
            </w:tcBorders>
            <w:shd w:val="clear" w:color="auto" w:fill="auto"/>
            <w:noWrap/>
            <w:vAlign w:val="center"/>
          </w:tcPr>
          <w:p w14:paraId="4F6E477B" w14:textId="77777777" w:rsidR="006D3AD5" w:rsidRPr="0073014D" w:rsidRDefault="006D3AD5" w:rsidP="00443B8F">
            <w:pPr>
              <w:keepNext/>
              <w:keepLines/>
              <w:jc w:val="right"/>
              <w:rPr>
                <w:sz w:val="18"/>
                <w:szCs w:val="18"/>
              </w:rPr>
            </w:pPr>
            <w:r>
              <w:rPr>
                <w:sz w:val="18"/>
              </w:rPr>
              <w:t>3.84</w:t>
            </w:r>
          </w:p>
        </w:tc>
        <w:tc>
          <w:tcPr>
            <w:tcW w:w="1746" w:type="dxa"/>
            <w:tcBorders>
              <w:top w:val="nil"/>
              <w:left w:val="nil"/>
              <w:bottom w:val="single" w:sz="4" w:space="0" w:color="002776"/>
              <w:right w:val="nil"/>
            </w:tcBorders>
            <w:shd w:val="clear" w:color="auto" w:fill="auto"/>
            <w:noWrap/>
            <w:vAlign w:val="center"/>
          </w:tcPr>
          <w:p w14:paraId="54B926C7" w14:textId="77777777" w:rsidR="006D3AD5" w:rsidRPr="0073014D" w:rsidRDefault="006D3AD5" w:rsidP="00443B8F">
            <w:pPr>
              <w:keepNext/>
              <w:keepLines/>
              <w:jc w:val="right"/>
              <w:rPr>
                <w:sz w:val="18"/>
                <w:szCs w:val="18"/>
              </w:rPr>
            </w:pPr>
            <w:r>
              <w:rPr>
                <w:sz w:val="18"/>
              </w:rPr>
              <w:t>6.15</w:t>
            </w:r>
          </w:p>
        </w:tc>
        <w:tc>
          <w:tcPr>
            <w:tcW w:w="1724" w:type="dxa"/>
            <w:tcBorders>
              <w:top w:val="nil"/>
              <w:left w:val="nil"/>
              <w:bottom w:val="single" w:sz="4" w:space="0" w:color="002776"/>
              <w:right w:val="single" w:sz="4" w:space="0" w:color="002776"/>
            </w:tcBorders>
            <w:shd w:val="clear" w:color="auto" w:fill="auto"/>
            <w:noWrap/>
            <w:vAlign w:val="center"/>
          </w:tcPr>
          <w:p w14:paraId="5E118C1D" w14:textId="77777777" w:rsidR="006D3AD5" w:rsidRPr="0073014D" w:rsidRDefault="006D3AD5" w:rsidP="00443B8F">
            <w:pPr>
              <w:keepNext/>
              <w:keepLines/>
              <w:jc w:val="right"/>
              <w:rPr>
                <w:sz w:val="18"/>
                <w:szCs w:val="18"/>
              </w:rPr>
            </w:pPr>
            <w:r>
              <w:rPr>
                <w:sz w:val="18"/>
              </w:rPr>
              <w:t>7.69</w:t>
            </w:r>
          </w:p>
        </w:tc>
      </w:tr>
      <w:tr w:rsidR="006D3AD5" w:rsidRPr="0073014D" w14:paraId="57C1CDBD" w14:textId="77777777" w:rsidTr="00443B8F">
        <w:trPr>
          <w:trHeight w:val="20"/>
        </w:trPr>
        <w:tc>
          <w:tcPr>
            <w:tcW w:w="2403" w:type="dxa"/>
            <w:tcBorders>
              <w:top w:val="nil"/>
              <w:left w:val="single" w:sz="4" w:space="0" w:color="002776"/>
              <w:bottom w:val="single" w:sz="4" w:space="0" w:color="002776"/>
              <w:right w:val="nil"/>
            </w:tcBorders>
            <w:shd w:val="clear" w:color="auto" w:fill="auto"/>
            <w:noWrap/>
            <w:vAlign w:val="center"/>
          </w:tcPr>
          <w:p w14:paraId="4419D154" w14:textId="77777777" w:rsidR="006D3AD5" w:rsidRPr="0073014D" w:rsidRDefault="006D3AD5" w:rsidP="00443B8F">
            <w:pPr>
              <w:keepNext/>
              <w:keepLines/>
              <w:jc w:val="left"/>
              <w:rPr>
                <w:sz w:val="18"/>
                <w:szCs w:val="18"/>
              </w:rPr>
            </w:pPr>
            <w:r>
              <w:rPr>
                <w:sz w:val="18"/>
              </w:rPr>
              <w:t>Discounted payback period (years)</w:t>
            </w:r>
          </w:p>
        </w:tc>
        <w:tc>
          <w:tcPr>
            <w:tcW w:w="1576" w:type="dxa"/>
            <w:tcBorders>
              <w:top w:val="nil"/>
              <w:left w:val="nil"/>
              <w:bottom w:val="single" w:sz="4" w:space="0" w:color="002776"/>
              <w:right w:val="nil"/>
            </w:tcBorders>
            <w:shd w:val="clear" w:color="auto" w:fill="auto"/>
            <w:noWrap/>
            <w:vAlign w:val="center"/>
          </w:tcPr>
          <w:p w14:paraId="2D805EEE" w14:textId="77777777" w:rsidR="006D3AD5" w:rsidRPr="0073014D" w:rsidRDefault="006D3AD5" w:rsidP="00443B8F">
            <w:pPr>
              <w:keepNext/>
              <w:keepLines/>
              <w:jc w:val="right"/>
              <w:rPr>
                <w:sz w:val="18"/>
                <w:szCs w:val="18"/>
              </w:rPr>
            </w:pPr>
            <w:r>
              <w:rPr>
                <w:sz w:val="18"/>
              </w:rPr>
              <w:t>10.4</w:t>
            </w:r>
          </w:p>
        </w:tc>
        <w:tc>
          <w:tcPr>
            <w:tcW w:w="1576" w:type="dxa"/>
            <w:tcBorders>
              <w:top w:val="nil"/>
              <w:left w:val="nil"/>
              <w:bottom w:val="single" w:sz="4" w:space="0" w:color="002776"/>
              <w:right w:val="nil"/>
            </w:tcBorders>
            <w:shd w:val="clear" w:color="auto" w:fill="auto"/>
            <w:noWrap/>
            <w:vAlign w:val="center"/>
          </w:tcPr>
          <w:p w14:paraId="30C69B04" w14:textId="77777777" w:rsidR="006D3AD5" w:rsidRPr="0073014D" w:rsidRDefault="006D3AD5" w:rsidP="00443B8F">
            <w:pPr>
              <w:keepNext/>
              <w:keepLines/>
              <w:jc w:val="right"/>
              <w:rPr>
                <w:sz w:val="18"/>
                <w:szCs w:val="18"/>
              </w:rPr>
            </w:pPr>
            <w:r>
              <w:rPr>
                <w:sz w:val="18"/>
              </w:rPr>
              <w:t>5.3</w:t>
            </w:r>
          </w:p>
        </w:tc>
        <w:tc>
          <w:tcPr>
            <w:tcW w:w="1746" w:type="dxa"/>
            <w:tcBorders>
              <w:top w:val="nil"/>
              <w:left w:val="nil"/>
              <w:bottom w:val="single" w:sz="4" w:space="0" w:color="002776"/>
              <w:right w:val="nil"/>
            </w:tcBorders>
            <w:shd w:val="clear" w:color="auto" w:fill="auto"/>
            <w:noWrap/>
            <w:vAlign w:val="center"/>
          </w:tcPr>
          <w:p w14:paraId="4E35B807" w14:textId="77777777" w:rsidR="006D3AD5" w:rsidRPr="0073014D" w:rsidRDefault="006D3AD5" w:rsidP="00443B8F">
            <w:pPr>
              <w:keepNext/>
              <w:keepLines/>
              <w:jc w:val="right"/>
              <w:rPr>
                <w:sz w:val="18"/>
                <w:szCs w:val="18"/>
              </w:rPr>
            </w:pPr>
            <w:r>
              <w:rPr>
                <w:sz w:val="18"/>
              </w:rPr>
              <w:t>7.4</w:t>
            </w:r>
          </w:p>
        </w:tc>
        <w:tc>
          <w:tcPr>
            <w:tcW w:w="1724" w:type="dxa"/>
            <w:tcBorders>
              <w:top w:val="nil"/>
              <w:left w:val="nil"/>
              <w:bottom w:val="single" w:sz="4" w:space="0" w:color="002776"/>
              <w:right w:val="single" w:sz="4" w:space="0" w:color="002776"/>
            </w:tcBorders>
            <w:shd w:val="clear" w:color="auto" w:fill="auto"/>
            <w:noWrap/>
            <w:vAlign w:val="center"/>
          </w:tcPr>
          <w:p w14:paraId="7DE1BAA2" w14:textId="77777777" w:rsidR="006D3AD5" w:rsidRPr="0073014D" w:rsidRDefault="006D3AD5" w:rsidP="00443B8F">
            <w:pPr>
              <w:keepNext/>
              <w:keepLines/>
              <w:jc w:val="right"/>
              <w:rPr>
                <w:sz w:val="18"/>
                <w:szCs w:val="18"/>
              </w:rPr>
            </w:pPr>
            <w:r>
              <w:rPr>
                <w:sz w:val="18"/>
              </w:rPr>
              <w:t>9.0</w:t>
            </w:r>
          </w:p>
        </w:tc>
      </w:tr>
    </w:tbl>
    <w:p w14:paraId="40FEB349" w14:textId="1278D4BE" w:rsidR="006D3AD5" w:rsidRPr="0073014D" w:rsidRDefault="006D3AD5" w:rsidP="00685AEF">
      <w:pPr>
        <w:pStyle w:val="Titulek"/>
      </w:pPr>
      <w:r>
        <w:t xml:space="preserve">Table </w:t>
      </w:r>
      <w:r w:rsidR="00A9664A">
        <w:t>80</w:t>
      </w:r>
      <w:r>
        <w:t>: Influence of support on project economy</w:t>
      </w:r>
    </w:p>
    <w:p w14:paraId="0630D961" w14:textId="77777777" w:rsidR="006D3AD5" w:rsidRPr="0073014D" w:rsidRDefault="006D3AD5" w:rsidP="006D3AD5"/>
    <w:p w14:paraId="1B101A42" w14:textId="77777777" w:rsidR="006D3AD5" w:rsidRPr="0073014D" w:rsidRDefault="006D3AD5" w:rsidP="006D3AD5">
      <w:r>
        <w:lastRenderedPageBreak/>
        <w:t>Both projects are characteristic for a relatively small extent and a discounted payback period exceeding 10 years, which makes them difficult to implement in the market way. Subsidy support in this case can be of significant assistance for its implementation, we can also consider a smaller rate of subsidy or repayable assistance (recoverable support converted to irrecoverable in case of the completion of the project goals) with the soft loan.</w:t>
      </w:r>
    </w:p>
    <w:p w14:paraId="53CC1C69" w14:textId="77777777" w:rsidR="006D3AD5" w:rsidRPr="0073014D" w:rsidRDefault="006D3AD5" w:rsidP="006D3AD5"/>
    <w:p w14:paraId="586AB818" w14:textId="77777777" w:rsidR="006D3AD5" w:rsidRPr="0073014D" w:rsidRDefault="006D3AD5" w:rsidP="006D3AD5">
      <w:r>
        <w:t>The results of the OPEI Eco-energy calls show an appreciable number of projects with IRR exceeding 15% without support which are, with respect to their return, more convenient for the support only a separate soft loan.</w:t>
      </w:r>
    </w:p>
    <w:p w14:paraId="1125434B" w14:textId="77777777" w:rsidR="006D3AD5" w:rsidRPr="0073014D" w:rsidRDefault="006D3AD5" w:rsidP="006D3AD5"/>
    <w:p w14:paraId="5D934E2A" w14:textId="77777777" w:rsidR="006D3AD5" w:rsidRPr="0073014D" w:rsidRDefault="006D3AD5" w:rsidP="006D3AD5">
      <w:pPr>
        <w:pStyle w:val="Nadpis4"/>
        <w:rPr>
          <w:rFonts w:ascii="Calibri" w:hAnsi="Calibri"/>
          <w:color w:val="000000"/>
        </w:rPr>
      </w:pPr>
      <w:r>
        <w:rPr>
          <w:rFonts w:ascii="Calibri" w:hAnsi="Calibri"/>
          <w:color w:val="000000"/>
        </w:rPr>
        <w:t>The added value of the financial instrument, problems, risks and comparison with other forms of support</w:t>
      </w:r>
    </w:p>
    <w:p w14:paraId="04DD36CD" w14:textId="77777777" w:rsidR="006D3AD5" w:rsidRPr="0073014D" w:rsidRDefault="006D3AD5" w:rsidP="006D3AD5"/>
    <w:p w14:paraId="358C1557" w14:textId="099608A4" w:rsidR="006D3AD5" w:rsidRPr="0073014D" w:rsidRDefault="006D3AD5" w:rsidP="006D3AD5">
      <w:r>
        <w:t xml:space="preserve">The tables below show an overview of the added value, problems, risks from the view of a </w:t>
      </w:r>
      <w:r w:rsidR="00CF3F95">
        <w:t>final recipient</w:t>
      </w:r>
      <w:r>
        <w:t xml:space="preserve"> and SB (Table No. 2) and from the view of a total impact on absorption capacity and achievement of goals of </w:t>
      </w:r>
      <w:r w:rsidR="00685AEF">
        <w:t xml:space="preserve">SO </w:t>
      </w:r>
      <w:r>
        <w:t>3.2, taking impacts on the market environment into account. The instruments in the form of guarantees, soft loans and subsidies are compared</w:t>
      </w:r>
    </w:p>
    <w:p w14:paraId="5A1B6D4A" w14:textId="77777777" w:rsidR="006D3AD5" w:rsidRPr="0073014D" w:rsidRDefault="006D3AD5" w:rsidP="006D3AD5"/>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73014D" w14:paraId="12268875" w14:textId="77777777" w:rsidTr="00443B8F">
        <w:trPr>
          <w:trHeight w:val="315"/>
        </w:trPr>
        <w:tc>
          <w:tcPr>
            <w:tcW w:w="960" w:type="dxa"/>
            <w:shd w:val="clear" w:color="auto" w:fill="365F91"/>
            <w:noWrap/>
            <w:vAlign w:val="bottom"/>
          </w:tcPr>
          <w:p w14:paraId="693CA30C" w14:textId="77777777" w:rsidR="006D3AD5" w:rsidRPr="0073014D" w:rsidRDefault="006D3AD5" w:rsidP="00443B8F">
            <w:pPr>
              <w:jc w:val="left"/>
              <w:rPr>
                <w:sz w:val="24"/>
                <w:szCs w:val="24"/>
              </w:rPr>
            </w:pPr>
          </w:p>
        </w:tc>
        <w:tc>
          <w:tcPr>
            <w:tcW w:w="960" w:type="dxa"/>
            <w:shd w:val="clear" w:color="auto" w:fill="365F91"/>
            <w:noWrap/>
            <w:vAlign w:val="bottom"/>
          </w:tcPr>
          <w:p w14:paraId="5647E42A" w14:textId="77777777" w:rsidR="006D3AD5" w:rsidRPr="00685AEF" w:rsidRDefault="006D3AD5" w:rsidP="00443B8F">
            <w:pPr>
              <w:jc w:val="left"/>
              <w:rPr>
                <w:color w:val="FFFFFF" w:themeColor="background1"/>
                <w:sz w:val="24"/>
                <w:szCs w:val="24"/>
              </w:rPr>
            </w:pPr>
            <w:r w:rsidRPr="00685AEF">
              <w:rPr>
                <w:color w:val="FFFFFF" w:themeColor="background1"/>
                <w:sz w:val="24"/>
              </w:rPr>
              <w:t> </w:t>
            </w:r>
          </w:p>
        </w:tc>
        <w:tc>
          <w:tcPr>
            <w:tcW w:w="4744" w:type="dxa"/>
            <w:gridSpan w:val="2"/>
            <w:shd w:val="clear" w:color="auto" w:fill="365F91"/>
            <w:noWrap/>
            <w:vAlign w:val="center"/>
          </w:tcPr>
          <w:p w14:paraId="1F09132D"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Financial instrument</w:t>
            </w:r>
          </w:p>
        </w:tc>
        <w:tc>
          <w:tcPr>
            <w:tcW w:w="2330" w:type="dxa"/>
            <w:shd w:val="clear" w:color="auto" w:fill="365F91"/>
          </w:tcPr>
          <w:p w14:paraId="3A3158C0"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Subsidy</w:t>
            </w:r>
          </w:p>
        </w:tc>
      </w:tr>
      <w:tr w:rsidR="006D3AD5" w:rsidRPr="0073014D" w14:paraId="472236FE" w14:textId="77777777" w:rsidTr="00443B8F">
        <w:trPr>
          <w:trHeight w:val="315"/>
        </w:trPr>
        <w:tc>
          <w:tcPr>
            <w:tcW w:w="960" w:type="dxa"/>
            <w:shd w:val="clear" w:color="auto" w:fill="365F91"/>
            <w:noWrap/>
            <w:vAlign w:val="center"/>
          </w:tcPr>
          <w:p w14:paraId="6B4DA7A6" w14:textId="77777777" w:rsidR="006D3AD5" w:rsidRPr="0073014D" w:rsidRDefault="006D3AD5" w:rsidP="00443B8F">
            <w:pPr>
              <w:jc w:val="center"/>
              <w:rPr>
                <w:b/>
                <w:bCs/>
                <w:sz w:val="24"/>
                <w:szCs w:val="24"/>
              </w:rPr>
            </w:pPr>
          </w:p>
        </w:tc>
        <w:tc>
          <w:tcPr>
            <w:tcW w:w="960" w:type="dxa"/>
            <w:shd w:val="clear" w:color="auto" w:fill="365F91"/>
            <w:noWrap/>
            <w:vAlign w:val="center"/>
          </w:tcPr>
          <w:p w14:paraId="1D257F85" w14:textId="77777777" w:rsidR="006D3AD5" w:rsidRPr="00685AEF" w:rsidRDefault="006D3AD5" w:rsidP="00443B8F">
            <w:pPr>
              <w:jc w:val="left"/>
              <w:rPr>
                <w:color w:val="FFFFFF" w:themeColor="background1"/>
                <w:sz w:val="24"/>
                <w:szCs w:val="24"/>
              </w:rPr>
            </w:pPr>
            <w:r w:rsidRPr="00685AEF">
              <w:rPr>
                <w:color w:val="FFFFFF" w:themeColor="background1"/>
                <w:sz w:val="24"/>
              </w:rPr>
              <w:t> </w:t>
            </w:r>
          </w:p>
        </w:tc>
        <w:tc>
          <w:tcPr>
            <w:tcW w:w="2414" w:type="dxa"/>
            <w:shd w:val="clear" w:color="auto" w:fill="365F91"/>
            <w:vAlign w:val="center"/>
          </w:tcPr>
          <w:p w14:paraId="4299E0AA"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Guarantee instrument</w:t>
            </w:r>
          </w:p>
        </w:tc>
        <w:tc>
          <w:tcPr>
            <w:tcW w:w="2330" w:type="dxa"/>
            <w:shd w:val="clear" w:color="auto" w:fill="365F91"/>
            <w:vAlign w:val="center"/>
          </w:tcPr>
          <w:p w14:paraId="244CC150"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Soft loan</w:t>
            </w:r>
          </w:p>
        </w:tc>
        <w:tc>
          <w:tcPr>
            <w:tcW w:w="2330" w:type="dxa"/>
            <w:shd w:val="clear" w:color="auto" w:fill="365F91"/>
          </w:tcPr>
          <w:p w14:paraId="2FA0CE97" w14:textId="77777777" w:rsidR="006D3AD5" w:rsidRPr="00685AEF" w:rsidRDefault="006D3AD5" w:rsidP="00443B8F">
            <w:pPr>
              <w:jc w:val="center"/>
              <w:rPr>
                <w:b/>
                <w:bCs/>
                <w:color w:val="FFFFFF" w:themeColor="background1"/>
                <w:sz w:val="24"/>
                <w:szCs w:val="24"/>
              </w:rPr>
            </w:pPr>
          </w:p>
        </w:tc>
      </w:tr>
      <w:tr w:rsidR="006D3AD5" w:rsidRPr="0073014D" w14:paraId="49B35E69" w14:textId="77777777" w:rsidTr="00443B8F">
        <w:trPr>
          <w:trHeight w:val="720"/>
        </w:trPr>
        <w:tc>
          <w:tcPr>
            <w:tcW w:w="960" w:type="dxa"/>
            <w:vMerge w:val="restart"/>
            <w:shd w:val="clear" w:color="auto" w:fill="8DB3E2"/>
            <w:noWrap/>
            <w:textDirection w:val="btLr"/>
            <w:vAlign w:val="center"/>
          </w:tcPr>
          <w:p w14:paraId="06A49AB3" w14:textId="69805062" w:rsidR="006D3AD5" w:rsidRPr="00685AEF" w:rsidRDefault="00CF3F95" w:rsidP="00443B8F">
            <w:pPr>
              <w:jc w:val="center"/>
              <w:rPr>
                <w:b/>
                <w:bCs/>
                <w:color w:val="FFFFFF" w:themeColor="background1"/>
                <w:sz w:val="24"/>
                <w:szCs w:val="24"/>
              </w:rPr>
            </w:pPr>
            <w:r>
              <w:rPr>
                <w:b/>
                <w:color w:val="FFFFFF" w:themeColor="background1"/>
                <w:sz w:val="24"/>
              </w:rPr>
              <w:t xml:space="preserve">Added value of public support for final recipient </w:t>
            </w:r>
            <w:r w:rsidR="006D3AD5" w:rsidRPr="00685AEF">
              <w:rPr>
                <w:b/>
                <w:color w:val="FFFFFF" w:themeColor="background1"/>
                <w:sz w:val="24"/>
              </w:rPr>
              <w:t>and SB</w:t>
            </w:r>
          </w:p>
        </w:tc>
        <w:tc>
          <w:tcPr>
            <w:tcW w:w="960" w:type="dxa"/>
            <w:vMerge w:val="restart"/>
            <w:shd w:val="clear" w:color="auto" w:fill="8DB3E2"/>
            <w:noWrap/>
            <w:textDirection w:val="btLr"/>
            <w:vAlign w:val="center"/>
          </w:tcPr>
          <w:p w14:paraId="73CF7222" w14:textId="41F2081B" w:rsidR="006D3AD5" w:rsidRPr="00685AEF" w:rsidRDefault="00CF3F95" w:rsidP="00443B8F">
            <w:pPr>
              <w:jc w:val="center"/>
              <w:rPr>
                <w:b/>
                <w:bCs/>
                <w:color w:val="FFFFFF" w:themeColor="background1"/>
                <w:sz w:val="24"/>
                <w:szCs w:val="24"/>
              </w:rPr>
            </w:pPr>
            <w:r>
              <w:rPr>
                <w:b/>
                <w:color w:val="FFFFFF" w:themeColor="background1"/>
                <w:sz w:val="24"/>
              </w:rPr>
              <w:t>Final recipient</w:t>
            </w:r>
          </w:p>
        </w:tc>
        <w:tc>
          <w:tcPr>
            <w:tcW w:w="2414" w:type="dxa"/>
            <w:shd w:val="clear" w:color="auto" w:fill="8DB3E2"/>
            <w:vAlign w:val="center"/>
          </w:tcPr>
          <w:p w14:paraId="785A6986" w14:textId="77777777" w:rsidR="006D3AD5" w:rsidRPr="00685AEF" w:rsidRDefault="006D3AD5" w:rsidP="00443B8F">
            <w:pPr>
              <w:jc w:val="center"/>
              <w:rPr>
                <w:b/>
                <w:color w:val="FFFFFF" w:themeColor="background1"/>
                <w:sz w:val="20"/>
              </w:rPr>
            </w:pPr>
            <w:r w:rsidRPr="00685AEF">
              <w:rPr>
                <w:b/>
                <w:color w:val="FFFFFF" w:themeColor="background1"/>
                <w:sz w:val="20"/>
              </w:rPr>
              <w:t>Making unaffordable funding available</w:t>
            </w:r>
          </w:p>
        </w:tc>
        <w:tc>
          <w:tcPr>
            <w:tcW w:w="2330" w:type="dxa"/>
            <w:shd w:val="clear" w:color="auto" w:fill="8DB3E2"/>
            <w:vAlign w:val="center"/>
          </w:tcPr>
          <w:p w14:paraId="3F8F3E87" w14:textId="77777777" w:rsidR="006D3AD5" w:rsidRPr="00685AEF" w:rsidRDefault="006D3AD5" w:rsidP="00443B8F">
            <w:pPr>
              <w:jc w:val="center"/>
              <w:rPr>
                <w:b/>
                <w:color w:val="FFFFFF" w:themeColor="background1"/>
                <w:sz w:val="20"/>
              </w:rPr>
            </w:pPr>
            <w:r w:rsidRPr="00685AEF">
              <w:rPr>
                <w:b/>
                <w:color w:val="FFFFFF" w:themeColor="background1"/>
                <w:sz w:val="20"/>
              </w:rPr>
              <w:t>Making higher rate of external funding available</w:t>
            </w:r>
          </w:p>
        </w:tc>
        <w:tc>
          <w:tcPr>
            <w:tcW w:w="2330" w:type="dxa"/>
            <w:shd w:val="clear" w:color="auto" w:fill="8DB3E2"/>
          </w:tcPr>
          <w:p w14:paraId="755E9CD4" w14:textId="77777777" w:rsidR="006D3AD5" w:rsidRPr="00685AEF" w:rsidRDefault="006D3AD5" w:rsidP="00443B8F">
            <w:pPr>
              <w:jc w:val="center"/>
              <w:rPr>
                <w:b/>
                <w:color w:val="FFFFFF" w:themeColor="background1"/>
                <w:sz w:val="20"/>
              </w:rPr>
            </w:pPr>
            <w:r w:rsidRPr="00685AEF">
              <w:rPr>
                <w:b/>
                <w:color w:val="FFFFFF" w:themeColor="background1"/>
                <w:sz w:val="20"/>
              </w:rPr>
              <w:t>Non-refundable contribution to project</w:t>
            </w:r>
          </w:p>
        </w:tc>
      </w:tr>
      <w:tr w:rsidR="006D3AD5" w:rsidRPr="0073014D" w14:paraId="0E4EAE2B" w14:textId="77777777" w:rsidTr="00443B8F">
        <w:trPr>
          <w:trHeight w:val="480"/>
        </w:trPr>
        <w:tc>
          <w:tcPr>
            <w:tcW w:w="960" w:type="dxa"/>
            <w:vMerge/>
            <w:shd w:val="clear" w:color="auto" w:fill="8DB3E2"/>
            <w:vAlign w:val="center"/>
          </w:tcPr>
          <w:p w14:paraId="0139C37B"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200CF74A"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2C778ECD" w14:textId="77777777" w:rsidR="006D3AD5" w:rsidRPr="00685AEF" w:rsidRDefault="006D3AD5" w:rsidP="00443B8F">
            <w:pPr>
              <w:jc w:val="center"/>
              <w:rPr>
                <w:b/>
                <w:color w:val="FFFFFF" w:themeColor="background1"/>
                <w:sz w:val="20"/>
              </w:rPr>
            </w:pPr>
            <w:r w:rsidRPr="00685AEF">
              <w:rPr>
                <w:b/>
                <w:color w:val="FFFFFF" w:themeColor="background1"/>
                <w:sz w:val="20"/>
              </w:rPr>
              <w:t>Partial decrease in interest rate by decrease in risk surcharge</w:t>
            </w:r>
          </w:p>
        </w:tc>
        <w:tc>
          <w:tcPr>
            <w:tcW w:w="2330" w:type="dxa"/>
            <w:shd w:val="clear" w:color="auto" w:fill="8DB3E2"/>
            <w:vAlign w:val="center"/>
          </w:tcPr>
          <w:p w14:paraId="01AE274E" w14:textId="77777777" w:rsidR="006D3AD5" w:rsidRPr="00685AEF" w:rsidRDefault="006D3AD5" w:rsidP="00443B8F">
            <w:pPr>
              <w:jc w:val="center"/>
              <w:rPr>
                <w:b/>
                <w:color w:val="FFFFFF" w:themeColor="background1"/>
                <w:sz w:val="20"/>
              </w:rPr>
            </w:pPr>
            <w:r w:rsidRPr="00685AEF">
              <w:rPr>
                <w:b/>
                <w:color w:val="FFFFFF" w:themeColor="background1"/>
                <w:sz w:val="20"/>
              </w:rPr>
              <w:t>Decrease in interest rate</w:t>
            </w:r>
          </w:p>
        </w:tc>
        <w:tc>
          <w:tcPr>
            <w:tcW w:w="2330" w:type="dxa"/>
            <w:shd w:val="clear" w:color="auto" w:fill="8DB3E2"/>
          </w:tcPr>
          <w:p w14:paraId="1126887C" w14:textId="77777777" w:rsidR="006D3AD5" w:rsidRPr="00685AEF" w:rsidRDefault="006D3AD5" w:rsidP="00443B8F">
            <w:pPr>
              <w:jc w:val="center"/>
              <w:rPr>
                <w:b/>
                <w:color w:val="FFFFFF" w:themeColor="background1"/>
                <w:sz w:val="20"/>
              </w:rPr>
            </w:pPr>
            <w:r w:rsidRPr="00685AEF">
              <w:rPr>
                <w:b/>
                <w:color w:val="FFFFFF" w:themeColor="background1"/>
                <w:sz w:val="20"/>
              </w:rPr>
              <w:t xml:space="preserve">Highly decreased return period </w:t>
            </w:r>
          </w:p>
        </w:tc>
      </w:tr>
      <w:tr w:rsidR="006D3AD5" w:rsidRPr="0073014D" w14:paraId="5F5D7EE2" w14:textId="77777777" w:rsidTr="00443B8F">
        <w:trPr>
          <w:trHeight w:val="720"/>
        </w:trPr>
        <w:tc>
          <w:tcPr>
            <w:tcW w:w="960" w:type="dxa"/>
            <w:vMerge/>
            <w:shd w:val="clear" w:color="auto" w:fill="8DB3E2"/>
            <w:vAlign w:val="center"/>
          </w:tcPr>
          <w:p w14:paraId="7B7C616D"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6DB284D3"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749E7C60" w14:textId="77777777" w:rsidR="006D3AD5" w:rsidRPr="00685AEF" w:rsidRDefault="006D3AD5" w:rsidP="00443B8F">
            <w:pPr>
              <w:jc w:val="center"/>
              <w:rPr>
                <w:b/>
                <w:color w:val="FFFFFF" w:themeColor="background1"/>
                <w:sz w:val="20"/>
              </w:rPr>
            </w:pPr>
            <w:r w:rsidRPr="00685AEF">
              <w:rPr>
                <w:b/>
                <w:color w:val="FFFFFF" w:themeColor="background1"/>
                <w:sz w:val="20"/>
              </w:rPr>
              <w:t>Reduced claims for pledging enterprise</w:t>
            </w:r>
          </w:p>
        </w:tc>
        <w:tc>
          <w:tcPr>
            <w:tcW w:w="2330" w:type="dxa"/>
            <w:shd w:val="clear" w:color="auto" w:fill="8DB3E2"/>
            <w:vAlign w:val="center"/>
          </w:tcPr>
          <w:p w14:paraId="7F165419" w14:textId="77777777" w:rsidR="006D3AD5" w:rsidRPr="00685AEF" w:rsidRDefault="006D3AD5" w:rsidP="00443B8F">
            <w:pPr>
              <w:jc w:val="center"/>
              <w:rPr>
                <w:b/>
                <w:color w:val="FFFFFF" w:themeColor="background1"/>
                <w:sz w:val="20"/>
              </w:rPr>
            </w:pPr>
            <w:r w:rsidRPr="00685AEF">
              <w:rPr>
                <w:b/>
                <w:color w:val="FFFFFF" w:themeColor="background1"/>
                <w:sz w:val="20"/>
              </w:rPr>
              <w:t>Longer maturity period</w:t>
            </w:r>
          </w:p>
        </w:tc>
        <w:tc>
          <w:tcPr>
            <w:tcW w:w="2330" w:type="dxa"/>
            <w:shd w:val="clear" w:color="auto" w:fill="8DB3E2"/>
          </w:tcPr>
          <w:p w14:paraId="16A55293" w14:textId="77777777" w:rsidR="006D3AD5" w:rsidRPr="00685AEF" w:rsidRDefault="006D3AD5" w:rsidP="00443B8F">
            <w:pPr>
              <w:jc w:val="center"/>
              <w:rPr>
                <w:b/>
                <w:color w:val="FFFFFF" w:themeColor="background1"/>
                <w:sz w:val="20"/>
              </w:rPr>
            </w:pPr>
            <w:r w:rsidRPr="00685AEF">
              <w:rPr>
                <w:b/>
                <w:color w:val="FFFFFF" w:themeColor="background1"/>
                <w:sz w:val="20"/>
              </w:rPr>
              <w:t>Easier measures of loan for rest of project costs</w:t>
            </w:r>
          </w:p>
        </w:tc>
      </w:tr>
      <w:tr w:rsidR="006D3AD5" w:rsidRPr="0073014D" w14:paraId="5654C5DC" w14:textId="77777777" w:rsidTr="00443B8F">
        <w:trPr>
          <w:trHeight w:val="478"/>
        </w:trPr>
        <w:tc>
          <w:tcPr>
            <w:tcW w:w="960" w:type="dxa"/>
            <w:vMerge/>
            <w:shd w:val="clear" w:color="auto" w:fill="8DB3E2"/>
            <w:vAlign w:val="center"/>
          </w:tcPr>
          <w:p w14:paraId="20D987C2"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5439E748" w14:textId="77777777" w:rsidR="006D3AD5" w:rsidRPr="00685AEF" w:rsidRDefault="006D3AD5" w:rsidP="00443B8F">
            <w:pPr>
              <w:jc w:val="left"/>
              <w:rPr>
                <w:b/>
                <w:bCs/>
                <w:color w:val="FFFFFF" w:themeColor="background1"/>
                <w:sz w:val="24"/>
                <w:szCs w:val="24"/>
              </w:rPr>
            </w:pPr>
          </w:p>
        </w:tc>
        <w:tc>
          <w:tcPr>
            <w:tcW w:w="2414" w:type="dxa"/>
            <w:shd w:val="clear" w:color="auto" w:fill="8DB3E2"/>
            <w:noWrap/>
            <w:vAlign w:val="center"/>
          </w:tcPr>
          <w:p w14:paraId="4C6A8BC6" w14:textId="77777777" w:rsidR="006D3AD5" w:rsidRPr="00685AEF" w:rsidRDefault="006D3AD5" w:rsidP="00443B8F">
            <w:pPr>
              <w:jc w:val="center"/>
              <w:rPr>
                <w:b/>
                <w:color w:val="FFFFFF" w:themeColor="background1"/>
                <w:sz w:val="20"/>
              </w:rPr>
            </w:pPr>
          </w:p>
        </w:tc>
        <w:tc>
          <w:tcPr>
            <w:tcW w:w="2330" w:type="dxa"/>
            <w:shd w:val="clear" w:color="auto" w:fill="8DB3E2"/>
            <w:vAlign w:val="center"/>
          </w:tcPr>
          <w:p w14:paraId="2E8103DF" w14:textId="77777777" w:rsidR="006D3AD5" w:rsidRPr="00685AEF" w:rsidRDefault="006D3AD5" w:rsidP="00443B8F">
            <w:pPr>
              <w:jc w:val="center"/>
              <w:rPr>
                <w:b/>
                <w:color w:val="FFFFFF" w:themeColor="background1"/>
                <w:sz w:val="20"/>
              </w:rPr>
            </w:pPr>
            <w:r w:rsidRPr="00685AEF">
              <w:rPr>
                <w:b/>
                <w:color w:val="FFFFFF" w:themeColor="background1"/>
                <w:sz w:val="20"/>
              </w:rPr>
              <w:t>Decreased return period</w:t>
            </w:r>
          </w:p>
        </w:tc>
        <w:tc>
          <w:tcPr>
            <w:tcW w:w="2330" w:type="dxa"/>
            <w:shd w:val="clear" w:color="auto" w:fill="8DB3E2"/>
          </w:tcPr>
          <w:p w14:paraId="267E4CCB" w14:textId="77777777" w:rsidR="006D3AD5" w:rsidRPr="00685AEF" w:rsidRDefault="006D3AD5" w:rsidP="00443B8F">
            <w:pPr>
              <w:jc w:val="center"/>
              <w:rPr>
                <w:b/>
                <w:color w:val="FFFFFF" w:themeColor="background1"/>
                <w:sz w:val="20"/>
              </w:rPr>
            </w:pPr>
            <w:r w:rsidRPr="00685AEF">
              <w:rPr>
                <w:b/>
                <w:color w:val="FFFFFF" w:themeColor="background1"/>
                <w:sz w:val="20"/>
              </w:rPr>
              <w:t>Option to invest excessive profit to other investments</w:t>
            </w:r>
          </w:p>
        </w:tc>
      </w:tr>
      <w:tr w:rsidR="006D3AD5" w:rsidRPr="0073014D" w14:paraId="685736BE" w14:textId="77777777" w:rsidTr="00443B8F">
        <w:trPr>
          <w:trHeight w:val="680"/>
        </w:trPr>
        <w:tc>
          <w:tcPr>
            <w:tcW w:w="960" w:type="dxa"/>
            <w:vMerge/>
            <w:shd w:val="clear" w:color="auto" w:fill="8DB3E2"/>
            <w:vAlign w:val="center"/>
          </w:tcPr>
          <w:p w14:paraId="0D377905"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242A5E1B"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0868E883" w14:textId="77777777" w:rsidR="006D3AD5" w:rsidRPr="00685AEF" w:rsidRDefault="006D3AD5" w:rsidP="00443B8F">
            <w:pPr>
              <w:jc w:val="center"/>
              <w:rPr>
                <w:b/>
                <w:color w:val="FFFFFF" w:themeColor="background1"/>
                <w:sz w:val="20"/>
              </w:rPr>
            </w:pPr>
            <w:r w:rsidRPr="00685AEF">
              <w:rPr>
                <w:b/>
                <w:color w:val="FFFFFF" w:themeColor="background1"/>
                <w:sz w:val="20"/>
              </w:rPr>
              <w:t>Advance payment in the form of a loan</w:t>
            </w:r>
          </w:p>
        </w:tc>
        <w:tc>
          <w:tcPr>
            <w:tcW w:w="2330" w:type="dxa"/>
            <w:shd w:val="clear" w:color="auto" w:fill="8DB3E2"/>
            <w:vAlign w:val="center"/>
          </w:tcPr>
          <w:p w14:paraId="3BAC8DA2" w14:textId="77777777" w:rsidR="006D3AD5" w:rsidRPr="00685AEF" w:rsidRDefault="006D3AD5" w:rsidP="00443B8F">
            <w:pPr>
              <w:jc w:val="center"/>
              <w:rPr>
                <w:b/>
                <w:color w:val="FFFFFF" w:themeColor="background1"/>
                <w:sz w:val="20"/>
              </w:rPr>
            </w:pPr>
            <w:r w:rsidRPr="00685AEF">
              <w:rPr>
                <w:b/>
                <w:color w:val="FFFFFF" w:themeColor="background1"/>
                <w:sz w:val="20"/>
              </w:rPr>
              <w:t>Advance payment in the form of a loan</w:t>
            </w:r>
          </w:p>
        </w:tc>
        <w:tc>
          <w:tcPr>
            <w:tcW w:w="2330" w:type="dxa"/>
            <w:shd w:val="clear" w:color="auto" w:fill="8DB3E2"/>
          </w:tcPr>
          <w:p w14:paraId="65C2417D" w14:textId="77777777" w:rsidR="006D3AD5" w:rsidRPr="00685AEF" w:rsidRDefault="006D3AD5" w:rsidP="00443B8F">
            <w:pPr>
              <w:jc w:val="center"/>
              <w:rPr>
                <w:b/>
                <w:color w:val="FFFFFF" w:themeColor="background1"/>
                <w:sz w:val="20"/>
              </w:rPr>
            </w:pPr>
          </w:p>
        </w:tc>
      </w:tr>
      <w:tr w:rsidR="006D3AD5" w:rsidRPr="0073014D" w14:paraId="2C9449F8" w14:textId="77777777" w:rsidTr="00443B8F">
        <w:trPr>
          <w:trHeight w:val="690"/>
        </w:trPr>
        <w:tc>
          <w:tcPr>
            <w:tcW w:w="960" w:type="dxa"/>
            <w:vMerge/>
            <w:shd w:val="clear" w:color="auto" w:fill="8DB3E2"/>
            <w:vAlign w:val="center"/>
          </w:tcPr>
          <w:p w14:paraId="74DC0B29"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38A51290"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2FC60318" w14:textId="77777777" w:rsidR="006D3AD5" w:rsidRPr="00685AEF" w:rsidRDefault="006D3AD5" w:rsidP="00443B8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vAlign w:val="center"/>
          </w:tcPr>
          <w:p w14:paraId="5A716EF5" w14:textId="77777777" w:rsidR="006D3AD5" w:rsidRPr="00685AEF" w:rsidRDefault="006D3AD5" w:rsidP="00443B8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tcPr>
          <w:p w14:paraId="4CBA9288" w14:textId="77777777" w:rsidR="006D3AD5" w:rsidRPr="00685AEF" w:rsidRDefault="006D3AD5" w:rsidP="00443B8F">
            <w:pPr>
              <w:jc w:val="left"/>
              <w:rPr>
                <w:b/>
                <w:color w:val="FFFFFF" w:themeColor="background1"/>
                <w:sz w:val="20"/>
              </w:rPr>
            </w:pPr>
          </w:p>
        </w:tc>
      </w:tr>
      <w:tr w:rsidR="006D3AD5" w:rsidRPr="0073014D" w14:paraId="76674533" w14:textId="77777777" w:rsidTr="00443B8F">
        <w:trPr>
          <w:trHeight w:val="735"/>
        </w:trPr>
        <w:tc>
          <w:tcPr>
            <w:tcW w:w="960" w:type="dxa"/>
            <w:vMerge/>
            <w:shd w:val="clear" w:color="auto" w:fill="8DB3E2"/>
            <w:vAlign w:val="center"/>
          </w:tcPr>
          <w:p w14:paraId="4FE66B69" w14:textId="77777777" w:rsidR="006D3AD5" w:rsidRPr="00685AEF" w:rsidRDefault="006D3AD5" w:rsidP="00443B8F">
            <w:pPr>
              <w:jc w:val="left"/>
              <w:rPr>
                <w:b/>
                <w:bCs/>
                <w:color w:val="FFFFFF" w:themeColor="background1"/>
                <w:sz w:val="24"/>
                <w:szCs w:val="24"/>
              </w:rPr>
            </w:pPr>
          </w:p>
        </w:tc>
        <w:tc>
          <w:tcPr>
            <w:tcW w:w="960" w:type="dxa"/>
            <w:vMerge w:val="restart"/>
            <w:shd w:val="clear" w:color="auto" w:fill="8DB3E2"/>
            <w:noWrap/>
            <w:textDirection w:val="btLr"/>
            <w:vAlign w:val="center"/>
          </w:tcPr>
          <w:p w14:paraId="55B37D73"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MA</w:t>
            </w:r>
          </w:p>
        </w:tc>
        <w:tc>
          <w:tcPr>
            <w:tcW w:w="2414" w:type="dxa"/>
            <w:shd w:val="clear" w:color="auto" w:fill="8DB3E2"/>
            <w:vAlign w:val="center"/>
          </w:tcPr>
          <w:p w14:paraId="61E08A9A" w14:textId="77777777" w:rsidR="006D3AD5" w:rsidRPr="00685AEF" w:rsidRDefault="006D3AD5" w:rsidP="00443B8F">
            <w:pPr>
              <w:jc w:val="center"/>
              <w:rPr>
                <w:b/>
                <w:color w:val="FFFFFF" w:themeColor="background1"/>
                <w:sz w:val="20"/>
              </w:rPr>
            </w:pPr>
            <w:r w:rsidRPr="00685AEF">
              <w:rPr>
                <w:b/>
                <w:color w:val="FFFFFF" w:themeColor="background1"/>
                <w:sz w:val="20"/>
              </w:rPr>
              <w:t>High leverage effect and wider volume of supported projects and investments</w:t>
            </w:r>
          </w:p>
        </w:tc>
        <w:tc>
          <w:tcPr>
            <w:tcW w:w="2330" w:type="dxa"/>
            <w:shd w:val="clear" w:color="auto" w:fill="8DB3E2"/>
            <w:vAlign w:val="center"/>
          </w:tcPr>
          <w:p w14:paraId="7E323060" w14:textId="77777777" w:rsidR="006D3AD5" w:rsidRPr="00685AEF" w:rsidRDefault="006D3AD5" w:rsidP="00443B8F">
            <w:pPr>
              <w:jc w:val="center"/>
              <w:rPr>
                <w:b/>
                <w:color w:val="FFFFFF" w:themeColor="background1"/>
                <w:sz w:val="20"/>
              </w:rPr>
            </w:pPr>
            <w:r w:rsidRPr="00685AEF">
              <w:rPr>
                <w:b/>
                <w:color w:val="FFFFFF" w:themeColor="background1"/>
                <w:sz w:val="20"/>
              </w:rPr>
              <w:t>High revolving effect and support of projects in following cycles</w:t>
            </w:r>
          </w:p>
        </w:tc>
        <w:tc>
          <w:tcPr>
            <w:tcW w:w="2330" w:type="dxa"/>
            <w:shd w:val="clear" w:color="auto" w:fill="8DB3E2"/>
          </w:tcPr>
          <w:p w14:paraId="6676CB6F" w14:textId="77777777" w:rsidR="006D3AD5" w:rsidRPr="00685AEF" w:rsidRDefault="006D3AD5" w:rsidP="00443B8F">
            <w:pPr>
              <w:rPr>
                <w:b/>
                <w:color w:val="FFFFFF" w:themeColor="background1"/>
                <w:sz w:val="20"/>
              </w:rPr>
            </w:pPr>
            <w:r w:rsidRPr="00685AEF">
              <w:rPr>
                <w:b/>
                <w:color w:val="FFFFFF" w:themeColor="background1"/>
                <w:sz w:val="20"/>
              </w:rPr>
              <w:t>High absorption capacity</w:t>
            </w:r>
          </w:p>
        </w:tc>
      </w:tr>
      <w:tr w:rsidR="006D3AD5" w:rsidRPr="0073014D" w14:paraId="40F4D43F" w14:textId="77777777" w:rsidTr="00443B8F">
        <w:trPr>
          <w:trHeight w:val="735"/>
        </w:trPr>
        <w:tc>
          <w:tcPr>
            <w:tcW w:w="960" w:type="dxa"/>
            <w:vMerge/>
            <w:shd w:val="clear" w:color="auto" w:fill="8DB3E2"/>
            <w:vAlign w:val="center"/>
          </w:tcPr>
          <w:p w14:paraId="72D6BA99" w14:textId="77777777" w:rsidR="006D3AD5" w:rsidRPr="00685AEF" w:rsidRDefault="006D3AD5" w:rsidP="00443B8F">
            <w:pPr>
              <w:jc w:val="left"/>
              <w:rPr>
                <w:b/>
                <w:bCs/>
                <w:color w:val="FFFFFF" w:themeColor="background1"/>
                <w:sz w:val="18"/>
                <w:szCs w:val="18"/>
              </w:rPr>
            </w:pPr>
          </w:p>
        </w:tc>
        <w:tc>
          <w:tcPr>
            <w:tcW w:w="960" w:type="dxa"/>
            <w:vMerge/>
            <w:shd w:val="clear" w:color="auto" w:fill="8DB3E2"/>
            <w:noWrap/>
            <w:textDirection w:val="btLr"/>
            <w:vAlign w:val="center"/>
          </w:tcPr>
          <w:p w14:paraId="32C17033" w14:textId="77777777" w:rsidR="006D3AD5" w:rsidRPr="00685AEF" w:rsidRDefault="006D3AD5" w:rsidP="00443B8F">
            <w:pPr>
              <w:jc w:val="center"/>
              <w:rPr>
                <w:b/>
                <w:bCs/>
                <w:color w:val="FFFFFF" w:themeColor="background1"/>
                <w:sz w:val="18"/>
                <w:szCs w:val="18"/>
              </w:rPr>
            </w:pPr>
          </w:p>
        </w:tc>
        <w:tc>
          <w:tcPr>
            <w:tcW w:w="2414" w:type="dxa"/>
            <w:shd w:val="clear" w:color="auto" w:fill="8DB3E2"/>
            <w:vAlign w:val="center"/>
          </w:tcPr>
          <w:p w14:paraId="41FA2EAB" w14:textId="77777777" w:rsidR="006D3AD5" w:rsidRPr="00685AEF" w:rsidRDefault="006D3AD5" w:rsidP="00443B8F">
            <w:pPr>
              <w:jc w:val="center"/>
              <w:rPr>
                <w:b/>
                <w:color w:val="FFFFFF" w:themeColor="background1"/>
                <w:sz w:val="20"/>
              </w:rPr>
            </w:pPr>
            <w:r w:rsidRPr="00685AEF">
              <w:rPr>
                <w:b/>
                <w:color w:val="FFFFFF" w:themeColor="background1"/>
                <w:sz w:val="20"/>
              </w:rPr>
              <w:t>Option of revolving in dependence on risk strategy</w:t>
            </w:r>
          </w:p>
        </w:tc>
        <w:tc>
          <w:tcPr>
            <w:tcW w:w="2330" w:type="dxa"/>
            <w:shd w:val="clear" w:color="auto" w:fill="8DB3E2"/>
            <w:vAlign w:val="center"/>
          </w:tcPr>
          <w:p w14:paraId="35DD1D4E" w14:textId="77777777" w:rsidR="006D3AD5" w:rsidRPr="00685AEF" w:rsidRDefault="006D3AD5" w:rsidP="00443B8F">
            <w:pPr>
              <w:jc w:val="center"/>
              <w:rPr>
                <w:b/>
                <w:color w:val="FFFFFF" w:themeColor="background1"/>
                <w:sz w:val="20"/>
              </w:rPr>
            </w:pPr>
            <w:r w:rsidRPr="00685AEF">
              <w:rPr>
                <w:b/>
                <w:color w:val="FFFFFF" w:themeColor="background1"/>
                <w:sz w:val="20"/>
              </w:rPr>
              <w:t>Predicted instalments</w:t>
            </w:r>
          </w:p>
        </w:tc>
        <w:tc>
          <w:tcPr>
            <w:tcW w:w="2330" w:type="dxa"/>
            <w:shd w:val="clear" w:color="auto" w:fill="8DB3E2"/>
          </w:tcPr>
          <w:p w14:paraId="7EBA023D" w14:textId="77777777" w:rsidR="006D3AD5" w:rsidRPr="00685AEF" w:rsidRDefault="006D3AD5" w:rsidP="00443B8F">
            <w:pPr>
              <w:jc w:val="center"/>
              <w:rPr>
                <w:b/>
                <w:color w:val="FFFFFF" w:themeColor="background1"/>
                <w:sz w:val="20"/>
              </w:rPr>
            </w:pPr>
            <w:r w:rsidRPr="00685AEF">
              <w:rPr>
                <w:b/>
                <w:color w:val="FFFFFF" w:themeColor="background1"/>
                <w:sz w:val="20"/>
              </w:rPr>
              <w:t>Motivation of entities to investments in this area</w:t>
            </w:r>
          </w:p>
        </w:tc>
      </w:tr>
      <w:tr w:rsidR="006D3AD5" w:rsidRPr="0073014D" w14:paraId="32C7FA7A" w14:textId="77777777" w:rsidTr="00443B8F">
        <w:trPr>
          <w:trHeight w:val="311"/>
        </w:trPr>
        <w:tc>
          <w:tcPr>
            <w:tcW w:w="960" w:type="dxa"/>
            <w:vMerge/>
            <w:shd w:val="clear" w:color="auto" w:fill="8DB3E2"/>
            <w:vAlign w:val="center"/>
          </w:tcPr>
          <w:p w14:paraId="0B7F58EB" w14:textId="77777777" w:rsidR="006D3AD5" w:rsidRPr="00685AEF" w:rsidRDefault="006D3AD5" w:rsidP="00443B8F">
            <w:pPr>
              <w:jc w:val="left"/>
              <w:rPr>
                <w:b/>
                <w:bCs/>
                <w:color w:val="FFFFFF" w:themeColor="background1"/>
                <w:sz w:val="18"/>
                <w:szCs w:val="18"/>
              </w:rPr>
            </w:pPr>
          </w:p>
        </w:tc>
        <w:tc>
          <w:tcPr>
            <w:tcW w:w="960" w:type="dxa"/>
            <w:vMerge/>
            <w:shd w:val="clear" w:color="auto" w:fill="8DB3E2"/>
            <w:noWrap/>
            <w:textDirection w:val="btLr"/>
            <w:vAlign w:val="center"/>
          </w:tcPr>
          <w:p w14:paraId="2F82F5A8" w14:textId="77777777" w:rsidR="006D3AD5" w:rsidRPr="00685AEF" w:rsidRDefault="006D3AD5" w:rsidP="00443B8F">
            <w:pPr>
              <w:jc w:val="center"/>
              <w:rPr>
                <w:b/>
                <w:bCs/>
                <w:color w:val="FFFFFF" w:themeColor="background1"/>
                <w:sz w:val="18"/>
                <w:szCs w:val="18"/>
              </w:rPr>
            </w:pPr>
          </w:p>
        </w:tc>
        <w:tc>
          <w:tcPr>
            <w:tcW w:w="2414" w:type="dxa"/>
            <w:shd w:val="clear" w:color="auto" w:fill="8DB3E2"/>
            <w:vAlign w:val="center"/>
          </w:tcPr>
          <w:p w14:paraId="4E16F00B" w14:textId="77777777" w:rsidR="006D3AD5" w:rsidRPr="00685AEF" w:rsidRDefault="006D3AD5" w:rsidP="00443B8F">
            <w:pPr>
              <w:jc w:val="center"/>
              <w:rPr>
                <w:b/>
                <w:color w:val="FFFFFF" w:themeColor="background1"/>
                <w:sz w:val="20"/>
              </w:rPr>
            </w:pPr>
            <w:r w:rsidRPr="00685AEF">
              <w:rPr>
                <w:b/>
                <w:color w:val="FFFFFF" w:themeColor="background1"/>
                <w:sz w:val="20"/>
              </w:rPr>
              <w:t>Quick drawing</w:t>
            </w:r>
          </w:p>
        </w:tc>
        <w:tc>
          <w:tcPr>
            <w:tcW w:w="2330" w:type="dxa"/>
            <w:shd w:val="clear" w:color="auto" w:fill="8DB3E2"/>
            <w:vAlign w:val="center"/>
          </w:tcPr>
          <w:p w14:paraId="6103B0CF" w14:textId="77777777" w:rsidR="006D3AD5" w:rsidRPr="00685AEF" w:rsidRDefault="006D3AD5" w:rsidP="00443B8F">
            <w:pPr>
              <w:jc w:val="center"/>
              <w:rPr>
                <w:b/>
                <w:color w:val="FFFFFF" w:themeColor="background1"/>
                <w:sz w:val="20"/>
              </w:rPr>
            </w:pPr>
            <w:r w:rsidRPr="00685AEF">
              <w:rPr>
                <w:b/>
                <w:color w:val="FFFFFF" w:themeColor="background1"/>
                <w:sz w:val="20"/>
              </w:rPr>
              <w:t>Quick drawing</w:t>
            </w:r>
          </w:p>
        </w:tc>
        <w:tc>
          <w:tcPr>
            <w:tcW w:w="2330" w:type="dxa"/>
            <w:shd w:val="clear" w:color="auto" w:fill="8DB3E2"/>
          </w:tcPr>
          <w:p w14:paraId="65A2D4BB" w14:textId="77777777" w:rsidR="006D3AD5" w:rsidRPr="00685AEF" w:rsidRDefault="006D3AD5" w:rsidP="00443B8F">
            <w:pPr>
              <w:jc w:val="center"/>
              <w:rPr>
                <w:b/>
                <w:color w:val="FFFFFF" w:themeColor="background1"/>
                <w:sz w:val="20"/>
              </w:rPr>
            </w:pPr>
          </w:p>
        </w:tc>
      </w:tr>
      <w:tr w:rsidR="006D3AD5" w:rsidRPr="0073014D" w14:paraId="55D69562" w14:textId="77777777" w:rsidTr="00443B8F">
        <w:trPr>
          <w:trHeight w:val="735"/>
        </w:trPr>
        <w:tc>
          <w:tcPr>
            <w:tcW w:w="960" w:type="dxa"/>
            <w:vMerge w:val="restart"/>
            <w:shd w:val="clear" w:color="auto" w:fill="FF0000"/>
            <w:textDirection w:val="btLr"/>
            <w:vAlign w:val="center"/>
          </w:tcPr>
          <w:p w14:paraId="3CE0ED6B" w14:textId="77777777" w:rsidR="006D3AD5" w:rsidRPr="00685AEF" w:rsidRDefault="006D3AD5" w:rsidP="00443B8F">
            <w:pPr>
              <w:ind w:left="113" w:right="113"/>
              <w:jc w:val="center"/>
              <w:rPr>
                <w:b/>
                <w:bCs/>
                <w:color w:val="FFFFFF" w:themeColor="background1"/>
                <w:sz w:val="24"/>
                <w:szCs w:val="24"/>
              </w:rPr>
            </w:pPr>
            <w:r w:rsidRPr="00685AEF">
              <w:rPr>
                <w:b/>
                <w:color w:val="FFFFFF" w:themeColor="background1"/>
                <w:sz w:val="24"/>
              </w:rPr>
              <w:t>Disadvantages, problems and risks</w:t>
            </w:r>
          </w:p>
        </w:tc>
        <w:tc>
          <w:tcPr>
            <w:tcW w:w="960" w:type="dxa"/>
            <w:vMerge w:val="restart"/>
            <w:shd w:val="clear" w:color="auto" w:fill="FF0000"/>
            <w:noWrap/>
            <w:textDirection w:val="btLr"/>
            <w:vAlign w:val="center"/>
          </w:tcPr>
          <w:p w14:paraId="1C00E635" w14:textId="5ED006A7" w:rsidR="006D3AD5" w:rsidRPr="00685AEF" w:rsidRDefault="00CF3F95" w:rsidP="00443B8F">
            <w:pPr>
              <w:jc w:val="center"/>
              <w:rPr>
                <w:b/>
                <w:bCs/>
                <w:color w:val="FFFFFF" w:themeColor="background1"/>
                <w:sz w:val="24"/>
                <w:szCs w:val="24"/>
              </w:rPr>
            </w:pPr>
            <w:r>
              <w:rPr>
                <w:b/>
                <w:color w:val="FFFFFF" w:themeColor="background1"/>
                <w:sz w:val="24"/>
              </w:rPr>
              <w:t>Final recipient</w:t>
            </w:r>
          </w:p>
        </w:tc>
        <w:tc>
          <w:tcPr>
            <w:tcW w:w="2414" w:type="dxa"/>
            <w:shd w:val="clear" w:color="auto" w:fill="FF0000"/>
            <w:vAlign w:val="center"/>
          </w:tcPr>
          <w:p w14:paraId="698C4BE7" w14:textId="77777777" w:rsidR="006D3AD5" w:rsidRPr="00685AEF" w:rsidRDefault="006D3AD5" w:rsidP="00443B8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vAlign w:val="center"/>
          </w:tcPr>
          <w:p w14:paraId="4648D627" w14:textId="77777777" w:rsidR="006D3AD5" w:rsidRPr="00685AEF" w:rsidRDefault="006D3AD5" w:rsidP="00443B8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tcPr>
          <w:p w14:paraId="734C6BF5" w14:textId="77777777" w:rsidR="006D3AD5" w:rsidRPr="00685AEF" w:rsidRDefault="006D3AD5" w:rsidP="00443B8F">
            <w:pPr>
              <w:jc w:val="center"/>
              <w:rPr>
                <w:b/>
                <w:color w:val="FFFFFF" w:themeColor="background1"/>
                <w:sz w:val="20"/>
              </w:rPr>
            </w:pPr>
            <w:r w:rsidRPr="00685AEF">
              <w:rPr>
                <w:b/>
                <w:color w:val="FFFFFF" w:themeColor="background1"/>
                <w:sz w:val="20"/>
              </w:rPr>
              <w:t>High  administrative intensity</w:t>
            </w:r>
          </w:p>
        </w:tc>
      </w:tr>
      <w:tr w:rsidR="006D3AD5" w:rsidRPr="0073014D" w14:paraId="637781B8" w14:textId="77777777" w:rsidTr="00443B8F">
        <w:trPr>
          <w:trHeight w:val="735"/>
        </w:trPr>
        <w:tc>
          <w:tcPr>
            <w:tcW w:w="960" w:type="dxa"/>
            <w:vMerge/>
            <w:shd w:val="clear" w:color="auto" w:fill="FF0000"/>
            <w:vAlign w:val="center"/>
          </w:tcPr>
          <w:p w14:paraId="242DA25A"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05BA10B2"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4E1F2068" w14:textId="77777777" w:rsidR="006D3AD5" w:rsidRPr="00685AEF" w:rsidRDefault="006D3AD5" w:rsidP="00443B8F">
            <w:pPr>
              <w:jc w:val="center"/>
              <w:rPr>
                <w:b/>
                <w:color w:val="FFFFFF" w:themeColor="background1"/>
                <w:sz w:val="20"/>
              </w:rPr>
            </w:pPr>
            <w:r w:rsidRPr="00685AEF">
              <w:rPr>
                <w:b/>
                <w:color w:val="FFFFFF" w:themeColor="background1"/>
                <w:sz w:val="20"/>
              </w:rPr>
              <w:t>Low effect on decrease in interests</w:t>
            </w:r>
          </w:p>
        </w:tc>
        <w:tc>
          <w:tcPr>
            <w:tcW w:w="2330" w:type="dxa"/>
            <w:shd w:val="clear" w:color="auto" w:fill="FF0000"/>
            <w:vAlign w:val="center"/>
          </w:tcPr>
          <w:p w14:paraId="1B2B01E9" w14:textId="77777777" w:rsidR="006D3AD5" w:rsidRPr="00685AEF" w:rsidRDefault="006D3AD5" w:rsidP="00443B8F">
            <w:pPr>
              <w:jc w:val="center"/>
              <w:rPr>
                <w:b/>
                <w:color w:val="FFFFFF" w:themeColor="background1"/>
                <w:sz w:val="20"/>
              </w:rPr>
            </w:pPr>
            <w:r w:rsidRPr="00685AEF">
              <w:rPr>
                <w:b/>
                <w:color w:val="FFFFFF" w:themeColor="background1"/>
                <w:sz w:val="20"/>
              </w:rPr>
              <w:t>Low effect on project return when compared to subsidy</w:t>
            </w:r>
          </w:p>
        </w:tc>
        <w:tc>
          <w:tcPr>
            <w:tcW w:w="2330" w:type="dxa"/>
            <w:shd w:val="clear" w:color="auto" w:fill="FF0000"/>
          </w:tcPr>
          <w:p w14:paraId="5BF51019" w14:textId="77777777" w:rsidR="006D3AD5" w:rsidRPr="00685AEF" w:rsidRDefault="006D3AD5" w:rsidP="00443B8F">
            <w:pPr>
              <w:jc w:val="center"/>
              <w:rPr>
                <w:b/>
                <w:color w:val="FFFFFF" w:themeColor="background1"/>
                <w:sz w:val="20"/>
              </w:rPr>
            </w:pPr>
            <w:r w:rsidRPr="00685AEF">
              <w:rPr>
                <w:b/>
                <w:color w:val="FFFFFF" w:themeColor="background1"/>
                <w:sz w:val="20"/>
              </w:rPr>
              <w:t>Regulated tenders for supplier - higher costs</w:t>
            </w:r>
          </w:p>
        </w:tc>
      </w:tr>
      <w:tr w:rsidR="006D3AD5" w:rsidRPr="0073014D" w14:paraId="1E2C7A6C" w14:textId="77777777" w:rsidTr="00443B8F">
        <w:trPr>
          <w:trHeight w:val="456"/>
        </w:trPr>
        <w:tc>
          <w:tcPr>
            <w:tcW w:w="960" w:type="dxa"/>
            <w:vMerge/>
            <w:shd w:val="clear" w:color="auto" w:fill="FF0000"/>
            <w:vAlign w:val="center"/>
          </w:tcPr>
          <w:p w14:paraId="7AB86C99"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102B13FC"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5FAA5B53" w14:textId="77777777" w:rsidR="006D3AD5" w:rsidRPr="00685AEF" w:rsidRDefault="006D3AD5" w:rsidP="00443B8F">
            <w:pPr>
              <w:jc w:val="center"/>
              <w:rPr>
                <w:b/>
                <w:color w:val="FFFFFF" w:themeColor="background1"/>
                <w:sz w:val="20"/>
              </w:rPr>
            </w:pPr>
          </w:p>
        </w:tc>
        <w:tc>
          <w:tcPr>
            <w:tcW w:w="2330" w:type="dxa"/>
            <w:shd w:val="clear" w:color="auto" w:fill="FF0000"/>
            <w:vAlign w:val="center"/>
          </w:tcPr>
          <w:p w14:paraId="257E6282" w14:textId="77777777" w:rsidR="006D3AD5" w:rsidRPr="00685AEF" w:rsidRDefault="006D3AD5" w:rsidP="00443B8F">
            <w:pPr>
              <w:jc w:val="center"/>
              <w:rPr>
                <w:b/>
                <w:color w:val="FFFFFF" w:themeColor="background1"/>
                <w:sz w:val="20"/>
              </w:rPr>
            </w:pPr>
            <w:r w:rsidRPr="00685AEF">
              <w:rPr>
                <w:b/>
                <w:color w:val="FFFFFF" w:themeColor="background1"/>
                <w:sz w:val="20"/>
              </w:rPr>
              <w:t>Lower effect of funding availability for high-risk projects</w:t>
            </w:r>
          </w:p>
        </w:tc>
        <w:tc>
          <w:tcPr>
            <w:tcW w:w="2330" w:type="dxa"/>
            <w:shd w:val="clear" w:color="auto" w:fill="FF0000"/>
          </w:tcPr>
          <w:p w14:paraId="7C95E984" w14:textId="77777777" w:rsidR="006D3AD5" w:rsidRPr="00685AEF" w:rsidRDefault="006D3AD5" w:rsidP="00443B8F">
            <w:pPr>
              <w:jc w:val="center"/>
              <w:rPr>
                <w:b/>
                <w:color w:val="FFFFFF" w:themeColor="background1"/>
                <w:sz w:val="20"/>
              </w:rPr>
            </w:pPr>
            <w:r w:rsidRPr="00685AEF">
              <w:rPr>
                <w:b/>
                <w:color w:val="FFFFFF" w:themeColor="background1"/>
                <w:sz w:val="20"/>
              </w:rPr>
              <w:t>Necessity of pre-funding –  ex post payment</w:t>
            </w:r>
          </w:p>
        </w:tc>
      </w:tr>
      <w:tr w:rsidR="006D3AD5" w:rsidRPr="0073014D" w14:paraId="65FB0C7D" w14:textId="77777777" w:rsidTr="00443B8F">
        <w:trPr>
          <w:trHeight w:val="735"/>
        </w:trPr>
        <w:tc>
          <w:tcPr>
            <w:tcW w:w="960" w:type="dxa"/>
            <w:vMerge/>
            <w:shd w:val="clear" w:color="auto" w:fill="FF0000"/>
            <w:vAlign w:val="center"/>
          </w:tcPr>
          <w:p w14:paraId="2B613250"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4AD3FFED"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420E1145" w14:textId="77777777" w:rsidR="006D3AD5" w:rsidRPr="00685AEF" w:rsidRDefault="006D3AD5" w:rsidP="00443B8F">
            <w:pPr>
              <w:jc w:val="center"/>
              <w:rPr>
                <w:b/>
                <w:color w:val="FFFFFF" w:themeColor="background1"/>
                <w:sz w:val="20"/>
              </w:rPr>
            </w:pPr>
          </w:p>
        </w:tc>
        <w:tc>
          <w:tcPr>
            <w:tcW w:w="2330" w:type="dxa"/>
            <w:shd w:val="clear" w:color="auto" w:fill="FF0000"/>
            <w:vAlign w:val="center"/>
          </w:tcPr>
          <w:p w14:paraId="30B96CAB" w14:textId="77777777" w:rsidR="006D3AD5" w:rsidRPr="00685AEF" w:rsidRDefault="006D3AD5" w:rsidP="00443B8F">
            <w:pPr>
              <w:jc w:val="center"/>
              <w:rPr>
                <w:b/>
                <w:color w:val="FFFFFF" w:themeColor="background1"/>
                <w:sz w:val="20"/>
              </w:rPr>
            </w:pPr>
          </w:p>
        </w:tc>
        <w:tc>
          <w:tcPr>
            <w:tcW w:w="2330" w:type="dxa"/>
            <w:shd w:val="clear" w:color="auto" w:fill="FF0000"/>
          </w:tcPr>
          <w:p w14:paraId="548AA57A" w14:textId="77777777" w:rsidR="006D3AD5" w:rsidRPr="00685AEF" w:rsidRDefault="006D3AD5" w:rsidP="00443B8F">
            <w:pPr>
              <w:jc w:val="center"/>
              <w:rPr>
                <w:b/>
                <w:color w:val="FFFFFF" w:themeColor="background1"/>
                <w:sz w:val="20"/>
              </w:rPr>
            </w:pPr>
            <w:r w:rsidRPr="00685AEF">
              <w:rPr>
                <w:b/>
                <w:color w:val="FFFFFF" w:themeColor="background1"/>
                <w:sz w:val="20"/>
              </w:rPr>
              <w:t>Risk of additional removal of subsidy due to mistakes in projects and non-compliance of conditions</w:t>
            </w:r>
          </w:p>
        </w:tc>
      </w:tr>
      <w:tr w:rsidR="006D3AD5" w:rsidRPr="0073014D" w14:paraId="76FF6980" w14:textId="77777777" w:rsidTr="00443B8F">
        <w:trPr>
          <w:trHeight w:val="735"/>
        </w:trPr>
        <w:tc>
          <w:tcPr>
            <w:tcW w:w="960" w:type="dxa"/>
            <w:vMerge/>
            <w:shd w:val="clear" w:color="auto" w:fill="FF0000"/>
            <w:vAlign w:val="center"/>
          </w:tcPr>
          <w:p w14:paraId="6B1B0913" w14:textId="77777777" w:rsidR="006D3AD5" w:rsidRPr="00685AEF" w:rsidRDefault="006D3AD5" w:rsidP="00443B8F">
            <w:pPr>
              <w:jc w:val="left"/>
              <w:rPr>
                <w:b/>
                <w:bCs/>
                <w:color w:val="FFFFFF" w:themeColor="background1"/>
                <w:sz w:val="24"/>
                <w:szCs w:val="24"/>
              </w:rPr>
            </w:pPr>
          </w:p>
        </w:tc>
        <w:tc>
          <w:tcPr>
            <w:tcW w:w="960" w:type="dxa"/>
            <w:vMerge w:val="restart"/>
            <w:shd w:val="clear" w:color="auto" w:fill="FF0000"/>
            <w:noWrap/>
            <w:textDirection w:val="btLr"/>
            <w:vAlign w:val="center"/>
          </w:tcPr>
          <w:p w14:paraId="07380CCD"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MA</w:t>
            </w:r>
          </w:p>
        </w:tc>
        <w:tc>
          <w:tcPr>
            <w:tcW w:w="2414" w:type="dxa"/>
            <w:shd w:val="clear" w:color="auto" w:fill="FF0000"/>
            <w:vAlign w:val="center"/>
          </w:tcPr>
          <w:p w14:paraId="0C4FC15C" w14:textId="77777777" w:rsidR="006D3AD5" w:rsidRPr="00685AEF" w:rsidRDefault="006D3AD5" w:rsidP="00443B8F">
            <w:pPr>
              <w:jc w:val="center"/>
              <w:rPr>
                <w:b/>
                <w:color w:val="FFFFFF" w:themeColor="background1"/>
                <w:sz w:val="20"/>
              </w:rPr>
            </w:pPr>
            <w:r w:rsidRPr="00685AEF">
              <w:rPr>
                <w:b/>
                <w:color w:val="FFFFFF" w:themeColor="background1"/>
                <w:sz w:val="20"/>
              </w:rPr>
              <w:t>Very low revolving effect</w:t>
            </w:r>
          </w:p>
        </w:tc>
        <w:tc>
          <w:tcPr>
            <w:tcW w:w="2330" w:type="dxa"/>
            <w:shd w:val="clear" w:color="auto" w:fill="FF0000"/>
            <w:vAlign w:val="center"/>
          </w:tcPr>
          <w:p w14:paraId="6AB99254" w14:textId="77777777" w:rsidR="006D3AD5" w:rsidRPr="00685AEF" w:rsidRDefault="006D3AD5" w:rsidP="00443B8F">
            <w:pPr>
              <w:jc w:val="center"/>
              <w:rPr>
                <w:b/>
                <w:color w:val="FFFFFF" w:themeColor="background1"/>
                <w:sz w:val="20"/>
              </w:rPr>
            </w:pPr>
            <w:r w:rsidRPr="00685AEF">
              <w:rPr>
                <w:b/>
                <w:color w:val="FFFFFF" w:themeColor="background1"/>
                <w:sz w:val="20"/>
              </w:rPr>
              <w:t>Lower leverage effect than guarantees</w:t>
            </w:r>
          </w:p>
        </w:tc>
        <w:tc>
          <w:tcPr>
            <w:tcW w:w="2330" w:type="dxa"/>
            <w:shd w:val="clear" w:color="auto" w:fill="FF0000"/>
          </w:tcPr>
          <w:p w14:paraId="6C2F8B49" w14:textId="77777777" w:rsidR="006D3AD5" w:rsidRPr="00685AEF" w:rsidRDefault="006D3AD5" w:rsidP="00443B8F">
            <w:pPr>
              <w:jc w:val="center"/>
              <w:rPr>
                <w:b/>
                <w:color w:val="FFFFFF" w:themeColor="background1"/>
                <w:sz w:val="20"/>
              </w:rPr>
            </w:pPr>
            <w:r w:rsidRPr="00685AEF">
              <w:rPr>
                <w:b/>
                <w:color w:val="FFFFFF" w:themeColor="background1"/>
                <w:sz w:val="20"/>
              </w:rPr>
              <w:t>Irrecoverable expenses</w:t>
            </w:r>
          </w:p>
        </w:tc>
      </w:tr>
      <w:tr w:rsidR="006D3AD5" w:rsidRPr="0073014D" w14:paraId="6B8ECBDC" w14:textId="77777777" w:rsidTr="00443B8F">
        <w:trPr>
          <w:trHeight w:val="566"/>
        </w:trPr>
        <w:tc>
          <w:tcPr>
            <w:tcW w:w="960" w:type="dxa"/>
            <w:vMerge/>
            <w:shd w:val="clear" w:color="auto" w:fill="FF0000"/>
            <w:vAlign w:val="center"/>
          </w:tcPr>
          <w:p w14:paraId="3F7F489D" w14:textId="77777777" w:rsidR="006D3AD5" w:rsidRPr="0073014D" w:rsidRDefault="006D3AD5" w:rsidP="00443B8F">
            <w:pPr>
              <w:jc w:val="left"/>
              <w:rPr>
                <w:b/>
                <w:bCs/>
                <w:sz w:val="18"/>
                <w:szCs w:val="18"/>
              </w:rPr>
            </w:pPr>
          </w:p>
        </w:tc>
        <w:tc>
          <w:tcPr>
            <w:tcW w:w="960" w:type="dxa"/>
            <w:vMerge/>
            <w:shd w:val="clear" w:color="auto" w:fill="FF0000"/>
            <w:noWrap/>
            <w:textDirection w:val="btLr"/>
            <w:vAlign w:val="center"/>
          </w:tcPr>
          <w:p w14:paraId="11118548" w14:textId="77777777" w:rsidR="006D3AD5" w:rsidRPr="0073014D" w:rsidRDefault="006D3AD5" w:rsidP="00443B8F">
            <w:pPr>
              <w:jc w:val="center"/>
              <w:rPr>
                <w:b/>
                <w:bCs/>
                <w:sz w:val="18"/>
                <w:szCs w:val="18"/>
              </w:rPr>
            </w:pPr>
          </w:p>
        </w:tc>
        <w:tc>
          <w:tcPr>
            <w:tcW w:w="2414" w:type="dxa"/>
            <w:shd w:val="clear" w:color="auto" w:fill="FF0000"/>
            <w:vAlign w:val="center"/>
          </w:tcPr>
          <w:p w14:paraId="6832D141" w14:textId="77777777" w:rsidR="006D3AD5" w:rsidRPr="00685AEF" w:rsidRDefault="006D3AD5" w:rsidP="00443B8F">
            <w:pPr>
              <w:jc w:val="center"/>
              <w:rPr>
                <w:b/>
                <w:color w:val="FFFFFF" w:themeColor="background1"/>
                <w:sz w:val="20"/>
              </w:rPr>
            </w:pPr>
            <w:r w:rsidRPr="00685AEF">
              <w:rPr>
                <w:b/>
                <w:color w:val="FFFFFF" w:themeColor="background1"/>
                <w:sz w:val="20"/>
              </w:rPr>
              <w:t>Low effect on investment activity</w:t>
            </w:r>
          </w:p>
        </w:tc>
        <w:tc>
          <w:tcPr>
            <w:tcW w:w="2330" w:type="dxa"/>
            <w:shd w:val="clear" w:color="auto" w:fill="FF0000"/>
            <w:vAlign w:val="center"/>
          </w:tcPr>
          <w:p w14:paraId="00928A00" w14:textId="77777777" w:rsidR="006D3AD5" w:rsidRPr="00685AEF" w:rsidRDefault="006D3AD5" w:rsidP="00443B8F">
            <w:pPr>
              <w:jc w:val="center"/>
              <w:rPr>
                <w:b/>
                <w:color w:val="FFFFFF" w:themeColor="background1"/>
                <w:sz w:val="20"/>
              </w:rPr>
            </w:pPr>
            <w:r w:rsidRPr="00685AEF">
              <w:rPr>
                <w:b/>
                <w:color w:val="FFFFFF" w:themeColor="background1"/>
                <w:sz w:val="20"/>
              </w:rPr>
              <w:t>Revolving limiting charges to intermediary entity</w:t>
            </w:r>
          </w:p>
        </w:tc>
        <w:tc>
          <w:tcPr>
            <w:tcW w:w="2330" w:type="dxa"/>
            <w:shd w:val="clear" w:color="auto" w:fill="FF0000"/>
          </w:tcPr>
          <w:p w14:paraId="10C4DE3F" w14:textId="77777777" w:rsidR="006D3AD5" w:rsidRPr="00685AEF" w:rsidRDefault="006D3AD5" w:rsidP="00443B8F">
            <w:pPr>
              <w:jc w:val="center"/>
              <w:rPr>
                <w:b/>
                <w:color w:val="FFFFFF" w:themeColor="background1"/>
                <w:sz w:val="20"/>
              </w:rPr>
            </w:pPr>
            <w:r w:rsidRPr="00685AEF">
              <w:rPr>
                <w:b/>
                <w:color w:val="FFFFFF" w:themeColor="background1"/>
                <w:sz w:val="20"/>
              </w:rPr>
              <w:t>Number of supported projects directly limited by allocation</w:t>
            </w:r>
          </w:p>
        </w:tc>
      </w:tr>
      <w:tr w:rsidR="006D3AD5" w:rsidRPr="0073014D" w14:paraId="79C1E83D" w14:textId="77777777" w:rsidTr="00443B8F">
        <w:trPr>
          <w:trHeight w:val="264"/>
        </w:trPr>
        <w:tc>
          <w:tcPr>
            <w:tcW w:w="960" w:type="dxa"/>
            <w:vMerge/>
            <w:shd w:val="clear" w:color="auto" w:fill="FF0000"/>
            <w:vAlign w:val="center"/>
          </w:tcPr>
          <w:p w14:paraId="602FAC5F" w14:textId="77777777" w:rsidR="006D3AD5" w:rsidRPr="0073014D" w:rsidRDefault="006D3AD5" w:rsidP="00443B8F">
            <w:pPr>
              <w:jc w:val="left"/>
              <w:rPr>
                <w:b/>
                <w:bCs/>
                <w:sz w:val="18"/>
                <w:szCs w:val="18"/>
              </w:rPr>
            </w:pPr>
          </w:p>
        </w:tc>
        <w:tc>
          <w:tcPr>
            <w:tcW w:w="960" w:type="dxa"/>
            <w:vMerge/>
            <w:shd w:val="clear" w:color="auto" w:fill="FF0000"/>
            <w:noWrap/>
            <w:textDirection w:val="btLr"/>
            <w:vAlign w:val="center"/>
          </w:tcPr>
          <w:p w14:paraId="1FF49AE5" w14:textId="77777777" w:rsidR="006D3AD5" w:rsidRPr="0073014D" w:rsidRDefault="006D3AD5" w:rsidP="00443B8F">
            <w:pPr>
              <w:jc w:val="center"/>
              <w:rPr>
                <w:b/>
                <w:bCs/>
                <w:sz w:val="18"/>
                <w:szCs w:val="18"/>
              </w:rPr>
            </w:pPr>
          </w:p>
        </w:tc>
        <w:tc>
          <w:tcPr>
            <w:tcW w:w="2414" w:type="dxa"/>
            <w:shd w:val="clear" w:color="auto" w:fill="FF0000"/>
            <w:vAlign w:val="center"/>
          </w:tcPr>
          <w:p w14:paraId="05E709A1" w14:textId="28DCC75F" w:rsidR="006D3AD5" w:rsidRPr="00685AEF" w:rsidRDefault="006D3AD5" w:rsidP="00443B8F">
            <w:pPr>
              <w:jc w:val="center"/>
              <w:rPr>
                <w:b/>
                <w:color w:val="FFFFFF" w:themeColor="background1"/>
                <w:sz w:val="20"/>
              </w:rPr>
            </w:pPr>
            <w:r w:rsidRPr="00685AEF">
              <w:rPr>
                <w:b/>
                <w:color w:val="FFFFFF" w:themeColor="background1"/>
                <w:sz w:val="20"/>
              </w:rPr>
              <w:t xml:space="preserve">Payment of charges to </w:t>
            </w:r>
            <w:r w:rsidR="003213A1">
              <w:rPr>
                <w:b/>
                <w:color w:val="FFFFFF" w:themeColor="background1"/>
                <w:sz w:val="20"/>
              </w:rPr>
              <w:t>recipient</w:t>
            </w:r>
          </w:p>
        </w:tc>
        <w:tc>
          <w:tcPr>
            <w:tcW w:w="2330" w:type="dxa"/>
            <w:shd w:val="clear" w:color="auto" w:fill="FF0000"/>
            <w:vAlign w:val="center"/>
          </w:tcPr>
          <w:p w14:paraId="0B690F14" w14:textId="0142C761" w:rsidR="006D3AD5" w:rsidRPr="00685AEF" w:rsidRDefault="006D3AD5" w:rsidP="00443B8F">
            <w:pPr>
              <w:jc w:val="center"/>
              <w:rPr>
                <w:b/>
                <w:color w:val="FFFFFF" w:themeColor="background1"/>
                <w:sz w:val="20"/>
              </w:rPr>
            </w:pPr>
            <w:r w:rsidRPr="00685AEF">
              <w:rPr>
                <w:b/>
                <w:color w:val="FFFFFF" w:themeColor="background1"/>
                <w:sz w:val="20"/>
              </w:rPr>
              <w:t xml:space="preserve">Payment of charges to </w:t>
            </w:r>
            <w:r w:rsidR="003213A1">
              <w:rPr>
                <w:b/>
                <w:color w:val="FFFFFF" w:themeColor="background1"/>
                <w:sz w:val="20"/>
              </w:rPr>
              <w:t>recipient</w:t>
            </w:r>
          </w:p>
        </w:tc>
        <w:tc>
          <w:tcPr>
            <w:tcW w:w="2330" w:type="dxa"/>
            <w:shd w:val="clear" w:color="auto" w:fill="FF0000"/>
          </w:tcPr>
          <w:p w14:paraId="58741E79" w14:textId="77777777" w:rsidR="006D3AD5" w:rsidRPr="00685AEF" w:rsidRDefault="006D3AD5" w:rsidP="00443B8F">
            <w:pPr>
              <w:keepNext/>
              <w:jc w:val="center"/>
              <w:rPr>
                <w:b/>
                <w:color w:val="FFFFFF" w:themeColor="background1"/>
                <w:sz w:val="20"/>
              </w:rPr>
            </w:pPr>
            <w:r w:rsidRPr="00685AEF">
              <w:rPr>
                <w:b/>
                <w:color w:val="FFFFFF" w:themeColor="background1"/>
                <w:sz w:val="20"/>
              </w:rPr>
              <w:t>Slower drawing</w:t>
            </w:r>
          </w:p>
        </w:tc>
      </w:tr>
    </w:tbl>
    <w:p w14:paraId="1EF755A9" w14:textId="6C5ACECE" w:rsidR="006D3AD5" w:rsidRPr="0073014D" w:rsidRDefault="006D3AD5" w:rsidP="003D68AA">
      <w:pPr>
        <w:pStyle w:val="Titulek"/>
      </w:pPr>
      <w:r>
        <w:t xml:space="preserve">Table </w:t>
      </w:r>
      <w:r w:rsidR="00A9664A">
        <w:t>81</w:t>
      </w:r>
      <w:r>
        <w:t>: Added value, disadvantages, problems and risks of public support</w:t>
      </w:r>
      <w:r w:rsidR="00CF3F95">
        <w:t xml:space="preserve"> for final recipient and SB</w:t>
      </w:r>
    </w:p>
    <w:p w14:paraId="119E04A5" w14:textId="77777777" w:rsidR="006D3AD5" w:rsidRPr="0073014D" w:rsidRDefault="006D3AD5" w:rsidP="006D3AD5">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3AD5" w:rsidRPr="0073014D" w14:paraId="63103F6B" w14:textId="77777777" w:rsidTr="00443B8F">
        <w:tc>
          <w:tcPr>
            <w:tcW w:w="1729" w:type="dxa"/>
            <w:shd w:val="clear" w:color="auto" w:fill="548DD4"/>
          </w:tcPr>
          <w:p w14:paraId="7624F605" w14:textId="77777777" w:rsidR="006D3AD5" w:rsidRPr="00685AEF" w:rsidRDefault="006D3AD5" w:rsidP="00443B8F">
            <w:pPr>
              <w:pStyle w:val="Highlight2"/>
              <w:shd w:val="clear" w:color="auto" w:fill="8DB3E2"/>
              <w:jc w:val="center"/>
              <w:rPr>
                <w:rFonts w:ascii="Calibri" w:hAnsi="Calibri" w:cs="Calibri"/>
                <w:color w:val="FFFFFF" w:themeColor="background1"/>
                <w:sz w:val="22"/>
                <w:szCs w:val="22"/>
              </w:rPr>
            </w:pPr>
            <w:r w:rsidRPr="00685AEF">
              <w:rPr>
                <w:rFonts w:ascii="Calibri" w:hAnsi="Calibri"/>
                <w:color w:val="FFFFFF" w:themeColor="background1"/>
                <w:sz w:val="22"/>
              </w:rPr>
              <w:t>Market failure</w:t>
            </w:r>
          </w:p>
        </w:tc>
        <w:tc>
          <w:tcPr>
            <w:tcW w:w="2694" w:type="dxa"/>
            <w:shd w:val="clear" w:color="auto" w:fill="548DD4"/>
          </w:tcPr>
          <w:p w14:paraId="02FF13FB" w14:textId="77777777" w:rsidR="006D3AD5" w:rsidRPr="00685AEF" w:rsidRDefault="006D3AD5" w:rsidP="00443B8F">
            <w:pPr>
              <w:pStyle w:val="Highlight2"/>
              <w:shd w:val="clear" w:color="auto" w:fill="8DB3E2"/>
              <w:jc w:val="center"/>
              <w:rPr>
                <w:rFonts w:ascii="Calibri" w:hAnsi="Calibri" w:cs="Calibri"/>
                <w:bCs/>
                <w:color w:val="FFFFFF" w:themeColor="background1"/>
                <w:sz w:val="22"/>
                <w:szCs w:val="22"/>
              </w:rPr>
            </w:pPr>
            <w:r w:rsidRPr="00685AEF">
              <w:rPr>
                <w:rFonts w:ascii="Calibri" w:hAnsi="Calibri"/>
                <w:color w:val="FFFFFF" w:themeColor="background1"/>
                <w:sz w:val="22"/>
              </w:rPr>
              <w:t>Guarantee instrument</w:t>
            </w:r>
          </w:p>
        </w:tc>
        <w:tc>
          <w:tcPr>
            <w:tcW w:w="2268" w:type="dxa"/>
            <w:shd w:val="clear" w:color="auto" w:fill="548DD4"/>
          </w:tcPr>
          <w:p w14:paraId="0EAE48E5" w14:textId="77777777" w:rsidR="006D3AD5" w:rsidRPr="00685AEF" w:rsidRDefault="006D3AD5" w:rsidP="00443B8F">
            <w:pPr>
              <w:pStyle w:val="Highlight2"/>
              <w:shd w:val="clear" w:color="auto" w:fill="8DB3E2"/>
              <w:jc w:val="center"/>
              <w:rPr>
                <w:rFonts w:ascii="Calibri" w:hAnsi="Calibri" w:cs="Calibri"/>
                <w:color w:val="FFFFFF" w:themeColor="background1"/>
                <w:sz w:val="22"/>
                <w:szCs w:val="22"/>
              </w:rPr>
            </w:pPr>
            <w:r w:rsidRPr="00685AEF">
              <w:rPr>
                <w:rFonts w:ascii="Calibri" w:hAnsi="Calibri"/>
                <w:color w:val="FFFFFF" w:themeColor="background1"/>
                <w:sz w:val="22"/>
              </w:rPr>
              <w:t>Soft loan</w:t>
            </w:r>
          </w:p>
        </w:tc>
        <w:tc>
          <w:tcPr>
            <w:tcW w:w="2268" w:type="dxa"/>
            <w:shd w:val="clear" w:color="auto" w:fill="548DD4"/>
          </w:tcPr>
          <w:p w14:paraId="4F2F4253" w14:textId="77777777" w:rsidR="006D3AD5" w:rsidRPr="00685AEF" w:rsidRDefault="006D3AD5" w:rsidP="00443B8F">
            <w:pPr>
              <w:pStyle w:val="Highlight2"/>
              <w:shd w:val="clear" w:color="auto" w:fill="8DB3E2"/>
              <w:jc w:val="center"/>
              <w:rPr>
                <w:rFonts w:ascii="Calibri" w:hAnsi="Calibri" w:cs="Calibri"/>
                <w:bCs/>
                <w:color w:val="FFFFFF" w:themeColor="background1"/>
                <w:sz w:val="22"/>
                <w:szCs w:val="22"/>
              </w:rPr>
            </w:pPr>
            <w:r w:rsidRPr="00685AEF">
              <w:rPr>
                <w:rFonts w:ascii="Calibri" w:hAnsi="Calibri"/>
                <w:color w:val="FFFFFF" w:themeColor="background1"/>
                <w:sz w:val="22"/>
              </w:rPr>
              <w:t>Subsidy</w:t>
            </w:r>
          </w:p>
        </w:tc>
      </w:tr>
      <w:tr w:rsidR="006D3AD5" w:rsidRPr="0073014D" w14:paraId="7B58BA01" w14:textId="77777777" w:rsidTr="00443B8F">
        <w:trPr>
          <w:trHeight w:val="793"/>
        </w:trPr>
        <w:tc>
          <w:tcPr>
            <w:tcW w:w="1729" w:type="dxa"/>
          </w:tcPr>
          <w:p w14:paraId="015DE0D7" w14:textId="77777777" w:rsidR="006D3AD5" w:rsidRPr="0073014D" w:rsidRDefault="006D3AD5" w:rsidP="00443B8F">
            <w:pPr>
              <w:pStyle w:val="Highlight2"/>
              <w:jc w:val="left"/>
              <w:rPr>
                <w:rFonts w:ascii="Calibri" w:hAnsi="Calibri" w:cs="Calibri"/>
                <w:color w:val="000000"/>
              </w:rPr>
            </w:pPr>
            <w:r>
              <w:rPr>
                <w:rFonts w:ascii="Calibri" w:hAnsi="Calibri"/>
                <w:color w:val="000000"/>
              </w:rPr>
              <w:t>Project costs and return</w:t>
            </w:r>
          </w:p>
        </w:tc>
        <w:tc>
          <w:tcPr>
            <w:tcW w:w="2694" w:type="dxa"/>
          </w:tcPr>
          <w:p w14:paraId="098739FA"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Does not have influence on reduction of costs of project and its return</w:t>
            </w:r>
          </w:p>
        </w:tc>
        <w:tc>
          <w:tcPr>
            <w:tcW w:w="2268" w:type="dxa"/>
          </w:tcPr>
          <w:p w14:paraId="23C7E332"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Partially decreases interest costs and initial costs of preparation, </w:t>
            </w:r>
            <w:r>
              <w:rPr>
                <w:rFonts w:ascii="Calibri" w:hAnsi="Calibri"/>
                <w:b w:val="0"/>
                <w:color w:val="000000"/>
              </w:rPr>
              <w:lastRenderedPageBreak/>
              <w:t>however, does not dramatically change return parameters</w:t>
            </w:r>
          </w:p>
        </w:tc>
        <w:tc>
          <w:tcPr>
            <w:tcW w:w="2268" w:type="dxa"/>
          </w:tcPr>
          <w:p w14:paraId="4663BD0F"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lastRenderedPageBreak/>
              <w:t xml:space="preserve">Significantly reduces costs for applicants and, </w:t>
            </w:r>
            <w:r>
              <w:rPr>
                <w:rFonts w:ascii="Calibri" w:hAnsi="Calibri"/>
                <w:b w:val="0"/>
                <w:color w:val="000000"/>
              </w:rPr>
              <w:lastRenderedPageBreak/>
              <w:t>therefore, improves also project return.</w:t>
            </w:r>
          </w:p>
        </w:tc>
      </w:tr>
      <w:tr w:rsidR="006D3AD5" w:rsidRPr="0073014D" w14:paraId="74AD2F0B" w14:textId="77777777" w:rsidTr="00443B8F">
        <w:trPr>
          <w:trHeight w:val="1521"/>
        </w:trPr>
        <w:tc>
          <w:tcPr>
            <w:tcW w:w="1729" w:type="dxa"/>
          </w:tcPr>
          <w:p w14:paraId="15E4C0E3"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lastRenderedPageBreak/>
              <w:t>Project risk</w:t>
            </w:r>
          </w:p>
        </w:tc>
        <w:tc>
          <w:tcPr>
            <w:tcW w:w="2694" w:type="dxa"/>
          </w:tcPr>
          <w:p w14:paraId="03C87625" w14:textId="3382CABA"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From the viewpoint of lending, it divides risk among the </w:t>
            </w:r>
            <w:r w:rsidR="00AA2E8C">
              <w:rPr>
                <w:rFonts w:ascii="Calibri" w:hAnsi="Calibri"/>
                <w:b w:val="0"/>
                <w:color w:val="000000"/>
              </w:rPr>
              <w:t>final recipient, bank and FI</w:t>
            </w:r>
            <w:r>
              <w:rPr>
                <w:rFonts w:ascii="Calibri" w:hAnsi="Calibri"/>
                <w:b w:val="0"/>
                <w:color w:val="000000"/>
              </w:rPr>
              <w:t>. More liquid pledge, considerable risk reduction for crediting institution</w:t>
            </w:r>
          </w:p>
          <w:p w14:paraId="3C692D54" w14:textId="77777777" w:rsidR="006D3AD5" w:rsidRPr="0073014D" w:rsidRDefault="006D3AD5" w:rsidP="00443B8F">
            <w:pPr>
              <w:pStyle w:val="Highlight2"/>
              <w:jc w:val="center"/>
              <w:rPr>
                <w:rFonts w:ascii="Calibri" w:hAnsi="Calibri" w:cs="Calibri"/>
                <w:b w:val="0"/>
                <w:color w:val="000000"/>
              </w:rPr>
            </w:pPr>
          </w:p>
          <w:p w14:paraId="29FCB8B9" w14:textId="6CB81595"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5F475670" w14:textId="77777777" w:rsidR="006D3AD5" w:rsidRPr="0073014D" w:rsidRDefault="006D3AD5" w:rsidP="00443B8F">
            <w:pPr>
              <w:pStyle w:val="Highlight2"/>
              <w:jc w:val="center"/>
              <w:rPr>
                <w:rFonts w:ascii="Calibri" w:hAnsi="Calibri" w:cs="Calibri"/>
                <w:b w:val="0"/>
                <w:color w:val="000000"/>
              </w:rPr>
            </w:pPr>
          </w:p>
          <w:p w14:paraId="4ECC0098" w14:textId="77777777" w:rsidR="006D3AD5" w:rsidRPr="0073014D" w:rsidRDefault="006D3AD5" w:rsidP="00443B8F">
            <w:pPr>
              <w:pStyle w:val="Highlight2"/>
              <w:jc w:val="center"/>
              <w:rPr>
                <w:rFonts w:ascii="Calibri" w:hAnsi="Calibri" w:cs="Calibri"/>
                <w:b w:val="0"/>
                <w:color w:val="000000"/>
              </w:rPr>
            </w:pPr>
          </w:p>
        </w:tc>
        <w:tc>
          <w:tcPr>
            <w:tcW w:w="2268" w:type="dxa"/>
          </w:tcPr>
          <w:p w14:paraId="033FB55E" w14:textId="37A295C0"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Divides risk among </w:t>
            </w:r>
            <w:r w:rsidR="00AA2E8C">
              <w:rPr>
                <w:rFonts w:ascii="Calibri" w:hAnsi="Calibri"/>
                <w:b w:val="0"/>
                <w:color w:val="000000"/>
              </w:rPr>
              <w:t>final recipient, bank and FI</w:t>
            </w:r>
            <w:r>
              <w:rPr>
                <w:rFonts w:ascii="Calibri" w:hAnsi="Calibri"/>
                <w:b w:val="0"/>
                <w:color w:val="000000"/>
              </w:rPr>
              <w:t>.</w:t>
            </w:r>
          </w:p>
          <w:p w14:paraId="3E1D8B13" w14:textId="77777777" w:rsidR="006D3AD5" w:rsidRPr="0073014D" w:rsidRDefault="006D3AD5" w:rsidP="00443B8F">
            <w:pPr>
              <w:pStyle w:val="Highlight2"/>
              <w:jc w:val="center"/>
              <w:rPr>
                <w:rFonts w:ascii="Calibri" w:hAnsi="Calibri" w:cs="Calibri"/>
                <w:b w:val="0"/>
                <w:color w:val="000000"/>
              </w:rPr>
            </w:pPr>
          </w:p>
          <w:p w14:paraId="0E6D2D07" w14:textId="1F72D92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0D6516D9" w14:textId="77777777" w:rsidR="006D3AD5" w:rsidRPr="0073014D" w:rsidRDefault="006D3AD5" w:rsidP="00443B8F">
            <w:pPr>
              <w:pStyle w:val="Highlight2"/>
              <w:jc w:val="center"/>
              <w:rPr>
                <w:rFonts w:ascii="Calibri" w:hAnsi="Calibri" w:cs="Calibri"/>
                <w:b w:val="0"/>
                <w:color w:val="000000"/>
              </w:rPr>
            </w:pPr>
          </w:p>
          <w:p w14:paraId="7A2A4A3C" w14:textId="77777777" w:rsidR="006D3AD5" w:rsidRPr="0073014D" w:rsidRDefault="006D3AD5" w:rsidP="00443B8F">
            <w:pPr>
              <w:pStyle w:val="Highlight2"/>
              <w:jc w:val="center"/>
              <w:rPr>
                <w:rFonts w:ascii="Calibri" w:hAnsi="Calibri" w:cs="Calibri"/>
                <w:b w:val="0"/>
                <w:color w:val="000000"/>
              </w:rPr>
            </w:pPr>
          </w:p>
        </w:tc>
        <w:tc>
          <w:tcPr>
            <w:tcW w:w="2268" w:type="dxa"/>
          </w:tcPr>
          <w:p w14:paraId="436EE3F8" w14:textId="0BF6CDFC" w:rsidR="006D3AD5" w:rsidRPr="0073014D" w:rsidRDefault="00AA2E8C" w:rsidP="00443B8F">
            <w:pPr>
              <w:pStyle w:val="Highlight2"/>
              <w:jc w:val="center"/>
              <w:rPr>
                <w:rFonts w:ascii="Calibri" w:hAnsi="Calibri" w:cs="Calibri"/>
                <w:b w:val="0"/>
                <w:color w:val="000000"/>
              </w:rPr>
            </w:pPr>
            <w:r>
              <w:rPr>
                <w:rFonts w:ascii="Calibri" w:hAnsi="Calibri"/>
                <w:b w:val="0"/>
                <w:color w:val="000000"/>
              </w:rPr>
              <w:t>Subsidy of part of costs reduces the final recipient</w:t>
            </w:r>
            <w:r w:rsidR="006D3AD5">
              <w:rPr>
                <w:rFonts w:ascii="Calibri" w:hAnsi="Calibri"/>
                <w:b w:val="0"/>
                <w:color w:val="000000"/>
              </w:rPr>
              <w:t xml:space="preserve">'s risk from negative revitalisation development. </w:t>
            </w:r>
            <w:r>
              <w:rPr>
                <w:rFonts w:ascii="Calibri" w:hAnsi="Calibri"/>
                <w:b w:val="0"/>
                <w:color w:val="000000"/>
              </w:rPr>
              <w:t>Final recipient accepts the</w:t>
            </w:r>
            <w:r w:rsidR="006D3AD5">
              <w:rPr>
                <w:rFonts w:ascii="Calibri" w:hAnsi="Calibri"/>
                <w:b w:val="0"/>
                <w:color w:val="000000"/>
              </w:rPr>
              <w:t xml:space="preserve"> risk only up to the amount of participation of eligible and non-eligible costs</w:t>
            </w:r>
          </w:p>
          <w:p w14:paraId="102C8AD2" w14:textId="77777777" w:rsidR="006D3AD5" w:rsidRPr="0073014D" w:rsidRDefault="006D3AD5" w:rsidP="00443B8F">
            <w:pPr>
              <w:pStyle w:val="Highlight2"/>
              <w:jc w:val="center"/>
              <w:rPr>
                <w:rFonts w:ascii="Calibri" w:hAnsi="Calibri" w:cs="Calibri"/>
                <w:b w:val="0"/>
                <w:color w:val="000000"/>
              </w:rPr>
            </w:pPr>
          </w:p>
          <w:p w14:paraId="17D65915"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Improved credit possibility of subsidised projects</w:t>
            </w:r>
          </w:p>
          <w:p w14:paraId="1524365A"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w:t>
            </w:r>
          </w:p>
          <w:p w14:paraId="2945C542"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 SB knows losses given in advance up to absolute amount of subsidy.</w:t>
            </w:r>
          </w:p>
        </w:tc>
      </w:tr>
      <w:tr w:rsidR="006D3AD5" w:rsidRPr="0073014D" w14:paraId="1241F7E8" w14:textId="77777777" w:rsidTr="00443B8F">
        <w:trPr>
          <w:trHeight w:val="1474"/>
        </w:trPr>
        <w:tc>
          <w:tcPr>
            <w:tcW w:w="1729" w:type="dxa"/>
          </w:tcPr>
          <w:p w14:paraId="32F2B06F" w14:textId="77777777" w:rsidR="006D3AD5" w:rsidRPr="0073014D" w:rsidRDefault="006D3AD5" w:rsidP="00443B8F">
            <w:pPr>
              <w:rPr>
                <w:rFonts w:cs="Calibri"/>
                <w:b/>
                <w:sz w:val="20"/>
              </w:rPr>
            </w:pPr>
            <w:r>
              <w:rPr>
                <w:b/>
                <w:sz w:val="20"/>
              </w:rPr>
              <w:t>Administrative burden</w:t>
            </w:r>
          </w:p>
        </w:tc>
        <w:tc>
          <w:tcPr>
            <w:tcW w:w="2694" w:type="dxa"/>
          </w:tcPr>
          <w:p w14:paraId="23675A7B"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Simple administrative, without risk of removing subsidy due to technical mistakes</w:t>
            </w:r>
          </w:p>
          <w:p w14:paraId="4F06F773" w14:textId="77777777" w:rsidR="006D3AD5" w:rsidRPr="0073014D" w:rsidRDefault="006D3AD5" w:rsidP="00443B8F">
            <w:pPr>
              <w:pStyle w:val="Highlight2"/>
              <w:jc w:val="center"/>
              <w:rPr>
                <w:rFonts w:ascii="Calibri" w:hAnsi="Calibri" w:cs="Calibri"/>
                <w:b w:val="0"/>
                <w:bCs/>
                <w:color w:val="000000"/>
              </w:rPr>
            </w:pPr>
          </w:p>
        </w:tc>
        <w:tc>
          <w:tcPr>
            <w:tcW w:w="2268" w:type="dxa"/>
          </w:tcPr>
          <w:p w14:paraId="594FDDA7" w14:textId="77777777" w:rsidR="006D3AD5" w:rsidRPr="0073014D" w:rsidRDefault="006D3AD5" w:rsidP="00443B8F">
            <w:pPr>
              <w:rPr>
                <w:sz w:val="20"/>
              </w:rPr>
            </w:pPr>
            <w:r>
              <w:rPr>
                <w:sz w:val="20"/>
              </w:rPr>
              <w:t>Simple administrative, without risk of removing subsidy due to technical mistakes</w:t>
            </w:r>
          </w:p>
        </w:tc>
        <w:tc>
          <w:tcPr>
            <w:tcW w:w="2268" w:type="dxa"/>
          </w:tcPr>
          <w:p w14:paraId="67F73891" w14:textId="46185EAD" w:rsidR="006D3AD5" w:rsidRPr="0073014D" w:rsidRDefault="006D3AD5" w:rsidP="00443B8F">
            <w:pPr>
              <w:rPr>
                <w:sz w:val="20"/>
              </w:rPr>
            </w:pPr>
            <w:r>
              <w:rPr>
                <w:sz w:val="20"/>
              </w:rPr>
              <w:t xml:space="preserve">High administrative and regulation </w:t>
            </w:r>
            <w:r w:rsidR="00AA2E8C">
              <w:rPr>
                <w:sz w:val="20"/>
              </w:rPr>
              <w:t>burden limit final recipient</w:t>
            </w:r>
            <w:r>
              <w:rPr>
                <w:sz w:val="20"/>
              </w:rPr>
              <w:t>, increase costs and bring risk of removing subsidy.</w:t>
            </w:r>
          </w:p>
        </w:tc>
      </w:tr>
      <w:tr w:rsidR="006D3AD5" w:rsidRPr="0073014D" w14:paraId="0157C21E" w14:textId="77777777" w:rsidTr="00443B8F">
        <w:tc>
          <w:tcPr>
            <w:tcW w:w="1729" w:type="dxa"/>
          </w:tcPr>
          <w:p w14:paraId="07D041F9"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t>Total effect on investment activity and absorption in SC</w:t>
            </w:r>
          </w:p>
        </w:tc>
        <w:tc>
          <w:tcPr>
            <w:tcW w:w="2694" w:type="dxa"/>
          </w:tcPr>
          <w:p w14:paraId="5B7F93E5"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Guarantee has not significant influence on investment activity in energy savings area, partially only in segment of risk SMEs.</w:t>
            </w:r>
          </w:p>
        </w:tc>
        <w:tc>
          <w:tcPr>
            <w:tcW w:w="2268" w:type="dxa"/>
          </w:tcPr>
          <w:p w14:paraId="48599900" w14:textId="77777777" w:rsidR="006D3AD5" w:rsidRPr="0073014D" w:rsidRDefault="006D3AD5" w:rsidP="00443B8F">
            <w:pPr>
              <w:rPr>
                <w:sz w:val="20"/>
              </w:rPr>
            </w:pPr>
            <w:r>
              <w:rPr>
                <w:sz w:val="20"/>
              </w:rPr>
              <w:t>Slight shortening of payback period, access to higher external funding and contribution to project preparation</w:t>
            </w:r>
          </w:p>
          <w:p w14:paraId="304F628D" w14:textId="77777777" w:rsidR="006D3AD5" w:rsidRPr="0073014D" w:rsidRDefault="006D3AD5" w:rsidP="00443B8F">
            <w:pPr>
              <w:rPr>
                <w:sz w:val="20"/>
              </w:rPr>
            </w:pPr>
            <w:r>
              <w:rPr>
                <w:sz w:val="20"/>
              </w:rPr>
              <w:t xml:space="preserve">enables higher investment activity in segment </w:t>
            </w:r>
          </w:p>
          <w:p w14:paraId="708494FC" w14:textId="77777777" w:rsidR="006D3AD5" w:rsidRPr="0073014D" w:rsidRDefault="006D3AD5" w:rsidP="00443B8F">
            <w:pPr>
              <w:rPr>
                <w:sz w:val="20"/>
              </w:rPr>
            </w:pPr>
          </w:p>
          <w:p w14:paraId="2954789E" w14:textId="77777777" w:rsidR="006D3AD5" w:rsidRPr="0073014D" w:rsidRDefault="006D3AD5" w:rsidP="00443B8F">
            <w:pPr>
              <w:rPr>
                <w:sz w:val="20"/>
              </w:rPr>
            </w:pPr>
            <w:r>
              <w:rPr>
                <w:sz w:val="20"/>
              </w:rPr>
              <w:t>Motivation effect for additional investments is smaller when compared to subsidies, but in case of savings still noticeable.</w:t>
            </w:r>
          </w:p>
          <w:p w14:paraId="28A3FC9F" w14:textId="77777777" w:rsidR="006D3AD5" w:rsidRPr="0073014D" w:rsidRDefault="006D3AD5" w:rsidP="00443B8F">
            <w:pPr>
              <w:rPr>
                <w:rFonts w:cs="Calibri"/>
                <w:sz w:val="20"/>
              </w:rPr>
            </w:pPr>
          </w:p>
        </w:tc>
        <w:tc>
          <w:tcPr>
            <w:tcW w:w="2268" w:type="dxa"/>
          </w:tcPr>
          <w:p w14:paraId="361F3495" w14:textId="77777777" w:rsidR="006D3AD5" w:rsidRPr="0073014D" w:rsidRDefault="006D3AD5" w:rsidP="00443B8F">
            <w:pPr>
              <w:rPr>
                <w:sz w:val="20"/>
              </w:rPr>
            </w:pPr>
            <w:r>
              <w:rPr>
                <w:sz w:val="20"/>
              </w:rPr>
              <w:t>Visible effect on project cost intensity and return can significantly stimulate activities to more comprehensive projects with high rate of energy saving</w:t>
            </w:r>
          </w:p>
          <w:p w14:paraId="66310348" w14:textId="77777777" w:rsidR="006D3AD5" w:rsidRPr="0073014D" w:rsidRDefault="006D3AD5" w:rsidP="00443B8F">
            <w:pPr>
              <w:rPr>
                <w:rFonts w:cs="Calibri"/>
                <w:sz w:val="20"/>
              </w:rPr>
            </w:pPr>
          </w:p>
        </w:tc>
      </w:tr>
      <w:tr w:rsidR="006D3AD5" w:rsidRPr="0073014D" w14:paraId="5A9320AC" w14:textId="77777777" w:rsidTr="00443B8F">
        <w:tc>
          <w:tcPr>
            <w:tcW w:w="1729" w:type="dxa"/>
          </w:tcPr>
          <w:p w14:paraId="1EBEAE06" w14:textId="77777777" w:rsidR="006D3AD5" w:rsidRPr="0073014D" w:rsidRDefault="006D3AD5" w:rsidP="00443B8F">
            <w:pPr>
              <w:pStyle w:val="Highlight2"/>
              <w:jc w:val="left"/>
              <w:rPr>
                <w:rFonts w:ascii="Calibri" w:hAnsi="Calibri" w:cs="Calibri"/>
                <w:color w:val="000000"/>
                <w:szCs w:val="20"/>
              </w:rPr>
            </w:pPr>
            <w:r>
              <w:rPr>
                <w:rFonts w:ascii="Calibri" w:hAnsi="Calibri"/>
                <w:color w:val="000000"/>
              </w:rPr>
              <w:t>Effect of disruption of market environment</w:t>
            </w:r>
          </w:p>
        </w:tc>
        <w:tc>
          <w:tcPr>
            <w:tcW w:w="2694" w:type="dxa"/>
          </w:tcPr>
          <w:p w14:paraId="1426EDB5" w14:textId="77777777" w:rsidR="006D3AD5" w:rsidRPr="0073014D" w:rsidRDefault="006D3AD5" w:rsidP="00443B8F">
            <w:pPr>
              <w:pStyle w:val="Highlight2"/>
              <w:jc w:val="center"/>
              <w:rPr>
                <w:rFonts w:ascii="Calibri" w:hAnsi="Calibri" w:cs="Calibri"/>
                <w:b w:val="0"/>
                <w:bCs/>
                <w:color w:val="000000"/>
                <w:szCs w:val="20"/>
              </w:rPr>
            </w:pPr>
            <w:r>
              <w:rPr>
                <w:rFonts w:ascii="Calibri" w:hAnsi="Calibri"/>
                <w:b w:val="0"/>
                <w:color w:val="000000"/>
              </w:rPr>
              <w:t>Minimum influence on market environment, increase competition by removing financial barrier for smaller entities</w:t>
            </w:r>
          </w:p>
        </w:tc>
        <w:tc>
          <w:tcPr>
            <w:tcW w:w="2268" w:type="dxa"/>
          </w:tcPr>
          <w:p w14:paraId="3479E959"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Small influence on market environment, recoverable support motivates economically effective behaviour of entities</w:t>
            </w:r>
          </w:p>
          <w:p w14:paraId="43F9BA16" w14:textId="77777777" w:rsidR="006D3AD5" w:rsidRPr="0073014D" w:rsidRDefault="006D3AD5" w:rsidP="00443B8F">
            <w:pPr>
              <w:pStyle w:val="Highlight2"/>
              <w:jc w:val="center"/>
              <w:rPr>
                <w:rFonts w:ascii="Calibri" w:hAnsi="Calibri" w:cs="Calibri"/>
                <w:b w:val="0"/>
                <w:color w:val="000000"/>
                <w:szCs w:val="20"/>
              </w:rPr>
            </w:pPr>
          </w:p>
          <w:p w14:paraId="5E64A968"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Supplementation of private financial market</w:t>
            </w:r>
          </w:p>
          <w:p w14:paraId="56C3E0FB" w14:textId="77777777" w:rsidR="006D3AD5" w:rsidRPr="0073014D" w:rsidRDefault="006D3AD5" w:rsidP="00443B8F">
            <w:pPr>
              <w:rPr>
                <w:sz w:val="20"/>
              </w:rPr>
            </w:pPr>
            <w:r>
              <w:rPr>
                <w:sz w:val="20"/>
              </w:rPr>
              <w:t>Does not disrupt dramatically market environment.</w:t>
            </w:r>
          </w:p>
        </w:tc>
        <w:tc>
          <w:tcPr>
            <w:tcW w:w="2268" w:type="dxa"/>
          </w:tcPr>
          <w:p w14:paraId="339AF419" w14:textId="77777777" w:rsidR="006D3AD5" w:rsidRPr="0073014D" w:rsidRDefault="006D3AD5" w:rsidP="00443B8F">
            <w:pPr>
              <w:rPr>
                <w:sz w:val="20"/>
              </w:rPr>
            </w:pPr>
            <w:r>
              <w:rPr>
                <w:sz w:val="20"/>
              </w:rPr>
              <w:t>Subsidies mean advantages for business of affected entities, nevertheless, they balance market failure to a certain extent. Within market they represent distinct adjustment of its operation, regulation of investment activity with respect to announced calls and, partially, also limitation for market mechanisms of an EPC type.</w:t>
            </w:r>
          </w:p>
        </w:tc>
      </w:tr>
    </w:tbl>
    <w:p w14:paraId="59594C29" w14:textId="77777777" w:rsidR="006D3AD5" w:rsidRPr="0073014D" w:rsidRDefault="006D3AD5" w:rsidP="006D3AD5"/>
    <w:p w14:paraId="51CBAD64" w14:textId="4B51FE49" w:rsidR="006D3AD5" w:rsidRPr="0073014D" w:rsidRDefault="006D3AD5" w:rsidP="003D68AA">
      <w:pPr>
        <w:pStyle w:val="Titulek"/>
      </w:pPr>
      <w:r>
        <w:t xml:space="preserve">Table </w:t>
      </w:r>
      <w:r w:rsidR="00A9664A">
        <w:t>82</w:t>
      </w:r>
      <w:r w:rsidR="00125522">
        <w:t xml:space="preserve"> </w:t>
      </w:r>
      <w:r>
        <w:t xml:space="preserve">– Added value of support for goals </w:t>
      </w:r>
      <w:r w:rsidR="00685AEF">
        <w:t xml:space="preserve">SO </w:t>
      </w:r>
      <w:r>
        <w:t>3.2</w:t>
      </w:r>
    </w:p>
    <w:p w14:paraId="0DC7AFC5" w14:textId="77777777" w:rsidR="006D3AD5" w:rsidRPr="0073014D" w:rsidRDefault="006D3AD5" w:rsidP="006D3AD5"/>
    <w:p w14:paraId="40AED542" w14:textId="2AA9B3B0" w:rsidR="006D3AD5" w:rsidRPr="0073014D" w:rsidRDefault="006D3AD5" w:rsidP="006D3AD5">
      <w:r>
        <w:t xml:space="preserve">Upon the basis of comparison of the added value it is obvious that within </w:t>
      </w:r>
      <w:r w:rsidR="00685AEF">
        <w:t xml:space="preserve">SO </w:t>
      </w:r>
      <w:r>
        <w:t>3.2 activities, we can identify a potential for the utilisation of both the credit and subsidy instrument.</w:t>
      </w:r>
    </w:p>
    <w:p w14:paraId="0E3823C4" w14:textId="77777777" w:rsidR="006D3AD5" w:rsidRPr="0073014D" w:rsidRDefault="006D3AD5" w:rsidP="006D3AD5">
      <w:pPr>
        <w:pStyle w:val="Nadpis4"/>
        <w:rPr>
          <w:rFonts w:ascii="Calibri" w:hAnsi="Calibri"/>
          <w:color w:val="000000"/>
        </w:rPr>
      </w:pPr>
      <w:r>
        <w:rPr>
          <w:rFonts w:ascii="Calibri" w:hAnsi="Calibri"/>
          <w:color w:val="000000"/>
        </w:rPr>
        <w:t>Concordance with other forms of public interventions</w:t>
      </w:r>
    </w:p>
    <w:p w14:paraId="1AC0C111" w14:textId="77777777" w:rsidR="006D3AD5" w:rsidRPr="0073014D" w:rsidRDefault="006D3AD5" w:rsidP="006D3AD5"/>
    <w:p w14:paraId="6FBB58C1" w14:textId="1DA7221A" w:rsidR="006D3AD5" w:rsidRDefault="006D3AD5" w:rsidP="006D3AD5">
      <w:r>
        <w:t>Support in S</w:t>
      </w:r>
      <w:r w:rsidR="009A737B">
        <w:t>O</w:t>
      </w:r>
      <w:r>
        <w:t xml:space="preserve"> 3.2 is complementary to the support within OPE and the programme of New Green to Savings which is aimed at non-business entities as well to the support of energy intensity in residential houses provided by IROP. Synergy effect to </w:t>
      </w:r>
      <w:r w:rsidR="00685AEF">
        <w:t xml:space="preserve">SO </w:t>
      </w:r>
      <w:r>
        <w:t>3.2 has the non-investment support within the EFEKT programme, which develops market environment in the area of energy savings.</w:t>
      </w:r>
      <w:r w:rsidR="009A737B">
        <w:t xml:space="preserve"> The support should be also complementary with the european support of energy efficiency though the products of EIB. This support can be used in areas not covered by OPEIC (such as the region of Prague) or can be under the specific conditions combined with the support from ESIF. The support has to be mutually harmonized to avoid the overlap of the absorption capacity.</w:t>
      </w:r>
    </w:p>
    <w:p w14:paraId="0148CB12" w14:textId="77777777" w:rsidR="006D3AD5" w:rsidRPr="0073014D" w:rsidRDefault="006D3AD5" w:rsidP="006D3AD5"/>
    <w:p w14:paraId="60A314D4" w14:textId="77777777" w:rsidR="006D3AD5" w:rsidRPr="0073014D" w:rsidRDefault="006D3AD5" w:rsidP="006D3AD5">
      <w:r>
        <w:t>Important complementarity includes also an option of integration of the Investment Plan for Europe and the European Fund for Strategic Investments.</w:t>
      </w:r>
    </w:p>
    <w:p w14:paraId="6B62F80F" w14:textId="77777777" w:rsidR="006D3AD5" w:rsidRPr="0073014D" w:rsidRDefault="006D3AD5" w:rsidP="006D3AD5">
      <w:pPr>
        <w:pStyle w:val="Nadpis4"/>
        <w:rPr>
          <w:rFonts w:ascii="Calibri" w:hAnsi="Calibri"/>
          <w:color w:val="000000"/>
        </w:rPr>
      </w:pPr>
      <w:r>
        <w:rPr>
          <w:rFonts w:ascii="Calibri" w:hAnsi="Calibri"/>
          <w:color w:val="000000"/>
        </w:rPr>
        <w:t>Possible solution of public support</w:t>
      </w:r>
    </w:p>
    <w:p w14:paraId="4ED34418" w14:textId="77777777" w:rsidR="006D3AD5" w:rsidRPr="0073014D" w:rsidRDefault="006D3AD5" w:rsidP="006D3AD5"/>
    <w:p w14:paraId="19E8353F" w14:textId="32558045" w:rsidR="006D3AD5" w:rsidRPr="0073014D" w:rsidRDefault="006D3AD5" w:rsidP="006D3AD5">
      <w:r>
        <w:t xml:space="preserve">Public support of the financial instrument can be solved by the provision of </w:t>
      </w:r>
      <w:r>
        <w:rPr>
          <w:i/>
        </w:rPr>
        <w:t>de minimis</w:t>
      </w:r>
      <w:r>
        <w:t xml:space="preserve"> or the support as per the General Regulation on Block Exceptions, No. 651/2014. Public support is assumed only at the level of </w:t>
      </w:r>
      <w:r w:rsidR="00CF3F95">
        <w:t>final recipients</w:t>
      </w:r>
      <w:r>
        <w:t>.</w:t>
      </w:r>
    </w:p>
    <w:p w14:paraId="7C4F7445" w14:textId="77777777" w:rsidR="006D3AD5" w:rsidRPr="0073014D" w:rsidRDefault="006D3AD5" w:rsidP="006D3AD5"/>
    <w:p w14:paraId="0F2C78B9" w14:textId="77777777" w:rsidR="006D3AD5" w:rsidRPr="0073014D" w:rsidRDefault="006D3AD5" w:rsidP="006D3AD5"/>
    <w:p w14:paraId="38201C36" w14:textId="77777777" w:rsidR="006D3AD5" w:rsidRPr="0073014D" w:rsidRDefault="006D3AD5" w:rsidP="006D3AD5">
      <w:pPr>
        <w:pStyle w:val="Nadpis3"/>
        <w:rPr>
          <w:rFonts w:ascii="Calibri" w:hAnsi="Calibri"/>
          <w:color w:val="000000"/>
        </w:rPr>
      </w:pPr>
      <w:bookmarkStart w:id="908" w:name="_Toc422312126"/>
      <w:r>
        <w:rPr>
          <w:rFonts w:ascii="Calibri" w:hAnsi="Calibri"/>
          <w:color w:val="000000"/>
        </w:rPr>
        <w:t>Estimated additional public and private resources.</w:t>
      </w:r>
      <w:bookmarkEnd w:id="908"/>
    </w:p>
    <w:p w14:paraId="42E716A3" w14:textId="16C2E474" w:rsidR="006D3AD5" w:rsidRPr="0073014D" w:rsidRDefault="006D3AD5" w:rsidP="006D3AD5">
      <w:pPr>
        <w:pStyle w:val="Nadpis4"/>
        <w:rPr>
          <w:rFonts w:ascii="Calibri" w:hAnsi="Calibri"/>
          <w:color w:val="000000"/>
        </w:rPr>
      </w:pPr>
      <w:r>
        <w:rPr>
          <w:rFonts w:ascii="Calibri" w:hAnsi="Calibri"/>
          <w:color w:val="000000"/>
        </w:rPr>
        <w:t xml:space="preserve">Co-financing from private resources up to the level of the </w:t>
      </w:r>
      <w:r w:rsidR="00CF3F95">
        <w:rPr>
          <w:rFonts w:ascii="Calibri" w:hAnsi="Calibri"/>
          <w:color w:val="000000"/>
        </w:rPr>
        <w:t>final recipient</w:t>
      </w:r>
    </w:p>
    <w:p w14:paraId="365C4EF2" w14:textId="77777777" w:rsidR="006D3AD5" w:rsidRPr="0073014D" w:rsidRDefault="006D3AD5" w:rsidP="006D3AD5"/>
    <w:p w14:paraId="0E4D6AB1" w14:textId="77777777" w:rsidR="006D3AD5" w:rsidRPr="0073014D" w:rsidRDefault="006D3AD5" w:rsidP="006D3AD5">
      <w:r>
        <w:t>Instrument in the form of soft loans assumes co-financing in the form of a commercial loan, which will be a presumption of granting a soft loan. The share of private bank resources in financing a project can move in a dependence on setting the instrument and the share of internal resources in 20-80% of project expenses. In order to preserve sufficient rate of advantage in the form of a lower compound interest rate, a maximum proportion of a commercial loan 1:1 to the soft loan is recommended. In the model example, at the commercial banks' rate of 3.5% and FN rate of 0.5%, thus, the result rate will be at the level of 2%.</w:t>
      </w:r>
    </w:p>
    <w:p w14:paraId="4B02B46F" w14:textId="77777777" w:rsidR="006D3AD5" w:rsidRPr="0073014D" w:rsidRDefault="006D3AD5" w:rsidP="006D3AD5">
      <w:r>
        <w:t>The precondition for the instrument of soft loans is also preservation of the share of the receiver's internal resources, which may significantly oscillate according to the financial strategy of the business and its needs. Our resources will be applied to finance eligible expenses and, in particular, for non-eligible project expenses.</w:t>
      </w:r>
    </w:p>
    <w:p w14:paraId="41D0DFA4" w14:textId="77777777" w:rsidR="006D3AD5" w:rsidRPr="0073014D" w:rsidRDefault="006D3AD5" w:rsidP="006D3AD5"/>
    <w:p w14:paraId="05205DD7" w14:textId="3114B0EC" w:rsidR="006D3AD5" w:rsidRPr="0073014D" w:rsidRDefault="006D3AD5" w:rsidP="006D3AD5">
      <w:r>
        <w:t xml:space="preserve">In the case of loans, upon </w:t>
      </w:r>
      <w:r w:rsidR="00A97232">
        <w:t>CMGDB</w:t>
      </w:r>
      <w:r>
        <w:t>'s experience, we estimate an applicant's own resources at the level of 10-30% of the project costs.</w:t>
      </w:r>
    </w:p>
    <w:p w14:paraId="45BCAA9E" w14:textId="77777777" w:rsidR="006D3AD5" w:rsidRPr="0073014D" w:rsidRDefault="006D3AD5" w:rsidP="006D3AD5">
      <w:pPr>
        <w:pStyle w:val="Nadpis4"/>
        <w:rPr>
          <w:rFonts w:ascii="Calibri" w:hAnsi="Calibri"/>
          <w:color w:val="000000"/>
        </w:rPr>
      </w:pPr>
      <w:r>
        <w:rPr>
          <w:rFonts w:ascii="Calibri" w:hAnsi="Calibri"/>
          <w:color w:val="000000"/>
        </w:rPr>
        <w:t>Identification of key subjects</w:t>
      </w:r>
    </w:p>
    <w:p w14:paraId="71EA3B00" w14:textId="77777777" w:rsidR="006D3AD5" w:rsidRPr="0073014D" w:rsidRDefault="006D3AD5" w:rsidP="006D3AD5">
      <w:r>
        <w:t>A key private entity for the instrument of soft loans are private credit institutions – commercial banks which ensure private co-financing. The FI (Financial Instrument) will be implemented through the credit fund with a selected administrator.</w:t>
      </w:r>
    </w:p>
    <w:p w14:paraId="41E65367" w14:textId="77777777" w:rsidR="006D3AD5" w:rsidRPr="0073014D" w:rsidRDefault="006D3AD5" w:rsidP="006D3AD5">
      <w:pPr>
        <w:pStyle w:val="Nadpis4"/>
        <w:rPr>
          <w:rFonts w:ascii="Calibri" w:hAnsi="Calibri"/>
          <w:color w:val="000000"/>
        </w:rPr>
      </w:pPr>
      <w:r>
        <w:rPr>
          <w:rFonts w:ascii="Calibri" w:hAnsi="Calibri"/>
          <w:color w:val="000000"/>
        </w:rPr>
        <w:lastRenderedPageBreak/>
        <w:t>Estimated additional resources which may be potentially attracted by the financial instrument - estimated leverage effect</w:t>
      </w:r>
    </w:p>
    <w:p w14:paraId="3C1A7F8B" w14:textId="77777777" w:rsidR="006D3AD5" w:rsidRPr="0073014D" w:rsidRDefault="006D3AD5" w:rsidP="006D3AD5">
      <w:r>
        <w:t>Additional resources activated by the financial instrument and, therefore, also the resulting leverage effect are always dependent on the concrete setting of the investment strategy from the viewpoint of the required private co-financing.</w:t>
      </w:r>
    </w:p>
    <w:p w14:paraId="5F9BCB44" w14:textId="77777777" w:rsidR="006D3AD5" w:rsidRPr="0073014D" w:rsidRDefault="006D3AD5" w:rsidP="006D3AD5"/>
    <w:p w14:paraId="76D1CC63" w14:textId="77777777" w:rsidR="006D3AD5" w:rsidRPr="0073014D" w:rsidRDefault="006D3AD5" w:rsidP="006D3AD5">
      <w:r>
        <w:t>The leverage effect of the credit instrument has direct proportional effects on the rate of employment of private bank co-financing, which will be given by a specific setting of the SB (Steering Body) and the agreement with private credit institutions. These parameters should be subject to flexible arrangement reflecting the results of the instrument.</w:t>
      </w:r>
    </w:p>
    <w:p w14:paraId="699AE640" w14:textId="4B271172" w:rsidR="006D3AD5" w:rsidRPr="0073014D" w:rsidRDefault="006D3AD5" w:rsidP="006D3AD5">
      <w:pPr>
        <w:rPr>
          <w:b/>
        </w:rPr>
      </w:pPr>
      <w:r>
        <w:t xml:space="preserve">Upon the estimated range of co-financing and limit values specified above, in the case of soft loans, the leverage effect, may range from 1.125-9 (without the applicant's own resources and revolving effect). Where the credit instrument for a </w:t>
      </w:r>
      <w:r w:rsidR="00CF3F95">
        <w:t>final recipient</w:t>
      </w:r>
      <w:r>
        <w:t xml:space="preserve"> is to be sufficiently advantageous and substantiated, we cannot expect the leverage effect exceeding the value of 2 (i.e. the share of the FI and private loan in the proportion 1:1).</w:t>
      </w:r>
    </w:p>
    <w:p w14:paraId="768021DA" w14:textId="77777777" w:rsidR="006D3AD5" w:rsidRPr="0073014D" w:rsidRDefault="006D3AD5" w:rsidP="006D3AD5"/>
    <w:p w14:paraId="2C9FAB06" w14:textId="77777777" w:rsidR="006D3AD5" w:rsidRPr="0073014D" w:rsidRDefault="006D3AD5" w:rsidP="006D3AD5">
      <w:pPr>
        <w:pStyle w:val="Nadpis4"/>
        <w:rPr>
          <w:rFonts w:ascii="Calibri" w:hAnsi="Calibri"/>
          <w:color w:val="000000"/>
        </w:rPr>
      </w:pPr>
      <w:r>
        <w:rPr>
          <w:rFonts w:ascii="Calibri" w:hAnsi="Calibri"/>
          <w:color w:val="000000"/>
        </w:rPr>
        <w:t>Evaluation of the need and level of preferential remuneration</w:t>
      </w:r>
    </w:p>
    <w:p w14:paraId="0470BE5B" w14:textId="71A658E2" w:rsidR="006D3AD5" w:rsidRPr="0073014D" w:rsidRDefault="006D3AD5" w:rsidP="006D3AD5">
      <w:r>
        <w:t xml:space="preserve">Within soft loans of FI, we propose to apply setting a longer period of maturity and the secondary right of lien to liable assets in order to motivate a sufficient leverage effect and employment of private bank resources in the supported project. This way we can considerably increase an additional credit possibility of the supported entities, the risk of private banks in the provision of an additional private loan decreases and the private capital is not crowded out by the financial instrument. It is not a preferential remuneration of credit institutions, the effects of the instrument should be fully transferred to the </w:t>
      </w:r>
      <w:r w:rsidR="00CF3F95">
        <w:t>final recipient</w:t>
      </w:r>
      <w:r>
        <w:t>. Preferential remuneration is not proposed.</w:t>
      </w:r>
    </w:p>
    <w:p w14:paraId="74434CDF" w14:textId="77777777" w:rsidR="006D3AD5" w:rsidRPr="0073014D" w:rsidRDefault="006D3AD5" w:rsidP="006D3AD5"/>
    <w:p w14:paraId="54E90078" w14:textId="77777777" w:rsidR="006D3AD5" w:rsidRPr="0073014D" w:rsidRDefault="006D3AD5" w:rsidP="006D3AD5">
      <w:pPr>
        <w:pStyle w:val="Nadpis2"/>
        <w:rPr>
          <w:rFonts w:ascii="Calibri" w:hAnsi="Calibri"/>
          <w:color w:val="000000"/>
        </w:rPr>
      </w:pPr>
      <w:bookmarkStart w:id="909" w:name="_Toc413824151"/>
      <w:bookmarkStart w:id="910" w:name="_Toc413831134"/>
      <w:bookmarkStart w:id="911" w:name="_Toc413831164"/>
      <w:bookmarkStart w:id="912" w:name="_Toc413824152"/>
      <w:bookmarkStart w:id="913" w:name="_Toc413831135"/>
      <w:bookmarkStart w:id="914" w:name="_Toc413831165"/>
      <w:bookmarkStart w:id="915" w:name="_Toc416800463"/>
      <w:bookmarkStart w:id="916" w:name="_Toc422312127"/>
      <w:bookmarkEnd w:id="909"/>
      <w:bookmarkEnd w:id="910"/>
      <w:bookmarkEnd w:id="911"/>
      <w:bookmarkEnd w:id="912"/>
      <w:bookmarkEnd w:id="913"/>
      <w:bookmarkEnd w:id="914"/>
      <w:r>
        <w:rPr>
          <w:rFonts w:ascii="Calibri" w:hAnsi="Calibri"/>
          <w:color w:val="000000"/>
        </w:rPr>
        <w:t>Specific objective 3.5 – Improving the efficiency of the systems for heat supply</w:t>
      </w:r>
      <w:bookmarkEnd w:id="915"/>
      <w:bookmarkEnd w:id="916"/>
    </w:p>
    <w:p w14:paraId="09C3E65F" w14:textId="77777777" w:rsidR="006D3AD5" w:rsidRPr="0073014D" w:rsidRDefault="006D3AD5" w:rsidP="006D3AD5">
      <w:pPr>
        <w:pStyle w:val="Nadpis3"/>
        <w:rPr>
          <w:rFonts w:ascii="Calibri" w:hAnsi="Calibri"/>
          <w:color w:val="000000"/>
        </w:rPr>
      </w:pPr>
      <w:bookmarkStart w:id="917" w:name="_Toc416800464"/>
      <w:bookmarkStart w:id="918" w:name="_Toc422312128"/>
      <w:r>
        <w:rPr>
          <w:rFonts w:ascii="Calibri" w:hAnsi="Calibri"/>
          <w:color w:val="000000"/>
        </w:rPr>
        <w:t>Orientation of a specific objective</w:t>
      </w:r>
      <w:bookmarkEnd w:id="917"/>
      <w:bookmarkEnd w:id="918"/>
    </w:p>
    <w:p w14:paraId="3B6977C5" w14:textId="77777777" w:rsidR="006D3AD5" w:rsidRPr="0073014D" w:rsidRDefault="006D3AD5" w:rsidP="006D3AD5">
      <w:pPr>
        <w:pStyle w:val="Neslovannadpisy"/>
        <w:rPr>
          <w:color w:val="000000"/>
        </w:rPr>
      </w:pPr>
      <w:r>
        <w:rPr>
          <w:color w:val="000000"/>
        </w:rPr>
        <w:t>Supported activities:</w:t>
      </w:r>
    </w:p>
    <w:p w14:paraId="58248F51" w14:textId="77777777" w:rsidR="006D3AD5" w:rsidRPr="0073014D" w:rsidRDefault="006D3AD5" w:rsidP="006D3AD5">
      <w:pPr>
        <w:pStyle w:val="Odstavecseseznamem1"/>
        <w:numPr>
          <w:ilvl w:val="0"/>
          <w:numId w:val="6"/>
        </w:numPr>
      </w:pPr>
      <w:r>
        <w:t>Installation of high-efficient (gas) co-generation units in the heat supplying systems</w:t>
      </w:r>
    </w:p>
    <w:p w14:paraId="0D9AEC99" w14:textId="77777777" w:rsidR="006D3AD5" w:rsidRPr="0073014D" w:rsidRDefault="006D3AD5" w:rsidP="006D3AD5">
      <w:r>
        <w:t>including development and connection of the existing systems for their higher utilisation</w:t>
      </w:r>
    </w:p>
    <w:p w14:paraId="0B7358B7" w14:textId="77777777" w:rsidR="006D3AD5" w:rsidRPr="0073014D" w:rsidRDefault="006D3AD5" w:rsidP="006D3AD5">
      <w:r>
        <w:t>of combined productions of electricity and heat with a view to achieving primary energy savings.</w:t>
      </w:r>
    </w:p>
    <w:p w14:paraId="631F219F" w14:textId="77777777" w:rsidR="006D3AD5" w:rsidRPr="0073014D" w:rsidRDefault="006D3AD5" w:rsidP="006D3AD5">
      <w:pPr>
        <w:pStyle w:val="Odstavecseseznamem1"/>
        <w:numPr>
          <w:ilvl w:val="0"/>
          <w:numId w:val="6"/>
        </w:numPr>
      </w:pPr>
      <w:r>
        <w:t>Installation of high-efficient (gas) co-generation unit for local consumption of</w:t>
      </w:r>
    </w:p>
    <w:p w14:paraId="3C59B2FE" w14:textId="77777777" w:rsidR="006D3AD5" w:rsidRPr="0073014D" w:rsidRDefault="006D3AD5" w:rsidP="006D3AD5">
      <w:r>
        <w:t>thermal energy.</w:t>
      </w:r>
    </w:p>
    <w:p w14:paraId="58349922" w14:textId="77777777" w:rsidR="006D3AD5" w:rsidRPr="0073014D" w:rsidRDefault="006D3AD5" w:rsidP="006D3AD5">
      <w:pPr>
        <w:pStyle w:val="Odstavecseseznamem1"/>
        <w:numPr>
          <w:ilvl w:val="0"/>
          <w:numId w:val="6"/>
        </w:numPr>
      </w:pPr>
      <w:r>
        <w:t>Reconstruction of the existing facilities with combined production of electricity and heat with a view to</w:t>
      </w:r>
    </w:p>
    <w:p w14:paraId="74E3858A" w14:textId="77777777" w:rsidR="006D3AD5" w:rsidRPr="0073014D" w:rsidRDefault="006D3AD5" w:rsidP="006D3AD5">
      <w:r>
        <w:t>achieving primary energy savings due to the improvement of technical parameters of the facilities.</w:t>
      </w:r>
    </w:p>
    <w:p w14:paraId="5786F751" w14:textId="77777777" w:rsidR="006D3AD5" w:rsidRPr="0073014D" w:rsidRDefault="006D3AD5" w:rsidP="006D3AD5">
      <w:pPr>
        <w:pStyle w:val="Odstavecseseznamem1"/>
        <w:numPr>
          <w:ilvl w:val="0"/>
          <w:numId w:val="6"/>
        </w:numPr>
      </w:pPr>
      <w:r>
        <w:t>Construction and development of the existing systems for heat supply, including  discharge stations with a view to</w:t>
      </w:r>
    </w:p>
    <w:p w14:paraId="6FCAC5C0" w14:textId="77777777" w:rsidR="006D3AD5" w:rsidRPr="0073014D" w:rsidRDefault="006D3AD5" w:rsidP="006D3AD5">
      <w:r>
        <w:t>maximum utilisation of the heat from high-efficient combined production of electricity and heat</w:t>
      </w:r>
    </w:p>
    <w:p w14:paraId="51114318" w14:textId="77777777" w:rsidR="006D3AD5" w:rsidRPr="0073014D" w:rsidRDefault="006D3AD5" w:rsidP="006D3AD5">
      <w:r>
        <w:t>or waste heat from industrial processes and attaining primary energy savings.</w:t>
      </w:r>
    </w:p>
    <w:p w14:paraId="1E47E2BC" w14:textId="77777777" w:rsidR="006D3AD5" w:rsidRPr="0073014D" w:rsidRDefault="006D3AD5" w:rsidP="006D3AD5"/>
    <w:p w14:paraId="46D2192B" w14:textId="77777777" w:rsidR="006D3AD5" w:rsidRPr="0073014D" w:rsidRDefault="006D3AD5" w:rsidP="006D3AD5">
      <w:pPr>
        <w:pStyle w:val="Neslovannadpisy"/>
        <w:rPr>
          <w:color w:val="000000"/>
        </w:rPr>
      </w:pPr>
      <w:r>
        <w:rPr>
          <w:color w:val="000000"/>
        </w:rPr>
        <w:t xml:space="preserve">Main target group: </w:t>
      </w:r>
    </w:p>
    <w:p w14:paraId="051C5C6B" w14:textId="77777777" w:rsidR="006D3AD5" w:rsidRPr="0073014D" w:rsidRDefault="006D3AD5" w:rsidP="006D3AD5">
      <w:r>
        <w:t>Business entities (large enterprises as well as medium-size and small enterprises, if any) which focus on the heat production and supply to the system for heat supply from the combined electricity and heat production.</w:t>
      </w:r>
    </w:p>
    <w:p w14:paraId="2C122786" w14:textId="77777777" w:rsidR="006D3AD5" w:rsidRPr="0073014D" w:rsidRDefault="006D3AD5" w:rsidP="006D3AD5"/>
    <w:p w14:paraId="4F83116D" w14:textId="77777777" w:rsidR="006D3AD5" w:rsidRPr="0073014D" w:rsidRDefault="006D3AD5" w:rsidP="006D3AD5">
      <w:pPr>
        <w:pStyle w:val="Neslovannadpisy"/>
        <w:rPr>
          <w:color w:val="000000"/>
        </w:rPr>
      </w:pPr>
      <w:r>
        <w:rPr>
          <w:color w:val="000000"/>
        </w:rPr>
        <w:lastRenderedPageBreak/>
        <w:t>Target area:</w:t>
      </w:r>
    </w:p>
    <w:p w14:paraId="724062F4" w14:textId="77777777" w:rsidR="006D3AD5" w:rsidRPr="0073014D" w:rsidRDefault="006D3AD5" w:rsidP="006D3AD5">
      <w:r>
        <w:t>The area of the Czech republic, except for the capital city of Prague.</w:t>
      </w:r>
    </w:p>
    <w:p w14:paraId="2B211B1C" w14:textId="77777777" w:rsidR="006D3AD5" w:rsidRPr="0073014D" w:rsidRDefault="006D3AD5" w:rsidP="006D3AD5"/>
    <w:p w14:paraId="3019CD60" w14:textId="77777777" w:rsidR="006D3AD5" w:rsidRPr="0073014D" w:rsidRDefault="006D3AD5" w:rsidP="006D3AD5">
      <w:pPr>
        <w:pStyle w:val="Neslovannadpisy"/>
        <w:rPr>
          <w:color w:val="000000"/>
        </w:rPr>
      </w:pPr>
      <w:r>
        <w:rPr>
          <w:color w:val="000000"/>
        </w:rPr>
        <w:t>Selection of activities to evaluate suitability of the financial instrument</w:t>
      </w:r>
    </w:p>
    <w:p w14:paraId="68E8AB4C" w14:textId="7134F83D" w:rsidR="006D3AD5" w:rsidRPr="0073014D" w:rsidRDefault="006D3AD5" w:rsidP="006D3AD5">
      <w:pPr>
        <w:rPr>
          <w:b/>
        </w:rPr>
      </w:pPr>
      <w:r>
        <w:t xml:space="preserve">All the </w:t>
      </w:r>
      <w:r w:rsidR="00685AEF">
        <w:t xml:space="preserve">SO </w:t>
      </w:r>
      <w:r>
        <w:t>3.5 activities are selected for the closer preliminary evaluation due to potentially profitable character of the investments both to the CPEH and heat distribution.</w:t>
      </w:r>
    </w:p>
    <w:p w14:paraId="41007121" w14:textId="77777777" w:rsidR="006D3AD5" w:rsidRPr="0073014D" w:rsidRDefault="006D3AD5" w:rsidP="006D3AD5"/>
    <w:p w14:paraId="4900D5C1" w14:textId="3B86576E" w:rsidR="006D3AD5" w:rsidRPr="0073014D" w:rsidRDefault="006D3AD5" w:rsidP="006D3AD5">
      <w:r>
        <w:t xml:space="preserve">The area </w:t>
      </w:r>
      <w:r w:rsidR="00685AEF">
        <w:t xml:space="preserve">SO </w:t>
      </w:r>
      <w:r>
        <w:t xml:space="preserve">3.5 concentrates on the support of commercial activities in the area of CPEH, including combined highly effective production of electricity and heat and the reconstruction and building of heat distributions. Unlike co-generation in 3.2 (co-generation for own consumption), 3.5 is designed for the </w:t>
      </w:r>
      <w:r>
        <w:rPr>
          <w:b/>
        </w:rPr>
        <w:t>co-generation heat electricity whose purpose also includes the sale to third parties</w:t>
      </w:r>
      <w:r>
        <w:t xml:space="preserve">. The activity also does not include co-generation in biogas stations comprised in </w:t>
      </w:r>
      <w:r w:rsidR="00685AEF">
        <w:t xml:space="preserve">SO </w:t>
      </w:r>
      <w:r>
        <w:t>3.1.</w:t>
      </w:r>
    </w:p>
    <w:p w14:paraId="401533FD" w14:textId="77777777" w:rsidR="006D3AD5" w:rsidRPr="0073014D" w:rsidRDefault="006D3AD5" w:rsidP="006D3AD5"/>
    <w:p w14:paraId="087859D0" w14:textId="77777777" w:rsidR="006D3AD5" w:rsidRPr="0073014D" w:rsidRDefault="006D3AD5" w:rsidP="006D3AD5">
      <w:r>
        <w:t>The goal of the provision of support is to reduce energy intensity per unit of production while preserving long-term stability and availability of energy for the commercial sphere, reduce the dependency of domestic economy on the import of energy commodities, reduce the consumption of fossil primary energy resources and support SMEs as well as large enterprises  in the area of the utilisation of  energy renewable sources. The intention is also to utilise a significant potential of energy savings and the utilisation of energy renewable sources.</w:t>
      </w:r>
    </w:p>
    <w:p w14:paraId="0C1A3F6E" w14:textId="77777777" w:rsidR="006D3AD5" w:rsidRPr="0073014D" w:rsidRDefault="006D3AD5" w:rsidP="006D3AD5">
      <w:pPr>
        <w:rPr>
          <w:b/>
        </w:rPr>
      </w:pPr>
    </w:p>
    <w:p w14:paraId="660021A5" w14:textId="77777777" w:rsidR="006D3AD5" w:rsidRPr="0073014D" w:rsidRDefault="006D3AD5" w:rsidP="006D3AD5">
      <w:pPr>
        <w:pStyle w:val="Nadpis3"/>
        <w:rPr>
          <w:rFonts w:ascii="Calibri" w:hAnsi="Calibri"/>
          <w:color w:val="000000"/>
        </w:rPr>
      </w:pPr>
      <w:bookmarkStart w:id="919" w:name="_Toc416383869"/>
      <w:bookmarkStart w:id="920" w:name="_Toc416447867"/>
      <w:bookmarkStart w:id="921" w:name="_Toc416383870"/>
      <w:bookmarkStart w:id="922" w:name="_Toc416447868"/>
      <w:bookmarkStart w:id="923" w:name="_Toc422312129"/>
      <w:bookmarkEnd w:id="919"/>
      <w:bookmarkEnd w:id="920"/>
      <w:bookmarkEnd w:id="921"/>
      <w:bookmarkEnd w:id="922"/>
      <w:r>
        <w:rPr>
          <w:rFonts w:ascii="Calibri" w:hAnsi="Calibri"/>
          <w:b w:val="0"/>
          <w:color w:val="000000"/>
        </w:rPr>
        <w:t>Analysis of market failures</w:t>
      </w:r>
      <w:bookmarkEnd w:id="923"/>
    </w:p>
    <w:p w14:paraId="2E17AA1C" w14:textId="77777777" w:rsidR="006D3AD5" w:rsidRPr="0073014D" w:rsidRDefault="006D3AD5" w:rsidP="006D3AD5">
      <w:pPr>
        <w:pStyle w:val="Nadpis4"/>
        <w:rPr>
          <w:rFonts w:ascii="Calibri" w:hAnsi="Calibri"/>
          <w:color w:val="000000"/>
        </w:rPr>
      </w:pPr>
      <w:r>
        <w:rPr>
          <w:rFonts w:ascii="Calibri" w:hAnsi="Calibri"/>
          <w:color w:val="000000"/>
        </w:rPr>
        <w:t>Market analysis</w:t>
      </w:r>
    </w:p>
    <w:p w14:paraId="5CE5AE9D" w14:textId="77777777" w:rsidR="006D3AD5" w:rsidRPr="0073014D" w:rsidRDefault="006D3AD5" w:rsidP="006D3AD5"/>
    <w:p w14:paraId="7268B0F2" w14:textId="77777777" w:rsidR="006D3AD5" w:rsidRPr="0073014D" w:rsidRDefault="006D3AD5" w:rsidP="006D3AD5">
      <w:r>
        <w:rPr>
          <w:b/>
        </w:rPr>
        <w:t>Combined production of electricity and heat (CPEH) is the most efficient method of the transfer of the fuel energy to usable energy , owing to which both the fuel and environment are saved</w:t>
      </w:r>
      <w:r>
        <w:t xml:space="preserve"> via heat recycling from electricity production. It covers almost 2/3 of heat supplies for the systems supplying heat in the Czech Republic and almost all the availabilities fuels can be used in its production. Implementation of co-generation improves the effectiveness of both the existing thermal boiler rooms, heating plants and power stations, in which electricity production is connected with secondary heat production which is not utilised. In such a way, up to 1/3 of primary fuel is saved. For that reason this most effective and most ecological method of electricity and heat production in EU is supported – and, currently, in the CZ, continues in drawing subsidy support for the sale of electricity from combined production.</w:t>
      </w:r>
    </w:p>
    <w:p w14:paraId="3559340B" w14:textId="77777777" w:rsidR="006D3AD5" w:rsidRPr="0073014D" w:rsidRDefault="006D3AD5" w:rsidP="006D3AD5"/>
    <w:p w14:paraId="3A2E54DA" w14:textId="77777777" w:rsidR="006D3AD5" w:rsidRPr="0073014D" w:rsidRDefault="006D3AD5" w:rsidP="006D3AD5">
      <w:r>
        <w:t xml:space="preserve">In the CZ, the support of high-efficiency CPEH is enacted in Act No. 165/2012 Coll., on the Supported Resources and on Amendment of Some Acts and Related MIT Regulation No. 453/2012 Coll., according to which the electricity amount from CPEH is determined to which the subsidy is related. The support of high-efficiency combined electricity and heat production is also based on the EU statutory provisions, in particular, Directive 2012/27/EU on the Support of combined electricity and heat production (co-generation) and related statutory provisions. In the CZ, the CPEH support is performed in the form of green bonuses to the price of electricity from high-efficiency CPET. </w:t>
      </w:r>
      <w:r>
        <w:rPr>
          <w:b/>
        </w:rPr>
        <w:t xml:space="preserve">In 2013, the average amount of the subsidy for the facilities of no more of 5MWe amounted to 679CZK/MWh, while in the case of the facilities over 5MWe, the amount was 176CZK/MWh. </w:t>
      </w:r>
    </w:p>
    <w:p w14:paraId="1E79F448" w14:textId="77777777" w:rsidR="006D3AD5" w:rsidRPr="0073014D" w:rsidRDefault="006D3AD5" w:rsidP="006D3AD5">
      <w:pPr>
        <w:rPr>
          <w:b/>
        </w:rPr>
      </w:pPr>
    </w:p>
    <w:p w14:paraId="479D33C4" w14:textId="77777777" w:rsidR="006D3AD5" w:rsidRDefault="006D3AD5" w:rsidP="006D3AD5">
      <w:r>
        <w:rPr>
          <w:b/>
        </w:rPr>
        <w:t xml:space="preserve">Within small co-generation (less than 5MWe), currently, only ca. 12%of the electricity from CPEH is produced. </w:t>
      </w:r>
      <w:r>
        <w:t xml:space="preserve">Approximately the 70% share of fuels in the CPEH include solid fuels (brown and black coal) to which the OPEIC is not related. Right in their case these are generally large resources which represent a significant potential for reconstructions and an increase of effectiveness. </w:t>
      </w:r>
      <w:r>
        <w:rPr>
          <w:b/>
        </w:rPr>
        <w:t xml:space="preserve">Nevertheless, a developing potential of newly installed units on the market includes, above all, natural gas </w:t>
      </w:r>
      <w:r>
        <w:rPr>
          <w:b/>
        </w:rPr>
        <w:lastRenderedPageBreak/>
        <w:t>resources</w:t>
      </w:r>
      <w:r>
        <w:t>, typically around 800MWe, in which a noticeable growth is planned as per the opinion of inquired experts.</w:t>
      </w:r>
    </w:p>
    <w:p w14:paraId="36BB36FD" w14:textId="77777777" w:rsidR="004929D6" w:rsidRPr="0073014D" w:rsidRDefault="004929D6" w:rsidP="006D3AD5"/>
    <w:p w14:paraId="74D7B639" w14:textId="4B547852" w:rsidR="006D3AD5" w:rsidRPr="00685AEF" w:rsidRDefault="006D3AD5">
      <w:pPr>
        <w:pStyle w:val="Titulek"/>
      </w:pPr>
      <w:r w:rsidRPr="00685AEF">
        <w:t xml:space="preserve">Figure </w:t>
      </w:r>
      <w:r w:rsidR="00243196">
        <w:t>33</w:t>
      </w:r>
      <w:r w:rsidRPr="00685AEF">
        <w:t>: Electricity production within the CPEH</w:t>
      </w:r>
    </w:p>
    <w:p w14:paraId="1276A89D" w14:textId="77777777" w:rsidR="006D3AD5" w:rsidRPr="0073014D" w:rsidRDefault="006D3AD5" w:rsidP="006D3AD5">
      <w:r>
        <w:rPr>
          <w:noProof/>
        </w:rPr>
        <w:drawing>
          <wp:inline distT="0" distB="0" distL="0" distR="0" wp14:anchorId="083B550D" wp14:editId="673A7F1B">
            <wp:extent cx="3944620" cy="2881630"/>
            <wp:effectExtent l="0" t="0" r="0" b="0"/>
            <wp:docPr id="114" name="Obrázek 114" descr="Výroba elektřiny v kombinované výrobě v 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4" descr="Výroba elektřiny v kombinované výrobě v Č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4620" cy="2881630"/>
                    </a:xfrm>
                    <a:prstGeom prst="rect">
                      <a:avLst/>
                    </a:prstGeom>
                    <a:noFill/>
                    <a:ln>
                      <a:noFill/>
                    </a:ln>
                  </pic:spPr>
                </pic:pic>
              </a:graphicData>
            </a:graphic>
          </wp:inline>
        </w:drawing>
      </w:r>
    </w:p>
    <w:p w14:paraId="6D2F44E8" w14:textId="77777777" w:rsidR="006D3AD5" w:rsidRPr="0073014D" w:rsidRDefault="006D3AD5" w:rsidP="006D3AD5">
      <w:r>
        <w:rPr>
          <w:b/>
        </w:rPr>
        <w:t>In 2010, private producers participated in electricity and heat production from co-generation by around 35%, the remaining part fell to public entities producing electricity and heat.</w:t>
      </w:r>
      <w:r>
        <w:rPr>
          <w:rStyle w:val="Znakapoznpodarou"/>
          <w:rFonts w:ascii="Calibri" w:hAnsi="Calibri"/>
          <w:b/>
        </w:rPr>
        <w:footnoteReference w:id="40"/>
      </w:r>
      <w:r>
        <w:t>.</w:t>
      </w:r>
    </w:p>
    <w:p w14:paraId="4973691F" w14:textId="77777777" w:rsidR="006D3AD5" w:rsidRPr="0073014D" w:rsidRDefault="006D3AD5" w:rsidP="006D3AD5"/>
    <w:p w14:paraId="6B94B961" w14:textId="2118B1D0" w:rsidR="006D3AD5" w:rsidRPr="0073014D" w:rsidRDefault="006D3AD5" w:rsidP="006D3AD5">
      <w:r>
        <w:t>CZ State Energy Plan until 2030</w:t>
      </w:r>
      <w:r>
        <w:rPr>
          <w:rStyle w:val="Znakapoznpodarou"/>
          <w:rFonts w:ascii="Calibri" w:hAnsi="Calibri"/>
        </w:rPr>
        <w:footnoteReference w:id="41"/>
      </w:r>
      <w:r>
        <w:t xml:space="preserve"> aims at reducing green house gases and increasing energy efficiency. In 2012, 13% of the total gross electricity production came from co-generation. </w:t>
      </w:r>
      <w:r>
        <w:rPr>
          <w:b/>
        </w:rPr>
        <w:t xml:space="preserve">The goal until 2030 is to increase such share by 30% and cover more than 25% of the final electricity production </w:t>
      </w:r>
      <w:r>
        <w:t xml:space="preserve">and become, besides nuclear energy and other renewables, an important pillar of electric energy supplies in the Czech Republic. </w:t>
      </w:r>
      <w:r>
        <w:rPr>
          <w:b/>
        </w:rPr>
        <w:t>The plan of co-generation development</w:t>
      </w:r>
      <w:r>
        <w:rPr>
          <w:rStyle w:val="Znakapoznpodarou"/>
          <w:rFonts w:ascii="Calibri" w:hAnsi="Calibri"/>
          <w:b/>
        </w:rPr>
        <w:footnoteReference w:id="42"/>
      </w:r>
      <w:r>
        <w:rPr>
          <w:b/>
        </w:rPr>
        <w:t xml:space="preserve">for the CZ in its updated version from 2014 assumes 0.4GW new units and 1.1GW reconstructed units until 2020. </w:t>
      </w:r>
      <w:r>
        <w:t xml:space="preserve">(see the graph below). We can assume that a noticeable part of newly installed units of this value will include gas sources, besides the RES sources (BGSs, biomass) supported in </w:t>
      </w:r>
      <w:r w:rsidR="00685AEF">
        <w:t xml:space="preserve">SO </w:t>
      </w:r>
      <w:r>
        <w:t>3.1.</w:t>
      </w:r>
    </w:p>
    <w:p w14:paraId="4398A664" w14:textId="77777777" w:rsidR="006D3AD5" w:rsidRPr="0073014D" w:rsidRDefault="006D3AD5" w:rsidP="006D3AD5">
      <w:r>
        <w:t xml:space="preserve"> </w:t>
      </w:r>
    </w:p>
    <w:p w14:paraId="52341063" w14:textId="77777777" w:rsidR="006D3AD5" w:rsidRPr="0073014D" w:rsidRDefault="006D3AD5" w:rsidP="006D3AD5">
      <w:pPr>
        <w:keepNext/>
      </w:pPr>
      <w:r>
        <w:rPr>
          <w:noProof/>
        </w:rPr>
        <w:lastRenderedPageBreak/>
        <w:drawing>
          <wp:inline distT="0" distB="0" distL="0" distR="0" wp14:anchorId="4A2B0F2B" wp14:editId="70F1AEB9">
            <wp:extent cx="4572000" cy="280670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3"/>
                    <pic:cNvPicPr>
                      <a:picLocks noChangeAspect="1" noChangeArrowheads="1"/>
                    </pic:cNvPicPr>
                  </pic:nvPicPr>
                  <pic:blipFill>
                    <a:blip r:embed="rId44">
                      <a:extLst>
                        <a:ext uri="{28A0092B-C50C-407E-A947-70E740481C1C}">
                          <a14:useLocalDpi xmlns:a14="http://schemas.microsoft.com/office/drawing/2010/main" val="0"/>
                        </a:ext>
                      </a:extLst>
                    </a:blip>
                    <a:srcRect l="11975" t="21291" r="34729" b="20691"/>
                    <a:stretch>
                      <a:fillRect/>
                    </a:stretch>
                  </pic:blipFill>
                  <pic:spPr bwMode="auto">
                    <a:xfrm>
                      <a:off x="0" y="0"/>
                      <a:ext cx="4572000" cy="2806700"/>
                    </a:xfrm>
                    <a:prstGeom prst="rect">
                      <a:avLst/>
                    </a:prstGeom>
                    <a:noFill/>
                    <a:ln>
                      <a:noFill/>
                    </a:ln>
                  </pic:spPr>
                </pic:pic>
              </a:graphicData>
            </a:graphic>
          </wp:inline>
        </w:drawing>
      </w:r>
    </w:p>
    <w:p w14:paraId="32657970" w14:textId="0298BB8F" w:rsidR="006D3AD5" w:rsidRPr="00685AEF" w:rsidRDefault="006D3AD5">
      <w:pPr>
        <w:pStyle w:val="Titulek"/>
      </w:pPr>
      <w:r w:rsidRPr="00685AEF">
        <w:t xml:space="preserve">Figure </w:t>
      </w:r>
      <w:r w:rsidR="004929D6" w:rsidRPr="00685AEF">
        <w:t>3</w:t>
      </w:r>
      <w:r w:rsidR="00243196">
        <w:t>4</w:t>
      </w:r>
      <w:r w:rsidRPr="00685AEF">
        <w:t>: The plan of co-generation development in CZ until 2030</w:t>
      </w:r>
    </w:p>
    <w:p w14:paraId="79F07E7F" w14:textId="77777777" w:rsidR="006D3AD5" w:rsidRPr="00685AEF" w:rsidRDefault="006D3AD5">
      <w:pPr>
        <w:pStyle w:val="Titulek"/>
      </w:pPr>
      <w:r w:rsidRPr="00685AEF">
        <w:t>Source:  The plan of co-generation development in the CZ</w:t>
      </w:r>
    </w:p>
    <w:p w14:paraId="1A31D2EA" w14:textId="77777777" w:rsidR="006D3AD5" w:rsidRPr="0073014D" w:rsidRDefault="006D3AD5" w:rsidP="006D3AD5">
      <w:pPr>
        <w:rPr>
          <w:b/>
        </w:rPr>
      </w:pPr>
    </w:p>
    <w:p w14:paraId="04750964" w14:textId="77777777" w:rsidR="006D3AD5" w:rsidRPr="0073014D" w:rsidRDefault="006D3AD5" w:rsidP="006D3AD5">
      <w:r>
        <w:rPr>
          <w:b/>
        </w:rPr>
        <w:t xml:space="preserve">A large potential is connected also with the area of the transmission of produced heat. </w:t>
      </w:r>
      <w:r>
        <w:t>Heat distribution equipment, enabling the existence and development of combined generation of heat and power, is not in compliance with current technical requirements, which results in increased energy losses. In some cases, there will have to be a controlled replacement of some large systems with smaller systems using smaller cogeneration units.</w:t>
      </w:r>
    </w:p>
    <w:p w14:paraId="18F60584" w14:textId="77777777" w:rsidR="006D3AD5" w:rsidRPr="0073014D" w:rsidRDefault="006D3AD5" w:rsidP="006D3AD5"/>
    <w:p w14:paraId="313E57AB" w14:textId="77777777" w:rsidR="006D3AD5" w:rsidRPr="0073014D" w:rsidRDefault="006D3AD5" w:rsidP="006D3AD5">
      <w:r>
        <w:t xml:space="preserve">A principal problem for Czech central systems for heat supply, which the support SC3.5 concerns, is their obsolescence. </w:t>
      </w:r>
      <w:r>
        <w:rPr>
          <w:b/>
        </w:rPr>
        <w:t xml:space="preserve">A large part of the pipelines was built in the 1970's and 1980's and is approaching the end of their useful life and related heat losses. </w:t>
      </w:r>
      <w:r>
        <w:t xml:space="preserve">The useful life of the pipelines is 30-40 years after the reconstruction, during which their steam piping is replaced with more effective hot water or heat line. </w:t>
      </w:r>
    </w:p>
    <w:p w14:paraId="3FB6163C" w14:textId="77777777" w:rsidR="006D3AD5" w:rsidRPr="0073014D" w:rsidRDefault="006D3AD5" w:rsidP="006D3AD5">
      <w:pPr>
        <w:jc w:val="left"/>
      </w:pPr>
    </w:p>
    <w:p w14:paraId="477FD0D7" w14:textId="77777777" w:rsidR="006D3AD5" w:rsidRPr="0073014D" w:rsidRDefault="006D3AD5" w:rsidP="006D3AD5">
      <w:r>
        <w:rPr>
          <w:b/>
        </w:rPr>
        <w:t>In the recent years, the investment activities of heating plants increased, also due to public support. In 2014, ca. 19km pipelines in the amount of more than half billion crowns were replaced in ten cities</w:t>
      </w:r>
      <w:r>
        <w:rPr>
          <w:rStyle w:val="Znakapoznpodarou"/>
          <w:rFonts w:ascii="Calibri" w:hAnsi="Calibri"/>
          <w:b/>
        </w:rPr>
        <w:footnoteReference w:id="43"/>
      </w:r>
      <w:r>
        <w:t>.  Nonetheless, in the CZ,  there still remain many hundreds of kilometres whose reconstruction is required due to the end of the useful life and high heat escapes.</w:t>
      </w:r>
      <w:r>
        <w:rPr>
          <w:b/>
        </w:rPr>
        <w:t xml:space="preserve"> From perhaps 1,500km of old steam pipe distributions,  </w:t>
      </w:r>
      <w:r>
        <w:t>according to the CHA (the Czech Heating Association)</w:t>
      </w:r>
      <w:r>
        <w:rPr>
          <w:b/>
        </w:rPr>
        <w:t xml:space="preserve">, </w:t>
      </w:r>
      <w:r>
        <w:t xml:space="preserve">two thirds can be reconstructed to more effective hot water, which would </w:t>
      </w:r>
      <w:r>
        <w:rPr>
          <w:b/>
        </w:rPr>
        <w:t>demand the costs in the amount of CZK 27 billion according to the CHA estimations</w:t>
      </w:r>
      <w:r>
        <w:rPr>
          <w:rStyle w:val="Znakapoznpodarou"/>
          <w:rFonts w:ascii="Calibri" w:hAnsi="Calibri"/>
          <w:b/>
        </w:rPr>
        <w:footnoteReference w:id="44"/>
      </w:r>
      <w:r>
        <w:t>. The increased demands for the construction and reconstruction of steam piping will certainly bring also investment in co-generation.</w:t>
      </w:r>
    </w:p>
    <w:p w14:paraId="0D7BA82B" w14:textId="77777777" w:rsidR="006D3AD5" w:rsidRPr="0073014D" w:rsidRDefault="006D3AD5" w:rsidP="006D3AD5">
      <w:pPr>
        <w:rPr>
          <w:b/>
        </w:rPr>
      </w:pPr>
    </w:p>
    <w:p w14:paraId="5BEF27DA" w14:textId="77777777" w:rsidR="006D3AD5" w:rsidRPr="0073014D" w:rsidRDefault="006D3AD5" w:rsidP="006D3AD5">
      <w:r>
        <w:rPr>
          <w:b/>
        </w:rPr>
        <w:t xml:space="preserve">In the case of replacement of steam piping with hot water piping, the heat losses commonly drop to half, in some case even to less than third of the existing state. </w:t>
      </w:r>
      <w:r>
        <w:t>New pre-insulated pipelines has the length of the useful life of no less than 30-40 years and their putting into operation, the heat production can drop by the whole eighth – correspondingly, thus the fuel consumption can decrease. In the case of modernisation of all steam distributions determined for reconstruction, according to the Czech Heating Association, the primary energy amounting to 7.33PJ/year would be saved.  The average useful life of a measure is 30 years, i.e. a saving of 219PJ of primary energy for the useful life.</w:t>
      </w:r>
    </w:p>
    <w:p w14:paraId="00D8B2D0" w14:textId="77777777" w:rsidR="006D3AD5" w:rsidRPr="0073014D" w:rsidRDefault="006D3AD5" w:rsidP="006D3AD5"/>
    <w:p w14:paraId="14507629" w14:textId="77777777" w:rsidR="006D3AD5" w:rsidRPr="0073014D" w:rsidRDefault="006D3AD5" w:rsidP="006D3AD5">
      <w:r>
        <w:lastRenderedPageBreak/>
        <w:t>Currently, heat producers are also forced to significant investments to the ecology of the operation in order to meet the stricter European standards in the area of emissions. Until the end of 2016, according to CHA, the heating plants are to invest up to CZK 18 billion for these purposes, which will partially reflect in an increased price for  the customer</w:t>
      </w:r>
      <w:r>
        <w:rPr>
          <w:rStyle w:val="Znakapoznpodarou"/>
          <w:rFonts w:ascii="Calibri" w:hAnsi="Calibri"/>
        </w:rPr>
        <w:footnoteReference w:id="45"/>
      </w:r>
      <w:r>
        <w:t>.</w:t>
      </w:r>
    </w:p>
    <w:p w14:paraId="6DD1B6E5" w14:textId="77777777" w:rsidR="006D3AD5" w:rsidRPr="0073014D" w:rsidRDefault="006D3AD5" w:rsidP="006D3AD5"/>
    <w:p w14:paraId="216256C8" w14:textId="77777777" w:rsidR="006D3AD5" w:rsidRPr="0073014D" w:rsidRDefault="006D3AD5" w:rsidP="006D3AD5">
      <w:r>
        <w:t xml:space="preserve">Enterprises in this area include </w:t>
      </w:r>
      <w:r>
        <w:rPr>
          <w:b/>
        </w:rPr>
        <w:t>partly large companies oriented on the CPEH and the sale of heat (ČEZ, EPH, Veolia Energy), partly also some local producers, very often in the form of the companies in the possession of the municipality,</w:t>
      </w:r>
      <w:r>
        <w:t xml:space="preserve"> which often do not have sufficient funds for modernisation and make use of the position of local quasi-monopolies.</w:t>
      </w:r>
    </w:p>
    <w:p w14:paraId="54A801F5" w14:textId="77777777" w:rsidR="006D3AD5" w:rsidRPr="0073014D" w:rsidRDefault="006D3AD5" w:rsidP="006D3AD5">
      <w:pPr>
        <w:rPr>
          <w:b/>
        </w:rPr>
      </w:pPr>
    </w:p>
    <w:p w14:paraId="4C6002E6" w14:textId="77777777" w:rsidR="006D3AD5" w:rsidRPr="0073014D" w:rsidRDefault="006D3AD5" w:rsidP="006D3AD5">
      <w:pPr>
        <w:pStyle w:val="Neslovannadpisy"/>
        <w:rPr>
          <w:color w:val="000000"/>
        </w:rPr>
      </w:pPr>
      <w:r>
        <w:rPr>
          <w:color w:val="000000"/>
        </w:rPr>
        <w:t>Sources of funding</w:t>
      </w:r>
    </w:p>
    <w:p w14:paraId="1A5C04CD" w14:textId="77777777" w:rsidR="006D3AD5" w:rsidRPr="0073014D" w:rsidRDefault="006D3AD5" w:rsidP="006D3AD5">
      <w:r>
        <w:rPr>
          <w:b/>
        </w:rPr>
        <w:t>The area 3.5 shows good parameters for crediting by banks from the point of profitability and the stability of the regulated branch.</w:t>
      </w:r>
      <w:r>
        <w:t xml:space="preserve"> Bank loans are also for the majority of heating plans a principle resource as they do not have sufficient amount of own resources for cost-intensive investments. Nonetheless, a barrier within heating distributions, is a problem of using pipelines as the collateral - which in this respect limits also the option to utilise project financing. Banking financing is a principal resource also for the investments in the CPEH.</w:t>
      </w:r>
    </w:p>
    <w:p w14:paraId="5730FEBE" w14:textId="77777777" w:rsidR="006D3AD5" w:rsidRPr="0073014D" w:rsidRDefault="006D3AD5" w:rsidP="006D3AD5"/>
    <w:p w14:paraId="0DA9A9CD" w14:textId="77777777" w:rsidR="006D3AD5" w:rsidRPr="0073014D" w:rsidRDefault="006D3AD5" w:rsidP="006D3AD5">
      <w:r>
        <w:t>The increased investment activity in the previous years was largely a result of availability of public subsidy resources in the form of the programmes in OPEI and OPE.</w:t>
      </w:r>
    </w:p>
    <w:p w14:paraId="40E3CABB" w14:textId="77777777" w:rsidR="006D3AD5" w:rsidRPr="0073014D" w:rsidRDefault="006D3AD5" w:rsidP="006D3AD5"/>
    <w:p w14:paraId="7DE536AE" w14:textId="77777777" w:rsidR="006D3AD5" w:rsidRPr="0073014D" w:rsidRDefault="006D3AD5" w:rsidP="006D3AD5">
      <w:r>
        <w:rPr>
          <w:b/>
        </w:rPr>
        <w:t>OPEI (2007-2013) Eco-energy Programme:</w:t>
      </w:r>
    </w:p>
    <w:p w14:paraId="5D6FADBE" w14:textId="77777777" w:rsidR="006D3AD5" w:rsidRPr="0073014D" w:rsidRDefault="006D3AD5" w:rsidP="006D3AD5">
      <w:r>
        <w:t xml:space="preserve"> As per the document “The preparation of the source materials for the energy effectiveness action plan”,</w:t>
      </w:r>
      <w:r>
        <w:rPr>
          <w:b/>
        </w:rPr>
        <w:t xml:space="preserve"> up to 31 entities in calls 3 applied for financing of economical measures on the reduction of  losses in the electricity and heat distribution amounting to CZK 1.41 billion </w:t>
      </w:r>
      <w:r>
        <w:t>(see Table No. 16)</w:t>
      </w:r>
    </w:p>
    <w:p w14:paraId="206927AB" w14:textId="77777777" w:rsidR="006D3AD5" w:rsidRPr="0073014D" w:rsidRDefault="006D3AD5" w:rsidP="006D3AD5"/>
    <w:tbl>
      <w:tblPr>
        <w:tblW w:w="7580" w:type="dxa"/>
        <w:tblBorders>
          <w:bottom w:val="single" w:sz="4" w:space="0" w:color="00A1DE"/>
          <w:insideH w:val="single" w:sz="4" w:space="0" w:color="00A1DE"/>
        </w:tblBorders>
        <w:tblCellMar>
          <w:top w:w="28" w:type="dxa"/>
          <w:left w:w="28" w:type="dxa"/>
          <w:bottom w:w="28" w:type="dxa"/>
          <w:right w:w="28" w:type="dxa"/>
        </w:tblCellMar>
        <w:tblLook w:val="00A0" w:firstRow="1" w:lastRow="0" w:firstColumn="1" w:lastColumn="0" w:noHBand="0" w:noVBand="0"/>
      </w:tblPr>
      <w:tblGrid>
        <w:gridCol w:w="2763"/>
        <w:gridCol w:w="2370"/>
        <w:gridCol w:w="2447"/>
      </w:tblGrid>
      <w:tr w:rsidR="006D3AD5" w:rsidRPr="0073014D" w14:paraId="15CACC55" w14:textId="77777777" w:rsidTr="00443B8F">
        <w:trPr>
          <w:trHeight w:val="20"/>
        </w:trPr>
        <w:tc>
          <w:tcPr>
            <w:tcW w:w="2763" w:type="dxa"/>
            <w:tcBorders>
              <w:top w:val="nil"/>
              <w:left w:val="nil"/>
              <w:right w:val="nil"/>
            </w:tcBorders>
            <w:shd w:val="clear" w:color="auto" w:fill="00A1DE"/>
            <w:vAlign w:val="center"/>
          </w:tcPr>
          <w:p w14:paraId="7D239632" w14:textId="77777777" w:rsidR="006D3AD5" w:rsidRPr="00685AEF" w:rsidRDefault="006D3AD5" w:rsidP="00443B8F">
            <w:pPr>
              <w:jc w:val="center"/>
              <w:rPr>
                <w:rFonts w:cs="Arial"/>
                <w:b/>
                <w:color w:val="FFFFFF" w:themeColor="background1"/>
                <w:sz w:val="18"/>
                <w:szCs w:val="18"/>
              </w:rPr>
            </w:pPr>
            <w:r w:rsidRPr="00685AEF">
              <w:rPr>
                <w:b/>
                <w:color w:val="FFFFFF" w:themeColor="background1"/>
                <w:sz w:val="18"/>
              </w:rPr>
              <w:t>Modernisation, reconstruction and</w:t>
            </w:r>
            <w:r w:rsidRPr="00685AEF">
              <w:rPr>
                <w:color w:val="FFFFFF" w:themeColor="background1"/>
              </w:rPr>
              <w:br/>
            </w:r>
            <w:r w:rsidRPr="00685AEF">
              <w:rPr>
                <w:b/>
                <w:color w:val="FFFFFF" w:themeColor="background1"/>
                <w:sz w:val="18"/>
              </w:rPr>
              <w:t>reduction of losses in electricity and heat</w:t>
            </w:r>
            <w:r w:rsidRPr="00685AEF">
              <w:rPr>
                <w:color w:val="FFFFFF" w:themeColor="background1"/>
              </w:rPr>
              <w:br/>
            </w:r>
            <w:r w:rsidRPr="00685AEF">
              <w:rPr>
                <w:b/>
                <w:color w:val="FFFFFF" w:themeColor="background1"/>
                <w:sz w:val="18"/>
              </w:rPr>
              <w:t>distributions</w:t>
            </w:r>
          </w:p>
        </w:tc>
        <w:tc>
          <w:tcPr>
            <w:tcW w:w="2370" w:type="dxa"/>
            <w:tcBorders>
              <w:top w:val="nil"/>
              <w:left w:val="nil"/>
              <w:right w:val="nil"/>
            </w:tcBorders>
            <w:shd w:val="clear" w:color="auto" w:fill="00A1DE"/>
            <w:vAlign w:val="center"/>
          </w:tcPr>
          <w:p w14:paraId="5945FC84" w14:textId="77777777" w:rsidR="006D3AD5" w:rsidRPr="00685AEF" w:rsidRDefault="006D3AD5" w:rsidP="00443B8F">
            <w:pPr>
              <w:jc w:val="center"/>
              <w:rPr>
                <w:rFonts w:cs="Arial"/>
                <w:b/>
                <w:color w:val="FFFFFF" w:themeColor="background1"/>
                <w:sz w:val="18"/>
                <w:szCs w:val="18"/>
              </w:rPr>
            </w:pPr>
            <w:r w:rsidRPr="00685AEF">
              <w:rPr>
                <w:b/>
                <w:color w:val="FFFFFF" w:themeColor="background1"/>
                <w:sz w:val="18"/>
              </w:rPr>
              <w:t>Number of projects with such prevailing economical measure</w:t>
            </w:r>
          </w:p>
        </w:tc>
        <w:tc>
          <w:tcPr>
            <w:tcW w:w="2447" w:type="dxa"/>
            <w:tcBorders>
              <w:top w:val="nil"/>
              <w:left w:val="nil"/>
              <w:right w:val="nil"/>
            </w:tcBorders>
            <w:shd w:val="clear" w:color="auto" w:fill="00A1DE"/>
            <w:vAlign w:val="center"/>
          </w:tcPr>
          <w:p w14:paraId="6CF533A2" w14:textId="77777777" w:rsidR="006D3AD5" w:rsidRPr="00685AEF" w:rsidRDefault="006D3AD5" w:rsidP="00443B8F">
            <w:pPr>
              <w:jc w:val="center"/>
              <w:rPr>
                <w:rFonts w:cs="Arial"/>
                <w:b/>
                <w:color w:val="FFFFFF" w:themeColor="background1"/>
                <w:sz w:val="18"/>
                <w:szCs w:val="18"/>
              </w:rPr>
            </w:pPr>
            <w:r w:rsidRPr="00685AEF">
              <w:rPr>
                <w:b/>
                <w:color w:val="FFFFFF" w:themeColor="background1"/>
                <w:sz w:val="18"/>
              </w:rPr>
              <w:t>Total eligible costs (in TCZK)</w:t>
            </w:r>
          </w:p>
        </w:tc>
      </w:tr>
      <w:tr w:rsidR="006D3AD5" w:rsidRPr="0073014D" w14:paraId="041AD0A5" w14:textId="77777777" w:rsidTr="00443B8F">
        <w:trPr>
          <w:trHeight w:val="20"/>
        </w:trPr>
        <w:tc>
          <w:tcPr>
            <w:tcW w:w="2763" w:type="dxa"/>
            <w:tcBorders>
              <w:left w:val="nil"/>
              <w:right w:val="nil"/>
            </w:tcBorders>
            <w:shd w:val="clear" w:color="auto" w:fill="FFFFFF"/>
            <w:noWrap/>
          </w:tcPr>
          <w:p w14:paraId="200DA3BC" w14:textId="77777777" w:rsidR="006D3AD5" w:rsidRPr="0073014D" w:rsidRDefault="006D3AD5" w:rsidP="00443B8F">
            <w:pPr>
              <w:jc w:val="left"/>
              <w:rPr>
                <w:rFonts w:cs="Arial"/>
                <w:sz w:val="18"/>
                <w:szCs w:val="18"/>
              </w:rPr>
            </w:pPr>
            <w:r>
              <w:rPr>
                <w:sz w:val="18"/>
              </w:rPr>
              <w:t>Call 1</w:t>
            </w:r>
          </w:p>
        </w:tc>
        <w:tc>
          <w:tcPr>
            <w:tcW w:w="2370" w:type="dxa"/>
            <w:tcBorders>
              <w:left w:val="nil"/>
              <w:right w:val="nil"/>
            </w:tcBorders>
            <w:shd w:val="clear" w:color="auto" w:fill="FFFFFF"/>
            <w:noWrap/>
          </w:tcPr>
          <w:p w14:paraId="464F2861" w14:textId="77777777" w:rsidR="006D3AD5" w:rsidRPr="0073014D" w:rsidRDefault="006D3AD5" w:rsidP="00443B8F">
            <w:pPr>
              <w:jc w:val="right"/>
              <w:rPr>
                <w:rFonts w:cs="Arial"/>
                <w:sz w:val="18"/>
                <w:szCs w:val="18"/>
              </w:rPr>
            </w:pPr>
            <w:r>
              <w:rPr>
                <w:sz w:val="18"/>
              </w:rPr>
              <w:t>1</w:t>
            </w:r>
          </w:p>
        </w:tc>
        <w:tc>
          <w:tcPr>
            <w:tcW w:w="2447" w:type="dxa"/>
            <w:tcBorders>
              <w:left w:val="nil"/>
              <w:right w:val="nil"/>
            </w:tcBorders>
            <w:shd w:val="clear" w:color="auto" w:fill="FFFFFF"/>
            <w:noWrap/>
          </w:tcPr>
          <w:p w14:paraId="65CCFD35" w14:textId="77777777" w:rsidR="006D3AD5" w:rsidRPr="0073014D" w:rsidRDefault="006D3AD5" w:rsidP="00443B8F">
            <w:pPr>
              <w:jc w:val="right"/>
              <w:rPr>
                <w:rFonts w:cs="Arial"/>
                <w:sz w:val="18"/>
                <w:szCs w:val="18"/>
              </w:rPr>
            </w:pPr>
            <w:r>
              <w:rPr>
                <w:sz w:val="18"/>
              </w:rPr>
              <w:t>4,000</w:t>
            </w:r>
          </w:p>
        </w:tc>
      </w:tr>
      <w:tr w:rsidR="006D3AD5" w:rsidRPr="0073014D" w14:paraId="64F785E1" w14:textId="77777777" w:rsidTr="00443B8F">
        <w:trPr>
          <w:trHeight w:val="20"/>
        </w:trPr>
        <w:tc>
          <w:tcPr>
            <w:tcW w:w="2763" w:type="dxa"/>
            <w:tcBorders>
              <w:left w:val="nil"/>
              <w:right w:val="nil"/>
            </w:tcBorders>
            <w:shd w:val="clear" w:color="auto" w:fill="FFFFFF"/>
            <w:noWrap/>
          </w:tcPr>
          <w:p w14:paraId="13C2FD1F" w14:textId="77777777" w:rsidR="006D3AD5" w:rsidRPr="0073014D" w:rsidRDefault="006D3AD5" w:rsidP="00443B8F">
            <w:pPr>
              <w:jc w:val="left"/>
              <w:rPr>
                <w:rFonts w:cs="Arial"/>
                <w:sz w:val="18"/>
                <w:szCs w:val="18"/>
              </w:rPr>
            </w:pPr>
            <w:r>
              <w:rPr>
                <w:sz w:val="18"/>
              </w:rPr>
              <w:t>Call 2 (final consumption)</w:t>
            </w:r>
          </w:p>
        </w:tc>
        <w:tc>
          <w:tcPr>
            <w:tcW w:w="2370" w:type="dxa"/>
            <w:tcBorders>
              <w:left w:val="nil"/>
              <w:right w:val="nil"/>
            </w:tcBorders>
            <w:shd w:val="clear" w:color="auto" w:fill="FFFFFF"/>
            <w:noWrap/>
          </w:tcPr>
          <w:p w14:paraId="3A754410" w14:textId="77777777" w:rsidR="006D3AD5" w:rsidRPr="0073014D" w:rsidRDefault="006D3AD5" w:rsidP="00443B8F">
            <w:pPr>
              <w:jc w:val="right"/>
              <w:rPr>
                <w:rFonts w:cs="Arial"/>
                <w:sz w:val="18"/>
                <w:szCs w:val="18"/>
              </w:rPr>
            </w:pPr>
            <w:r>
              <w:rPr>
                <w:sz w:val="18"/>
              </w:rPr>
              <w:t>12</w:t>
            </w:r>
          </w:p>
        </w:tc>
        <w:tc>
          <w:tcPr>
            <w:tcW w:w="2447" w:type="dxa"/>
            <w:tcBorders>
              <w:left w:val="nil"/>
              <w:right w:val="nil"/>
            </w:tcBorders>
            <w:shd w:val="clear" w:color="auto" w:fill="FFFFFF"/>
            <w:noWrap/>
          </w:tcPr>
          <w:p w14:paraId="3FC0DD53" w14:textId="77777777" w:rsidR="006D3AD5" w:rsidRPr="0073014D" w:rsidRDefault="006D3AD5" w:rsidP="00443B8F">
            <w:pPr>
              <w:jc w:val="right"/>
              <w:rPr>
                <w:rFonts w:cs="Arial"/>
                <w:sz w:val="18"/>
                <w:szCs w:val="18"/>
              </w:rPr>
            </w:pPr>
            <w:r>
              <w:rPr>
                <w:sz w:val="18"/>
              </w:rPr>
              <w:t>434,964</w:t>
            </w:r>
          </w:p>
        </w:tc>
      </w:tr>
      <w:tr w:rsidR="006D3AD5" w:rsidRPr="0073014D" w14:paraId="5164487D" w14:textId="77777777" w:rsidTr="00443B8F">
        <w:trPr>
          <w:trHeight w:val="20"/>
        </w:trPr>
        <w:tc>
          <w:tcPr>
            <w:tcW w:w="2763" w:type="dxa"/>
            <w:tcBorders>
              <w:left w:val="nil"/>
              <w:right w:val="nil"/>
            </w:tcBorders>
            <w:shd w:val="clear" w:color="auto" w:fill="FFFFFF"/>
            <w:noWrap/>
          </w:tcPr>
          <w:p w14:paraId="06D7E295" w14:textId="77777777" w:rsidR="006D3AD5" w:rsidRPr="0073014D" w:rsidRDefault="006D3AD5" w:rsidP="00443B8F">
            <w:pPr>
              <w:jc w:val="left"/>
              <w:rPr>
                <w:rFonts w:cs="Arial"/>
                <w:sz w:val="18"/>
                <w:szCs w:val="18"/>
              </w:rPr>
            </w:pPr>
            <w:r>
              <w:rPr>
                <w:sz w:val="18"/>
              </w:rPr>
              <w:t>Call 2 (primary consumption)</w:t>
            </w:r>
          </w:p>
        </w:tc>
        <w:tc>
          <w:tcPr>
            <w:tcW w:w="2370" w:type="dxa"/>
            <w:tcBorders>
              <w:left w:val="nil"/>
              <w:right w:val="nil"/>
            </w:tcBorders>
            <w:shd w:val="clear" w:color="auto" w:fill="FFFFFF"/>
            <w:noWrap/>
          </w:tcPr>
          <w:p w14:paraId="231C1971" w14:textId="77777777" w:rsidR="006D3AD5" w:rsidRPr="0073014D" w:rsidRDefault="006D3AD5" w:rsidP="00443B8F">
            <w:pPr>
              <w:jc w:val="right"/>
              <w:rPr>
                <w:rFonts w:cs="Arial"/>
                <w:sz w:val="18"/>
                <w:szCs w:val="18"/>
              </w:rPr>
            </w:pPr>
            <w:r>
              <w:rPr>
                <w:sz w:val="18"/>
              </w:rPr>
              <w:t>6</w:t>
            </w:r>
          </w:p>
        </w:tc>
        <w:tc>
          <w:tcPr>
            <w:tcW w:w="2447" w:type="dxa"/>
            <w:tcBorders>
              <w:left w:val="nil"/>
              <w:right w:val="nil"/>
            </w:tcBorders>
            <w:shd w:val="clear" w:color="auto" w:fill="FFFFFF"/>
            <w:noWrap/>
          </w:tcPr>
          <w:p w14:paraId="0808B715" w14:textId="77777777" w:rsidR="006D3AD5" w:rsidRPr="0073014D" w:rsidRDefault="006D3AD5" w:rsidP="00443B8F">
            <w:pPr>
              <w:jc w:val="right"/>
              <w:rPr>
                <w:rFonts w:cs="Arial"/>
                <w:sz w:val="18"/>
                <w:szCs w:val="18"/>
              </w:rPr>
            </w:pPr>
            <w:r>
              <w:rPr>
                <w:sz w:val="18"/>
              </w:rPr>
              <w:t>509,475</w:t>
            </w:r>
          </w:p>
        </w:tc>
      </w:tr>
      <w:tr w:rsidR="006D3AD5" w:rsidRPr="0073014D" w14:paraId="06916F8D" w14:textId="77777777" w:rsidTr="00443B8F">
        <w:trPr>
          <w:trHeight w:val="20"/>
        </w:trPr>
        <w:tc>
          <w:tcPr>
            <w:tcW w:w="2763" w:type="dxa"/>
            <w:tcBorders>
              <w:left w:val="nil"/>
              <w:right w:val="nil"/>
            </w:tcBorders>
            <w:shd w:val="clear" w:color="auto" w:fill="FFFFFF"/>
            <w:noWrap/>
          </w:tcPr>
          <w:p w14:paraId="0F3DD587" w14:textId="77777777" w:rsidR="006D3AD5" w:rsidRPr="0073014D" w:rsidRDefault="006D3AD5" w:rsidP="00443B8F">
            <w:pPr>
              <w:jc w:val="left"/>
              <w:rPr>
                <w:rFonts w:cs="Arial"/>
                <w:sz w:val="18"/>
                <w:szCs w:val="18"/>
              </w:rPr>
            </w:pPr>
            <w:r>
              <w:rPr>
                <w:sz w:val="18"/>
              </w:rPr>
              <w:t>Call 3 (final consumption)</w:t>
            </w:r>
          </w:p>
        </w:tc>
        <w:tc>
          <w:tcPr>
            <w:tcW w:w="2370" w:type="dxa"/>
            <w:tcBorders>
              <w:left w:val="nil"/>
              <w:right w:val="nil"/>
            </w:tcBorders>
            <w:shd w:val="clear" w:color="auto" w:fill="FFFFFF"/>
            <w:noWrap/>
          </w:tcPr>
          <w:p w14:paraId="52356805" w14:textId="77777777" w:rsidR="006D3AD5" w:rsidRPr="0073014D" w:rsidRDefault="006D3AD5" w:rsidP="00443B8F">
            <w:pPr>
              <w:jc w:val="right"/>
              <w:rPr>
                <w:rFonts w:cs="Arial"/>
                <w:sz w:val="18"/>
                <w:szCs w:val="18"/>
              </w:rPr>
            </w:pPr>
            <w:r>
              <w:rPr>
                <w:sz w:val="18"/>
              </w:rPr>
              <w:t>4</w:t>
            </w:r>
          </w:p>
        </w:tc>
        <w:tc>
          <w:tcPr>
            <w:tcW w:w="2447" w:type="dxa"/>
            <w:tcBorders>
              <w:left w:val="nil"/>
              <w:right w:val="nil"/>
            </w:tcBorders>
            <w:shd w:val="clear" w:color="auto" w:fill="FFFFFF"/>
            <w:noWrap/>
          </w:tcPr>
          <w:p w14:paraId="65E468B2" w14:textId="77777777" w:rsidR="006D3AD5" w:rsidRPr="0073014D" w:rsidRDefault="006D3AD5" w:rsidP="00443B8F">
            <w:pPr>
              <w:jc w:val="right"/>
              <w:rPr>
                <w:rFonts w:cs="Arial"/>
                <w:sz w:val="18"/>
                <w:szCs w:val="18"/>
              </w:rPr>
            </w:pPr>
            <w:r>
              <w:rPr>
                <w:sz w:val="18"/>
              </w:rPr>
              <w:t>121,153</w:t>
            </w:r>
          </w:p>
        </w:tc>
      </w:tr>
      <w:tr w:rsidR="006D3AD5" w:rsidRPr="0073014D" w14:paraId="073E4EBF" w14:textId="77777777" w:rsidTr="00443B8F">
        <w:trPr>
          <w:trHeight w:val="20"/>
        </w:trPr>
        <w:tc>
          <w:tcPr>
            <w:tcW w:w="2763" w:type="dxa"/>
            <w:tcBorders>
              <w:left w:val="nil"/>
              <w:right w:val="nil"/>
            </w:tcBorders>
            <w:shd w:val="clear" w:color="auto" w:fill="FFFFFF"/>
            <w:noWrap/>
          </w:tcPr>
          <w:p w14:paraId="14712381" w14:textId="77777777" w:rsidR="006D3AD5" w:rsidRPr="0073014D" w:rsidRDefault="006D3AD5" w:rsidP="00443B8F">
            <w:pPr>
              <w:jc w:val="left"/>
              <w:rPr>
                <w:rFonts w:cs="Arial"/>
                <w:sz w:val="18"/>
                <w:szCs w:val="18"/>
              </w:rPr>
            </w:pPr>
            <w:r>
              <w:rPr>
                <w:sz w:val="18"/>
              </w:rPr>
              <w:t>Call 3 (primary consumption)</w:t>
            </w:r>
          </w:p>
        </w:tc>
        <w:tc>
          <w:tcPr>
            <w:tcW w:w="2370" w:type="dxa"/>
            <w:tcBorders>
              <w:left w:val="nil"/>
              <w:right w:val="nil"/>
            </w:tcBorders>
            <w:shd w:val="clear" w:color="auto" w:fill="FFFFFF"/>
            <w:noWrap/>
          </w:tcPr>
          <w:p w14:paraId="536BD6F1" w14:textId="77777777" w:rsidR="006D3AD5" w:rsidRPr="0073014D" w:rsidRDefault="006D3AD5" w:rsidP="00443B8F">
            <w:pPr>
              <w:jc w:val="right"/>
              <w:rPr>
                <w:rFonts w:cs="Arial"/>
                <w:sz w:val="18"/>
                <w:szCs w:val="18"/>
              </w:rPr>
            </w:pPr>
            <w:r>
              <w:rPr>
                <w:sz w:val="18"/>
              </w:rPr>
              <w:t>8</w:t>
            </w:r>
          </w:p>
        </w:tc>
        <w:tc>
          <w:tcPr>
            <w:tcW w:w="2447" w:type="dxa"/>
            <w:tcBorders>
              <w:left w:val="nil"/>
              <w:right w:val="nil"/>
            </w:tcBorders>
            <w:shd w:val="clear" w:color="auto" w:fill="FFFFFF"/>
            <w:noWrap/>
          </w:tcPr>
          <w:p w14:paraId="6B21B58A" w14:textId="77777777" w:rsidR="006D3AD5" w:rsidRPr="0073014D" w:rsidRDefault="006D3AD5" w:rsidP="00443B8F">
            <w:pPr>
              <w:jc w:val="right"/>
              <w:rPr>
                <w:rFonts w:cs="Arial"/>
                <w:sz w:val="18"/>
                <w:szCs w:val="18"/>
              </w:rPr>
            </w:pPr>
            <w:r>
              <w:rPr>
                <w:sz w:val="18"/>
              </w:rPr>
              <w:t>338,691</w:t>
            </w:r>
          </w:p>
        </w:tc>
      </w:tr>
      <w:tr w:rsidR="006D3AD5" w:rsidRPr="0073014D" w14:paraId="0B909837" w14:textId="77777777" w:rsidTr="00443B8F">
        <w:trPr>
          <w:trHeight w:val="20"/>
        </w:trPr>
        <w:tc>
          <w:tcPr>
            <w:tcW w:w="2763" w:type="dxa"/>
            <w:tcBorders>
              <w:left w:val="nil"/>
              <w:right w:val="nil"/>
            </w:tcBorders>
            <w:shd w:val="clear" w:color="auto" w:fill="92D050"/>
            <w:noWrap/>
          </w:tcPr>
          <w:p w14:paraId="7C5FA02B" w14:textId="77777777" w:rsidR="006D3AD5" w:rsidRPr="0073014D" w:rsidRDefault="006D3AD5" w:rsidP="00443B8F">
            <w:pPr>
              <w:jc w:val="left"/>
              <w:rPr>
                <w:rFonts w:cs="Arial"/>
                <w:b/>
                <w:bCs/>
                <w:sz w:val="18"/>
                <w:szCs w:val="18"/>
              </w:rPr>
            </w:pPr>
            <w:r>
              <w:rPr>
                <w:b/>
                <w:sz w:val="18"/>
              </w:rPr>
              <w:t>Total</w:t>
            </w:r>
          </w:p>
        </w:tc>
        <w:tc>
          <w:tcPr>
            <w:tcW w:w="2370" w:type="dxa"/>
            <w:tcBorders>
              <w:left w:val="nil"/>
              <w:right w:val="nil"/>
            </w:tcBorders>
            <w:shd w:val="clear" w:color="auto" w:fill="92D050"/>
            <w:noWrap/>
          </w:tcPr>
          <w:p w14:paraId="7B9086F5" w14:textId="77777777" w:rsidR="006D3AD5" w:rsidRPr="0073014D" w:rsidRDefault="006D3AD5" w:rsidP="00443B8F">
            <w:pPr>
              <w:jc w:val="right"/>
              <w:rPr>
                <w:rFonts w:cs="Arial"/>
                <w:b/>
                <w:bCs/>
                <w:sz w:val="18"/>
                <w:szCs w:val="18"/>
              </w:rPr>
            </w:pPr>
            <w:r>
              <w:rPr>
                <w:b/>
                <w:sz w:val="18"/>
              </w:rPr>
              <w:t>31</w:t>
            </w:r>
          </w:p>
        </w:tc>
        <w:tc>
          <w:tcPr>
            <w:tcW w:w="2447" w:type="dxa"/>
            <w:tcBorders>
              <w:left w:val="nil"/>
              <w:right w:val="nil"/>
            </w:tcBorders>
            <w:shd w:val="clear" w:color="auto" w:fill="92D050"/>
            <w:noWrap/>
          </w:tcPr>
          <w:p w14:paraId="72965039" w14:textId="77777777" w:rsidR="006D3AD5" w:rsidRPr="0073014D" w:rsidRDefault="006D3AD5" w:rsidP="00443B8F">
            <w:pPr>
              <w:keepNext/>
              <w:jc w:val="right"/>
              <w:rPr>
                <w:rFonts w:cs="Arial"/>
                <w:b/>
                <w:bCs/>
                <w:sz w:val="18"/>
                <w:szCs w:val="18"/>
              </w:rPr>
            </w:pPr>
            <w:r>
              <w:rPr>
                <w:b/>
                <w:sz w:val="18"/>
              </w:rPr>
              <w:t>1,408,283</w:t>
            </w:r>
          </w:p>
        </w:tc>
      </w:tr>
    </w:tbl>
    <w:p w14:paraId="452C330C" w14:textId="3860014A" w:rsidR="006D3AD5" w:rsidRPr="0073014D" w:rsidRDefault="006D3AD5" w:rsidP="003D68AA">
      <w:pPr>
        <w:pStyle w:val="Titulek"/>
      </w:pPr>
      <w:r>
        <w:t xml:space="preserve">Table </w:t>
      </w:r>
      <w:r w:rsidR="00A9664A">
        <w:t>83</w:t>
      </w:r>
      <w:r>
        <w:t>: An overview of the number of the projects in the OPEI in the priority axe 3.1 oriented on heat distribution</w:t>
      </w:r>
    </w:p>
    <w:p w14:paraId="4BAF2E9F" w14:textId="77777777" w:rsidR="006D3AD5" w:rsidRPr="0073014D" w:rsidRDefault="006D3AD5" w:rsidP="00685AEF">
      <w:pPr>
        <w:pStyle w:val="Titulek"/>
      </w:pPr>
      <w:r>
        <w:t>Source: The preparation of background documents for the energy effectiveness action plan</w:t>
      </w:r>
    </w:p>
    <w:p w14:paraId="1A9C6CBF" w14:textId="77777777" w:rsidR="006D3AD5" w:rsidRPr="0073014D" w:rsidRDefault="006D3AD5" w:rsidP="006D3AD5">
      <w:pPr>
        <w:rPr>
          <w:b/>
        </w:rPr>
      </w:pPr>
    </w:p>
    <w:p w14:paraId="7E048CD6" w14:textId="77777777" w:rsidR="006D3AD5" w:rsidRPr="0073014D" w:rsidRDefault="006D3AD5" w:rsidP="006D3AD5">
      <w:pPr>
        <w:rPr>
          <w:b/>
        </w:rPr>
      </w:pPr>
      <w:r>
        <w:rPr>
          <w:b/>
        </w:rPr>
        <w:t>17 projects from ECO-ENERGY Calls I to III included the measure of the CPEH installation in primary production.</w:t>
      </w:r>
      <w:r>
        <w:t xml:space="preserve"> Average investment costs for the implementation of the CPEH project amounted to ca. CZK 63 million. Within the extended CPEH Call III, they were not supported.</w:t>
      </w:r>
    </w:p>
    <w:p w14:paraId="0F9BE974" w14:textId="77777777" w:rsidR="006D3AD5" w:rsidRPr="0073014D" w:rsidRDefault="006D3AD5" w:rsidP="006D3AD5">
      <w:pPr>
        <w:rPr>
          <w:b/>
        </w:rPr>
      </w:pPr>
    </w:p>
    <w:p w14:paraId="6B57B66B" w14:textId="77777777" w:rsidR="006D3AD5" w:rsidRPr="0073014D" w:rsidRDefault="006D3AD5" w:rsidP="006D3AD5">
      <w:r>
        <w:rPr>
          <w:b/>
        </w:rPr>
        <w:t xml:space="preserve">OPE (2007-2013) </w:t>
      </w:r>
      <w:r>
        <w:t>Within the sub-area of the support 2.1.2, the subsidy directly to the reconstruction of heating distributions and the construction of a new central heat resource. For these projects, a total of CZK 606 million could be drawn since 2013.</w:t>
      </w:r>
    </w:p>
    <w:p w14:paraId="1EFE1851" w14:textId="77777777" w:rsidR="006D3AD5" w:rsidRPr="0073014D" w:rsidRDefault="006D3AD5" w:rsidP="006D3AD5"/>
    <w:p w14:paraId="14F78F34" w14:textId="77777777" w:rsidR="006D3AD5" w:rsidRPr="0073014D" w:rsidRDefault="006D3AD5" w:rsidP="006D3AD5"/>
    <w:p w14:paraId="783D8512" w14:textId="77777777" w:rsidR="006D3AD5" w:rsidRPr="0073014D" w:rsidRDefault="006D3AD5" w:rsidP="006D3AD5"/>
    <w:p w14:paraId="6B26F2CE" w14:textId="77777777" w:rsidR="006D3AD5" w:rsidRPr="0073014D" w:rsidRDefault="006D3AD5" w:rsidP="006D3AD5"/>
    <w:p w14:paraId="503DBEFF" w14:textId="77777777" w:rsidR="006D3AD5" w:rsidRPr="0073014D" w:rsidRDefault="006D3AD5" w:rsidP="006D3AD5"/>
    <w:p w14:paraId="6BD527B5" w14:textId="77777777" w:rsidR="006D3AD5" w:rsidRPr="0073014D" w:rsidRDefault="006D3AD5" w:rsidP="006D3AD5">
      <w:pPr>
        <w:pStyle w:val="Nadpis4"/>
        <w:rPr>
          <w:rFonts w:ascii="Calibri" w:hAnsi="Calibri"/>
          <w:color w:val="000000"/>
        </w:rPr>
      </w:pPr>
      <w:bookmarkStart w:id="924" w:name="_Toc416383872"/>
      <w:bookmarkStart w:id="925" w:name="_Toc416447870"/>
      <w:bookmarkStart w:id="926" w:name="_Toc416383873"/>
      <w:bookmarkStart w:id="927" w:name="_Toc416447871"/>
      <w:bookmarkStart w:id="928" w:name="_Toc416383874"/>
      <w:bookmarkStart w:id="929" w:name="_Toc416447872"/>
      <w:bookmarkStart w:id="930" w:name="_Toc416800466"/>
      <w:bookmarkEnd w:id="924"/>
      <w:bookmarkEnd w:id="925"/>
      <w:bookmarkEnd w:id="926"/>
      <w:bookmarkEnd w:id="927"/>
      <w:bookmarkEnd w:id="928"/>
      <w:bookmarkEnd w:id="929"/>
      <w:r>
        <w:rPr>
          <w:rFonts w:ascii="Calibri" w:hAnsi="Calibri"/>
          <w:color w:val="000000"/>
        </w:rPr>
        <w:t>The estimation of absorption capacity of the public support and the financial instrument</w:t>
      </w:r>
    </w:p>
    <w:p w14:paraId="6B613A3F" w14:textId="77777777" w:rsidR="006D3AD5" w:rsidRPr="0073014D" w:rsidRDefault="006D3AD5" w:rsidP="006D3AD5">
      <w:pPr>
        <w:pStyle w:val="Neslovannadpisy"/>
        <w:rPr>
          <w:color w:val="000000"/>
        </w:rPr>
      </w:pPr>
    </w:p>
    <w:bookmarkEnd w:id="930"/>
    <w:p w14:paraId="0C046785" w14:textId="77777777" w:rsidR="006D3AD5" w:rsidRPr="0073014D" w:rsidRDefault="006D3AD5" w:rsidP="006D3AD5">
      <w:pPr>
        <w:pStyle w:val="Neslovannadpisy"/>
        <w:rPr>
          <w:color w:val="000000"/>
        </w:rPr>
      </w:pPr>
      <w:r>
        <w:rPr>
          <w:color w:val="000000"/>
        </w:rPr>
        <w:t>Demand ascertained from the questionnaire</w:t>
      </w:r>
    </w:p>
    <w:p w14:paraId="20040AB2" w14:textId="77777777" w:rsidR="006D3AD5" w:rsidRPr="0073014D" w:rsidRDefault="006D3AD5" w:rsidP="006D3AD5">
      <w:r>
        <w:t>In the questionnaire inquiry, a total of 39 companies expressed their investment intention to SC3.5.</w:t>
      </w:r>
      <w:r>
        <w:rPr>
          <w:b/>
        </w:rPr>
        <w:t xml:space="preserve"> OPEIC 2014 – 2020. The intended investment intentions amount to CZK 952.5 million</w:t>
      </w:r>
      <w:r>
        <w:t xml:space="preserve"> with the estimated payback period of 7.5 years.</w:t>
      </w:r>
    </w:p>
    <w:p w14:paraId="6C6FD0E6" w14:textId="77777777" w:rsidR="006D3AD5" w:rsidRPr="0073014D" w:rsidRDefault="006D3AD5" w:rsidP="00685AEF">
      <w:pPr>
        <w:pStyle w:val="Titulek"/>
        <w:rPr>
          <w:color w:val="000000"/>
        </w:rPr>
      </w:pPr>
    </w:p>
    <w:p w14:paraId="18AE05F6" w14:textId="77777777" w:rsidR="006D3AD5" w:rsidRPr="0073014D" w:rsidRDefault="006D3AD5" w:rsidP="006D3AD5">
      <w:pPr>
        <w:pStyle w:val="Neslovannadpisy"/>
        <w:rPr>
          <w:color w:val="000000"/>
        </w:rPr>
      </w:pPr>
      <w:r>
        <w:rPr>
          <w:color w:val="000000"/>
        </w:rPr>
        <w:t>Estimated absorption capacity of proposed financial instruments</w:t>
      </w:r>
    </w:p>
    <w:p w14:paraId="67277253" w14:textId="46DFC27F" w:rsidR="006D3AD5" w:rsidRPr="0073014D" w:rsidRDefault="006D3AD5" w:rsidP="006D3AD5">
      <w:r>
        <w:t>On the basis if the estimations by the Heating Association on the total investment need of the CHR (CZK 27 billion), data on the investment activity and support within the OPEI and OPE in the past years and the assumption of the increased acceleration of reconstructions in the up-coming period,</w:t>
      </w:r>
      <w:r>
        <w:rPr>
          <w:b/>
        </w:rPr>
        <w:t xml:space="preserve"> we estimate the minimum investment demand in the area </w:t>
      </w:r>
      <w:r w:rsidR="00685AEF">
        <w:rPr>
          <w:b/>
        </w:rPr>
        <w:t xml:space="preserve">SO </w:t>
      </w:r>
      <w:r>
        <w:rPr>
          <w:b/>
        </w:rPr>
        <w:t>3.5 in the next period of CZK 4-10 billion.</w:t>
      </w:r>
      <w:r>
        <w:t xml:space="preserve"> If all the potential  estimated by the Czech Heating Association was activated, the real absorption capacity can be even noticeably higher. Nonetheless, from the point of significant market failures in the CHR area, a significant part of such estimated demand will be dependent on  subsidy support.</w:t>
      </w:r>
    </w:p>
    <w:p w14:paraId="6F59D0B0" w14:textId="77777777" w:rsidR="006D3AD5" w:rsidRPr="0073014D" w:rsidRDefault="006D3AD5" w:rsidP="006D3AD5"/>
    <w:p w14:paraId="63A7D769" w14:textId="49919AE9" w:rsidR="006D3AD5" w:rsidRPr="0073014D" w:rsidRDefault="006D3AD5" w:rsidP="006D3AD5">
      <w:r>
        <w:t xml:space="preserve">Upon the aforesaid Plan of co-generation Development in the CZ, 0.4GW new and 1.1GW reconstructed co-generation units can be established until 2020, with a further growth of investments until 2030. We can assume that a great part of reconstruction will be places in the non-supported areas of coal co-generation, on the other hand, a significant part (a model situation estimates 50%) will include the target gas units </w:t>
      </w:r>
      <w:r w:rsidR="00685AEF">
        <w:t xml:space="preserve">SO </w:t>
      </w:r>
      <w:r>
        <w:t>3.5. Upon these estimations and experience with the size of such projects in OPEI (20-30 million investment costs), we can estimate the investment demand for new projects amounting up to CZK 6 billion.</w:t>
      </w:r>
      <w:r>
        <w:rPr>
          <w:b/>
        </w:rPr>
        <w:t xml:space="preserve"> In case the optimistic scenario is not fulfilled and the CPET growing  only by half, the investment demand would amount to CZK 3 billion.</w:t>
      </w:r>
    </w:p>
    <w:p w14:paraId="49150D17" w14:textId="77777777" w:rsidR="006D3AD5" w:rsidRPr="0073014D" w:rsidRDefault="006D3AD5" w:rsidP="006D3AD5"/>
    <w:p w14:paraId="47A41348" w14:textId="62A6F328" w:rsidR="006D3AD5" w:rsidRPr="0073014D" w:rsidRDefault="006D3AD5" w:rsidP="003D68AA">
      <w:pPr>
        <w:pStyle w:val="Titulek"/>
      </w:pPr>
      <w:r>
        <w:t xml:space="preserve">Table </w:t>
      </w:r>
      <w:r w:rsidR="00A9664A">
        <w:t>84</w:t>
      </w:r>
      <w:r>
        <w:t xml:space="preserve">: Estimated investment amount </w:t>
      </w:r>
    </w:p>
    <w:tbl>
      <w:tblPr>
        <w:tblW w:w="84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380"/>
        <w:gridCol w:w="3000"/>
        <w:gridCol w:w="3100"/>
      </w:tblGrid>
      <w:tr w:rsidR="006D3AD5" w:rsidRPr="0073014D" w14:paraId="03764E95" w14:textId="77777777" w:rsidTr="00443B8F">
        <w:trPr>
          <w:trHeight w:val="300"/>
        </w:trPr>
        <w:tc>
          <w:tcPr>
            <w:tcW w:w="8480" w:type="dxa"/>
            <w:gridSpan w:val="3"/>
            <w:tcBorders>
              <w:top w:val="single" w:sz="4" w:space="0" w:color="auto"/>
            </w:tcBorders>
            <w:shd w:val="clear" w:color="000000" w:fill="4F81BD"/>
            <w:noWrap/>
            <w:vAlign w:val="center"/>
          </w:tcPr>
          <w:p w14:paraId="7C848885" w14:textId="3C02944B" w:rsidR="006D3AD5" w:rsidRPr="00685AEF" w:rsidRDefault="006D3AD5" w:rsidP="00443B8F">
            <w:pPr>
              <w:overflowPunct/>
              <w:autoSpaceDE/>
              <w:autoSpaceDN/>
              <w:adjustRightInd/>
              <w:jc w:val="center"/>
              <w:textAlignment w:val="auto"/>
              <w:rPr>
                <w:rFonts w:cs="Calibri"/>
                <w:color w:val="FFFFFF" w:themeColor="background1"/>
                <w:szCs w:val="22"/>
              </w:rPr>
            </w:pPr>
            <w:r w:rsidRPr="00685AEF">
              <w:rPr>
                <w:color w:val="FFFFFF" w:themeColor="background1"/>
              </w:rPr>
              <w:t xml:space="preserve">Estimated investment amount CPET </w:t>
            </w:r>
            <w:r w:rsidR="00685AEF">
              <w:rPr>
                <w:color w:val="FFFFFF" w:themeColor="background1"/>
              </w:rPr>
              <w:t xml:space="preserve">SO </w:t>
            </w:r>
            <w:r w:rsidRPr="00685AEF">
              <w:rPr>
                <w:color w:val="FFFFFF" w:themeColor="background1"/>
              </w:rPr>
              <w:t>3.5</w:t>
            </w:r>
          </w:p>
        </w:tc>
      </w:tr>
      <w:tr w:rsidR="006D3AD5" w:rsidRPr="0073014D" w14:paraId="6093975E" w14:textId="77777777" w:rsidTr="00443B8F">
        <w:trPr>
          <w:trHeight w:val="945"/>
        </w:trPr>
        <w:tc>
          <w:tcPr>
            <w:tcW w:w="2380" w:type="dxa"/>
            <w:vAlign w:val="center"/>
          </w:tcPr>
          <w:p w14:paraId="6CB14BC5" w14:textId="798455A4" w:rsidR="006D3AD5" w:rsidRPr="0073014D" w:rsidRDefault="006D3AD5" w:rsidP="00443B8F">
            <w:pPr>
              <w:overflowPunct/>
              <w:autoSpaceDE/>
              <w:autoSpaceDN/>
              <w:adjustRightInd/>
              <w:jc w:val="center"/>
              <w:textAlignment w:val="auto"/>
              <w:rPr>
                <w:rFonts w:cs="Calibri"/>
                <w:szCs w:val="22"/>
              </w:rPr>
            </w:pPr>
            <w:r>
              <w:t xml:space="preserve">Estimated increase in the production of the target projects </w:t>
            </w:r>
            <w:r w:rsidR="00685AEF">
              <w:t xml:space="preserve">SO </w:t>
            </w:r>
            <w:r>
              <w:t>3.5 until 2020 (MWe)</w:t>
            </w:r>
          </w:p>
        </w:tc>
        <w:tc>
          <w:tcPr>
            <w:tcW w:w="3000" w:type="dxa"/>
            <w:vAlign w:val="center"/>
          </w:tcPr>
          <w:p w14:paraId="68B4B3C2" w14:textId="11877733" w:rsidR="006D3AD5" w:rsidRPr="0073014D" w:rsidRDefault="006D3AD5" w:rsidP="00443B8F">
            <w:pPr>
              <w:overflowPunct/>
              <w:autoSpaceDE/>
              <w:autoSpaceDN/>
              <w:adjustRightInd/>
              <w:jc w:val="center"/>
              <w:textAlignment w:val="auto"/>
              <w:rPr>
                <w:rFonts w:cs="Calibri"/>
                <w:szCs w:val="22"/>
              </w:rPr>
            </w:pPr>
            <w:r>
              <w:t xml:space="preserve">Estimated number of projects </w:t>
            </w:r>
            <w:r w:rsidR="00685AEF">
              <w:t xml:space="preserve">SO </w:t>
            </w:r>
            <w:r>
              <w:t>3.5 (new units, gas)</w:t>
            </w:r>
          </w:p>
        </w:tc>
        <w:tc>
          <w:tcPr>
            <w:tcW w:w="3100" w:type="dxa"/>
            <w:vAlign w:val="center"/>
          </w:tcPr>
          <w:p w14:paraId="77610898" w14:textId="77777777" w:rsidR="006D3AD5" w:rsidRPr="0073014D" w:rsidRDefault="006D3AD5" w:rsidP="00443B8F">
            <w:pPr>
              <w:overflowPunct/>
              <w:autoSpaceDE/>
              <w:autoSpaceDN/>
              <w:adjustRightInd/>
              <w:jc w:val="center"/>
              <w:textAlignment w:val="auto"/>
              <w:rPr>
                <w:rFonts w:cs="Calibri"/>
                <w:szCs w:val="22"/>
              </w:rPr>
            </w:pPr>
            <w:r>
              <w:t>Estimated total investment project costs (MCZK)</w:t>
            </w:r>
          </w:p>
        </w:tc>
      </w:tr>
      <w:tr w:rsidR="006D3AD5" w:rsidRPr="0073014D" w14:paraId="5EE58CD3" w14:textId="77777777" w:rsidTr="00443B8F">
        <w:trPr>
          <w:trHeight w:val="300"/>
        </w:trPr>
        <w:tc>
          <w:tcPr>
            <w:tcW w:w="2380" w:type="dxa"/>
            <w:tcBorders>
              <w:bottom w:val="single" w:sz="4" w:space="0" w:color="auto"/>
            </w:tcBorders>
            <w:vAlign w:val="center"/>
          </w:tcPr>
          <w:p w14:paraId="1922DD93" w14:textId="77777777" w:rsidR="006D3AD5" w:rsidRPr="0073014D" w:rsidRDefault="006D3AD5" w:rsidP="00443B8F">
            <w:pPr>
              <w:overflowPunct/>
              <w:autoSpaceDE/>
              <w:autoSpaceDN/>
              <w:adjustRightInd/>
              <w:jc w:val="center"/>
              <w:textAlignment w:val="auto"/>
              <w:rPr>
                <w:rFonts w:cs="Calibri"/>
                <w:szCs w:val="22"/>
              </w:rPr>
            </w:pPr>
            <w:r>
              <w:t>200-400</w:t>
            </w:r>
          </w:p>
        </w:tc>
        <w:tc>
          <w:tcPr>
            <w:tcW w:w="3000" w:type="dxa"/>
            <w:tcBorders>
              <w:bottom w:val="single" w:sz="4" w:space="0" w:color="auto"/>
            </w:tcBorders>
            <w:vAlign w:val="center"/>
          </w:tcPr>
          <w:p w14:paraId="699AFD82" w14:textId="77777777" w:rsidR="006D3AD5" w:rsidRPr="0073014D" w:rsidRDefault="006D3AD5" w:rsidP="00443B8F">
            <w:pPr>
              <w:overflowPunct/>
              <w:autoSpaceDE/>
              <w:autoSpaceDN/>
              <w:adjustRightInd/>
              <w:jc w:val="center"/>
              <w:textAlignment w:val="auto"/>
              <w:rPr>
                <w:rFonts w:cs="Calibri"/>
                <w:szCs w:val="22"/>
              </w:rPr>
            </w:pPr>
            <w:r>
              <w:t>125-250</w:t>
            </w:r>
          </w:p>
        </w:tc>
        <w:tc>
          <w:tcPr>
            <w:tcW w:w="3100" w:type="dxa"/>
            <w:tcBorders>
              <w:bottom w:val="single" w:sz="4" w:space="0" w:color="auto"/>
            </w:tcBorders>
            <w:vAlign w:val="center"/>
          </w:tcPr>
          <w:p w14:paraId="79FC4B66" w14:textId="77777777" w:rsidR="006D3AD5" w:rsidRPr="0073014D" w:rsidRDefault="006D3AD5" w:rsidP="00443B8F">
            <w:pPr>
              <w:overflowPunct/>
              <w:autoSpaceDE/>
              <w:autoSpaceDN/>
              <w:adjustRightInd/>
              <w:jc w:val="center"/>
              <w:textAlignment w:val="auto"/>
              <w:rPr>
                <w:rFonts w:cs="Calibri"/>
                <w:szCs w:val="22"/>
              </w:rPr>
            </w:pPr>
            <w:r>
              <w:t>3100-6200</w:t>
            </w:r>
          </w:p>
        </w:tc>
      </w:tr>
    </w:tbl>
    <w:p w14:paraId="275875C3" w14:textId="77777777" w:rsidR="006D3AD5" w:rsidRPr="0073014D" w:rsidRDefault="006D3AD5" w:rsidP="006D3AD5">
      <w:pPr>
        <w:pStyle w:val="Nadpis4"/>
        <w:rPr>
          <w:rFonts w:ascii="Calibri" w:hAnsi="Calibri"/>
          <w:color w:val="000000"/>
        </w:rPr>
      </w:pPr>
      <w:bookmarkStart w:id="931" w:name="_Toc416800467"/>
      <w:r>
        <w:rPr>
          <w:rFonts w:ascii="Calibri" w:hAnsi="Calibri"/>
          <w:color w:val="000000"/>
        </w:rPr>
        <w:t>Identification of market failure and suboptimum investment situations</w:t>
      </w:r>
    </w:p>
    <w:p w14:paraId="07AA7E07" w14:textId="77777777" w:rsidR="006D3AD5" w:rsidRPr="0073014D" w:rsidRDefault="006D3AD5" w:rsidP="006D3AD5"/>
    <w:bookmarkEnd w:id="931"/>
    <w:p w14:paraId="32B19142" w14:textId="77777777" w:rsidR="006D3AD5" w:rsidRPr="0073014D" w:rsidRDefault="006D3AD5" w:rsidP="006D3AD5">
      <w:r>
        <w:t>Distinct energy losses in old heat distributions are currently a severe problem in the area of energy efficiency, which increase fossil fuel consumption. A relatively small investment activity, in spite of the long-term profitable character, indicates a distinct market failure.</w:t>
      </w:r>
    </w:p>
    <w:p w14:paraId="611E6C16" w14:textId="77777777" w:rsidR="006D3AD5" w:rsidRPr="0073014D" w:rsidRDefault="006D3AD5" w:rsidP="006D3AD5"/>
    <w:p w14:paraId="67258366" w14:textId="0872DF9D" w:rsidR="006D3AD5" w:rsidRPr="0073014D" w:rsidRDefault="006D3AD5" w:rsidP="006D3AD5">
      <w:r>
        <w:t xml:space="preserve">The sub-optimum financial situation in </w:t>
      </w:r>
      <w:r w:rsidR="00685AEF">
        <w:t xml:space="preserve">SO </w:t>
      </w:r>
      <w:r>
        <w:t>3.5 rests, in particular, in high costs for the reconstruction (approximately up to hundred million projects), long payback period (up to 15 years) and also regulation of the sector. Price determination as per the calculation, according to the the ERI (Energy Regulation Institution) price decisions is not in the case of heal producers overly motivating for new investments. Heat producers act, in fact, in the positions of local quasi-monopolies and, to a large extent, they may transfer costs of fuel and energy loss to the customer - although, the proceeding disconnection of the users from the central, replacement with decentralised resources and energy savings complicate the central producers position.</w:t>
      </w:r>
    </w:p>
    <w:p w14:paraId="252EC01D" w14:textId="77777777" w:rsidR="006D3AD5" w:rsidRPr="0073014D" w:rsidRDefault="006D3AD5" w:rsidP="006D3AD5"/>
    <w:p w14:paraId="0D8CED22" w14:textId="77777777" w:rsidR="006D3AD5" w:rsidRPr="0073014D" w:rsidRDefault="006D3AD5" w:rsidP="006D3AD5">
      <w:r>
        <w:lastRenderedPageBreak/>
        <w:t>Noticeable costs for the measures on the emission decrease until 2016 are a current problem for heating plants. Therefore, the primary ecological measures are preferential in the investment schedule and the potential of additional investments will be reduced, both from the point of own resources and refinancing of enterprises and from the point the transfer of costs to the customer - who became extremely price-sensitive.  Therefore, the question of availability of cheap resources for investments is essential in the case of the CHR reconstruction.</w:t>
      </w:r>
    </w:p>
    <w:p w14:paraId="7271E799" w14:textId="77777777" w:rsidR="006D3AD5" w:rsidRPr="0073014D" w:rsidRDefault="006D3AD5" w:rsidP="006D3AD5"/>
    <w:p w14:paraId="16CEC5E8" w14:textId="77777777" w:rsidR="006D3AD5" w:rsidRPr="0073014D" w:rsidRDefault="006D3AD5" w:rsidP="006D3AD5">
      <w:r>
        <w:t xml:space="preserve">Relatively high costs are also connected with the improvement of CPEH effectiveness and, above all, with its new implementation, which demands investments in heat distributions and, in the case of its local carrying off, it is conditioned by the existence of additional demand. Nonetheless, these requirements are partially compensated by advantageous operational support and the effectiveness of such kind of production itself. Also owing to such fact, in the case of investments in the CPEH, we can observe  a noticeable lower return and therefore, also lower marker barriers when compared to the CHR. In the area of CPEH implementation, in particular, in the case of gas sources, we therefore assume a higher market activity. </w:t>
      </w:r>
    </w:p>
    <w:p w14:paraId="158B095C" w14:textId="77777777" w:rsidR="006D3AD5" w:rsidRPr="0073014D" w:rsidRDefault="006D3AD5" w:rsidP="006D3AD5"/>
    <w:p w14:paraId="11F2CB1E" w14:textId="291003E5" w:rsidR="006D3AD5" w:rsidRPr="0073014D" w:rsidRDefault="006D3AD5" w:rsidP="006D3AD5">
      <w:r>
        <w:t xml:space="preserve">Th activities </w:t>
      </w:r>
      <w:r w:rsidR="00685AEF">
        <w:t xml:space="preserve">SO </w:t>
      </w:r>
      <w:r>
        <w:t>3.5 are partially logically connected, obsoleting CHS efficiency and their investment problems represent a barrier also for some investments in CPEH - for which, in the case of local carrying off of heat, the existence of the effective distribution network is an important presumption.</w:t>
      </w:r>
    </w:p>
    <w:p w14:paraId="2A66F652" w14:textId="77777777" w:rsidR="006D3AD5" w:rsidRPr="0073014D" w:rsidRDefault="006D3AD5" w:rsidP="006D3AD5"/>
    <w:p w14:paraId="4B047903" w14:textId="447C4B32" w:rsidR="006D3AD5" w:rsidRPr="0073014D" w:rsidRDefault="006D3AD5" w:rsidP="006D3AD5">
      <w:r>
        <w:t xml:space="preserve">The barriers in the monitored area can also include high costs for the preparation of projects, including energy audits - although, with respect to the size of the projects and the fact that the investments are, contrary to </w:t>
      </w:r>
      <w:r w:rsidR="00685AEF">
        <w:t xml:space="preserve">SO </w:t>
      </w:r>
      <w:r>
        <w:t>3.2, usually in the centre of the interest of affected companies, it does not represent so fundamental motivation problem.</w:t>
      </w:r>
    </w:p>
    <w:p w14:paraId="05A33E09" w14:textId="77777777" w:rsidR="006D3AD5" w:rsidRPr="0073014D" w:rsidRDefault="006D3AD5" w:rsidP="006D3AD5"/>
    <w:p w14:paraId="628F9FDB" w14:textId="77777777" w:rsidR="006D3AD5" w:rsidRPr="0073014D" w:rsidRDefault="006D3AD5" w:rsidP="006D3AD5">
      <w:r>
        <w:t xml:space="preserve">The relative stability of the regulated sector and income (in spite of the fact that market risks on the part of demand have been recently increasing) is the advantage of the credit possibility of the projects SC3.5,nonetheless, the aforesaid impossibility to use the pipeline as a collateral, in the case of CHS long payback period or, in some cases, weak capital resources of smaller entities and excess credits due to additional investments, can be of a problem. Naturally, the projects are also connected with a technological risk. Currently, also uncertainty of a further public subsidy development in this area is viewed as a problem, which increases the risk of a credit possibility. </w:t>
      </w:r>
    </w:p>
    <w:p w14:paraId="3AF4846D" w14:textId="77777777" w:rsidR="006D3AD5" w:rsidRPr="0073014D" w:rsidRDefault="006D3AD5" w:rsidP="006D3AD5">
      <w:pPr>
        <w:pStyle w:val="Vtneslovannadpis"/>
        <w:rPr>
          <w:rFonts w:ascii="Calibri" w:hAnsi="Calibri"/>
          <w:color w:val="000000"/>
        </w:rPr>
      </w:pPr>
    </w:p>
    <w:p w14:paraId="51892AB4" w14:textId="77777777" w:rsidR="006D3AD5" w:rsidRPr="0073014D" w:rsidRDefault="006D3AD5" w:rsidP="006D3AD5">
      <w:pPr>
        <w:pStyle w:val="Nadpis4"/>
        <w:rPr>
          <w:rFonts w:ascii="Calibri" w:hAnsi="Calibri"/>
          <w:color w:val="000000"/>
        </w:rPr>
      </w:pPr>
      <w:bookmarkStart w:id="932" w:name="_Toc416800468"/>
      <w:r>
        <w:rPr>
          <w:rFonts w:ascii="Calibri" w:hAnsi="Calibri"/>
          <w:color w:val="000000"/>
        </w:rPr>
        <w:t>Proposed solution of identified market failures</w:t>
      </w:r>
    </w:p>
    <w:p w14:paraId="163824D1" w14:textId="77777777" w:rsidR="006D3AD5" w:rsidRPr="0073014D" w:rsidRDefault="006D3AD5" w:rsidP="006D3AD5"/>
    <w:bookmarkEnd w:id="932"/>
    <w:p w14:paraId="02E92F36" w14:textId="77777777" w:rsidR="006D3AD5" w:rsidRPr="0073014D" w:rsidRDefault="006D3AD5" w:rsidP="006D3AD5">
      <w:r>
        <w:t>The investments in the reconstructions of heating distributions are characteristic for their high cost-intensity and a long-term payback period (a standard project of the reconstruction of the distribution pipeline shows the payback period of 11.3 years). Therefore, it is worth the expense only in a longer time period and, in spite of the long useful life of investments, they are problematic for the market application. so from the point of the motivation of the regulated eties to investments, it seems to be appropriate to preserve subsidy support, which can be potentially softened  by the combination of a subsidy component and repayable assistance (recoverable support converted to irrecoverable in case of the completion of the project goals) with the soft loan or a guarantee.</w:t>
      </w:r>
    </w:p>
    <w:p w14:paraId="46C4D075" w14:textId="77777777" w:rsidR="006D3AD5" w:rsidRPr="0073014D" w:rsidRDefault="006D3AD5" w:rsidP="006D3AD5"/>
    <w:p w14:paraId="077DE7EF" w14:textId="77777777" w:rsidR="006D3AD5" w:rsidRPr="0073014D" w:rsidRDefault="006D3AD5" w:rsidP="006D3AD5">
      <w:r>
        <w:t xml:space="preserve">The activities of CPEH development from the point of its return, seem to be more appropriate for the application of the financial instrument The installation of the co-generation unit itself or the reconstruction of the existing facilities do not report so high costs and return and, therefore they can be appropriately motivated by the financial instrument. Moreover, smaller entities will  have a considerably easier access to funding in the supported activities. From the point of incentives of entities, it is purposeful that the soft loans will be supplemented by the longer maturity period, </w:t>
      </w:r>
      <w:r>
        <w:lastRenderedPageBreak/>
        <w:t>contribution for the project preparation or, where appropriate, the payment of the part of the interest charges conditioned by the achievement of required goals.</w:t>
      </w:r>
    </w:p>
    <w:p w14:paraId="043774A0" w14:textId="77777777" w:rsidR="006D3AD5" w:rsidRPr="0073014D" w:rsidRDefault="006D3AD5" w:rsidP="006D3AD5">
      <w:pPr>
        <w:pStyle w:val="Nadpis3"/>
        <w:rPr>
          <w:rFonts w:ascii="Calibri" w:hAnsi="Calibri"/>
          <w:color w:val="000000"/>
        </w:rPr>
      </w:pPr>
      <w:bookmarkStart w:id="933" w:name="_Toc417544636"/>
      <w:bookmarkStart w:id="934" w:name="_Toc417544638"/>
      <w:bookmarkStart w:id="935" w:name="_Toc416800469"/>
      <w:bookmarkStart w:id="936" w:name="_Toc422312130"/>
      <w:bookmarkEnd w:id="933"/>
      <w:bookmarkEnd w:id="934"/>
      <w:r>
        <w:rPr>
          <w:rFonts w:ascii="Calibri" w:hAnsi="Calibri"/>
          <w:color w:val="000000"/>
        </w:rPr>
        <w:t>Assessment of the added value of financial instruments</w:t>
      </w:r>
      <w:bookmarkEnd w:id="935"/>
      <w:bookmarkEnd w:id="936"/>
    </w:p>
    <w:p w14:paraId="5E81C576" w14:textId="77777777" w:rsidR="006D3AD5" w:rsidRPr="0073014D" w:rsidRDefault="006D3AD5" w:rsidP="006D3AD5">
      <w:pPr>
        <w:pStyle w:val="Nadpis4"/>
        <w:rPr>
          <w:rFonts w:ascii="Calibri" w:hAnsi="Calibri"/>
          <w:color w:val="000000"/>
        </w:rPr>
      </w:pPr>
      <w:r>
        <w:rPr>
          <w:rFonts w:ascii="Calibri" w:hAnsi="Calibri"/>
          <w:color w:val="000000"/>
        </w:rPr>
        <w:t>Presentation of standard projects</w:t>
      </w:r>
    </w:p>
    <w:p w14:paraId="33812792" w14:textId="77777777" w:rsidR="006D3AD5" w:rsidRPr="0073014D" w:rsidRDefault="006D3AD5" w:rsidP="006D3AD5"/>
    <w:p w14:paraId="7CD7CE7F" w14:textId="77777777" w:rsidR="006D3AD5" w:rsidRPr="0073014D" w:rsidRDefault="006D3AD5" w:rsidP="006D3AD5">
      <w:r>
        <w:t>Standard project No. 1 represents the investment in the reconstruction of the CHS system. The applicant is a large enterprise from the energy sector. The amount of the investment was CZK 37.292 million and consisted of the reconstruction of the circular distribution pipeline to achieve better thermal insulation and replace a thermal medium. Once the investment is completed, the estimations of the achieved savings should amount to CZK 2.7 billion annually in the case of heat losses and a saving of CZK 0.35 million of the operational costs owing to better technology. The project was supported in the OPEI.</w:t>
      </w:r>
    </w:p>
    <w:p w14:paraId="7E19E2C2" w14:textId="77777777" w:rsidR="006D3AD5" w:rsidRPr="0073014D" w:rsidRDefault="006D3AD5" w:rsidP="006D3AD5"/>
    <w:p w14:paraId="421D19CC" w14:textId="77777777" w:rsidR="006D3AD5" w:rsidRPr="0073014D" w:rsidRDefault="006D3AD5" w:rsidP="006D3AD5">
      <w:r>
        <w:t xml:space="preserve">Within the analysis of a potential impact of public subsidy on the economic balance sheet of the investment project, a variation analysis was prepared, which maps the impacts that can be monitored in the case of the option without public support, subsidy option, option of a soft loan and the option of a soft loan with a subsidy component. </w:t>
      </w:r>
    </w:p>
    <w:p w14:paraId="7173818C" w14:textId="77777777" w:rsidR="006D3AD5" w:rsidRPr="0073014D" w:rsidRDefault="006D3AD5" w:rsidP="006D3AD5">
      <w:pPr>
        <w:pStyle w:val="BodyText1"/>
        <w:rPr>
          <w:rFonts w:ascii="Calibri" w:hAnsi="Calibri"/>
        </w:rPr>
      </w:pPr>
    </w:p>
    <w:tbl>
      <w:tblPr>
        <w:tblW w:w="8914" w:type="dxa"/>
        <w:tblInd w:w="55" w:type="dxa"/>
        <w:tblCellMar>
          <w:left w:w="0" w:type="dxa"/>
          <w:right w:w="0" w:type="dxa"/>
        </w:tblCellMar>
        <w:tblLook w:val="00A0" w:firstRow="1" w:lastRow="0" w:firstColumn="1" w:lastColumn="0" w:noHBand="0" w:noVBand="0"/>
      </w:tblPr>
      <w:tblGrid>
        <w:gridCol w:w="2388"/>
        <w:gridCol w:w="1570"/>
        <w:gridCol w:w="1562"/>
        <w:gridCol w:w="1732"/>
        <w:gridCol w:w="1710"/>
      </w:tblGrid>
      <w:tr w:rsidR="006D3AD5" w:rsidRPr="0073014D" w14:paraId="24531028" w14:textId="77777777" w:rsidTr="00443B8F">
        <w:trPr>
          <w:trHeight w:val="20"/>
        </w:trPr>
        <w:tc>
          <w:tcPr>
            <w:tcW w:w="2380" w:type="dxa"/>
            <w:tcBorders>
              <w:top w:val="single" w:sz="4" w:space="0" w:color="002776"/>
              <w:left w:val="single" w:sz="4" w:space="0" w:color="002776"/>
              <w:bottom w:val="nil"/>
              <w:right w:val="nil"/>
            </w:tcBorders>
            <w:shd w:val="clear" w:color="000000" w:fill="002776"/>
            <w:noWrap/>
            <w:vAlign w:val="center"/>
          </w:tcPr>
          <w:p w14:paraId="773DBAE9" w14:textId="39CB2D4F" w:rsidR="006D3AD5" w:rsidRPr="0073014D" w:rsidRDefault="006D3AD5" w:rsidP="00443B8F">
            <w:pPr>
              <w:keepNext/>
              <w:keepLines/>
              <w:jc w:val="center"/>
              <w:rPr>
                <w:b/>
                <w:bCs/>
                <w:sz w:val="18"/>
                <w:szCs w:val="18"/>
              </w:rPr>
            </w:pPr>
          </w:p>
        </w:tc>
        <w:tc>
          <w:tcPr>
            <w:tcW w:w="1554" w:type="dxa"/>
            <w:tcBorders>
              <w:top w:val="single" w:sz="4" w:space="0" w:color="002776"/>
              <w:left w:val="nil"/>
              <w:bottom w:val="single" w:sz="4" w:space="0" w:color="FFFFFF"/>
              <w:right w:val="nil"/>
            </w:tcBorders>
            <w:shd w:val="clear" w:color="000000" w:fill="002776"/>
            <w:noWrap/>
            <w:vAlign w:val="bottom"/>
          </w:tcPr>
          <w:p w14:paraId="163881F2" w14:textId="77777777" w:rsidR="006D3AD5" w:rsidRPr="0073014D" w:rsidRDefault="006D3AD5" w:rsidP="00443B8F">
            <w:pPr>
              <w:keepNext/>
              <w:keepLines/>
              <w:jc w:val="left"/>
              <w:rPr>
                <w:b/>
                <w:bCs/>
                <w:sz w:val="18"/>
                <w:szCs w:val="18"/>
              </w:rPr>
            </w:pPr>
            <w:r>
              <w:rPr>
                <w:b/>
                <w:sz w:val="18"/>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14:paraId="10DDD9CA" w14:textId="77777777" w:rsidR="006D3AD5" w:rsidRPr="0073014D" w:rsidRDefault="006D3AD5" w:rsidP="00443B8F">
            <w:pPr>
              <w:keepNext/>
              <w:keepLines/>
              <w:jc w:val="left"/>
              <w:rPr>
                <w:b/>
                <w:bCs/>
                <w:sz w:val="18"/>
                <w:szCs w:val="18"/>
              </w:rPr>
            </w:pPr>
            <w:r>
              <w:rPr>
                <w:b/>
                <w:sz w:val="18"/>
              </w:rPr>
              <w:t> </w:t>
            </w:r>
          </w:p>
          <w:p w14:paraId="29F8C8B1" w14:textId="77777777" w:rsidR="006D3AD5" w:rsidRPr="0073014D" w:rsidRDefault="006D3AD5" w:rsidP="00443B8F">
            <w:pPr>
              <w:keepNext/>
              <w:keepLines/>
              <w:jc w:val="right"/>
              <w:rPr>
                <w:b/>
                <w:bCs/>
                <w:i/>
                <w:iCs/>
                <w:sz w:val="18"/>
                <w:szCs w:val="18"/>
              </w:rPr>
            </w:pPr>
            <w:r>
              <w:rPr>
                <w:b/>
                <w:i/>
                <w:sz w:val="18"/>
              </w:rPr>
              <w:t xml:space="preserve">Investments: CZK 37,292,000 </w:t>
            </w:r>
            <w:r>
              <w:br/>
            </w:r>
            <w:r>
              <w:rPr>
                <w:b/>
                <w:i/>
                <w:sz w:val="18"/>
              </w:rPr>
              <w:t xml:space="preserve">Annual operating income/saving: CZK 3,042,000 </w:t>
            </w:r>
            <w:r>
              <w:br/>
            </w:r>
            <w:r>
              <w:rPr>
                <w:b/>
                <w:i/>
                <w:sz w:val="18"/>
              </w:rPr>
              <w:t xml:space="preserve">Commercial loan - interest rate: 4.0 % </w:t>
            </w:r>
          </w:p>
          <w:p w14:paraId="4837EB84" w14:textId="77777777" w:rsidR="006D3AD5" w:rsidRPr="0073014D" w:rsidRDefault="006D3AD5" w:rsidP="00443B8F">
            <w:pPr>
              <w:keepNext/>
              <w:keepLines/>
              <w:jc w:val="right"/>
              <w:rPr>
                <w:b/>
                <w:bCs/>
                <w:i/>
                <w:iCs/>
                <w:sz w:val="18"/>
                <w:szCs w:val="18"/>
              </w:rPr>
            </w:pPr>
            <w:r>
              <w:rPr>
                <w:b/>
                <w:i/>
                <w:sz w:val="18"/>
              </w:rPr>
              <w:t xml:space="preserve">Soft loan: interest rate: 1.0 %  </w:t>
            </w:r>
          </w:p>
        </w:tc>
      </w:tr>
      <w:tr w:rsidR="006D3AD5" w:rsidRPr="0073014D" w14:paraId="53EE55A0" w14:textId="77777777" w:rsidTr="00443B8F">
        <w:trPr>
          <w:trHeight w:val="20"/>
        </w:trPr>
        <w:tc>
          <w:tcPr>
            <w:tcW w:w="2380" w:type="dxa"/>
            <w:tcBorders>
              <w:top w:val="nil"/>
              <w:left w:val="single" w:sz="4" w:space="0" w:color="002776"/>
              <w:bottom w:val="single" w:sz="4" w:space="0" w:color="002776"/>
              <w:right w:val="nil"/>
            </w:tcBorders>
            <w:shd w:val="clear" w:color="000000" w:fill="002776"/>
            <w:noWrap/>
            <w:vAlign w:val="center"/>
          </w:tcPr>
          <w:p w14:paraId="219F82E9" w14:textId="77777777" w:rsidR="006D3AD5" w:rsidRPr="0073014D" w:rsidRDefault="006D3AD5" w:rsidP="00443B8F">
            <w:pPr>
              <w:keepNext/>
              <w:keepLines/>
              <w:jc w:val="left"/>
              <w:rPr>
                <w:b/>
                <w:bCs/>
                <w:sz w:val="18"/>
                <w:szCs w:val="18"/>
              </w:rPr>
            </w:pPr>
            <w:r>
              <w:rPr>
                <w:b/>
                <w:sz w:val="18"/>
              </w:rPr>
              <w:t> </w:t>
            </w:r>
          </w:p>
        </w:tc>
        <w:tc>
          <w:tcPr>
            <w:tcW w:w="1554" w:type="dxa"/>
            <w:tcBorders>
              <w:top w:val="single" w:sz="4" w:space="0" w:color="FFFFFF"/>
              <w:left w:val="nil"/>
              <w:bottom w:val="single" w:sz="4" w:space="0" w:color="002776"/>
              <w:right w:val="nil"/>
            </w:tcBorders>
            <w:shd w:val="clear" w:color="000000" w:fill="002776"/>
            <w:noWrap/>
            <w:vAlign w:val="center"/>
          </w:tcPr>
          <w:p w14:paraId="7F6DD6D8" w14:textId="77777777" w:rsidR="006D3AD5" w:rsidRPr="0073014D" w:rsidRDefault="006D3AD5" w:rsidP="00443B8F">
            <w:pPr>
              <w:keepNext/>
              <w:keepLines/>
              <w:jc w:val="center"/>
              <w:rPr>
                <w:b/>
                <w:bCs/>
                <w:sz w:val="18"/>
                <w:szCs w:val="18"/>
              </w:rPr>
            </w:pPr>
            <w:r>
              <w:rPr>
                <w:b/>
                <w:sz w:val="18"/>
              </w:rPr>
              <w:t>100% market loan</w:t>
            </w:r>
          </w:p>
        </w:tc>
        <w:tc>
          <w:tcPr>
            <w:tcW w:w="1554" w:type="dxa"/>
            <w:tcBorders>
              <w:top w:val="single" w:sz="4" w:space="0" w:color="FFFFFF"/>
              <w:left w:val="nil"/>
              <w:bottom w:val="single" w:sz="4" w:space="0" w:color="002776"/>
              <w:right w:val="nil"/>
            </w:tcBorders>
            <w:shd w:val="clear" w:color="000000" w:fill="002776"/>
            <w:vAlign w:val="center"/>
          </w:tcPr>
          <w:p w14:paraId="33D81122" w14:textId="77777777" w:rsidR="006D3AD5" w:rsidRPr="0073014D" w:rsidRDefault="006D3AD5" w:rsidP="00443B8F">
            <w:pPr>
              <w:keepNext/>
              <w:keepLines/>
              <w:jc w:val="center"/>
              <w:rPr>
                <w:b/>
                <w:bCs/>
                <w:sz w:val="18"/>
                <w:szCs w:val="18"/>
              </w:rPr>
            </w:pPr>
            <w:r>
              <w:rPr>
                <w:b/>
                <w:sz w:val="18"/>
              </w:rPr>
              <w:t>50% market loan, 50% subsidy</w:t>
            </w:r>
          </w:p>
        </w:tc>
        <w:tc>
          <w:tcPr>
            <w:tcW w:w="1724" w:type="dxa"/>
            <w:tcBorders>
              <w:top w:val="single" w:sz="4" w:space="0" w:color="FFFFFF"/>
              <w:left w:val="nil"/>
              <w:bottom w:val="single" w:sz="4" w:space="0" w:color="002776"/>
              <w:right w:val="nil"/>
            </w:tcBorders>
            <w:shd w:val="clear" w:color="000000" w:fill="002776"/>
            <w:vAlign w:val="center"/>
          </w:tcPr>
          <w:p w14:paraId="03161827" w14:textId="77777777" w:rsidR="006D3AD5" w:rsidRPr="0073014D" w:rsidRDefault="006D3AD5" w:rsidP="00443B8F">
            <w:pPr>
              <w:keepNext/>
              <w:keepLines/>
              <w:jc w:val="center"/>
              <w:rPr>
                <w:b/>
                <w:bCs/>
                <w:sz w:val="18"/>
                <w:szCs w:val="18"/>
              </w:rPr>
            </w:pPr>
            <w:r>
              <w:rPr>
                <w:b/>
                <w:sz w:val="18"/>
              </w:rPr>
              <w:t>20% subsidy, 80% soft loan</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14:paraId="01A938A2" w14:textId="77777777" w:rsidR="006D3AD5" w:rsidRPr="0073014D" w:rsidRDefault="006D3AD5" w:rsidP="00443B8F">
            <w:pPr>
              <w:keepNext/>
              <w:keepLines/>
              <w:jc w:val="center"/>
              <w:rPr>
                <w:b/>
                <w:bCs/>
                <w:sz w:val="18"/>
                <w:szCs w:val="18"/>
              </w:rPr>
            </w:pPr>
            <w:r>
              <w:rPr>
                <w:b/>
                <w:sz w:val="18"/>
              </w:rPr>
              <w:t>100%  soft loan</w:t>
            </w:r>
          </w:p>
        </w:tc>
      </w:tr>
      <w:tr w:rsidR="006D3AD5" w:rsidRPr="0073014D" w14:paraId="583BA1B4" w14:textId="77777777" w:rsidTr="00443B8F">
        <w:trPr>
          <w:trHeight w:val="20"/>
        </w:trPr>
        <w:tc>
          <w:tcPr>
            <w:tcW w:w="2380" w:type="dxa"/>
            <w:tcBorders>
              <w:top w:val="nil"/>
              <w:left w:val="single" w:sz="4" w:space="0" w:color="002776"/>
              <w:bottom w:val="single" w:sz="4" w:space="0" w:color="002776"/>
              <w:right w:val="nil"/>
            </w:tcBorders>
            <w:noWrap/>
            <w:vAlign w:val="center"/>
          </w:tcPr>
          <w:p w14:paraId="7957C37E" w14:textId="77777777" w:rsidR="006D3AD5" w:rsidRPr="0073014D" w:rsidRDefault="006D3AD5" w:rsidP="00443B8F">
            <w:pPr>
              <w:keepNext/>
              <w:keepLines/>
              <w:jc w:val="left"/>
              <w:rPr>
                <w:sz w:val="18"/>
                <w:szCs w:val="18"/>
              </w:rPr>
            </w:pPr>
            <w:r>
              <w:rPr>
                <w:sz w:val="18"/>
              </w:rPr>
              <w:t>Internal rate of return (IRR)</w:t>
            </w:r>
          </w:p>
        </w:tc>
        <w:tc>
          <w:tcPr>
            <w:tcW w:w="1554" w:type="dxa"/>
            <w:tcBorders>
              <w:top w:val="nil"/>
              <w:left w:val="nil"/>
              <w:bottom w:val="single" w:sz="4" w:space="0" w:color="002776"/>
              <w:right w:val="nil"/>
            </w:tcBorders>
            <w:noWrap/>
            <w:vAlign w:val="center"/>
          </w:tcPr>
          <w:p w14:paraId="36F3A6D8" w14:textId="77777777" w:rsidR="006D3AD5" w:rsidRPr="0073014D" w:rsidRDefault="006D3AD5" w:rsidP="00443B8F">
            <w:pPr>
              <w:keepNext/>
              <w:keepLines/>
              <w:jc w:val="right"/>
              <w:rPr>
                <w:sz w:val="18"/>
                <w:szCs w:val="18"/>
              </w:rPr>
            </w:pPr>
            <w:r>
              <w:rPr>
                <w:sz w:val="18"/>
              </w:rPr>
              <w:t>5.19%</w:t>
            </w:r>
          </w:p>
        </w:tc>
        <w:tc>
          <w:tcPr>
            <w:tcW w:w="1554" w:type="dxa"/>
            <w:tcBorders>
              <w:top w:val="nil"/>
              <w:left w:val="nil"/>
              <w:bottom w:val="single" w:sz="4" w:space="0" w:color="002776"/>
              <w:right w:val="nil"/>
            </w:tcBorders>
            <w:noWrap/>
            <w:vAlign w:val="center"/>
          </w:tcPr>
          <w:p w14:paraId="3C547FDD" w14:textId="77777777" w:rsidR="006D3AD5" w:rsidRPr="0073014D" w:rsidRDefault="006D3AD5" w:rsidP="00443B8F">
            <w:pPr>
              <w:keepNext/>
              <w:keepLines/>
              <w:jc w:val="right"/>
              <w:rPr>
                <w:sz w:val="18"/>
                <w:szCs w:val="18"/>
              </w:rPr>
            </w:pPr>
            <w:r>
              <w:rPr>
                <w:sz w:val="18"/>
              </w:rPr>
              <w:t>15.38%</w:t>
            </w:r>
          </w:p>
        </w:tc>
        <w:tc>
          <w:tcPr>
            <w:tcW w:w="1724" w:type="dxa"/>
            <w:tcBorders>
              <w:top w:val="nil"/>
              <w:left w:val="nil"/>
              <w:bottom w:val="single" w:sz="4" w:space="0" w:color="002776"/>
              <w:right w:val="nil"/>
            </w:tcBorders>
            <w:noWrap/>
            <w:vAlign w:val="center"/>
          </w:tcPr>
          <w:p w14:paraId="10BA217F" w14:textId="77777777" w:rsidR="006D3AD5" w:rsidRPr="0073014D" w:rsidRDefault="006D3AD5" w:rsidP="00443B8F">
            <w:pPr>
              <w:keepNext/>
              <w:keepLines/>
              <w:jc w:val="right"/>
              <w:rPr>
                <w:sz w:val="18"/>
                <w:szCs w:val="18"/>
              </w:rPr>
            </w:pPr>
            <w:r>
              <w:rPr>
                <w:sz w:val="18"/>
              </w:rPr>
              <w:t>8.01%</w:t>
            </w:r>
          </w:p>
        </w:tc>
        <w:tc>
          <w:tcPr>
            <w:tcW w:w="1702" w:type="dxa"/>
            <w:tcBorders>
              <w:top w:val="nil"/>
              <w:left w:val="nil"/>
              <w:bottom w:val="single" w:sz="4" w:space="0" w:color="002776"/>
              <w:right w:val="single" w:sz="4" w:space="0" w:color="002776"/>
            </w:tcBorders>
            <w:noWrap/>
            <w:vAlign w:val="center"/>
          </w:tcPr>
          <w:p w14:paraId="4FA3C14E" w14:textId="77777777" w:rsidR="006D3AD5" w:rsidRPr="0073014D" w:rsidRDefault="006D3AD5" w:rsidP="00443B8F">
            <w:pPr>
              <w:keepNext/>
              <w:keepLines/>
              <w:jc w:val="right"/>
              <w:rPr>
                <w:sz w:val="18"/>
                <w:szCs w:val="18"/>
              </w:rPr>
            </w:pPr>
            <w:r>
              <w:rPr>
                <w:sz w:val="18"/>
              </w:rPr>
              <w:t>5.19%</w:t>
            </w:r>
          </w:p>
        </w:tc>
      </w:tr>
      <w:tr w:rsidR="006D3AD5" w:rsidRPr="0073014D" w14:paraId="1D621CCD" w14:textId="77777777" w:rsidTr="00443B8F">
        <w:trPr>
          <w:trHeight w:val="20"/>
        </w:trPr>
        <w:tc>
          <w:tcPr>
            <w:tcW w:w="2380" w:type="dxa"/>
            <w:tcBorders>
              <w:top w:val="nil"/>
              <w:left w:val="single" w:sz="4" w:space="0" w:color="002776"/>
              <w:bottom w:val="single" w:sz="4" w:space="0" w:color="002776"/>
              <w:right w:val="nil"/>
            </w:tcBorders>
            <w:noWrap/>
            <w:vAlign w:val="center"/>
          </w:tcPr>
          <w:p w14:paraId="02B76477" w14:textId="77777777" w:rsidR="006D3AD5" w:rsidRPr="0073014D" w:rsidRDefault="006D3AD5" w:rsidP="00443B8F">
            <w:pPr>
              <w:keepNext/>
              <w:keepLines/>
              <w:jc w:val="left"/>
              <w:rPr>
                <w:sz w:val="18"/>
                <w:szCs w:val="18"/>
              </w:rPr>
            </w:pPr>
            <w:r>
              <w:rPr>
                <w:sz w:val="18"/>
              </w:rPr>
              <w:t>Net present value (NPV in CZK)</w:t>
            </w:r>
          </w:p>
        </w:tc>
        <w:tc>
          <w:tcPr>
            <w:tcW w:w="1554" w:type="dxa"/>
            <w:tcBorders>
              <w:top w:val="nil"/>
              <w:left w:val="nil"/>
              <w:bottom w:val="single" w:sz="4" w:space="0" w:color="002776"/>
              <w:right w:val="nil"/>
            </w:tcBorders>
            <w:noWrap/>
            <w:vAlign w:val="center"/>
          </w:tcPr>
          <w:p w14:paraId="5095D630" w14:textId="77777777" w:rsidR="006D3AD5" w:rsidRPr="0073014D" w:rsidRDefault="006D3AD5" w:rsidP="00443B8F">
            <w:pPr>
              <w:keepNext/>
              <w:keepLines/>
              <w:jc w:val="right"/>
              <w:rPr>
                <w:sz w:val="18"/>
                <w:szCs w:val="18"/>
              </w:rPr>
            </w:pPr>
            <w:r>
              <w:rPr>
                <w:sz w:val="18"/>
              </w:rPr>
              <w:t>12,204,961</w:t>
            </w:r>
          </w:p>
        </w:tc>
        <w:tc>
          <w:tcPr>
            <w:tcW w:w="1554" w:type="dxa"/>
            <w:tcBorders>
              <w:top w:val="nil"/>
              <w:left w:val="nil"/>
              <w:bottom w:val="single" w:sz="4" w:space="0" w:color="002776"/>
              <w:right w:val="nil"/>
            </w:tcBorders>
            <w:noWrap/>
            <w:vAlign w:val="center"/>
          </w:tcPr>
          <w:p w14:paraId="1F46C8AF" w14:textId="77777777" w:rsidR="006D3AD5" w:rsidRPr="0073014D" w:rsidRDefault="006D3AD5" w:rsidP="00443B8F">
            <w:pPr>
              <w:keepNext/>
              <w:keepLines/>
              <w:jc w:val="right"/>
              <w:rPr>
                <w:sz w:val="18"/>
                <w:szCs w:val="18"/>
              </w:rPr>
            </w:pPr>
            <w:r>
              <w:rPr>
                <w:sz w:val="18"/>
              </w:rPr>
              <w:t>30,485,353</w:t>
            </w:r>
          </w:p>
        </w:tc>
        <w:tc>
          <w:tcPr>
            <w:tcW w:w="1724" w:type="dxa"/>
            <w:tcBorders>
              <w:top w:val="nil"/>
              <w:left w:val="nil"/>
              <w:bottom w:val="single" w:sz="4" w:space="0" w:color="002776"/>
              <w:right w:val="nil"/>
            </w:tcBorders>
            <w:noWrap/>
            <w:vAlign w:val="center"/>
          </w:tcPr>
          <w:p w14:paraId="798D9280" w14:textId="77777777" w:rsidR="006D3AD5" w:rsidRPr="0073014D" w:rsidRDefault="006D3AD5" w:rsidP="00443B8F">
            <w:pPr>
              <w:keepNext/>
              <w:keepLines/>
              <w:jc w:val="right"/>
              <w:rPr>
                <w:sz w:val="18"/>
                <w:szCs w:val="18"/>
              </w:rPr>
            </w:pPr>
            <w:r>
              <w:rPr>
                <w:sz w:val="18"/>
              </w:rPr>
              <w:t>24,812,844</w:t>
            </w:r>
          </w:p>
        </w:tc>
        <w:tc>
          <w:tcPr>
            <w:tcW w:w="1702" w:type="dxa"/>
            <w:tcBorders>
              <w:top w:val="nil"/>
              <w:left w:val="nil"/>
              <w:bottom w:val="single" w:sz="4" w:space="0" w:color="002776"/>
              <w:right w:val="single" w:sz="4" w:space="0" w:color="002776"/>
            </w:tcBorders>
            <w:noWrap/>
            <w:vAlign w:val="center"/>
          </w:tcPr>
          <w:p w14:paraId="473A29CB" w14:textId="77777777" w:rsidR="006D3AD5" w:rsidRPr="0073014D" w:rsidRDefault="006D3AD5" w:rsidP="00443B8F">
            <w:pPr>
              <w:keepNext/>
              <w:keepLines/>
              <w:jc w:val="right"/>
              <w:rPr>
                <w:sz w:val="18"/>
                <w:szCs w:val="18"/>
              </w:rPr>
            </w:pPr>
            <w:r>
              <w:rPr>
                <w:sz w:val="18"/>
              </w:rPr>
              <w:t>17,428,289</w:t>
            </w:r>
          </w:p>
        </w:tc>
      </w:tr>
      <w:tr w:rsidR="006D3AD5" w:rsidRPr="0073014D" w14:paraId="7E06F478" w14:textId="77777777" w:rsidTr="00443B8F">
        <w:trPr>
          <w:trHeight w:val="20"/>
        </w:trPr>
        <w:tc>
          <w:tcPr>
            <w:tcW w:w="2380" w:type="dxa"/>
            <w:tcBorders>
              <w:top w:val="nil"/>
              <w:left w:val="single" w:sz="4" w:space="0" w:color="002776"/>
              <w:bottom w:val="single" w:sz="4" w:space="0" w:color="002776"/>
              <w:right w:val="nil"/>
            </w:tcBorders>
            <w:noWrap/>
            <w:vAlign w:val="center"/>
          </w:tcPr>
          <w:p w14:paraId="57F7A5F5" w14:textId="77777777" w:rsidR="006D3AD5" w:rsidRPr="0073014D" w:rsidRDefault="006D3AD5" w:rsidP="00443B8F">
            <w:pPr>
              <w:keepNext/>
              <w:keepLines/>
              <w:jc w:val="left"/>
              <w:rPr>
                <w:sz w:val="18"/>
                <w:szCs w:val="18"/>
              </w:rPr>
            </w:pPr>
            <w:r>
              <w:rPr>
                <w:sz w:val="18"/>
              </w:rPr>
              <w:t>Simple payback period (years)</w:t>
            </w:r>
          </w:p>
        </w:tc>
        <w:tc>
          <w:tcPr>
            <w:tcW w:w="1554" w:type="dxa"/>
            <w:tcBorders>
              <w:top w:val="nil"/>
              <w:left w:val="nil"/>
              <w:bottom w:val="single" w:sz="4" w:space="0" w:color="002776"/>
              <w:right w:val="nil"/>
            </w:tcBorders>
            <w:noWrap/>
            <w:vAlign w:val="center"/>
          </w:tcPr>
          <w:p w14:paraId="52A69EC4" w14:textId="77777777" w:rsidR="006D3AD5" w:rsidRPr="0073014D" w:rsidRDefault="006D3AD5" w:rsidP="00443B8F">
            <w:pPr>
              <w:keepNext/>
              <w:keepLines/>
              <w:jc w:val="right"/>
              <w:rPr>
                <w:sz w:val="18"/>
                <w:szCs w:val="18"/>
              </w:rPr>
            </w:pPr>
            <w:r>
              <w:rPr>
                <w:sz w:val="18"/>
              </w:rPr>
              <w:t>12.26</w:t>
            </w:r>
          </w:p>
        </w:tc>
        <w:tc>
          <w:tcPr>
            <w:tcW w:w="1554" w:type="dxa"/>
            <w:tcBorders>
              <w:top w:val="nil"/>
              <w:left w:val="nil"/>
              <w:bottom w:val="single" w:sz="4" w:space="0" w:color="002776"/>
              <w:right w:val="nil"/>
            </w:tcBorders>
            <w:noWrap/>
            <w:vAlign w:val="center"/>
          </w:tcPr>
          <w:p w14:paraId="5D259B38" w14:textId="77777777" w:rsidR="006D3AD5" w:rsidRPr="0073014D" w:rsidRDefault="006D3AD5" w:rsidP="00443B8F">
            <w:pPr>
              <w:keepNext/>
              <w:keepLines/>
              <w:jc w:val="right"/>
              <w:rPr>
                <w:sz w:val="18"/>
                <w:szCs w:val="18"/>
              </w:rPr>
            </w:pPr>
            <w:r>
              <w:rPr>
                <w:sz w:val="18"/>
              </w:rPr>
              <w:t>6.13</w:t>
            </w:r>
          </w:p>
        </w:tc>
        <w:tc>
          <w:tcPr>
            <w:tcW w:w="1724" w:type="dxa"/>
            <w:tcBorders>
              <w:top w:val="nil"/>
              <w:left w:val="nil"/>
              <w:bottom w:val="single" w:sz="4" w:space="0" w:color="002776"/>
              <w:right w:val="nil"/>
            </w:tcBorders>
            <w:noWrap/>
            <w:vAlign w:val="center"/>
          </w:tcPr>
          <w:p w14:paraId="06C0A144" w14:textId="77777777" w:rsidR="006D3AD5" w:rsidRPr="0073014D" w:rsidRDefault="006D3AD5" w:rsidP="00443B8F">
            <w:pPr>
              <w:keepNext/>
              <w:keepLines/>
              <w:jc w:val="right"/>
              <w:rPr>
                <w:sz w:val="18"/>
                <w:szCs w:val="18"/>
              </w:rPr>
            </w:pPr>
            <w:r>
              <w:rPr>
                <w:sz w:val="18"/>
              </w:rPr>
              <w:t>9.81</w:t>
            </w:r>
          </w:p>
        </w:tc>
        <w:tc>
          <w:tcPr>
            <w:tcW w:w="1702" w:type="dxa"/>
            <w:tcBorders>
              <w:top w:val="nil"/>
              <w:left w:val="nil"/>
              <w:bottom w:val="single" w:sz="4" w:space="0" w:color="002776"/>
              <w:right w:val="single" w:sz="4" w:space="0" w:color="002776"/>
            </w:tcBorders>
            <w:noWrap/>
            <w:vAlign w:val="center"/>
          </w:tcPr>
          <w:p w14:paraId="26F77317" w14:textId="77777777" w:rsidR="006D3AD5" w:rsidRPr="0073014D" w:rsidRDefault="006D3AD5" w:rsidP="00443B8F">
            <w:pPr>
              <w:keepNext/>
              <w:keepLines/>
              <w:jc w:val="right"/>
              <w:rPr>
                <w:sz w:val="18"/>
                <w:szCs w:val="18"/>
              </w:rPr>
            </w:pPr>
            <w:r>
              <w:rPr>
                <w:sz w:val="18"/>
              </w:rPr>
              <w:t>12.26</w:t>
            </w:r>
          </w:p>
        </w:tc>
      </w:tr>
      <w:tr w:rsidR="006D3AD5" w:rsidRPr="0073014D" w14:paraId="6F271913" w14:textId="77777777" w:rsidTr="00443B8F">
        <w:trPr>
          <w:trHeight w:val="20"/>
        </w:trPr>
        <w:tc>
          <w:tcPr>
            <w:tcW w:w="2380" w:type="dxa"/>
            <w:tcBorders>
              <w:top w:val="nil"/>
              <w:left w:val="single" w:sz="4" w:space="0" w:color="002776"/>
              <w:bottom w:val="single" w:sz="4" w:space="0" w:color="002776"/>
              <w:right w:val="nil"/>
            </w:tcBorders>
            <w:noWrap/>
            <w:vAlign w:val="center"/>
          </w:tcPr>
          <w:p w14:paraId="6BDDABDB" w14:textId="77777777" w:rsidR="006D3AD5" w:rsidRPr="0073014D" w:rsidRDefault="006D3AD5" w:rsidP="00443B8F">
            <w:pPr>
              <w:keepNext/>
              <w:keepLines/>
              <w:jc w:val="left"/>
              <w:rPr>
                <w:sz w:val="18"/>
                <w:szCs w:val="18"/>
              </w:rPr>
            </w:pPr>
            <w:r>
              <w:rPr>
                <w:sz w:val="18"/>
              </w:rPr>
              <w:t>Discounted payback period (years)</w:t>
            </w:r>
          </w:p>
        </w:tc>
        <w:tc>
          <w:tcPr>
            <w:tcW w:w="1554" w:type="dxa"/>
            <w:tcBorders>
              <w:top w:val="nil"/>
              <w:left w:val="nil"/>
              <w:bottom w:val="single" w:sz="4" w:space="0" w:color="002776"/>
              <w:right w:val="nil"/>
            </w:tcBorders>
            <w:noWrap/>
            <w:vAlign w:val="center"/>
          </w:tcPr>
          <w:p w14:paraId="3216F1F6" w14:textId="77777777" w:rsidR="006D3AD5" w:rsidRPr="0073014D" w:rsidRDefault="006D3AD5" w:rsidP="00443B8F">
            <w:pPr>
              <w:keepNext/>
              <w:keepLines/>
              <w:jc w:val="right"/>
              <w:rPr>
                <w:sz w:val="18"/>
                <w:szCs w:val="18"/>
              </w:rPr>
            </w:pPr>
            <w:r>
              <w:rPr>
                <w:sz w:val="18"/>
              </w:rPr>
              <w:t>18.1</w:t>
            </w:r>
          </w:p>
        </w:tc>
        <w:tc>
          <w:tcPr>
            <w:tcW w:w="1554" w:type="dxa"/>
            <w:tcBorders>
              <w:top w:val="nil"/>
              <w:left w:val="nil"/>
              <w:bottom w:val="single" w:sz="4" w:space="0" w:color="002776"/>
              <w:right w:val="nil"/>
            </w:tcBorders>
            <w:noWrap/>
            <w:vAlign w:val="center"/>
          </w:tcPr>
          <w:p w14:paraId="354D3885" w14:textId="77777777" w:rsidR="006D3AD5" w:rsidRPr="0073014D" w:rsidRDefault="006D3AD5" w:rsidP="00443B8F">
            <w:pPr>
              <w:keepNext/>
              <w:keepLines/>
              <w:jc w:val="right"/>
              <w:rPr>
                <w:sz w:val="18"/>
                <w:szCs w:val="18"/>
              </w:rPr>
            </w:pPr>
            <w:r>
              <w:rPr>
                <w:sz w:val="18"/>
              </w:rPr>
              <w:t>8.1</w:t>
            </w:r>
          </w:p>
        </w:tc>
        <w:tc>
          <w:tcPr>
            <w:tcW w:w="1724" w:type="dxa"/>
            <w:tcBorders>
              <w:top w:val="nil"/>
              <w:left w:val="nil"/>
              <w:bottom w:val="single" w:sz="4" w:space="0" w:color="002776"/>
              <w:right w:val="nil"/>
            </w:tcBorders>
            <w:noWrap/>
            <w:vAlign w:val="center"/>
          </w:tcPr>
          <w:p w14:paraId="6E7E0B19" w14:textId="77777777" w:rsidR="006D3AD5" w:rsidRPr="0073014D" w:rsidRDefault="006D3AD5" w:rsidP="00443B8F">
            <w:pPr>
              <w:keepNext/>
              <w:keepLines/>
              <w:jc w:val="right"/>
              <w:rPr>
                <w:sz w:val="18"/>
                <w:szCs w:val="18"/>
              </w:rPr>
            </w:pPr>
            <w:r>
              <w:rPr>
                <w:sz w:val="18"/>
              </w:rPr>
              <w:t>11.4</w:t>
            </w:r>
          </w:p>
        </w:tc>
        <w:tc>
          <w:tcPr>
            <w:tcW w:w="1702" w:type="dxa"/>
            <w:tcBorders>
              <w:top w:val="nil"/>
              <w:left w:val="nil"/>
              <w:bottom w:val="single" w:sz="4" w:space="0" w:color="002776"/>
              <w:right w:val="single" w:sz="4" w:space="0" w:color="002776"/>
            </w:tcBorders>
            <w:noWrap/>
            <w:vAlign w:val="center"/>
          </w:tcPr>
          <w:p w14:paraId="747CB48A" w14:textId="77777777" w:rsidR="006D3AD5" w:rsidRPr="0073014D" w:rsidRDefault="006D3AD5" w:rsidP="00443B8F">
            <w:pPr>
              <w:keepNext/>
              <w:keepLines/>
              <w:jc w:val="right"/>
              <w:rPr>
                <w:sz w:val="18"/>
                <w:szCs w:val="18"/>
              </w:rPr>
            </w:pPr>
            <w:r>
              <w:rPr>
                <w:sz w:val="18"/>
              </w:rPr>
              <w:t>14.1</w:t>
            </w:r>
          </w:p>
        </w:tc>
      </w:tr>
    </w:tbl>
    <w:p w14:paraId="49F9F359" w14:textId="4295F921" w:rsidR="006D3AD5" w:rsidRPr="0073014D" w:rsidRDefault="006D3AD5" w:rsidP="00685AEF">
      <w:pPr>
        <w:pStyle w:val="Titulek"/>
      </w:pPr>
      <w:r>
        <w:t xml:space="preserve">Table </w:t>
      </w:r>
      <w:r w:rsidR="00A9664A">
        <w:t>85</w:t>
      </w:r>
      <w:r>
        <w:t>: Influence of support on project economy</w:t>
      </w:r>
    </w:p>
    <w:p w14:paraId="14F98A81" w14:textId="77777777" w:rsidR="006D3AD5" w:rsidRPr="0073014D" w:rsidRDefault="006D3AD5" w:rsidP="006D3AD5"/>
    <w:p w14:paraId="4443434A" w14:textId="77777777" w:rsidR="006D3AD5" w:rsidRPr="0073014D" w:rsidRDefault="006D3AD5" w:rsidP="006D3AD5">
      <w:r>
        <w:t>Very long payback period, low IRR and the size of costs indicate fitness of the support in the form of subsidy.</w:t>
      </w:r>
    </w:p>
    <w:p w14:paraId="63795236" w14:textId="77777777" w:rsidR="006D3AD5" w:rsidRPr="0073014D" w:rsidRDefault="006D3AD5" w:rsidP="006D3AD5"/>
    <w:p w14:paraId="4053C3C6" w14:textId="77777777" w:rsidR="006D3AD5" w:rsidRPr="0073014D" w:rsidRDefault="006D3AD5" w:rsidP="006D3AD5">
      <w:r>
        <w:t>Standard project No. 2 represents the investment in the installation of a co-generation unit for natural gas with the capacity of 1.6MWe instead of the existing gas furnace. The unit will supply heat to the central heat resource and electricity to the line. The applicant is a large enterprise from the energy branch. The project was supported in OPEI.</w:t>
      </w:r>
    </w:p>
    <w:p w14:paraId="688A5AD2" w14:textId="77777777" w:rsidR="006D3AD5" w:rsidRPr="0073014D" w:rsidRDefault="006D3AD5" w:rsidP="006D3AD5">
      <w:pPr>
        <w:pStyle w:val="Nadpis4"/>
        <w:rPr>
          <w:rFonts w:ascii="Calibri" w:hAnsi="Calibri"/>
          <w:color w:val="000000"/>
        </w:rPr>
      </w:pPr>
      <w:r>
        <w:rPr>
          <w:rFonts w:ascii="Calibri" w:hAnsi="Calibri"/>
          <w:color w:val="000000"/>
        </w:rPr>
        <w:t>The added value of the financial instrument, problems, risks and comparison with other forms of support</w:t>
      </w:r>
    </w:p>
    <w:p w14:paraId="1ECB069A" w14:textId="77777777" w:rsidR="006D3AD5" w:rsidRPr="0073014D" w:rsidRDefault="006D3AD5" w:rsidP="006D3AD5"/>
    <w:p w14:paraId="6DC91364" w14:textId="1F47E6E2" w:rsidR="006D3AD5" w:rsidRPr="0073014D" w:rsidRDefault="006D3AD5" w:rsidP="006D3AD5">
      <w:r>
        <w:t xml:space="preserve">The tables below show an overview of the added value, problems, risks from the view of a </w:t>
      </w:r>
      <w:r w:rsidR="00CF3F95">
        <w:t>final recipient</w:t>
      </w:r>
      <w:r>
        <w:t xml:space="preserve"> and SB (Table No. 2) and from the view of a total impact on absorption capacity and achievement of goals of </w:t>
      </w:r>
      <w:r w:rsidR="00685AEF">
        <w:t xml:space="preserve">SO </w:t>
      </w:r>
      <w:r>
        <w:t>3.2, taking impacts on the market environment into account. The instruments in the form of guarantees, soft loans and subsidies are compared</w:t>
      </w:r>
    </w:p>
    <w:p w14:paraId="55F9CE2D" w14:textId="77777777" w:rsidR="006D3AD5" w:rsidRPr="0073014D" w:rsidRDefault="006D3AD5" w:rsidP="006D3AD5"/>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60"/>
        <w:gridCol w:w="960"/>
        <w:gridCol w:w="2414"/>
        <w:gridCol w:w="2330"/>
        <w:gridCol w:w="2330"/>
      </w:tblGrid>
      <w:tr w:rsidR="006D3AD5" w:rsidRPr="0073014D" w14:paraId="77345FF6" w14:textId="77777777" w:rsidTr="00443B8F">
        <w:trPr>
          <w:trHeight w:val="315"/>
        </w:trPr>
        <w:tc>
          <w:tcPr>
            <w:tcW w:w="960" w:type="dxa"/>
            <w:shd w:val="clear" w:color="auto" w:fill="365F91"/>
            <w:noWrap/>
            <w:vAlign w:val="bottom"/>
          </w:tcPr>
          <w:p w14:paraId="6B676F15" w14:textId="77777777" w:rsidR="006D3AD5" w:rsidRPr="0073014D" w:rsidRDefault="006D3AD5" w:rsidP="00443B8F">
            <w:pPr>
              <w:jc w:val="left"/>
              <w:rPr>
                <w:sz w:val="24"/>
                <w:szCs w:val="24"/>
              </w:rPr>
            </w:pPr>
          </w:p>
        </w:tc>
        <w:tc>
          <w:tcPr>
            <w:tcW w:w="960" w:type="dxa"/>
            <w:shd w:val="clear" w:color="auto" w:fill="365F91"/>
            <w:noWrap/>
            <w:vAlign w:val="bottom"/>
          </w:tcPr>
          <w:p w14:paraId="7A1D778E" w14:textId="77777777" w:rsidR="006D3AD5" w:rsidRPr="0073014D" w:rsidRDefault="006D3AD5" w:rsidP="00443B8F">
            <w:pPr>
              <w:jc w:val="left"/>
              <w:rPr>
                <w:sz w:val="24"/>
                <w:szCs w:val="24"/>
              </w:rPr>
            </w:pPr>
            <w:r>
              <w:rPr>
                <w:sz w:val="24"/>
              </w:rPr>
              <w:t> </w:t>
            </w:r>
          </w:p>
        </w:tc>
        <w:tc>
          <w:tcPr>
            <w:tcW w:w="4744" w:type="dxa"/>
            <w:gridSpan w:val="2"/>
            <w:shd w:val="clear" w:color="auto" w:fill="365F91"/>
            <w:noWrap/>
            <w:vAlign w:val="center"/>
          </w:tcPr>
          <w:p w14:paraId="57807766"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Financial instrument</w:t>
            </w:r>
          </w:p>
        </w:tc>
        <w:tc>
          <w:tcPr>
            <w:tcW w:w="2330" w:type="dxa"/>
            <w:shd w:val="clear" w:color="auto" w:fill="365F91"/>
          </w:tcPr>
          <w:p w14:paraId="767164C9"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Subsidy</w:t>
            </w:r>
          </w:p>
        </w:tc>
      </w:tr>
      <w:tr w:rsidR="006D3AD5" w:rsidRPr="0073014D" w14:paraId="3DC60E4D" w14:textId="77777777" w:rsidTr="00443B8F">
        <w:trPr>
          <w:trHeight w:val="315"/>
        </w:trPr>
        <w:tc>
          <w:tcPr>
            <w:tcW w:w="960" w:type="dxa"/>
            <w:shd w:val="clear" w:color="auto" w:fill="365F91"/>
            <w:noWrap/>
            <w:vAlign w:val="center"/>
          </w:tcPr>
          <w:p w14:paraId="2F5264C4" w14:textId="77777777" w:rsidR="006D3AD5" w:rsidRPr="0073014D" w:rsidRDefault="006D3AD5" w:rsidP="00443B8F">
            <w:pPr>
              <w:jc w:val="center"/>
              <w:rPr>
                <w:b/>
                <w:bCs/>
                <w:sz w:val="24"/>
                <w:szCs w:val="24"/>
              </w:rPr>
            </w:pPr>
          </w:p>
        </w:tc>
        <w:tc>
          <w:tcPr>
            <w:tcW w:w="960" w:type="dxa"/>
            <w:shd w:val="clear" w:color="auto" w:fill="365F91"/>
            <w:noWrap/>
            <w:vAlign w:val="center"/>
          </w:tcPr>
          <w:p w14:paraId="06F08B8C" w14:textId="77777777" w:rsidR="006D3AD5" w:rsidRPr="0073014D" w:rsidRDefault="006D3AD5" w:rsidP="00443B8F">
            <w:pPr>
              <w:jc w:val="left"/>
              <w:rPr>
                <w:sz w:val="24"/>
                <w:szCs w:val="24"/>
              </w:rPr>
            </w:pPr>
            <w:r>
              <w:rPr>
                <w:sz w:val="24"/>
              </w:rPr>
              <w:t> </w:t>
            </w:r>
          </w:p>
        </w:tc>
        <w:tc>
          <w:tcPr>
            <w:tcW w:w="2414" w:type="dxa"/>
            <w:shd w:val="clear" w:color="auto" w:fill="365F91"/>
            <w:vAlign w:val="center"/>
          </w:tcPr>
          <w:p w14:paraId="55263341"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Guarantee instrument</w:t>
            </w:r>
          </w:p>
        </w:tc>
        <w:tc>
          <w:tcPr>
            <w:tcW w:w="2330" w:type="dxa"/>
            <w:shd w:val="clear" w:color="auto" w:fill="365F91"/>
            <w:vAlign w:val="center"/>
          </w:tcPr>
          <w:p w14:paraId="358923B3"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Soft loan</w:t>
            </w:r>
          </w:p>
        </w:tc>
        <w:tc>
          <w:tcPr>
            <w:tcW w:w="2330" w:type="dxa"/>
            <w:shd w:val="clear" w:color="auto" w:fill="365F91"/>
          </w:tcPr>
          <w:p w14:paraId="692B50C2" w14:textId="77777777" w:rsidR="006D3AD5" w:rsidRPr="00685AEF" w:rsidRDefault="006D3AD5" w:rsidP="00443B8F">
            <w:pPr>
              <w:jc w:val="center"/>
              <w:rPr>
                <w:b/>
                <w:bCs/>
                <w:color w:val="FFFFFF" w:themeColor="background1"/>
                <w:sz w:val="24"/>
                <w:szCs w:val="24"/>
              </w:rPr>
            </w:pPr>
          </w:p>
        </w:tc>
      </w:tr>
      <w:tr w:rsidR="006D3AD5" w:rsidRPr="0073014D" w14:paraId="19FFF16E" w14:textId="77777777" w:rsidTr="00443B8F">
        <w:trPr>
          <w:trHeight w:val="720"/>
        </w:trPr>
        <w:tc>
          <w:tcPr>
            <w:tcW w:w="960" w:type="dxa"/>
            <w:vMerge w:val="restart"/>
            <w:shd w:val="clear" w:color="auto" w:fill="8DB3E2"/>
            <w:noWrap/>
            <w:textDirection w:val="btLr"/>
            <w:vAlign w:val="center"/>
          </w:tcPr>
          <w:p w14:paraId="721F620F" w14:textId="4F092A45" w:rsidR="006D3AD5" w:rsidRPr="00685AEF" w:rsidRDefault="00CF3F95" w:rsidP="00443B8F">
            <w:pPr>
              <w:jc w:val="center"/>
              <w:rPr>
                <w:b/>
                <w:bCs/>
                <w:color w:val="FFFFFF" w:themeColor="background1"/>
                <w:sz w:val="24"/>
                <w:szCs w:val="24"/>
              </w:rPr>
            </w:pPr>
            <w:r>
              <w:rPr>
                <w:b/>
                <w:color w:val="FFFFFF" w:themeColor="background1"/>
                <w:sz w:val="24"/>
              </w:rPr>
              <w:t xml:space="preserve">Added value of public support for final recipient </w:t>
            </w:r>
            <w:r w:rsidR="006D3AD5" w:rsidRPr="00685AEF">
              <w:rPr>
                <w:b/>
                <w:color w:val="FFFFFF" w:themeColor="background1"/>
                <w:sz w:val="24"/>
              </w:rPr>
              <w:t>and SB</w:t>
            </w:r>
          </w:p>
        </w:tc>
        <w:tc>
          <w:tcPr>
            <w:tcW w:w="960" w:type="dxa"/>
            <w:vMerge w:val="restart"/>
            <w:shd w:val="clear" w:color="auto" w:fill="8DB3E2"/>
            <w:noWrap/>
            <w:textDirection w:val="btLr"/>
            <w:vAlign w:val="center"/>
          </w:tcPr>
          <w:p w14:paraId="3901BB3B" w14:textId="251CC830" w:rsidR="006D3AD5" w:rsidRPr="00685AEF" w:rsidRDefault="00CF3F95" w:rsidP="00443B8F">
            <w:pPr>
              <w:jc w:val="center"/>
              <w:rPr>
                <w:b/>
                <w:bCs/>
                <w:color w:val="FFFFFF" w:themeColor="background1"/>
                <w:sz w:val="24"/>
                <w:szCs w:val="24"/>
              </w:rPr>
            </w:pPr>
            <w:r>
              <w:rPr>
                <w:b/>
                <w:color w:val="FFFFFF" w:themeColor="background1"/>
                <w:sz w:val="24"/>
              </w:rPr>
              <w:t>Final recipient</w:t>
            </w:r>
          </w:p>
        </w:tc>
        <w:tc>
          <w:tcPr>
            <w:tcW w:w="2414" w:type="dxa"/>
            <w:shd w:val="clear" w:color="auto" w:fill="8DB3E2"/>
            <w:vAlign w:val="center"/>
          </w:tcPr>
          <w:p w14:paraId="1278A1ED" w14:textId="77777777" w:rsidR="006D3AD5" w:rsidRPr="00685AEF" w:rsidRDefault="006D3AD5" w:rsidP="00443B8F">
            <w:pPr>
              <w:jc w:val="center"/>
              <w:rPr>
                <w:b/>
                <w:color w:val="FFFFFF" w:themeColor="background1"/>
                <w:sz w:val="20"/>
              </w:rPr>
            </w:pPr>
            <w:r w:rsidRPr="00685AEF">
              <w:rPr>
                <w:b/>
                <w:color w:val="FFFFFF" w:themeColor="background1"/>
                <w:sz w:val="20"/>
              </w:rPr>
              <w:t>Making unaffordable funding available</w:t>
            </w:r>
          </w:p>
        </w:tc>
        <w:tc>
          <w:tcPr>
            <w:tcW w:w="2330" w:type="dxa"/>
            <w:shd w:val="clear" w:color="auto" w:fill="8DB3E2"/>
            <w:vAlign w:val="center"/>
          </w:tcPr>
          <w:p w14:paraId="38E8AC42" w14:textId="77777777" w:rsidR="006D3AD5" w:rsidRPr="00685AEF" w:rsidRDefault="006D3AD5" w:rsidP="00443B8F">
            <w:pPr>
              <w:jc w:val="center"/>
              <w:rPr>
                <w:b/>
                <w:color w:val="FFFFFF" w:themeColor="background1"/>
                <w:sz w:val="20"/>
              </w:rPr>
            </w:pPr>
            <w:r w:rsidRPr="00685AEF">
              <w:rPr>
                <w:b/>
                <w:color w:val="FFFFFF" w:themeColor="background1"/>
                <w:sz w:val="20"/>
              </w:rPr>
              <w:t>Making higher rate of external funding available</w:t>
            </w:r>
          </w:p>
        </w:tc>
        <w:tc>
          <w:tcPr>
            <w:tcW w:w="2330" w:type="dxa"/>
            <w:shd w:val="clear" w:color="auto" w:fill="8DB3E2"/>
          </w:tcPr>
          <w:p w14:paraId="51252B6E" w14:textId="77777777" w:rsidR="006D3AD5" w:rsidRPr="00685AEF" w:rsidRDefault="006D3AD5" w:rsidP="00443B8F">
            <w:pPr>
              <w:jc w:val="center"/>
              <w:rPr>
                <w:b/>
                <w:color w:val="FFFFFF" w:themeColor="background1"/>
                <w:sz w:val="20"/>
              </w:rPr>
            </w:pPr>
            <w:r w:rsidRPr="00685AEF">
              <w:rPr>
                <w:b/>
                <w:color w:val="FFFFFF" w:themeColor="background1"/>
                <w:sz w:val="20"/>
              </w:rPr>
              <w:t>Non-refundable contribution to project</w:t>
            </w:r>
          </w:p>
        </w:tc>
      </w:tr>
      <w:tr w:rsidR="006D3AD5" w:rsidRPr="0073014D" w14:paraId="02DA2336" w14:textId="77777777" w:rsidTr="00443B8F">
        <w:trPr>
          <w:trHeight w:val="480"/>
        </w:trPr>
        <w:tc>
          <w:tcPr>
            <w:tcW w:w="960" w:type="dxa"/>
            <w:vMerge/>
            <w:shd w:val="clear" w:color="auto" w:fill="8DB3E2"/>
            <w:vAlign w:val="center"/>
          </w:tcPr>
          <w:p w14:paraId="0ADDD3F8"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7B197DBF"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1BFA127B" w14:textId="77777777" w:rsidR="006D3AD5" w:rsidRPr="00685AEF" w:rsidRDefault="006D3AD5" w:rsidP="00443B8F">
            <w:pPr>
              <w:jc w:val="center"/>
              <w:rPr>
                <w:b/>
                <w:color w:val="FFFFFF" w:themeColor="background1"/>
                <w:sz w:val="20"/>
              </w:rPr>
            </w:pPr>
            <w:r w:rsidRPr="00685AEF">
              <w:rPr>
                <w:b/>
                <w:color w:val="FFFFFF" w:themeColor="background1"/>
                <w:sz w:val="20"/>
              </w:rPr>
              <w:t>Partial decrease in interest rate by decrease in risk surcharge</w:t>
            </w:r>
          </w:p>
        </w:tc>
        <w:tc>
          <w:tcPr>
            <w:tcW w:w="2330" w:type="dxa"/>
            <w:shd w:val="clear" w:color="auto" w:fill="8DB3E2"/>
            <w:vAlign w:val="center"/>
          </w:tcPr>
          <w:p w14:paraId="63A3C988" w14:textId="77777777" w:rsidR="006D3AD5" w:rsidRPr="00685AEF" w:rsidRDefault="006D3AD5" w:rsidP="00443B8F">
            <w:pPr>
              <w:jc w:val="center"/>
              <w:rPr>
                <w:b/>
                <w:color w:val="FFFFFF" w:themeColor="background1"/>
                <w:sz w:val="20"/>
              </w:rPr>
            </w:pPr>
            <w:r w:rsidRPr="00685AEF">
              <w:rPr>
                <w:b/>
                <w:color w:val="FFFFFF" w:themeColor="background1"/>
                <w:sz w:val="20"/>
              </w:rPr>
              <w:t>Decrease in interest rate</w:t>
            </w:r>
          </w:p>
        </w:tc>
        <w:tc>
          <w:tcPr>
            <w:tcW w:w="2330" w:type="dxa"/>
            <w:shd w:val="clear" w:color="auto" w:fill="8DB3E2"/>
          </w:tcPr>
          <w:p w14:paraId="1D773FE0" w14:textId="77777777" w:rsidR="006D3AD5" w:rsidRPr="00685AEF" w:rsidRDefault="006D3AD5" w:rsidP="00443B8F">
            <w:pPr>
              <w:jc w:val="center"/>
              <w:rPr>
                <w:b/>
                <w:color w:val="FFFFFF" w:themeColor="background1"/>
                <w:sz w:val="20"/>
              </w:rPr>
            </w:pPr>
            <w:r w:rsidRPr="00685AEF">
              <w:rPr>
                <w:b/>
                <w:color w:val="FFFFFF" w:themeColor="background1"/>
                <w:sz w:val="20"/>
              </w:rPr>
              <w:t xml:space="preserve">Highly decreased return period </w:t>
            </w:r>
          </w:p>
        </w:tc>
      </w:tr>
      <w:tr w:rsidR="006D3AD5" w:rsidRPr="0073014D" w14:paraId="39C4295D" w14:textId="77777777" w:rsidTr="00443B8F">
        <w:trPr>
          <w:trHeight w:val="720"/>
        </w:trPr>
        <w:tc>
          <w:tcPr>
            <w:tcW w:w="960" w:type="dxa"/>
            <w:vMerge/>
            <w:shd w:val="clear" w:color="auto" w:fill="8DB3E2"/>
            <w:vAlign w:val="center"/>
          </w:tcPr>
          <w:p w14:paraId="05856FE4"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6B2223D1"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17C4FD48" w14:textId="77777777" w:rsidR="006D3AD5" w:rsidRPr="00685AEF" w:rsidRDefault="006D3AD5" w:rsidP="00443B8F">
            <w:pPr>
              <w:jc w:val="center"/>
              <w:rPr>
                <w:b/>
                <w:color w:val="FFFFFF" w:themeColor="background1"/>
                <w:sz w:val="20"/>
              </w:rPr>
            </w:pPr>
            <w:r w:rsidRPr="00685AEF">
              <w:rPr>
                <w:b/>
                <w:color w:val="FFFFFF" w:themeColor="background1"/>
                <w:sz w:val="20"/>
              </w:rPr>
              <w:t>Decreased claims for pledging enterprise</w:t>
            </w:r>
          </w:p>
        </w:tc>
        <w:tc>
          <w:tcPr>
            <w:tcW w:w="2330" w:type="dxa"/>
            <w:shd w:val="clear" w:color="auto" w:fill="8DB3E2"/>
            <w:vAlign w:val="center"/>
          </w:tcPr>
          <w:p w14:paraId="7B358127" w14:textId="77777777" w:rsidR="006D3AD5" w:rsidRPr="00685AEF" w:rsidRDefault="006D3AD5" w:rsidP="00443B8F">
            <w:pPr>
              <w:jc w:val="center"/>
              <w:rPr>
                <w:b/>
                <w:color w:val="FFFFFF" w:themeColor="background1"/>
                <w:sz w:val="20"/>
              </w:rPr>
            </w:pPr>
            <w:r w:rsidRPr="00685AEF">
              <w:rPr>
                <w:b/>
                <w:color w:val="FFFFFF" w:themeColor="background1"/>
                <w:sz w:val="20"/>
              </w:rPr>
              <w:t>Longer maturity period</w:t>
            </w:r>
          </w:p>
        </w:tc>
        <w:tc>
          <w:tcPr>
            <w:tcW w:w="2330" w:type="dxa"/>
            <w:shd w:val="clear" w:color="auto" w:fill="8DB3E2"/>
          </w:tcPr>
          <w:p w14:paraId="4EA8B8BE" w14:textId="77777777" w:rsidR="006D3AD5" w:rsidRPr="00685AEF" w:rsidRDefault="006D3AD5" w:rsidP="00443B8F">
            <w:pPr>
              <w:jc w:val="center"/>
              <w:rPr>
                <w:b/>
                <w:color w:val="FFFFFF" w:themeColor="background1"/>
                <w:sz w:val="20"/>
              </w:rPr>
            </w:pPr>
            <w:r w:rsidRPr="00685AEF">
              <w:rPr>
                <w:b/>
                <w:color w:val="FFFFFF" w:themeColor="background1"/>
                <w:sz w:val="20"/>
              </w:rPr>
              <w:t>Easier measures of loan for rest of project costs</w:t>
            </w:r>
          </w:p>
        </w:tc>
      </w:tr>
      <w:tr w:rsidR="006D3AD5" w:rsidRPr="0073014D" w14:paraId="7600C4BC" w14:textId="77777777" w:rsidTr="00443B8F">
        <w:trPr>
          <w:trHeight w:val="478"/>
        </w:trPr>
        <w:tc>
          <w:tcPr>
            <w:tcW w:w="960" w:type="dxa"/>
            <w:vMerge/>
            <w:shd w:val="clear" w:color="auto" w:fill="8DB3E2"/>
            <w:vAlign w:val="center"/>
          </w:tcPr>
          <w:p w14:paraId="3573B48B"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32E21795" w14:textId="77777777" w:rsidR="006D3AD5" w:rsidRPr="00685AEF" w:rsidRDefault="006D3AD5" w:rsidP="00443B8F">
            <w:pPr>
              <w:jc w:val="left"/>
              <w:rPr>
                <w:b/>
                <w:bCs/>
                <w:color w:val="FFFFFF" w:themeColor="background1"/>
                <w:sz w:val="24"/>
                <w:szCs w:val="24"/>
              </w:rPr>
            </w:pPr>
          </w:p>
        </w:tc>
        <w:tc>
          <w:tcPr>
            <w:tcW w:w="2414" w:type="dxa"/>
            <w:shd w:val="clear" w:color="auto" w:fill="8DB3E2"/>
            <w:noWrap/>
            <w:vAlign w:val="center"/>
          </w:tcPr>
          <w:p w14:paraId="26AF75DD" w14:textId="77777777" w:rsidR="006D3AD5" w:rsidRPr="00685AEF" w:rsidRDefault="006D3AD5" w:rsidP="00443B8F">
            <w:pPr>
              <w:jc w:val="center"/>
              <w:rPr>
                <w:b/>
                <w:color w:val="FFFFFF" w:themeColor="background1"/>
                <w:sz w:val="20"/>
              </w:rPr>
            </w:pPr>
          </w:p>
        </w:tc>
        <w:tc>
          <w:tcPr>
            <w:tcW w:w="2330" w:type="dxa"/>
            <w:shd w:val="clear" w:color="auto" w:fill="8DB3E2"/>
            <w:vAlign w:val="center"/>
          </w:tcPr>
          <w:p w14:paraId="344964BF" w14:textId="77777777" w:rsidR="006D3AD5" w:rsidRPr="00685AEF" w:rsidRDefault="006D3AD5" w:rsidP="00443B8F">
            <w:pPr>
              <w:jc w:val="center"/>
              <w:rPr>
                <w:b/>
                <w:color w:val="FFFFFF" w:themeColor="background1"/>
                <w:sz w:val="20"/>
              </w:rPr>
            </w:pPr>
            <w:r w:rsidRPr="00685AEF">
              <w:rPr>
                <w:b/>
                <w:color w:val="FFFFFF" w:themeColor="background1"/>
                <w:sz w:val="20"/>
              </w:rPr>
              <w:t>Decreased return period</w:t>
            </w:r>
          </w:p>
        </w:tc>
        <w:tc>
          <w:tcPr>
            <w:tcW w:w="2330" w:type="dxa"/>
            <w:shd w:val="clear" w:color="auto" w:fill="8DB3E2"/>
          </w:tcPr>
          <w:p w14:paraId="7EAAB578" w14:textId="77777777" w:rsidR="006D3AD5" w:rsidRPr="00685AEF" w:rsidRDefault="006D3AD5" w:rsidP="00443B8F">
            <w:pPr>
              <w:jc w:val="center"/>
              <w:rPr>
                <w:b/>
                <w:color w:val="FFFFFF" w:themeColor="background1"/>
                <w:sz w:val="20"/>
              </w:rPr>
            </w:pPr>
            <w:r w:rsidRPr="00685AEF">
              <w:rPr>
                <w:b/>
                <w:color w:val="FFFFFF" w:themeColor="background1"/>
                <w:sz w:val="20"/>
              </w:rPr>
              <w:t>Option to invest excessive profit to other investments</w:t>
            </w:r>
          </w:p>
        </w:tc>
      </w:tr>
      <w:tr w:rsidR="006D3AD5" w:rsidRPr="0073014D" w14:paraId="36E5E2D1" w14:textId="77777777" w:rsidTr="00443B8F">
        <w:trPr>
          <w:trHeight w:val="680"/>
        </w:trPr>
        <w:tc>
          <w:tcPr>
            <w:tcW w:w="960" w:type="dxa"/>
            <w:vMerge/>
            <w:shd w:val="clear" w:color="auto" w:fill="8DB3E2"/>
            <w:vAlign w:val="center"/>
          </w:tcPr>
          <w:p w14:paraId="16886227"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092A1D68"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2FB6CAD7" w14:textId="77777777" w:rsidR="006D3AD5" w:rsidRPr="00685AEF" w:rsidRDefault="006D3AD5" w:rsidP="00443B8F">
            <w:pPr>
              <w:jc w:val="center"/>
              <w:rPr>
                <w:b/>
                <w:color w:val="FFFFFF" w:themeColor="background1"/>
                <w:sz w:val="20"/>
              </w:rPr>
            </w:pPr>
            <w:r w:rsidRPr="00685AEF">
              <w:rPr>
                <w:b/>
                <w:color w:val="FFFFFF" w:themeColor="background1"/>
                <w:sz w:val="20"/>
              </w:rPr>
              <w:t>Advance payment in form of loan</w:t>
            </w:r>
          </w:p>
        </w:tc>
        <w:tc>
          <w:tcPr>
            <w:tcW w:w="2330" w:type="dxa"/>
            <w:shd w:val="clear" w:color="auto" w:fill="8DB3E2"/>
            <w:vAlign w:val="center"/>
          </w:tcPr>
          <w:p w14:paraId="12906C74" w14:textId="77777777" w:rsidR="006D3AD5" w:rsidRPr="00685AEF" w:rsidRDefault="006D3AD5" w:rsidP="00443B8F">
            <w:pPr>
              <w:jc w:val="center"/>
              <w:rPr>
                <w:b/>
                <w:color w:val="FFFFFF" w:themeColor="background1"/>
                <w:sz w:val="20"/>
              </w:rPr>
            </w:pPr>
            <w:r w:rsidRPr="00685AEF">
              <w:rPr>
                <w:b/>
                <w:color w:val="FFFFFF" w:themeColor="background1"/>
                <w:sz w:val="20"/>
              </w:rPr>
              <w:t>Advance payment in form of loan</w:t>
            </w:r>
          </w:p>
        </w:tc>
        <w:tc>
          <w:tcPr>
            <w:tcW w:w="2330" w:type="dxa"/>
            <w:shd w:val="clear" w:color="auto" w:fill="8DB3E2"/>
          </w:tcPr>
          <w:p w14:paraId="499D6985" w14:textId="77777777" w:rsidR="006D3AD5" w:rsidRPr="00685AEF" w:rsidRDefault="006D3AD5" w:rsidP="00443B8F">
            <w:pPr>
              <w:jc w:val="center"/>
              <w:rPr>
                <w:b/>
                <w:color w:val="FFFFFF" w:themeColor="background1"/>
                <w:sz w:val="20"/>
              </w:rPr>
            </w:pPr>
          </w:p>
        </w:tc>
      </w:tr>
      <w:tr w:rsidR="006D3AD5" w:rsidRPr="0073014D" w14:paraId="721CEF9E" w14:textId="77777777" w:rsidTr="00443B8F">
        <w:trPr>
          <w:trHeight w:val="690"/>
        </w:trPr>
        <w:tc>
          <w:tcPr>
            <w:tcW w:w="960" w:type="dxa"/>
            <w:vMerge/>
            <w:shd w:val="clear" w:color="auto" w:fill="8DB3E2"/>
            <w:vAlign w:val="center"/>
          </w:tcPr>
          <w:p w14:paraId="2C3B3B0D" w14:textId="77777777" w:rsidR="006D3AD5" w:rsidRPr="00685AEF" w:rsidRDefault="006D3AD5" w:rsidP="00443B8F">
            <w:pPr>
              <w:jc w:val="left"/>
              <w:rPr>
                <w:b/>
                <w:bCs/>
                <w:color w:val="FFFFFF" w:themeColor="background1"/>
                <w:sz w:val="24"/>
                <w:szCs w:val="24"/>
              </w:rPr>
            </w:pPr>
          </w:p>
        </w:tc>
        <w:tc>
          <w:tcPr>
            <w:tcW w:w="960" w:type="dxa"/>
            <w:vMerge/>
            <w:shd w:val="clear" w:color="auto" w:fill="8DB3E2"/>
            <w:vAlign w:val="center"/>
          </w:tcPr>
          <w:p w14:paraId="7755345E" w14:textId="77777777" w:rsidR="006D3AD5" w:rsidRPr="00685AEF" w:rsidRDefault="006D3AD5" w:rsidP="00443B8F">
            <w:pPr>
              <w:jc w:val="left"/>
              <w:rPr>
                <w:b/>
                <w:bCs/>
                <w:color w:val="FFFFFF" w:themeColor="background1"/>
                <w:sz w:val="24"/>
                <w:szCs w:val="24"/>
              </w:rPr>
            </w:pPr>
          </w:p>
        </w:tc>
        <w:tc>
          <w:tcPr>
            <w:tcW w:w="2414" w:type="dxa"/>
            <w:shd w:val="clear" w:color="auto" w:fill="8DB3E2"/>
            <w:vAlign w:val="center"/>
          </w:tcPr>
          <w:p w14:paraId="1AC6E167" w14:textId="77777777" w:rsidR="006D3AD5" w:rsidRPr="00685AEF" w:rsidRDefault="006D3AD5" w:rsidP="00443B8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vAlign w:val="center"/>
          </w:tcPr>
          <w:p w14:paraId="5AC1EB95" w14:textId="77777777" w:rsidR="006D3AD5" w:rsidRPr="00685AEF" w:rsidRDefault="006D3AD5" w:rsidP="00443B8F">
            <w:pPr>
              <w:jc w:val="center"/>
              <w:rPr>
                <w:b/>
                <w:color w:val="FFFFFF" w:themeColor="background1"/>
                <w:sz w:val="20"/>
              </w:rPr>
            </w:pPr>
            <w:r w:rsidRPr="00685AEF">
              <w:rPr>
                <w:b/>
                <w:color w:val="FFFFFF" w:themeColor="background1"/>
                <w:sz w:val="20"/>
              </w:rPr>
              <w:t>Lower administrative intensity</w:t>
            </w:r>
          </w:p>
        </w:tc>
        <w:tc>
          <w:tcPr>
            <w:tcW w:w="2330" w:type="dxa"/>
            <w:shd w:val="clear" w:color="auto" w:fill="8DB3E2"/>
          </w:tcPr>
          <w:p w14:paraId="5C7791B0" w14:textId="77777777" w:rsidR="006D3AD5" w:rsidRPr="00685AEF" w:rsidRDefault="006D3AD5" w:rsidP="00443B8F">
            <w:pPr>
              <w:jc w:val="left"/>
              <w:rPr>
                <w:b/>
                <w:color w:val="FFFFFF" w:themeColor="background1"/>
                <w:sz w:val="20"/>
              </w:rPr>
            </w:pPr>
          </w:p>
        </w:tc>
      </w:tr>
      <w:tr w:rsidR="006D3AD5" w:rsidRPr="0073014D" w14:paraId="011AD3E9" w14:textId="77777777" w:rsidTr="00443B8F">
        <w:trPr>
          <w:trHeight w:val="735"/>
        </w:trPr>
        <w:tc>
          <w:tcPr>
            <w:tcW w:w="960" w:type="dxa"/>
            <w:vMerge/>
            <w:shd w:val="clear" w:color="auto" w:fill="8DB3E2"/>
            <w:vAlign w:val="center"/>
          </w:tcPr>
          <w:p w14:paraId="5B2162B4" w14:textId="77777777" w:rsidR="006D3AD5" w:rsidRPr="00685AEF" w:rsidRDefault="006D3AD5" w:rsidP="00443B8F">
            <w:pPr>
              <w:jc w:val="left"/>
              <w:rPr>
                <w:b/>
                <w:bCs/>
                <w:color w:val="FFFFFF" w:themeColor="background1"/>
                <w:sz w:val="24"/>
                <w:szCs w:val="24"/>
              </w:rPr>
            </w:pPr>
          </w:p>
        </w:tc>
        <w:tc>
          <w:tcPr>
            <w:tcW w:w="960" w:type="dxa"/>
            <w:vMerge w:val="restart"/>
            <w:shd w:val="clear" w:color="auto" w:fill="8DB3E2"/>
            <w:noWrap/>
            <w:textDirection w:val="btLr"/>
            <w:vAlign w:val="center"/>
          </w:tcPr>
          <w:p w14:paraId="2AD47938"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MA</w:t>
            </w:r>
          </w:p>
        </w:tc>
        <w:tc>
          <w:tcPr>
            <w:tcW w:w="2414" w:type="dxa"/>
            <w:shd w:val="clear" w:color="auto" w:fill="8DB3E2"/>
            <w:vAlign w:val="center"/>
          </w:tcPr>
          <w:p w14:paraId="343B2D6A" w14:textId="77777777" w:rsidR="006D3AD5" w:rsidRPr="00685AEF" w:rsidRDefault="006D3AD5" w:rsidP="00443B8F">
            <w:pPr>
              <w:jc w:val="center"/>
              <w:rPr>
                <w:b/>
                <w:color w:val="FFFFFF" w:themeColor="background1"/>
                <w:sz w:val="20"/>
              </w:rPr>
            </w:pPr>
            <w:r w:rsidRPr="00685AEF">
              <w:rPr>
                <w:b/>
                <w:color w:val="FFFFFF" w:themeColor="background1"/>
                <w:sz w:val="20"/>
              </w:rPr>
              <w:t>High leverage effect and wider volume of supported projects and investments</w:t>
            </w:r>
          </w:p>
        </w:tc>
        <w:tc>
          <w:tcPr>
            <w:tcW w:w="2330" w:type="dxa"/>
            <w:shd w:val="clear" w:color="auto" w:fill="8DB3E2"/>
            <w:vAlign w:val="center"/>
          </w:tcPr>
          <w:p w14:paraId="5D4A0DB4" w14:textId="77777777" w:rsidR="006D3AD5" w:rsidRPr="00685AEF" w:rsidRDefault="006D3AD5" w:rsidP="00443B8F">
            <w:pPr>
              <w:jc w:val="center"/>
              <w:rPr>
                <w:b/>
                <w:color w:val="FFFFFF" w:themeColor="background1"/>
                <w:sz w:val="20"/>
              </w:rPr>
            </w:pPr>
            <w:r w:rsidRPr="00685AEF">
              <w:rPr>
                <w:b/>
                <w:color w:val="FFFFFF" w:themeColor="background1"/>
                <w:sz w:val="20"/>
              </w:rPr>
              <w:t>High revolving effect and support of projects in following cycles</w:t>
            </w:r>
          </w:p>
        </w:tc>
        <w:tc>
          <w:tcPr>
            <w:tcW w:w="2330" w:type="dxa"/>
            <w:shd w:val="clear" w:color="auto" w:fill="8DB3E2"/>
          </w:tcPr>
          <w:p w14:paraId="7CFC9631" w14:textId="77777777" w:rsidR="006D3AD5" w:rsidRPr="00685AEF" w:rsidRDefault="006D3AD5" w:rsidP="00443B8F">
            <w:pPr>
              <w:rPr>
                <w:b/>
                <w:color w:val="FFFFFF" w:themeColor="background1"/>
                <w:sz w:val="20"/>
              </w:rPr>
            </w:pPr>
            <w:r w:rsidRPr="00685AEF">
              <w:rPr>
                <w:b/>
                <w:color w:val="FFFFFF" w:themeColor="background1"/>
                <w:sz w:val="20"/>
              </w:rPr>
              <w:t>High absorption capacity</w:t>
            </w:r>
          </w:p>
        </w:tc>
      </w:tr>
      <w:tr w:rsidR="006D3AD5" w:rsidRPr="0073014D" w14:paraId="5DE13C39" w14:textId="77777777" w:rsidTr="00443B8F">
        <w:trPr>
          <w:trHeight w:val="735"/>
        </w:trPr>
        <w:tc>
          <w:tcPr>
            <w:tcW w:w="960" w:type="dxa"/>
            <w:vMerge/>
            <w:shd w:val="clear" w:color="auto" w:fill="8DB3E2"/>
            <w:vAlign w:val="center"/>
          </w:tcPr>
          <w:p w14:paraId="7D4039BA" w14:textId="77777777" w:rsidR="006D3AD5" w:rsidRPr="00685AEF" w:rsidRDefault="006D3AD5" w:rsidP="00443B8F">
            <w:pPr>
              <w:jc w:val="left"/>
              <w:rPr>
                <w:b/>
                <w:bCs/>
                <w:color w:val="FFFFFF" w:themeColor="background1"/>
                <w:sz w:val="18"/>
                <w:szCs w:val="18"/>
              </w:rPr>
            </w:pPr>
          </w:p>
        </w:tc>
        <w:tc>
          <w:tcPr>
            <w:tcW w:w="960" w:type="dxa"/>
            <w:vMerge/>
            <w:shd w:val="clear" w:color="auto" w:fill="8DB3E2"/>
            <w:noWrap/>
            <w:textDirection w:val="btLr"/>
            <w:vAlign w:val="center"/>
          </w:tcPr>
          <w:p w14:paraId="23F39B98" w14:textId="77777777" w:rsidR="006D3AD5" w:rsidRPr="00685AEF" w:rsidRDefault="006D3AD5" w:rsidP="00443B8F">
            <w:pPr>
              <w:jc w:val="center"/>
              <w:rPr>
                <w:b/>
                <w:bCs/>
                <w:color w:val="FFFFFF" w:themeColor="background1"/>
                <w:sz w:val="18"/>
                <w:szCs w:val="18"/>
              </w:rPr>
            </w:pPr>
          </w:p>
        </w:tc>
        <w:tc>
          <w:tcPr>
            <w:tcW w:w="2414" w:type="dxa"/>
            <w:shd w:val="clear" w:color="auto" w:fill="8DB3E2"/>
            <w:vAlign w:val="center"/>
          </w:tcPr>
          <w:p w14:paraId="53A4E15F" w14:textId="77777777" w:rsidR="006D3AD5" w:rsidRPr="00685AEF" w:rsidRDefault="006D3AD5" w:rsidP="00443B8F">
            <w:pPr>
              <w:jc w:val="center"/>
              <w:rPr>
                <w:b/>
                <w:color w:val="FFFFFF" w:themeColor="background1"/>
                <w:sz w:val="20"/>
              </w:rPr>
            </w:pPr>
            <w:r w:rsidRPr="00685AEF">
              <w:rPr>
                <w:b/>
                <w:color w:val="FFFFFF" w:themeColor="background1"/>
                <w:sz w:val="20"/>
              </w:rPr>
              <w:t>Option of revolving in dependence on risk strategy</w:t>
            </w:r>
          </w:p>
        </w:tc>
        <w:tc>
          <w:tcPr>
            <w:tcW w:w="2330" w:type="dxa"/>
            <w:shd w:val="clear" w:color="auto" w:fill="8DB3E2"/>
            <w:vAlign w:val="center"/>
          </w:tcPr>
          <w:p w14:paraId="7766DA77" w14:textId="77777777" w:rsidR="006D3AD5" w:rsidRPr="00685AEF" w:rsidRDefault="006D3AD5" w:rsidP="00443B8F">
            <w:pPr>
              <w:jc w:val="center"/>
              <w:rPr>
                <w:b/>
                <w:color w:val="FFFFFF" w:themeColor="background1"/>
                <w:sz w:val="20"/>
              </w:rPr>
            </w:pPr>
            <w:r w:rsidRPr="00685AEF">
              <w:rPr>
                <w:b/>
                <w:color w:val="FFFFFF" w:themeColor="background1"/>
                <w:sz w:val="20"/>
              </w:rPr>
              <w:t>Predicted instalments</w:t>
            </w:r>
          </w:p>
        </w:tc>
        <w:tc>
          <w:tcPr>
            <w:tcW w:w="2330" w:type="dxa"/>
            <w:shd w:val="clear" w:color="auto" w:fill="8DB3E2"/>
          </w:tcPr>
          <w:p w14:paraId="3FD80915" w14:textId="77777777" w:rsidR="006D3AD5" w:rsidRPr="00685AEF" w:rsidRDefault="006D3AD5" w:rsidP="00443B8F">
            <w:pPr>
              <w:jc w:val="center"/>
              <w:rPr>
                <w:b/>
                <w:color w:val="FFFFFF" w:themeColor="background1"/>
                <w:sz w:val="20"/>
              </w:rPr>
            </w:pPr>
            <w:r w:rsidRPr="00685AEF">
              <w:rPr>
                <w:b/>
                <w:color w:val="FFFFFF" w:themeColor="background1"/>
                <w:sz w:val="20"/>
              </w:rPr>
              <w:t>Motivation of entities to investments in this area</w:t>
            </w:r>
          </w:p>
        </w:tc>
      </w:tr>
      <w:tr w:rsidR="006D3AD5" w:rsidRPr="0073014D" w14:paraId="2DE1A6FA" w14:textId="77777777" w:rsidTr="00443B8F">
        <w:trPr>
          <w:trHeight w:val="311"/>
        </w:trPr>
        <w:tc>
          <w:tcPr>
            <w:tcW w:w="960" w:type="dxa"/>
            <w:vMerge/>
            <w:shd w:val="clear" w:color="auto" w:fill="8DB3E2"/>
            <w:vAlign w:val="center"/>
          </w:tcPr>
          <w:p w14:paraId="24D04F7E" w14:textId="77777777" w:rsidR="006D3AD5" w:rsidRPr="00685AEF" w:rsidRDefault="006D3AD5" w:rsidP="00443B8F">
            <w:pPr>
              <w:jc w:val="left"/>
              <w:rPr>
                <w:b/>
                <w:bCs/>
                <w:color w:val="FFFFFF" w:themeColor="background1"/>
                <w:sz w:val="18"/>
                <w:szCs w:val="18"/>
              </w:rPr>
            </w:pPr>
          </w:p>
        </w:tc>
        <w:tc>
          <w:tcPr>
            <w:tcW w:w="960" w:type="dxa"/>
            <w:vMerge/>
            <w:shd w:val="clear" w:color="auto" w:fill="8DB3E2"/>
            <w:noWrap/>
            <w:textDirection w:val="btLr"/>
            <w:vAlign w:val="center"/>
          </w:tcPr>
          <w:p w14:paraId="6686671E" w14:textId="77777777" w:rsidR="006D3AD5" w:rsidRPr="00685AEF" w:rsidRDefault="006D3AD5" w:rsidP="00443B8F">
            <w:pPr>
              <w:jc w:val="center"/>
              <w:rPr>
                <w:b/>
                <w:bCs/>
                <w:color w:val="FFFFFF" w:themeColor="background1"/>
                <w:sz w:val="18"/>
                <w:szCs w:val="18"/>
              </w:rPr>
            </w:pPr>
          </w:p>
        </w:tc>
        <w:tc>
          <w:tcPr>
            <w:tcW w:w="2414" w:type="dxa"/>
            <w:shd w:val="clear" w:color="auto" w:fill="8DB3E2"/>
            <w:vAlign w:val="center"/>
          </w:tcPr>
          <w:p w14:paraId="4D2EDBA4" w14:textId="77777777" w:rsidR="006D3AD5" w:rsidRPr="00685AEF" w:rsidRDefault="006D3AD5" w:rsidP="00443B8F">
            <w:pPr>
              <w:jc w:val="center"/>
              <w:rPr>
                <w:b/>
                <w:color w:val="FFFFFF" w:themeColor="background1"/>
                <w:sz w:val="20"/>
              </w:rPr>
            </w:pPr>
            <w:r w:rsidRPr="00685AEF">
              <w:rPr>
                <w:b/>
                <w:color w:val="FFFFFF" w:themeColor="background1"/>
                <w:sz w:val="20"/>
              </w:rPr>
              <w:t>Quick drawing</w:t>
            </w:r>
          </w:p>
        </w:tc>
        <w:tc>
          <w:tcPr>
            <w:tcW w:w="2330" w:type="dxa"/>
            <w:shd w:val="clear" w:color="auto" w:fill="8DB3E2"/>
            <w:vAlign w:val="center"/>
          </w:tcPr>
          <w:p w14:paraId="19ACF214" w14:textId="77777777" w:rsidR="006D3AD5" w:rsidRPr="00685AEF" w:rsidRDefault="006D3AD5" w:rsidP="00443B8F">
            <w:pPr>
              <w:jc w:val="center"/>
              <w:rPr>
                <w:b/>
                <w:color w:val="FFFFFF" w:themeColor="background1"/>
                <w:sz w:val="20"/>
              </w:rPr>
            </w:pPr>
            <w:r w:rsidRPr="00685AEF">
              <w:rPr>
                <w:b/>
                <w:color w:val="FFFFFF" w:themeColor="background1"/>
                <w:sz w:val="20"/>
              </w:rPr>
              <w:t>Quick drawing</w:t>
            </w:r>
          </w:p>
        </w:tc>
        <w:tc>
          <w:tcPr>
            <w:tcW w:w="2330" w:type="dxa"/>
            <w:shd w:val="clear" w:color="auto" w:fill="8DB3E2"/>
          </w:tcPr>
          <w:p w14:paraId="1ACFB864" w14:textId="77777777" w:rsidR="006D3AD5" w:rsidRPr="00685AEF" w:rsidRDefault="006D3AD5" w:rsidP="00443B8F">
            <w:pPr>
              <w:jc w:val="center"/>
              <w:rPr>
                <w:b/>
                <w:color w:val="FFFFFF" w:themeColor="background1"/>
                <w:sz w:val="20"/>
              </w:rPr>
            </w:pPr>
          </w:p>
        </w:tc>
      </w:tr>
      <w:tr w:rsidR="006D3AD5" w:rsidRPr="0073014D" w14:paraId="1CEEEB9F" w14:textId="77777777" w:rsidTr="00443B8F">
        <w:trPr>
          <w:trHeight w:val="735"/>
        </w:trPr>
        <w:tc>
          <w:tcPr>
            <w:tcW w:w="960" w:type="dxa"/>
            <w:vMerge w:val="restart"/>
            <w:shd w:val="clear" w:color="auto" w:fill="FF0000"/>
            <w:textDirection w:val="btLr"/>
            <w:vAlign w:val="center"/>
          </w:tcPr>
          <w:p w14:paraId="44CF85B5" w14:textId="77777777" w:rsidR="006D3AD5" w:rsidRPr="00685AEF" w:rsidRDefault="006D3AD5" w:rsidP="00443B8F">
            <w:pPr>
              <w:ind w:left="113" w:right="113"/>
              <w:jc w:val="center"/>
              <w:rPr>
                <w:b/>
                <w:bCs/>
                <w:color w:val="FFFFFF" w:themeColor="background1"/>
                <w:sz w:val="24"/>
                <w:szCs w:val="24"/>
              </w:rPr>
            </w:pPr>
            <w:r w:rsidRPr="00685AEF">
              <w:rPr>
                <w:b/>
                <w:color w:val="FFFFFF" w:themeColor="background1"/>
                <w:sz w:val="24"/>
              </w:rPr>
              <w:t>Disadvantages, problems and risks</w:t>
            </w:r>
          </w:p>
        </w:tc>
        <w:tc>
          <w:tcPr>
            <w:tcW w:w="960" w:type="dxa"/>
            <w:vMerge w:val="restart"/>
            <w:shd w:val="clear" w:color="auto" w:fill="FF0000"/>
            <w:noWrap/>
            <w:textDirection w:val="btLr"/>
            <w:vAlign w:val="center"/>
          </w:tcPr>
          <w:p w14:paraId="68495621" w14:textId="018E12A8" w:rsidR="006D3AD5" w:rsidRPr="00685AEF" w:rsidRDefault="00CF3F95" w:rsidP="00443B8F">
            <w:pPr>
              <w:jc w:val="center"/>
              <w:rPr>
                <w:b/>
                <w:bCs/>
                <w:color w:val="FFFFFF" w:themeColor="background1"/>
                <w:sz w:val="24"/>
                <w:szCs w:val="24"/>
              </w:rPr>
            </w:pPr>
            <w:r>
              <w:rPr>
                <w:b/>
                <w:color w:val="FFFFFF" w:themeColor="background1"/>
                <w:sz w:val="24"/>
              </w:rPr>
              <w:t>Final recipient</w:t>
            </w:r>
          </w:p>
        </w:tc>
        <w:tc>
          <w:tcPr>
            <w:tcW w:w="2414" w:type="dxa"/>
            <w:shd w:val="clear" w:color="auto" w:fill="FF0000"/>
            <w:vAlign w:val="center"/>
          </w:tcPr>
          <w:p w14:paraId="607A26F9" w14:textId="77777777" w:rsidR="006D3AD5" w:rsidRPr="00685AEF" w:rsidRDefault="006D3AD5" w:rsidP="00443B8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vAlign w:val="center"/>
          </w:tcPr>
          <w:p w14:paraId="49360961" w14:textId="77777777" w:rsidR="006D3AD5" w:rsidRPr="00685AEF" w:rsidRDefault="006D3AD5" w:rsidP="00443B8F">
            <w:pPr>
              <w:jc w:val="center"/>
              <w:rPr>
                <w:b/>
                <w:color w:val="FFFFFF" w:themeColor="background1"/>
                <w:sz w:val="20"/>
              </w:rPr>
            </w:pPr>
            <w:r w:rsidRPr="00685AEF">
              <w:rPr>
                <w:b/>
                <w:color w:val="FFFFFF" w:themeColor="background1"/>
                <w:sz w:val="20"/>
              </w:rPr>
              <w:t>Does not receive money, needs to pay back</w:t>
            </w:r>
          </w:p>
        </w:tc>
        <w:tc>
          <w:tcPr>
            <w:tcW w:w="2330" w:type="dxa"/>
            <w:shd w:val="clear" w:color="auto" w:fill="FF0000"/>
          </w:tcPr>
          <w:p w14:paraId="3912AFCC" w14:textId="77777777" w:rsidR="006D3AD5" w:rsidRPr="00685AEF" w:rsidRDefault="006D3AD5" w:rsidP="00443B8F">
            <w:pPr>
              <w:jc w:val="center"/>
              <w:rPr>
                <w:b/>
                <w:color w:val="FFFFFF" w:themeColor="background1"/>
                <w:sz w:val="20"/>
              </w:rPr>
            </w:pPr>
            <w:r w:rsidRPr="00685AEF">
              <w:rPr>
                <w:b/>
                <w:color w:val="FFFFFF" w:themeColor="background1"/>
                <w:sz w:val="20"/>
              </w:rPr>
              <w:t>High  administrative intensity</w:t>
            </w:r>
          </w:p>
        </w:tc>
      </w:tr>
      <w:tr w:rsidR="006D3AD5" w:rsidRPr="0073014D" w14:paraId="3BA4B620" w14:textId="77777777" w:rsidTr="00443B8F">
        <w:trPr>
          <w:trHeight w:val="735"/>
        </w:trPr>
        <w:tc>
          <w:tcPr>
            <w:tcW w:w="960" w:type="dxa"/>
            <w:vMerge/>
            <w:shd w:val="clear" w:color="auto" w:fill="FF0000"/>
            <w:vAlign w:val="center"/>
          </w:tcPr>
          <w:p w14:paraId="14D1E351"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530A68E0"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51663A08" w14:textId="77777777" w:rsidR="006D3AD5" w:rsidRPr="00685AEF" w:rsidRDefault="006D3AD5" w:rsidP="00443B8F">
            <w:pPr>
              <w:jc w:val="center"/>
              <w:rPr>
                <w:b/>
                <w:color w:val="FFFFFF" w:themeColor="background1"/>
                <w:sz w:val="20"/>
              </w:rPr>
            </w:pPr>
            <w:r w:rsidRPr="00685AEF">
              <w:rPr>
                <w:b/>
                <w:color w:val="FFFFFF" w:themeColor="background1"/>
                <w:sz w:val="20"/>
              </w:rPr>
              <w:t>Low effect on decrease in interests</w:t>
            </w:r>
          </w:p>
        </w:tc>
        <w:tc>
          <w:tcPr>
            <w:tcW w:w="2330" w:type="dxa"/>
            <w:shd w:val="clear" w:color="auto" w:fill="FF0000"/>
            <w:vAlign w:val="center"/>
          </w:tcPr>
          <w:p w14:paraId="59CD2AE2" w14:textId="77777777" w:rsidR="006D3AD5" w:rsidRPr="00685AEF" w:rsidRDefault="006D3AD5" w:rsidP="00443B8F">
            <w:pPr>
              <w:jc w:val="center"/>
              <w:rPr>
                <w:b/>
                <w:color w:val="FFFFFF" w:themeColor="background1"/>
                <w:sz w:val="20"/>
              </w:rPr>
            </w:pPr>
            <w:r w:rsidRPr="00685AEF">
              <w:rPr>
                <w:b/>
                <w:color w:val="FFFFFF" w:themeColor="background1"/>
                <w:sz w:val="20"/>
              </w:rPr>
              <w:t>Low effect on project return when compared to subsidy</w:t>
            </w:r>
          </w:p>
        </w:tc>
        <w:tc>
          <w:tcPr>
            <w:tcW w:w="2330" w:type="dxa"/>
            <w:shd w:val="clear" w:color="auto" w:fill="FF0000"/>
          </w:tcPr>
          <w:p w14:paraId="2EF3021C" w14:textId="77777777" w:rsidR="006D3AD5" w:rsidRPr="00685AEF" w:rsidRDefault="006D3AD5" w:rsidP="00443B8F">
            <w:pPr>
              <w:jc w:val="center"/>
              <w:rPr>
                <w:b/>
                <w:color w:val="FFFFFF" w:themeColor="background1"/>
                <w:sz w:val="20"/>
              </w:rPr>
            </w:pPr>
            <w:r w:rsidRPr="00685AEF">
              <w:rPr>
                <w:b/>
                <w:color w:val="FFFFFF" w:themeColor="background1"/>
                <w:sz w:val="20"/>
              </w:rPr>
              <w:t>Regulated tenders for supplier - higher costs</w:t>
            </w:r>
          </w:p>
        </w:tc>
      </w:tr>
      <w:tr w:rsidR="006D3AD5" w:rsidRPr="0073014D" w14:paraId="362CADCB" w14:textId="77777777" w:rsidTr="00443B8F">
        <w:trPr>
          <w:trHeight w:val="456"/>
        </w:trPr>
        <w:tc>
          <w:tcPr>
            <w:tcW w:w="960" w:type="dxa"/>
            <w:vMerge/>
            <w:shd w:val="clear" w:color="auto" w:fill="FF0000"/>
            <w:vAlign w:val="center"/>
          </w:tcPr>
          <w:p w14:paraId="38EBCE2E"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49518B69"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585E06AC" w14:textId="77777777" w:rsidR="006D3AD5" w:rsidRPr="00685AEF" w:rsidRDefault="006D3AD5" w:rsidP="00443B8F">
            <w:pPr>
              <w:jc w:val="center"/>
              <w:rPr>
                <w:b/>
                <w:color w:val="FFFFFF" w:themeColor="background1"/>
                <w:sz w:val="20"/>
              </w:rPr>
            </w:pPr>
          </w:p>
        </w:tc>
        <w:tc>
          <w:tcPr>
            <w:tcW w:w="2330" w:type="dxa"/>
            <w:shd w:val="clear" w:color="auto" w:fill="FF0000"/>
            <w:vAlign w:val="center"/>
          </w:tcPr>
          <w:p w14:paraId="2A32D1EC" w14:textId="77777777" w:rsidR="006D3AD5" w:rsidRPr="00685AEF" w:rsidRDefault="006D3AD5" w:rsidP="00443B8F">
            <w:pPr>
              <w:jc w:val="center"/>
              <w:rPr>
                <w:b/>
                <w:color w:val="FFFFFF" w:themeColor="background1"/>
                <w:sz w:val="20"/>
              </w:rPr>
            </w:pPr>
            <w:r w:rsidRPr="00685AEF">
              <w:rPr>
                <w:b/>
                <w:color w:val="FFFFFF" w:themeColor="background1"/>
                <w:sz w:val="20"/>
              </w:rPr>
              <w:t>Lower effect of funding availability for high-risk projects</w:t>
            </w:r>
          </w:p>
        </w:tc>
        <w:tc>
          <w:tcPr>
            <w:tcW w:w="2330" w:type="dxa"/>
            <w:shd w:val="clear" w:color="auto" w:fill="FF0000"/>
          </w:tcPr>
          <w:p w14:paraId="7AAC119D" w14:textId="77777777" w:rsidR="006D3AD5" w:rsidRPr="00685AEF" w:rsidRDefault="006D3AD5" w:rsidP="00443B8F">
            <w:pPr>
              <w:jc w:val="center"/>
              <w:rPr>
                <w:b/>
                <w:color w:val="FFFFFF" w:themeColor="background1"/>
                <w:sz w:val="20"/>
              </w:rPr>
            </w:pPr>
            <w:r w:rsidRPr="00685AEF">
              <w:rPr>
                <w:b/>
                <w:color w:val="FFFFFF" w:themeColor="background1"/>
                <w:sz w:val="20"/>
              </w:rPr>
              <w:t>Necessity of pre-funding –  ex post payment</w:t>
            </w:r>
          </w:p>
        </w:tc>
      </w:tr>
      <w:tr w:rsidR="006D3AD5" w:rsidRPr="0073014D" w14:paraId="660751DD" w14:textId="77777777" w:rsidTr="00443B8F">
        <w:trPr>
          <w:trHeight w:val="735"/>
        </w:trPr>
        <w:tc>
          <w:tcPr>
            <w:tcW w:w="960" w:type="dxa"/>
            <w:vMerge/>
            <w:shd w:val="clear" w:color="auto" w:fill="FF0000"/>
            <w:vAlign w:val="center"/>
          </w:tcPr>
          <w:p w14:paraId="6B142507" w14:textId="77777777" w:rsidR="006D3AD5" w:rsidRPr="00685AEF" w:rsidRDefault="006D3AD5" w:rsidP="00443B8F">
            <w:pPr>
              <w:jc w:val="left"/>
              <w:rPr>
                <w:b/>
                <w:bCs/>
                <w:color w:val="FFFFFF" w:themeColor="background1"/>
                <w:sz w:val="24"/>
                <w:szCs w:val="24"/>
              </w:rPr>
            </w:pPr>
          </w:p>
        </w:tc>
        <w:tc>
          <w:tcPr>
            <w:tcW w:w="960" w:type="dxa"/>
            <w:vMerge/>
            <w:shd w:val="clear" w:color="auto" w:fill="FF0000"/>
            <w:noWrap/>
            <w:textDirection w:val="btLr"/>
            <w:vAlign w:val="center"/>
          </w:tcPr>
          <w:p w14:paraId="7EDD670A" w14:textId="77777777" w:rsidR="006D3AD5" w:rsidRPr="00685AEF" w:rsidRDefault="006D3AD5" w:rsidP="00443B8F">
            <w:pPr>
              <w:jc w:val="center"/>
              <w:rPr>
                <w:b/>
                <w:bCs/>
                <w:color w:val="FFFFFF" w:themeColor="background1"/>
                <w:sz w:val="24"/>
                <w:szCs w:val="24"/>
              </w:rPr>
            </w:pPr>
          </w:p>
        </w:tc>
        <w:tc>
          <w:tcPr>
            <w:tcW w:w="2414" w:type="dxa"/>
            <w:shd w:val="clear" w:color="auto" w:fill="FF0000"/>
            <w:vAlign w:val="center"/>
          </w:tcPr>
          <w:p w14:paraId="0EC6E13F" w14:textId="77777777" w:rsidR="006D3AD5" w:rsidRPr="00685AEF" w:rsidRDefault="006D3AD5" w:rsidP="00443B8F">
            <w:pPr>
              <w:jc w:val="center"/>
              <w:rPr>
                <w:b/>
                <w:color w:val="FFFFFF" w:themeColor="background1"/>
                <w:sz w:val="20"/>
              </w:rPr>
            </w:pPr>
          </w:p>
        </w:tc>
        <w:tc>
          <w:tcPr>
            <w:tcW w:w="2330" w:type="dxa"/>
            <w:shd w:val="clear" w:color="auto" w:fill="FF0000"/>
            <w:vAlign w:val="center"/>
          </w:tcPr>
          <w:p w14:paraId="7EBBF60A" w14:textId="77777777" w:rsidR="006D3AD5" w:rsidRPr="00685AEF" w:rsidRDefault="006D3AD5" w:rsidP="00443B8F">
            <w:pPr>
              <w:jc w:val="center"/>
              <w:rPr>
                <w:b/>
                <w:color w:val="FFFFFF" w:themeColor="background1"/>
                <w:sz w:val="20"/>
              </w:rPr>
            </w:pPr>
          </w:p>
        </w:tc>
        <w:tc>
          <w:tcPr>
            <w:tcW w:w="2330" w:type="dxa"/>
            <w:shd w:val="clear" w:color="auto" w:fill="FF0000"/>
          </w:tcPr>
          <w:p w14:paraId="0BDADAC4" w14:textId="77777777" w:rsidR="006D3AD5" w:rsidRPr="00685AEF" w:rsidRDefault="006D3AD5" w:rsidP="00443B8F">
            <w:pPr>
              <w:jc w:val="center"/>
              <w:rPr>
                <w:b/>
                <w:color w:val="FFFFFF" w:themeColor="background1"/>
                <w:sz w:val="20"/>
              </w:rPr>
            </w:pPr>
            <w:r w:rsidRPr="00685AEF">
              <w:rPr>
                <w:b/>
                <w:color w:val="FFFFFF" w:themeColor="background1"/>
                <w:sz w:val="20"/>
              </w:rPr>
              <w:t>Risk of additional removal of subsidy due to mistakes in projects and non-compliance of conditions</w:t>
            </w:r>
          </w:p>
        </w:tc>
      </w:tr>
      <w:tr w:rsidR="006D3AD5" w:rsidRPr="0073014D" w14:paraId="7F00386B" w14:textId="77777777" w:rsidTr="00443B8F">
        <w:trPr>
          <w:trHeight w:val="735"/>
        </w:trPr>
        <w:tc>
          <w:tcPr>
            <w:tcW w:w="960" w:type="dxa"/>
            <w:vMerge/>
            <w:shd w:val="clear" w:color="auto" w:fill="FF0000"/>
            <w:vAlign w:val="center"/>
          </w:tcPr>
          <w:p w14:paraId="41DC821F" w14:textId="77777777" w:rsidR="006D3AD5" w:rsidRPr="00685AEF" w:rsidRDefault="006D3AD5" w:rsidP="00443B8F">
            <w:pPr>
              <w:jc w:val="left"/>
              <w:rPr>
                <w:b/>
                <w:bCs/>
                <w:color w:val="FFFFFF" w:themeColor="background1"/>
                <w:sz w:val="24"/>
                <w:szCs w:val="24"/>
              </w:rPr>
            </w:pPr>
          </w:p>
        </w:tc>
        <w:tc>
          <w:tcPr>
            <w:tcW w:w="960" w:type="dxa"/>
            <w:vMerge w:val="restart"/>
            <w:shd w:val="clear" w:color="auto" w:fill="FF0000"/>
            <w:noWrap/>
            <w:textDirection w:val="btLr"/>
            <w:vAlign w:val="center"/>
          </w:tcPr>
          <w:p w14:paraId="4378BC3F" w14:textId="77777777" w:rsidR="006D3AD5" w:rsidRPr="00685AEF" w:rsidRDefault="006D3AD5" w:rsidP="00443B8F">
            <w:pPr>
              <w:jc w:val="center"/>
              <w:rPr>
                <w:b/>
                <w:bCs/>
                <w:color w:val="FFFFFF" w:themeColor="background1"/>
                <w:sz w:val="24"/>
                <w:szCs w:val="24"/>
              </w:rPr>
            </w:pPr>
            <w:r w:rsidRPr="00685AEF">
              <w:rPr>
                <w:b/>
                <w:color w:val="FFFFFF" w:themeColor="background1"/>
                <w:sz w:val="24"/>
              </w:rPr>
              <w:t>MA</w:t>
            </w:r>
          </w:p>
        </w:tc>
        <w:tc>
          <w:tcPr>
            <w:tcW w:w="2414" w:type="dxa"/>
            <w:shd w:val="clear" w:color="auto" w:fill="FF0000"/>
            <w:vAlign w:val="center"/>
          </w:tcPr>
          <w:p w14:paraId="09DAA6B0" w14:textId="77777777" w:rsidR="006D3AD5" w:rsidRPr="00685AEF" w:rsidRDefault="006D3AD5" w:rsidP="00443B8F">
            <w:pPr>
              <w:jc w:val="center"/>
              <w:rPr>
                <w:b/>
                <w:color w:val="FFFFFF" w:themeColor="background1"/>
                <w:sz w:val="20"/>
              </w:rPr>
            </w:pPr>
            <w:r w:rsidRPr="00685AEF">
              <w:rPr>
                <w:b/>
                <w:color w:val="FFFFFF" w:themeColor="background1"/>
                <w:sz w:val="20"/>
              </w:rPr>
              <w:t>Very low revolving effect</w:t>
            </w:r>
          </w:p>
        </w:tc>
        <w:tc>
          <w:tcPr>
            <w:tcW w:w="2330" w:type="dxa"/>
            <w:shd w:val="clear" w:color="auto" w:fill="FF0000"/>
            <w:vAlign w:val="center"/>
          </w:tcPr>
          <w:p w14:paraId="243973B3" w14:textId="77777777" w:rsidR="006D3AD5" w:rsidRPr="00685AEF" w:rsidRDefault="006D3AD5" w:rsidP="00443B8F">
            <w:pPr>
              <w:jc w:val="center"/>
              <w:rPr>
                <w:b/>
                <w:color w:val="FFFFFF" w:themeColor="background1"/>
                <w:sz w:val="20"/>
              </w:rPr>
            </w:pPr>
            <w:r w:rsidRPr="00685AEF">
              <w:rPr>
                <w:b/>
                <w:color w:val="FFFFFF" w:themeColor="background1"/>
                <w:sz w:val="20"/>
              </w:rPr>
              <w:t>Lower leverage effect than guarantees</w:t>
            </w:r>
          </w:p>
        </w:tc>
        <w:tc>
          <w:tcPr>
            <w:tcW w:w="2330" w:type="dxa"/>
            <w:shd w:val="clear" w:color="auto" w:fill="FF0000"/>
          </w:tcPr>
          <w:p w14:paraId="4B1851A0" w14:textId="77777777" w:rsidR="006D3AD5" w:rsidRPr="00685AEF" w:rsidRDefault="006D3AD5" w:rsidP="00443B8F">
            <w:pPr>
              <w:jc w:val="center"/>
              <w:rPr>
                <w:b/>
                <w:color w:val="FFFFFF" w:themeColor="background1"/>
                <w:sz w:val="20"/>
              </w:rPr>
            </w:pPr>
            <w:r w:rsidRPr="00685AEF">
              <w:rPr>
                <w:b/>
                <w:color w:val="FFFFFF" w:themeColor="background1"/>
                <w:sz w:val="20"/>
              </w:rPr>
              <w:t>Irrecoverable expenses</w:t>
            </w:r>
          </w:p>
        </w:tc>
      </w:tr>
      <w:tr w:rsidR="006D3AD5" w:rsidRPr="0073014D" w14:paraId="6944528A" w14:textId="77777777" w:rsidTr="00443B8F">
        <w:trPr>
          <w:trHeight w:val="566"/>
        </w:trPr>
        <w:tc>
          <w:tcPr>
            <w:tcW w:w="960" w:type="dxa"/>
            <w:vMerge/>
            <w:shd w:val="clear" w:color="auto" w:fill="FF0000"/>
            <w:vAlign w:val="center"/>
          </w:tcPr>
          <w:p w14:paraId="46816425" w14:textId="77777777" w:rsidR="006D3AD5" w:rsidRPr="00685AEF" w:rsidRDefault="006D3AD5" w:rsidP="00443B8F">
            <w:pPr>
              <w:jc w:val="left"/>
              <w:rPr>
                <w:b/>
                <w:bCs/>
                <w:color w:val="FFFFFF" w:themeColor="background1"/>
                <w:sz w:val="18"/>
                <w:szCs w:val="18"/>
              </w:rPr>
            </w:pPr>
          </w:p>
        </w:tc>
        <w:tc>
          <w:tcPr>
            <w:tcW w:w="960" w:type="dxa"/>
            <w:vMerge/>
            <w:shd w:val="clear" w:color="auto" w:fill="FF0000"/>
            <w:noWrap/>
            <w:textDirection w:val="btLr"/>
            <w:vAlign w:val="center"/>
          </w:tcPr>
          <w:p w14:paraId="6CEBC245" w14:textId="77777777" w:rsidR="006D3AD5" w:rsidRPr="00685AEF" w:rsidRDefault="006D3AD5" w:rsidP="00443B8F">
            <w:pPr>
              <w:jc w:val="center"/>
              <w:rPr>
                <w:b/>
                <w:bCs/>
                <w:color w:val="FFFFFF" w:themeColor="background1"/>
                <w:sz w:val="18"/>
                <w:szCs w:val="18"/>
              </w:rPr>
            </w:pPr>
          </w:p>
        </w:tc>
        <w:tc>
          <w:tcPr>
            <w:tcW w:w="2414" w:type="dxa"/>
            <w:shd w:val="clear" w:color="auto" w:fill="FF0000"/>
            <w:vAlign w:val="center"/>
          </w:tcPr>
          <w:p w14:paraId="2B88C150" w14:textId="77777777" w:rsidR="006D3AD5" w:rsidRPr="00685AEF" w:rsidRDefault="006D3AD5" w:rsidP="00443B8F">
            <w:pPr>
              <w:jc w:val="center"/>
              <w:rPr>
                <w:b/>
                <w:color w:val="FFFFFF" w:themeColor="background1"/>
                <w:sz w:val="20"/>
              </w:rPr>
            </w:pPr>
            <w:r w:rsidRPr="00685AEF">
              <w:rPr>
                <w:b/>
                <w:color w:val="FFFFFF" w:themeColor="background1"/>
                <w:sz w:val="20"/>
              </w:rPr>
              <w:t>Low effect on investment activity</w:t>
            </w:r>
          </w:p>
        </w:tc>
        <w:tc>
          <w:tcPr>
            <w:tcW w:w="2330" w:type="dxa"/>
            <w:shd w:val="clear" w:color="auto" w:fill="FF0000"/>
            <w:vAlign w:val="center"/>
          </w:tcPr>
          <w:p w14:paraId="386CD16F" w14:textId="77777777" w:rsidR="006D3AD5" w:rsidRPr="00685AEF" w:rsidRDefault="006D3AD5" w:rsidP="00443B8F">
            <w:pPr>
              <w:jc w:val="center"/>
              <w:rPr>
                <w:b/>
                <w:color w:val="FFFFFF" w:themeColor="background1"/>
                <w:sz w:val="20"/>
              </w:rPr>
            </w:pPr>
            <w:r w:rsidRPr="00685AEF">
              <w:rPr>
                <w:b/>
                <w:color w:val="FFFFFF" w:themeColor="background1"/>
                <w:sz w:val="20"/>
              </w:rPr>
              <w:t>Revolving limiting charges to intermediary entity</w:t>
            </w:r>
          </w:p>
        </w:tc>
        <w:tc>
          <w:tcPr>
            <w:tcW w:w="2330" w:type="dxa"/>
            <w:shd w:val="clear" w:color="auto" w:fill="FF0000"/>
          </w:tcPr>
          <w:p w14:paraId="41AB7214" w14:textId="77777777" w:rsidR="006D3AD5" w:rsidRPr="00685AEF" w:rsidRDefault="006D3AD5" w:rsidP="00443B8F">
            <w:pPr>
              <w:jc w:val="center"/>
              <w:rPr>
                <w:b/>
                <w:color w:val="FFFFFF" w:themeColor="background1"/>
                <w:sz w:val="20"/>
              </w:rPr>
            </w:pPr>
            <w:r w:rsidRPr="00685AEF">
              <w:rPr>
                <w:b/>
                <w:color w:val="FFFFFF" w:themeColor="background1"/>
                <w:sz w:val="20"/>
              </w:rPr>
              <w:t>Number of supported projects directly limited by allocation</w:t>
            </w:r>
          </w:p>
        </w:tc>
      </w:tr>
      <w:tr w:rsidR="006D3AD5" w:rsidRPr="0073014D" w14:paraId="590F35A5" w14:textId="77777777" w:rsidTr="00443B8F">
        <w:trPr>
          <w:trHeight w:val="264"/>
        </w:trPr>
        <w:tc>
          <w:tcPr>
            <w:tcW w:w="960" w:type="dxa"/>
            <w:vMerge/>
            <w:shd w:val="clear" w:color="auto" w:fill="FF0000"/>
            <w:vAlign w:val="center"/>
          </w:tcPr>
          <w:p w14:paraId="7D1F59D6" w14:textId="77777777" w:rsidR="006D3AD5" w:rsidRPr="00685AEF" w:rsidRDefault="006D3AD5" w:rsidP="00443B8F">
            <w:pPr>
              <w:jc w:val="left"/>
              <w:rPr>
                <w:b/>
                <w:bCs/>
                <w:color w:val="FFFFFF" w:themeColor="background1"/>
                <w:sz w:val="18"/>
                <w:szCs w:val="18"/>
              </w:rPr>
            </w:pPr>
          </w:p>
        </w:tc>
        <w:tc>
          <w:tcPr>
            <w:tcW w:w="960" w:type="dxa"/>
            <w:vMerge/>
            <w:shd w:val="clear" w:color="auto" w:fill="FF0000"/>
            <w:noWrap/>
            <w:textDirection w:val="btLr"/>
            <w:vAlign w:val="center"/>
          </w:tcPr>
          <w:p w14:paraId="36C6618D" w14:textId="77777777" w:rsidR="006D3AD5" w:rsidRPr="00685AEF" w:rsidRDefault="006D3AD5" w:rsidP="00443B8F">
            <w:pPr>
              <w:jc w:val="center"/>
              <w:rPr>
                <w:b/>
                <w:bCs/>
                <w:color w:val="FFFFFF" w:themeColor="background1"/>
                <w:sz w:val="18"/>
                <w:szCs w:val="18"/>
              </w:rPr>
            </w:pPr>
          </w:p>
        </w:tc>
        <w:tc>
          <w:tcPr>
            <w:tcW w:w="2414" w:type="dxa"/>
            <w:shd w:val="clear" w:color="auto" w:fill="FF0000"/>
            <w:vAlign w:val="center"/>
          </w:tcPr>
          <w:p w14:paraId="73992CF8" w14:textId="41571447" w:rsidR="006D3AD5" w:rsidRPr="00685AEF" w:rsidRDefault="006D3AD5" w:rsidP="00443B8F">
            <w:pPr>
              <w:jc w:val="center"/>
              <w:rPr>
                <w:b/>
                <w:color w:val="FFFFFF" w:themeColor="background1"/>
                <w:sz w:val="20"/>
              </w:rPr>
            </w:pPr>
            <w:r w:rsidRPr="00685AEF">
              <w:rPr>
                <w:b/>
                <w:color w:val="FFFFFF" w:themeColor="background1"/>
                <w:sz w:val="20"/>
              </w:rPr>
              <w:t xml:space="preserve">Payment of charges to </w:t>
            </w:r>
            <w:r w:rsidR="003213A1">
              <w:rPr>
                <w:b/>
                <w:color w:val="FFFFFF" w:themeColor="background1"/>
                <w:sz w:val="20"/>
              </w:rPr>
              <w:t>recipient</w:t>
            </w:r>
          </w:p>
        </w:tc>
        <w:tc>
          <w:tcPr>
            <w:tcW w:w="2330" w:type="dxa"/>
            <w:shd w:val="clear" w:color="auto" w:fill="FF0000"/>
            <w:vAlign w:val="center"/>
          </w:tcPr>
          <w:p w14:paraId="565F22A0" w14:textId="6FA694D1" w:rsidR="006D3AD5" w:rsidRPr="00685AEF" w:rsidRDefault="006D3AD5" w:rsidP="00443B8F">
            <w:pPr>
              <w:jc w:val="center"/>
              <w:rPr>
                <w:b/>
                <w:color w:val="FFFFFF" w:themeColor="background1"/>
                <w:sz w:val="20"/>
              </w:rPr>
            </w:pPr>
            <w:r w:rsidRPr="00685AEF">
              <w:rPr>
                <w:b/>
                <w:color w:val="FFFFFF" w:themeColor="background1"/>
                <w:sz w:val="20"/>
              </w:rPr>
              <w:t xml:space="preserve">Payment of charges to </w:t>
            </w:r>
            <w:r w:rsidR="003213A1">
              <w:rPr>
                <w:b/>
                <w:color w:val="FFFFFF" w:themeColor="background1"/>
                <w:sz w:val="20"/>
              </w:rPr>
              <w:t>recipient</w:t>
            </w:r>
          </w:p>
        </w:tc>
        <w:tc>
          <w:tcPr>
            <w:tcW w:w="2330" w:type="dxa"/>
            <w:shd w:val="clear" w:color="auto" w:fill="FF0000"/>
          </w:tcPr>
          <w:p w14:paraId="1AC029C5" w14:textId="77777777" w:rsidR="006D3AD5" w:rsidRPr="00685AEF" w:rsidRDefault="006D3AD5" w:rsidP="00443B8F">
            <w:pPr>
              <w:keepNext/>
              <w:jc w:val="center"/>
              <w:rPr>
                <w:b/>
                <w:color w:val="FFFFFF" w:themeColor="background1"/>
                <w:sz w:val="20"/>
              </w:rPr>
            </w:pPr>
            <w:r w:rsidRPr="00685AEF">
              <w:rPr>
                <w:b/>
                <w:color w:val="FFFFFF" w:themeColor="background1"/>
                <w:sz w:val="20"/>
              </w:rPr>
              <w:t>Slower drawing</w:t>
            </w:r>
          </w:p>
        </w:tc>
      </w:tr>
    </w:tbl>
    <w:p w14:paraId="3789D4EE" w14:textId="4AD0A585" w:rsidR="006D3AD5" w:rsidRPr="0073014D" w:rsidRDefault="006D3AD5" w:rsidP="003D68AA">
      <w:pPr>
        <w:pStyle w:val="Titulek"/>
      </w:pPr>
      <w:r>
        <w:t xml:space="preserve">Table </w:t>
      </w:r>
      <w:r w:rsidR="00A9664A">
        <w:t>86</w:t>
      </w:r>
      <w:r>
        <w:t>: Added value, disadvantages, problems and risks of public support</w:t>
      </w:r>
      <w:r w:rsidR="00CF3F95">
        <w:t xml:space="preserve"> for final recipient and SB</w:t>
      </w:r>
    </w:p>
    <w:p w14:paraId="3DBA8E12" w14:textId="77777777" w:rsidR="006D3AD5" w:rsidRPr="0073014D" w:rsidRDefault="006D3AD5" w:rsidP="006D3AD5">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2268"/>
        <w:gridCol w:w="2268"/>
      </w:tblGrid>
      <w:tr w:rsidR="006D3AD5" w:rsidRPr="0073014D" w14:paraId="773CD015" w14:textId="77777777" w:rsidTr="00443B8F">
        <w:tc>
          <w:tcPr>
            <w:tcW w:w="1729" w:type="dxa"/>
            <w:shd w:val="clear" w:color="auto" w:fill="548DD4"/>
          </w:tcPr>
          <w:p w14:paraId="38E919B0" w14:textId="77777777" w:rsidR="006D3AD5" w:rsidRPr="0073014D" w:rsidRDefault="006D3AD5" w:rsidP="00443B8F">
            <w:pPr>
              <w:pStyle w:val="Highlight2"/>
              <w:shd w:val="clear" w:color="auto" w:fill="8DB3E2"/>
              <w:jc w:val="center"/>
              <w:rPr>
                <w:rFonts w:ascii="Calibri" w:hAnsi="Calibri" w:cs="Calibri"/>
                <w:color w:val="000000"/>
                <w:sz w:val="22"/>
                <w:szCs w:val="22"/>
              </w:rPr>
            </w:pPr>
            <w:r>
              <w:rPr>
                <w:rFonts w:ascii="Calibri" w:hAnsi="Calibri"/>
                <w:color w:val="000000"/>
                <w:sz w:val="22"/>
              </w:rPr>
              <w:t>Market failure</w:t>
            </w:r>
          </w:p>
        </w:tc>
        <w:tc>
          <w:tcPr>
            <w:tcW w:w="2694" w:type="dxa"/>
            <w:shd w:val="clear" w:color="auto" w:fill="548DD4"/>
          </w:tcPr>
          <w:p w14:paraId="618B43E9" w14:textId="77777777" w:rsidR="006D3AD5" w:rsidRPr="0073014D" w:rsidRDefault="006D3AD5" w:rsidP="00443B8F">
            <w:pPr>
              <w:pStyle w:val="Highlight2"/>
              <w:shd w:val="clear" w:color="auto" w:fill="8DB3E2"/>
              <w:jc w:val="center"/>
              <w:rPr>
                <w:rFonts w:ascii="Calibri" w:hAnsi="Calibri" w:cs="Calibri"/>
                <w:bCs/>
                <w:color w:val="000000"/>
                <w:sz w:val="22"/>
                <w:szCs w:val="22"/>
              </w:rPr>
            </w:pPr>
            <w:r>
              <w:rPr>
                <w:rFonts w:ascii="Calibri" w:hAnsi="Calibri"/>
                <w:color w:val="000000"/>
                <w:sz w:val="22"/>
              </w:rPr>
              <w:t>Guarantee instrument</w:t>
            </w:r>
          </w:p>
        </w:tc>
        <w:tc>
          <w:tcPr>
            <w:tcW w:w="2268" w:type="dxa"/>
            <w:shd w:val="clear" w:color="auto" w:fill="548DD4"/>
          </w:tcPr>
          <w:p w14:paraId="36B92CB8" w14:textId="77777777" w:rsidR="006D3AD5" w:rsidRPr="0073014D" w:rsidRDefault="006D3AD5" w:rsidP="00443B8F">
            <w:pPr>
              <w:pStyle w:val="Highlight2"/>
              <w:shd w:val="clear" w:color="auto" w:fill="8DB3E2"/>
              <w:jc w:val="center"/>
              <w:rPr>
                <w:rFonts w:ascii="Calibri" w:hAnsi="Calibri" w:cs="Calibri"/>
                <w:color w:val="000000"/>
                <w:sz w:val="22"/>
                <w:szCs w:val="22"/>
              </w:rPr>
            </w:pPr>
            <w:r>
              <w:rPr>
                <w:rFonts w:ascii="Calibri" w:hAnsi="Calibri"/>
                <w:color w:val="000000"/>
                <w:sz w:val="22"/>
              </w:rPr>
              <w:t>Soft loan</w:t>
            </w:r>
          </w:p>
        </w:tc>
        <w:tc>
          <w:tcPr>
            <w:tcW w:w="2268" w:type="dxa"/>
            <w:shd w:val="clear" w:color="auto" w:fill="548DD4"/>
          </w:tcPr>
          <w:p w14:paraId="78F557F8" w14:textId="77777777" w:rsidR="006D3AD5" w:rsidRPr="0073014D" w:rsidRDefault="006D3AD5" w:rsidP="00443B8F">
            <w:pPr>
              <w:pStyle w:val="Highlight2"/>
              <w:shd w:val="clear" w:color="auto" w:fill="8DB3E2"/>
              <w:jc w:val="center"/>
              <w:rPr>
                <w:rFonts w:ascii="Calibri" w:hAnsi="Calibri" w:cs="Calibri"/>
                <w:bCs/>
                <w:color w:val="000000"/>
                <w:sz w:val="22"/>
                <w:szCs w:val="22"/>
              </w:rPr>
            </w:pPr>
            <w:r>
              <w:rPr>
                <w:rFonts w:ascii="Calibri" w:hAnsi="Calibri"/>
                <w:color w:val="000000"/>
                <w:sz w:val="22"/>
              </w:rPr>
              <w:t>Subsidy</w:t>
            </w:r>
          </w:p>
        </w:tc>
      </w:tr>
      <w:tr w:rsidR="006D3AD5" w:rsidRPr="0073014D" w14:paraId="78E3A05A" w14:textId="77777777" w:rsidTr="00443B8F">
        <w:trPr>
          <w:trHeight w:val="793"/>
        </w:trPr>
        <w:tc>
          <w:tcPr>
            <w:tcW w:w="1729" w:type="dxa"/>
          </w:tcPr>
          <w:p w14:paraId="7307B3BB" w14:textId="77777777" w:rsidR="006D3AD5" w:rsidRPr="0073014D" w:rsidRDefault="006D3AD5" w:rsidP="00443B8F">
            <w:pPr>
              <w:pStyle w:val="Highlight2"/>
              <w:jc w:val="left"/>
              <w:rPr>
                <w:rFonts w:ascii="Calibri" w:hAnsi="Calibri" w:cs="Calibri"/>
                <w:color w:val="000000"/>
              </w:rPr>
            </w:pPr>
            <w:r>
              <w:rPr>
                <w:rFonts w:ascii="Calibri" w:hAnsi="Calibri"/>
                <w:color w:val="000000"/>
              </w:rPr>
              <w:t>Project costs and return</w:t>
            </w:r>
          </w:p>
        </w:tc>
        <w:tc>
          <w:tcPr>
            <w:tcW w:w="2694" w:type="dxa"/>
          </w:tcPr>
          <w:p w14:paraId="098701C0"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Does not have influence on reduction of costs of project and its return</w:t>
            </w:r>
          </w:p>
        </w:tc>
        <w:tc>
          <w:tcPr>
            <w:tcW w:w="2268" w:type="dxa"/>
          </w:tcPr>
          <w:p w14:paraId="1B5ADD1F"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Partially decreases interest costs and initial costs of preparation, </w:t>
            </w:r>
            <w:r>
              <w:rPr>
                <w:rFonts w:ascii="Calibri" w:hAnsi="Calibri"/>
                <w:b w:val="0"/>
                <w:color w:val="000000"/>
              </w:rPr>
              <w:lastRenderedPageBreak/>
              <w:t>however, does not dramatically change return parametres</w:t>
            </w:r>
          </w:p>
        </w:tc>
        <w:tc>
          <w:tcPr>
            <w:tcW w:w="2268" w:type="dxa"/>
          </w:tcPr>
          <w:p w14:paraId="07E1B4D9"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lastRenderedPageBreak/>
              <w:t xml:space="preserve">Significantly reduces costs for applicants and, </w:t>
            </w:r>
            <w:r>
              <w:rPr>
                <w:rFonts w:ascii="Calibri" w:hAnsi="Calibri"/>
                <w:b w:val="0"/>
                <w:color w:val="000000"/>
              </w:rPr>
              <w:lastRenderedPageBreak/>
              <w:t>therefore, improves also project return.</w:t>
            </w:r>
          </w:p>
        </w:tc>
      </w:tr>
      <w:tr w:rsidR="006D3AD5" w:rsidRPr="0073014D" w14:paraId="72290998" w14:textId="77777777" w:rsidTr="00443B8F">
        <w:trPr>
          <w:trHeight w:val="1521"/>
        </w:trPr>
        <w:tc>
          <w:tcPr>
            <w:tcW w:w="1729" w:type="dxa"/>
          </w:tcPr>
          <w:p w14:paraId="4F8B8D63"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lastRenderedPageBreak/>
              <w:t>Project risk</w:t>
            </w:r>
          </w:p>
        </w:tc>
        <w:tc>
          <w:tcPr>
            <w:tcW w:w="2694" w:type="dxa"/>
          </w:tcPr>
          <w:p w14:paraId="37BBEFFF" w14:textId="0590348B"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From the viewpoint of lending, it divides risk among the </w:t>
            </w:r>
            <w:r w:rsidR="00AA2E8C">
              <w:rPr>
                <w:rFonts w:ascii="Calibri" w:hAnsi="Calibri"/>
                <w:b w:val="0"/>
                <w:color w:val="000000"/>
              </w:rPr>
              <w:t>final recipient, bank and FI</w:t>
            </w:r>
            <w:r>
              <w:rPr>
                <w:rFonts w:ascii="Calibri" w:hAnsi="Calibri"/>
                <w:b w:val="0"/>
                <w:color w:val="000000"/>
              </w:rPr>
              <w:t>. More liquid pledge, considerable risk reduction for crediting institution</w:t>
            </w:r>
          </w:p>
          <w:p w14:paraId="3FF2EC18" w14:textId="77777777" w:rsidR="006D3AD5" w:rsidRPr="0073014D" w:rsidRDefault="006D3AD5" w:rsidP="00443B8F">
            <w:pPr>
              <w:pStyle w:val="Highlight2"/>
              <w:jc w:val="center"/>
              <w:rPr>
                <w:rFonts w:ascii="Calibri" w:hAnsi="Calibri" w:cs="Calibri"/>
                <w:b w:val="0"/>
                <w:color w:val="000000"/>
              </w:rPr>
            </w:pPr>
          </w:p>
          <w:p w14:paraId="6558221E" w14:textId="13F6AAD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0121CB18" w14:textId="77777777" w:rsidR="006D3AD5" w:rsidRPr="0073014D" w:rsidRDefault="006D3AD5" w:rsidP="00443B8F">
            <w:pPr>
              <w:pStyle w:val="Highlight2"/>
              <w:jc w:val="center"/>
              <w:rPr>
                <w:rFonts w:ascii="Calibri" w:hAnsi="Calibri" w:cs="Calibri"/>
                <w:b w:val="0"/>
                <w:color w:val="000000"/>
              </w:rPr>
            </w:pPr>
          </w:p>
          <w:p w14:paraId="0879044E" w14:textId="77777777" w:rsidR="006D3AD5" w:rsidRPr="0073014D" w:rsidRDefault="006D3AD5" w:rsidP="00443B8F">
            <w:pPr>
              <w:pStyle w:val="Highlight2"/>
              <w:jc w:val="center"/>
              <w:rPr>
                <w:rFonts w:ascii="Calibri" w:hAnsi="Calibri" w:cs="Calibri"/>
                <w:b w:val="0"/>
                <w:color w:val="000000"/>
              </w:rPr>
            </w:pPr>
          </w:p>
        </w:tc>
        <w:tc>
          <w:tcPr>
            <w:tcW w:w="2268" w:type="dxa"/>
          </w:tcPr>
          <w:p w14:paraId="25A6DABD" w14:textId="126B7118"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Divides risk among </w:t>
            </w:r>
            <w:r w:rsidR="00AA2E8C">
              <w:rPr>
                <w:rFonts w:ascii="Calibri" w:hAnsi="Calibri"/>
                <w:b w:val="0"/>
                <w:color w:val="000000"/>
              </w:rPr>
              <w:t>final recipient, bank and FI</w:t>
            </w:r>
            <w:r>
              <w:rPr>
                <w:rFonts w:ascii="Calibri" w:hAnsi="Calibri"/>
                <w:b w:val="0"/>
                <w:color w:val="000000"/>
              </w:rPr>
              <w:t>.</w:t>
            </w:r>
          </w:p>
          <w:p w14:paraId="0D223EB2" w14:textId="77777777" w:rsidR="006D3AD5" w:rsidRPr="0073014D" w:rsidRDefault="006D3AD5" w:rsidP="00443B8F">
            <w:pPr>
              <w:pStyle w:val="Highlight2"/>
              <w:jc w:val="center"/>
              <w:rPr>
                <w:rFonts w:ascii="Calibri" w:hAnsi="Calibri" w:cs="Calibri"/>
                <w:b w:val="0"/>
                <w:color w:val="000000"/>
              </w:rPr>
            </w:pPr>
          </w:p>
          <w:p w14:paraId="75CBED11" w14:textId="457DE80A"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Risk of increased costs </w:t>
            </w:r>
            <w:r w:rsidR="00AA2E8C">
              <w:rPr>
                <w:rFonts w:ascii="Calibri" w:hAnsi="Calibri"/>
                <w:b w:val="0"/>
                <w:color w:val="000000"/>
              </w:rPr>
              <w:t>for final recipient remains</w:t>
            </w:r>
          </w:p>
          <w:p w14:paraId="2B52A8CA" w14:textId="77777777" w:rsidR="006D3AD5" w:rsidRPr="0073014D" w:rsidRDefault="006D3AD5" w:rsidP="00443B8F">
            <w:pPr>
              <w:pStyle w:val="Highlight2"/>
              <w:jc w:val="center"/>
              <w:rPr>
                <w:rFonts w:ascii="Calibri" w:hAnsi="Calibri" w:cs="Calibri"/>
                <w:b w:val="0"/>
                <w:color w:val="000000"/>
              </w:rPr>
            </w:pPr>
          </w:p>
          <w:p w14:paraId="1D221624" w14:textId="77777777" w:rsidR="006D3AD5" w:rsidRPr="0073014D" w:rsidRDefault="006D3AD5" w:rsidP="00443B8F">
            <w:pPr>
              <w:pStyle w:val="Highlight2"/>
              <w:jc w:val="center"/>
              <w:rPr>
                <w:rFonts w:ascii="Calibri" w:hAnsi="Calibri" w:cs="Calibri"/>
                <w:b w:val="0"/>
                <w:color w:val="000000"/>
              </w:rPr>
            </w:pPr>
          </w:p>
        </w:tc>
        <w:tc>
          <w:tcPr>
            <w:tcW w:w="2268" w:type="dxa"/>
          </w:tcPr>
          <w:p w14:paraId="3FB824DE" w14:textId="0A20E5D8" w:rsidR="006D3AD5" w:rsidRPr="0073014D" w:rsidRDefault="00AA2E8C" w:rsidP="00443B8F">
            <w:pPr>
              <w:pStyle w:val="Highlight2"/>
              <w:jc w:val="center"/>
              <w:rPr>
                <w:rFonts w:ascii="Calibri" w:hAnsi="Calibri" w:cs="Calibri"/>
                <w:b w:val="0"/>
                <w:color w:val="000000"/>
              </w:rPr>
            </w:pPr>
            <w:r>
              <w:rPr>
                <w:rFonts w:ascii="Calibri" w:hAnsi="Calibri"/>
                <w:b w:val="0"/>
                <w:color w:val="000000"/>
              </w:rPr>
              <w:t>Subsidy of part of costs reduces the final recipient</w:t>
            </w:r>
            <w:r w:rsidR="006D3AD5">
              <w:rPr>
                <w:rFonts w:ascii="Calibri" w:hAnsi="Calibri"/>
                <w:b w:val="0"/>
                <w:color w:val="000000"/>
              </w:rPr>
              <w:t xml:space="preserve">'s risk from negative revitalisation development. </w:t>
            </w:r>
            <w:r>
              <w:rPr>
                <w:rFonts w:ascii="Calibri" w:hAnsi="Calibri"/>
                <w:b w:val="0"/>
                <w:color w:val="000000"/>
              </w:rPr>
              <w:t>Final recipient accepts the</w:t>
            </w:r>
            <w:r w:rsidR="006D3AD5">
              <w:rPr>
                <w:rFonts w:ascii="Calibri" w:hAnsi="Calibri"/>
                <w:b w:val="0"/>
                <w:color w:val="000000"/>
              </w:rPr>
              <w:t xml:space="preserve"> risk only up to the amount of participation of eligible and non-eligible costs</w:t>
            </w:r>
          </w:p>
          <w:p w14:paraId="166B1E8F" w14:textId="77777777" w:rsidR="006D3AD5" w:rsidRPr="0073014D" w:rsidRDefault="006D3AD5" w:rsidP="00443B8F">
            <w:pPr>
              <w:pStyle w:val="Highlight2"/>
              <w:jc w:val="center"/>
              <w:rPr>
                <w:rFonts w:ascii="Calibri" w:hAnsi="Calibri" w:cs="Calibri"/>
                <w:b w:val="0"/>
                <w:color w:val="000000"/>
              </w:rPr>
            </w:pPr>
          </w:p>
          <w:p w14:paraId="2680197C"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Improved credit possibility of subsidised projects</w:t>
            </w:r>
          </w:p>
          <w:p w14:paraId="1B5E731B"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w:t>
            </w:r>
          </w:p>
          <w:p w14:paraId="11728A1C"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 xml:space="preserve"> SB knows losses given in advance up to absolute amount of subsidy.</w:t>
            </w:r>
          </w:p>
        </w:tc>
      </w:tr>
      <w:tr w:rsidR="006D3AD5" w:rsidRPr="0073014D" w14:paraId="69652B78" w14:textId="77777777" w:rsidTr="00443B8F">
        <w:trPr>
          <w:trHeight w:val="1474"/>
        </w:trPr>
        <w:tc>
          <w:tcPr>
            <w:tcW w:w="1729" w:type="dxa"/>
          </w:tcPr>
          <w:p w14:paraId="2B61F99E" w14:textId="77777777" w:rsidR="006D3AD5" w:rsidRPr="0073014D" w:rsidRDefault="006D3AD5" w:rsidP="00443B8F">
            <w:pPr>
              <w:rPr>
                <w:rFonts w:cs="Calibri"/>
                <w:b/>
                <w:sz w:val="20"/>
              </w:rPr>
            </w:pPr>
            <w:r>
              <w:rPr>
                <w:b/>
                <w:sz w:val="20"/>
              </w:rPr>
              <w:t>Administrative burden</w:t>
            </w:r>
          </w:p>
        </w:tc>
        <w:tc>
          <w:tcPr>
            <w:tcW w:w="2694" w:type="dxa"/>
          </w:tcPr>
          <w:p w14:paraId="68B1DD5D"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Simple administrative, without risk of removing subsidy due to technical mistakes</w:t>
            </w:r>
          </w:p>
          <w:p w14:paraId="0A86371E" w14:textId="77777777" w:rsidR="006D3AD5" w:rsidRPr="0073014D" w:rsidRDefault="006D3AD5" w:rsidP="00443B8F">
            <w:pPr>
              <w:pStyle w:val="Highlight2"/>
              <w:jc w:val="center"/>
              <w:rPr>
                <w:rFonts w:ascii="Calibri" w:hAnsi="Calibri" w:cs="Calibri"/>
                <w:b w:val="0"/>
                <w:bCs/>
                <w:color w:val="000000"/>
              </w:rPr>
            </w:pPr>
          </w:p>
        </w:tc>
        <w:tc>
          <w:tcPr>
            <w:tcW w:w="2268" w:type="dxa"/>
          </w:tcPr>
          <w:p w14:paraId="59FD36D0" w14:textId="77777777" w:rsidR="006D3AD5" w:rsidRPr="0073014D" w:rsidRDefault="006D3AD5" w:rsidP="00443B8F">
            <w:pPr>
              <w:rPr>
                <w:sz w:val="20"/>
              </w:rPr>
            </w:pPr>
            <w:r>
              <w:rPr>
                <w:sz w:val="20"/>
              </w:rPr>
              <w:t>Simple administrative, without risk of removing subsidy due to technical mistakes</w:t>
            </w:r>
          </w:p>
        </w:tc>
        <w:tc>
          <w:tcPr>
            <w:tcW w:w="2268" w:type="dxa"/>
          </w:tcPr>
          <w:p w14:paraId="622CBD40" w14:textId="5FD028A3" w:rsidR="006D3AD5" w:rsidRPr="0073014D" w:rsidRDefault="006D3AD5" w:rsidP="00443B8F">
            <w:pPr>
              <w:rPr>
                <w:sz w:val="20"/>
              </w:rPr>
            </w:pPr>
            <w:r>
              <w:rPr>
                <w:sz w:val="20"/>
              </w:rPr>
              <w:t xml:space="preserve">High administrative and regulation </w:t>
            </w:r>
            <w:r w:rsidR="00AA2E8C">
              <w:rPr>
                <w:sz w:val="20"/>
              </w:rPr>
              <w:t>burden limit final recipient</w:t>
            </w:r>
            <w:r>
              <w:rPr>
                <w:sz w:val="20"/>
              </w:rPr>
              <w:t>, increase costs and bring risk of removing subsidy.</w:t>
            </w:r>
          </w:p>
        </w:tc>
      </w:tr>
      <w:tr w:rsidR="006D3AD5" w:rsidRPr="0073014D" w14:paraId="0108DF93" w14:textId="77777777" w:rsidTr="00443B8F">
        <w:tc>
          <w:tcPr>
            <w:tcW w:w="1729" w:type="dxa"/>
          </w:tcPr>
          <w:p w14:paraId="69419806" w14:textId="77777777" w:rsidR="006D3AD5" w:rsidRPr="0073014D" w:rsidRDefault="006D3AD5" w:rsidP="00443B8F">
            <w:pPr>
              <w:pStyle w:val="Highlight2"/>
              <w:jc w:val="left"/>
              <w:rPr>
                <w:rFonts w:ascii="Calibri" w:hAnsi="Calibri" w:cs="Calibri"/>
                <w:bCs/>
                <w:color w:val="000000"/>
                <w:szCs w:val="20"/>
              </w:rPr>
            </w:pPr>
            <w:r>
              <w:rPr>
                <w:rFonts w:ascii="Calibri" w:hAnsi="Calibri"/>
                <w:color w:val="000000"/>
              </w:rPr>
              <w:t>Total effect on investment activity and absorption in SC</w:t>
            </w:r>
          </w:p>
        </w:tc>
        <w:tc>
          <w:tcPr>
            <w:tcW w:w="2694" w:type="dxa"/>
          </w:tcPr>
          <w:p w14:paraId="1471FA92" w14:textId="77777777" w:rsidR="006D3AD5" w:rsidRPr="0073014D" w:rsidRDefault="006D3AD5" w:rsidP="00443B8F">
            <w:pPr>
              <w:pStyle w:val="Highlight2"/>
              <w:jc w:val="center"/>
              <w:rPr>
                <w:rFonts w:ascii="Calibri" w:hAnsi="Calibri" w:cs="Calibri"/>
                <w:b w:val="0"/>
                <w:bCs/>
                <w:color w:val="000000"/>
              </w:rPr>
            </w:pPr>
            <w:r>
              <w:rPr>
                <w:rFonts w:ascii="Calibri" w:hAnsi="Calibri"/>
                <w:b w:val="0"/>
                <w:color w:val="000000"/>
              </w:rPr>
              <w:t xml:space="preserve">The guarantee can have the influence on the area of the reconstruction of the central heat resource, with respect to the identified problem with the guarantee – which concerns smaller entities </w:t>
            </w:r>
          </w:p>
          <w:p w14:paraId="73A66517" w14:textId="77777777" w:rsidR="006D3AD5" w:rsidRPr="0073014D" w:rsidRDefault="006D3AD5" w:rsidP="00443B8F">
            <w:pPr>
              <w:pStyle w:val="Highlight2"/>
              <w:jc w:val="center"/>
              <w:rPr>
                <w:rFonts w:ascii="Calibri" w:hAnsi="Calibri" w:cs="Calibri"/>
                <w:b w:val="0"/>
                <w:color w:val="000000"/>
              </w:rPr>
            </w:pPr>
            <w:r>
              <w:rPr>
                <w:rFonts w:ascii="Calibri" w:hAnsi="Calibri"/>
                <w:b w:val="0"/>
                <w:color w:val="000000"/>
              </w:rPr>
              <w:t>On the other hand, it does not solve a primary problem of long payback period and motivation to investments within the regulated branch.</w:t>
            </w:r>
          </w:p>
        </w:tc>
        <w:tc>
          <w:tcPr>
            <w:tcW w:w="2268" w:type="dxa"/>
          </w:tcPr>
          <w:p w14:paraId="51810A15" w14:textId="77777777" w:rsidR="006D3AD5" w:rsidRPr="0073014D" w:rsidRDefault="006D3AD5" w:rsidP="00443B8F">
            <w:pPr>
              <w:rPr>
                <w:sz w:val="20"/>
              </w:rPr>
            </w:pPr>
            <w:r>
              <w:rPr>
                <w:sz w:val="20"/>
              </w:rPr>
              <w:t>Slight shortening of the payback period, access to higher external funding and contribution to the project preparation</w:t>
            </w:r>
          </w:p>
          <w:p w14:paraId="5E6CA2AA" w14:textId="77777777" w:rsidR="006D3AD5" w:rsidRPr="0073014D" w:rsidRDefault="006D3AD5" w:rsidP="00443B8F">
            <w:pPr>
              <w:rPr>
                <w:sz w:val="20"/>
              </w:rPr>
            </w:pPr>
            <w:r>
              <w:rPr>
                <w:sz w:val="20"/>
              </w:rPr>
              <w:t>will have, within the length of the payback period and investment activity in the regulated branch, rather lower effect.</w:t>
            </w:r>
          </w:p>
          <w:p w14:paraId="08A94833" w14:textId="77777777" w:rsidR="006D3AD5" w:rsidRPr="0073014D" w:rsidRDefault="006D3AD5" w:rsidP="00443B8F">
            <w:pPr>
              <w:rPr>
                <w:rFonts w:cs="Calibri"/>
                <w:sz w:val="20"/>
              </w:rPr>
            </w:pPr>
          </w:p>
        </w:tc>
        <w:tc>
          <w:tcPr>
            <w:tcW w:w="2268" w:type="dxa"/>
          </w:tcPr>
          <w:p w14:paraId="61438A57" w14:textId="77777777" w:rsidR="006D3AD5" w:rsidRPr="0073014D" w:rsidRDefault="006D3AD5" w:rsidP="00443B8F">
            <w:pPr>
              <w:rPr>
                <w:sz w:val="20"/>
              </w:rPr>
            </w:pPr>
            <w:r>
              <w:rPr>
                <w:sz w:val="20"/>
              </w:rPr>
              <w:t>Visible effect on project cost intensity and return can significantly stimulate activities in such area.</w:t>
            </w:r>
          </w:p>
          <w:p w14:paraId="771F262F" w14:textId="77777777" w:rsidR="006D3AD5" w:rsidRPr="0073014D" w:rsidRDefault="006D3AD5" w:rsidP="00443B8F">
            <w:pPr>
              <w:rPr>
                <w:rFonts w:cs="Calibri"/>
                <w:sz w:val="20"/>
              </w:rPr>
            </w:pPr>
          </w:p>
        </w:tc>
      </w:tr>
      <w:tr w:rsidR="006D3AD5" w:rsidRPr="0073014D" w14:paraId="3F911E62" w14:textId="77777777" w:rsidTr="00443B8F">
        <w:tc>
          <w:tcPr>
            <w:tcW w:w="1729" w:type="dxa"/>
          </w:tcPr>
          <w:p w14:paraId="4C75BFAD" w14:textId="77777777" w:rsidR="006D3AD5" w:rsidRPr="0073014D" w:rsidRDefault="006D3AD5" w:rsidP="00443B8F">
            <w:pPr>
              <w:pStyle w:val="Highlight2"/>
              <w:jc w:val="left"/>
              <w:rPr>
                <w:rFonts w:ascii="Calibri" w:hAnsi="Calibri" w:cs="Calibri"/>
                <w:color w:val="000000"/>
                <w:szCs w:val="20"/>
              </w:rPr>
            </w:pPr>
            <w:r>
              <w:rPr>
                <w:rFonts w:ascii="Calibri" w:hAnsi="Calibri"/>
                <w:color w:val="000000"/>
              </w:rPr>
              <w:t>Effect of disruption of market environment</w:t>
            </w:r>
          </w:p>
        </w:tc>
        <w:tc>
          <w:tcPr>
            <w:tcW w:w="2694" w:type="dxa"/>
          </w:tcPr>
          <w:p w14:paraId="5C472F4E" w14:textId="77777777" w:rsidR="006D3AD5" w:rsidRPr="0073014D" w:rsidRDefault="006D3AD5" w:rsidP="00443B8F">
            <w:pPr>
              <w:pStyle w:val="Highlight2"/>
              <w:jc w:val="center"/>
              <w:rPr>
                <w:rFonts w:ascii="Calibri" w:hAnsi="Calibri" w:cs="Calibri"/>
                <w:b w:val="0"/>
                <w:bCs/>
                <w:color w:val="000000"/>
                <w:szCs w:val="20"/>
              </w:rPr>
            </w:pPr>
            <w:r>
              <w:rPr>
                <w:rFonts w:ascii="Calibri" w:hAnsi="Calibri"/>
                <w:b w:val="0"/>
                <w:color w:val="000000"/>
              </w:rPr>
              <w:t>Minimum influence on market environment, increase competition by removing financial barrier for smaller entities</w:t>
            </w:r>
          </w:p>
        </w:tc>
        <w:tc>
          <w:tcPr>
            <w:tcW w:w="2268" w:type="dxa"/>
          </w:tcPr>
          <w:p w14:paraId="31EEB860"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Small influence on market environment, recoverable support motivates economically effective behaviour of entities</w:t>
            </w:r>
          </w:p>
          <w:p w14:paraId="2E240A13" w14:textId="77777777" w:rsidR="006D3AD5" w:rsidRPr="0073014D" w:rsidRDefault="006D3AD5" w:rsidP="00443B8F">
            <w:pPr>
              <w:pStyle w:val="Highlight2"/>
              <w:jc w:val="center"/>
              <w:rPr>
                <w:rFonts w:ascii="Calibri" w:hAnsi="Calibri" w:cs="Calibri"/>
                <w:b w:val="0"/>
                <w:color w:val="000000"/>
                <w:szCs w:val="20"/>
              </w:rPr>
            </w:pPr>
            <w:r>
              <w:rPr>
                <w:rFonts w:ascii="Calibri" w:hAnsi="Calibri"/>
                <w:b w:val="0"/>
                <w:color w:val="000000"/>
              </w:rPr>
              <w:t>Supplementation of private financial market</w:t>
            </w:r>
          </w:p>
          <w:p w14:paraId="37A35484" w14:textId="77777777" w:rsidR="006D3AD5" w:rsidRPr="0073014D" w:rsidRDefault="006D3AD5" w:rsidP="00443B8F">
            <w:pPr>
              <w:rPr>
                <w:sz w:val="20"/>
              </w:rPr>
            </w:pPr>
            <w:r>
              <w:rPr>
                <w:sz w:val="20"/>
              </w:rPr>
              <w:t>Does not disturb market environment like in case of operational subsidy</w:t>
            </w:r>
          </w:p>
        </w:tc>
        <w:tc>
          <w:tcPr>
            <w:tcW w:w="2268" w:type="dxa"/>
          </w:tcPr>
          <w:p w14:paraId="0FEE2F16" w14:textId="77777777" w:rsidR="006D3AD5" w:rsidRPr="0073014D" w:rsidRDefault="006D3AD5" w:rsidP="00443B8F">
            <w:pPr>
              <w:rPr>
                <w:sz w:val="20"/>
              </w:rPr>
            </w:pPr>
            <w:r>
              <w:rPr>
                <w:sz w:val="20"/>
              </w:rPr>
              <w:t>Subsidies mean advantages for business of affected entities, nevertheless, they balance market failure to a certain extent. Within the market, it is not serious disruption with respect to its special, regulated and quasi-monopoly character.</w:t>
            </w:r>
          </w:p>
        </w:tc>
      </w:tr>
    </w:tbl>
    <w:p w14:paraId="3D4762B4" w14:textId="77777777" w:rsidR="006D3AD5" w:rsidRPr="0073014D" w:rsidRDefault="006D3AD5" w:rsidP="006D3AD5"/>
    <w:p w14:paraId="76A269B4" w14:textId="7543ABA2" w:rsidR="006D3AD5" w:rsidRPr="0073014D" w:rsidRDefault="006D3AD5" w:rsidP="003D68AA">
      <w:pPr>
        <w:pStyle w:val="Titulek"/>
      </w:pPr>
      <w:r>
        <w:t xml:space="preserve">Table </w:t>
      </w:r>
      <w:r w:rsidR="00A9664A">
        <w:t xml:space="preserve">87 </w:t>
      </w:r>
      <w:r>
        <w:t xml:space="preserve">– Added value of support for goals </w:t>
      </w:r>
      <w:r w:rsidR="00685AEF">
        <w:t xml:space="preserve">SO </w:t>
      </w:r>
      <w:r>
        <w:t>3.5</w:t>
      </w:r>
    </w:p>
    <w:p w14:paraId="4FBE282F" w14:textId="77777777" w:rsidR="006D3AD5" w:rsidRPr="0073014D" w:rsidRDefault="006D3AD5" w:rsidP="006D3AD5"/>
    <w:p w14:paraId="4D186E69" w14:textId="77777777" w:rsidR="006D3AD5" w:rsidRPr="0073014D" w:rsidRDefault="006D3AD5" w:rsidP="006D3AD5">
      <w:r>
        <w:t>The comparison of the added value shows that marked market failures are better solved through subsidy support. A potential of the credit and guarantee instrument, if any, and their absorption capacity still need to be verified. A certain positive shows their revolving effect and influence on access to funding.</w:t>
      </w:r>
    </w:p>
    <w:p w14:paraId="3D509C18" w14:textId="77777777" w:rsidR="006D3AD5" w:rsidRPr="0073014D" w:rsidRDefault="006D3AD5" w:rsidP="006D3AD5">
      <w:pPr>
        <w:pStyle w:val="Nadpis4"/>
        <w:rPr>
          <w:rFonts w:ascii="Calibri" w:hAnsi="Calibri"/>
          <w:color w:val="000000"/>
        </w:rPr>
      </w:pPr>
      <w:r>
        <w:rPr>
          <w:rFonts w:ascii="Calibri" w:hAnsi="Calibri"/>
          <w:color w:val="000000"/>
        </w:rPr>
        <w:lastRenderedPageBreak/>
        <w:t>Concordance with other forms of public interventions</w:t>
      </w:r>
    </w:p>
    <w:p w14:paraId="5881186A" w14:textId="77777777" w:rsidR="006D3AD5" w:rsidRPr="0073014D" w:rsidRDefault="006D3AD5" w:rsidP="006D3AD5">
      <w:pPr>
        <w:rPr>
          <w:b/>
        </w:rPr>
      </w:pPr>
    </w:p>
    <w:p w14:paraId="6B927039" w14:textId="1922BFD6" w:rsidR="006D3AD5" w:rsidRPr="0073014D" w:rsidRDefault="006D3AD5" w:rsidP="006D3AD5">
      <w:r>
        <w:t xml:space="preserve">Complementarity occur, in particular, in connection with the energy efficiency support in the specific objective 3.2, in which in </w:t>
      </w:r>
      <w:r w:rsidR="00685AEF">
        <w:t xml:space="preserve">SO </w:t>
      </w:r>
      <w:r>
        <w:t>3.5 the energy savings in energy distribution is supported.</w:t>
      </w:r>
    </w:p>
    <w:p w14:paraId="6BE8331D" w14:textId="77777777" w:rsidR="006D3AD5" w:rsidRPr="0073014D" w:rsidRDefault="006D3AD5" w:rsidP="006D3AD5"/>
    <w:p w14:paraId="45FDDBD7" w14:textId="77777777" w:rsidR="006D3AD5" w:rsidRPr="0073014D" w:rsidRDefault="006D3AD5" w:rsidP="006D3AD5">
      <w:r>
        <w:t>Important complementarity includes also an option of integration of the Investment Plan for Europe and the European Fund for Strategic Investments.</w:t>
      </w:r>
    </w:p>
    <w:p w14:paraId="36E7AE22" w14:textId="77777777" w:rsidR="006D3AD5" w:rsidRPr="0073014D" w:rsidRDefault="006D3AD5" w:rsidP="006D3AD5">
      <w:pPr>
        <w:pStyle w:val="Nadpis4"/>
        <w:rPr>
          <w:rFonts w:ascii="Calibri" w:hAnsi="Calibri"/>
          <w:color w:val="000000"/>
        </w:rPr>
      </w:pPr>
      <w:r>
        <w:rPr>
          <w:rFonts w:ascii="Calibri" w:hAnsi="Calibri"/>
          <w:color w:val="000000"/>
        </w:rPr>
        <w:t>Possible solution of public support</w:t>
      </w:r>
    </w:p>
    <w:p w14:paraId="71101ED2" w14:textId="77777777" w:rsidR="006D3AD5" w:rsidRPr="0073014D" w:rsidRDefault="006D3AD5" w:rsidP="006D3AD5"/>
    <w:p w14:paraId="127B61A4" w14:textId="045B5420" w:rsidR="006D3AD5" w:rsidRPr="0073014D" w:rsidRDefault="006D3AD5" w:rsidP="006D3AD5">
      <w:r>
        <w:t xml:space="preserve">The public support for the credit financial instrument can be solved through the provision of a </w:t>
      </w:r>
      <w:r>
        <w:rPr>
          <w:i/>
        </w:rPr>
        <w:t>de minimis</w:t>
      </w:r>
      <w:r>
        <w:t xml:space="preserve"> support or a support as per the General Regulation on Block Exceptions, No. 651/2014, in the case of the capital financial instrument only through a support as per the General Regulation on Block Exceptions, No. 651/2014. Public support is assumed only at the level of </w:t>
      </w:r>
      <w:r w:rsidR="00CF3F95">
        <w:t>final recipients</w:t>
      </w:r>
      <w:r>
        <w:t>.</w:t>
      </w:r>
    </w:p>
    <w:p w14:paraId="225D9417" w14:textId="77777777" w:rsidR="006D3AD5" w:rsidRPr="0073014D" w:rsidRDefault="006D3AD5" w:rsidP="006D3AD5"/>
    <w:p w14:paraId="7B070314" w14:textId="77777777" w:rsidR="006D3AD5" w:rsidRPr="0073014D" w:rsidRDefault="006D3AD5" w:rsidP="006D3AD5"/>
    <w:p w14:paraId="570E1678" w14:textId="77777777" w:rsidR="006D3AD5" w:rsidRPr="0073014D" w:rsidRDefault="006D3AD5" w:rsidP="006D3AD5">
      <w:pPr>
        <w:pStyle w:val="Nadpis3"/>
        <w:rPr>
          <w:rFonts w:ascii="Calibri" w:hAnsi="Calibri"/>
          <w:color w:val="000000"/>
        </w:rPr>
      </w:pPr>
      <w:bookmarkStart w:id="937" w:name="_Toc422312131"/>
      <w:r>
        <w:rPr>
          <w:rFonts w:ascii="Calibri" w:hAnsi="Calibri"/>
          <w:color w:val="000000"/>
        </w:rPr>
        <w:t>Estimated additional public and private resources</w:t>
      </w:r>
      <w:bookmarkEnd w:id="937"/>
    </w:p>
    <w:p w14:paraId="5280CB57" w14:textId="77777777" w:rsidR="006D3AD5" w:rsidRPr="0073014D" w:rsidRDefault="006D3AD5" w:rsidP="006D3AD5">
      <w:pPr>
        <w:pStyle w:val="Nadpis4"/>
        <w:rPr>
          <w:rFonts w:ascii="Calibri" w:hAnsi="Calibri"/>
          <w:color w:val="000000"/>
        </w:rPr>
      </w:pPr>
      <w:r>
        <w:rPr>
          <w:rFonts w:ascii="Calibri" w:hAnsi="Calibri"/>
          <w:color w:val="000000"/>
        </w:rPr>
        <w:t>Co-financing from private resources up to the level of the final receiver</w:t>
      </w:r>
    </w:p>
    <w:p w14:paraId="3205A8F7" w14:textId="77777777" w:rsidR="006D3AD5" w:rsidRPr="0073014D" w:rsidRDefault="006D3AD5" w:rsidP="006D3AD5">
      <w:r>
        <w:t>Instrument in the form of soft loans assumes co-financing in the form of a commercial loan, which will be a presumption of granting a soft loan. The share of private bank resources in financing a project can move in a dependence on setting the instrument and the share of internal resources in 20-80% of project expenses. In order to preserve sufficient rate of advantage in the form of a lower compound interest rate, a maximum proportion of a commercial loan 1:1 to the soft loan is recommended. In the model example, at the commercial banks' rate of 3.5% and FN rate of 0.5%, thus, the result rate will be at the level of 2%.</w:t>
      </w:r>
    </w:p>
    <w:p w14:paraId="1E2FD5D6" w14:textId="77777777" w:rsidR="006D3AD5" w:rsidRPr="0073014D" w:rsidRDefault="006D3AD5" w:rsidP="006D3AD5"/>
    <w:p w14:paraId="2C2B3EDF" w14:textId="77777777" w:rsidR="006D3AD5" w:rsidRPr="0073014D" w:rsidRDefault="006D3AD5" w:rsidP="006D3AD5">
      <w:r>
        <w:t>The precondition for the instrument of soft loans is also preservation of the share of the receiver's internal resources, which may significantly oscillate in dependence on a financial strategy of the business and its needs. Our resources will be applied to finance eligible expenses and, in particular, for non-eligible project expenses.</w:t>
      </w:r>
    </w:p>
    <w:p w14:paraId="1217B978" w14:textId="77777777" w:rsidR="006D3AD5" w:rsidRPr="0073014D" w:rsidRDefault="006D3AD5" w:rsidP="006D3AD5"/>
    <w:p w14:paraId="3332FCDF" w14:textId="29365166" w:rsidR="006D3AD5" w:rsidRPr="0073014D" w:rsidRDefault="006D3AD5" w:rsidP="006D3AD5">
      <w:r>
        <w:t xml:space="preserve">The share of the applicant's own resources are estimated at the level </w:t>
      </w:r>
      <w:r w:rsidR="008A6F19">
        <w:t>of 10-30% of the project costs.</w:t>
      </w:r>
    </w:p>
    <w:p w14:paraId="461BCD67" w14:textId="77777777" w:rsidR="006D3AD5" w:rsidRPr="0073014D" w:rsidRDefault="006D3AD5" w:rsidP="006D3AD5"/>
    <w:p w14:paraId="33A3D2D1" w14:textId="77777777" w:rsidR="006D3AD5" w:rsidRPr="0073014D" w:rsidRDefault="006D3AD5" w:rsidP="006D3AD5">
      <w:pPr>
        <w:pStyle w:val="Nadpis4"/>
        <w:rPr>
          <w:rFonts w:ascii="Calibri" w:hAnsi="Calibri"/>
          <w:color w:val="000000"/>
        </w:rPr>
      </w:pPr>
      <w:r>
        <w:rPr>
          <w:rFonts w:ascii="Calibri" w:hAnsi="Calibri"/>
          <w:color w:val="000000"/>
        </w:rPr>
        <w:t>Identification of key subjects</w:t>
      </w:r>
    </w:p>
    <w:p w14:paraId="2EDB7312" w14:textId="77777777" w:rsidR="006D3AD5" w:rsidRPr="0073014D" w:rsidRDefault="006D3AD5" w:rsidP="006D3AD5"/>
    <w:p w14:paraId="33DA3688" w14:textId="77777777" w:rsidR="006D3AD5" w:rsidRPr="0073014D" w:rsidRDefault="006D3AD5" w:rsidP="006D3AD5">
      <w:r>
        <w:t>A key private entity for the instrument of soft loans are private credit institutions – commercial banks which ensure private co-financing. The FI will be implemented through the guarantee or credit fund with a selected administrator.</w:t>
      </w:r>
    </w:p>
    <w:p w14:paraId="556AD3B3" w14:textId="77777777" w:rsidR="006D3AD5" w:rsidRPr="0073014D" w:rsidRDefault="006D3AD5" w:rsidP="006D3AD5">
      <w:pPr>
        <w:pStyle w:val="Nadpis4"/>
        <w:rPr>
          <w:rFonts w:ascii="Calibri" w:hAnsi="Calibri"/>
          <w:color w:val="000000"/>
        </w:rPr>
      </w:pPr>
      <w:r>
        <w:rPr>
          <w:rFonts w:ascii="Calibri" w:hAnsi="Calibri"/>
          <w:color w:val="000000"/>
        </w:rPr>
        <w:t>Estimation of additional resources which may be potentially attracted by the financial instrument - estimated leverage effect</w:t>
      </w:r>
    </w:p>
    <w:p w14:paraId="7E486120" w14:textId="77777777" w:rsidR="006D3AD5" w:rsidRPr="0073014D" w:rsidRDefault="006D3AD5" w:rsidP="006D3AD5"/>
    <w:p w14:paraId="39C3066E" w14:textId="77777777" w:rsidR="006D3AD5" w:rsidRPr="0073014D" w:rsidRDefault="006D3AD5" w:rsidP="006D3AD5">
      <w:r>
        <w:t>Additional resources activated by the financial instrument and, therefore, also the resulting leverage effect are always dependent on the concrete setting of the investment strategy from the viewpoint of the required private co-financing.</w:t>
      </w:r>
    </w:p>
    <w:p w14:paraId="09DA82E8" w14:textId="77777777" w:rsidR="006D3AD5" w:rsidRPr="0073014D" w:rsidRDefault="006D3AD5" w:rsidP="006D3AD5"/>
    <w:p w14:paraId="1EDCA2B3" w14:textId="77777777" w:rsidR="006D3AD5" w:rsidRPr="0073014D" w:rsidRDefault="006D3AD5" w:rsidP="006D3AD5">
      <w:r>
        <w:t>Leverage effect of the credit instrument has direct proportional effects on the rate of employment of private bank co-financing, which will be given by a specific setting of the SB (Steering Body) and the agreement with private credit institutions. These parameters should be subject to flexible arrangement reflecting the results of the instrument.</w:t>
      </w:r>
    </w:p>
    <w:p w14:paraId="115A6B25" w14:textId="20F5EF08" w:rsidR="006D3AD5" w:rsidRPr="0073014D" w:rsidRDefault="006D3AD5" w:rsidP="006D3AD5">
      <w:pPr>
        <w:rPr>
          <w:b/>
        </w:rPr>
      </w:pPr>
      <w:r>
        <w:lastRenderedPageBreak/>
        <w:t xml:space="preserve">Upon the estimated range of co-financing and limit values specified above, in the case of soft loans, the leverage effect, may range from 1.125-9 (without applicant's own resources and revolving effect). Where the credit instrument for a </w:t>
      </w:r>
      <w:r w:rsidR="00CF3F95">
        <w:t>final recipient</w:t>
      </w:r>
      <w:r>
        <w:t xml:space="preserve"> is to be sufficiently advantageous and substantiated, we cannot expect the leverage effect exceeding the value of 2 (i.e. the share of the FI and private loan in the proportion 1:1).</w:t>
      </w:r>
    </w:p>
    <w:p w14:paraId="54CD342B" w14:textId="77777777" w:rsidR="006D3AD5" w:rsidRPr="0073014D" w:rsidRDefault="006D3AD5" w:rsidP="006D3AD5"/>
    <w:p w14:paraId="5F574BA2" w14:textId="77777777" w:rsidR="006D3AD5" w:rsidRPr="0073014D" w:rsidRDefault="006D3AD5" w:rsidP="006D3AD5">
      <w:pPr>
        <w:pStyle w:val="Nadpis4"/>
        <w:rPr>
          <w:rFonts w:ascii="Calibri" w:hAnsi="Calibri"/>
          <w:color w:val="000000"/>
        </w:rPr>
      </w:pPr>
      <w:r>
        <w:rPr>
          <w:rFonts w:ascii="Calibri" w:hAnsi="Calibri"/>
          <w:color w:val="000000"/>
        </w:rPr>
        <w:t>Evaluation of the need and level of preferential remuneration</w:t>
      </w:r>
    </w:p>
    <w:p w14:paraId="32FD62EA" w14:textId="451C5C26" w:rsidR="006D3AD5" w:rsidRPr="0073014D" w:rsidRDefault="006D3AD5" w:rsidP="006D3AD5">
      <w:r>
        <w:t xml:space="preserve">Within soft loans of FI , we propose to apply setting a longer period of maturity and a secondary right of lien to liable assets in order to motivate sufficient leverage effect and employment of private bank resources in the supported project. This way we can considerably increase an additional credit possibility of the supported entities, the risk of private banks in the provision of an additional private loan decreases and the private capital is not crowded out by the financial instrument. It is not a preferential remuneration of credit institutions, the effects of the instrument should be fully transferred to the </w:t>
      </w:r>
      <w:r w:rsidR="00CF3F95">
        <w:t>final recipient</w:t>
      </w:r>
      <w:r>
        <w:t>. Preferential remuneration is not proposed.</w:t>
      </w:r>
    </w:p>
    <w:p w14:paraId="3DC87569" w14:textId="77777777" w:rsidR="006D3AD5" w:rsidRPr="0073014D" w:rsidRDefault="006D3AD5" w:rsidP="006D3AD5">
      <w:pPr>
        <w:pStyle w:val="Nadpis2"/>
        <w:rPr>
          <w:rFonts w:ascii="Calibri" w:hAnsi="Calibri"/>
          <w:color w:val="000000"/>
        </w:rPr>
      </w:pPr>
      <w:bookmarkStart w:id="938" w:name="_Toc416800470"/>
      <w:bookmarkStart w:id="939" w:name="_Toc422312132"/>
      <w:r>
        <w:rPr>
          <w:rFonts w:ascii="Calibri" w:hAnsi="Calibri"/>
          <w:color w:val="000000"/>
        </w:rPr>
        <w:t>Specific objective 4.1- Increase the coverage via Internet high-speed access</w:t>
      </w:r>
      <w:bookmarkEnd w:id="938"/>
      <w:bookmarkEnd w:id="939"/>
    </w:p>
    <w:p w14:paraId="4E4D2525" w14:textId="77777777" w:rsidR="006D3AD5" w:rsidRPr="0073014D" w:rsidRDefault="006D3AD5" w:rsidP="006D3AD5">
      <w:pPr>
        <w:pStyle w:val="Nadpis3"/>
        <w:rPr>
          <w:rFonts w:ascii="Calibri" w:hAnsi="Calibri"/>
          <w:color w:val="000000"/>
        </w:rPr>
      </w:pPr>
      <w:bookmarkStart w:id="940" w:name="_Toc416800471"/>
      <w:bookmarkStart w:id="941" w:name="_Toc422312133"/>
      <w:r>
        <w:rPr>
          <w:rFonts w:ascii="Calibri" w:hAnsi="Calibri"/>
          <w:color w:val="000000"/>
        </w:rPr>
        <w:t>Orientation of a specific objective</w:t>
      </w:r>
      <w:bookmarkEnd w:id="940"/>
      <w:bookmarkEnd w:id="941"/>
    </w:p>
    <w:p w14:paraId="0096DAC8" w14:textId="77777777" w:rsidR="006D3AD5" w:rsidRPr="0073014D" w:rsidRDefault="006D3AD5" w:rsidP="006D3AD5">
      <w:pPr>
        <w:pStyle w:val="Neslovannadpisy"/>
        <w:rPr>
          <w:color w:val="000000"/>
        </w:rPr>
      </w:pPr>
      <w:r>
        <w:rPr>
          <w:color w:val="000000"/>
        </w:rPr>
        <w:t>Supported activities:</w:t>
      </w:r>
    </w:p>
    <w:p w14:paraId="3653D212" w14:textId="77777777" w:rsidR="006D3AD5" w:rsidRPr="0073014D" w:rsidRDefault="006D3AD5" w:rsidP="006D3AD5">
      <w:pPr>
        <w:pStyle w:val="Odstavecseseznamem1"/>
        <w:numPr>
          <w:ilvl w:val="0"/>
          <w:numId w:val="6"/>
        </w:numPr>
      </w:pPr>
      <w:r>
        <w:t>Modernisation or the extension of the existing infrastructure for Internet high-speed access via the utilisation of optical elements with a view to enabling the Internet high-speed access via the transmission speed of no less than 30Mbit/s,</w:t>
      </w:r>
    </w:p>
    <w:p w14:paraId="48AEC4D9" w14:textId="77777777" w:rsidR="006D3AD5" w:rsidRPr="0073014D" w:rsidRDefault="006D3AD5" w:rsidP="006D3AD5">
      <w:pPr>
        <w:pStyle w:val="Odstavecseseznamem1"/>
        <w:numPr>
          <w:ilvl w:val="0"/>
          <w:numId w:val="6"/>
        </w:numPr>
      </w:pPr>
      <w:r>
        <w:t>establishment of the new networks consisting partly or fully of optical lines for high-speed internet access enabling the transmission speed of at last 30 Mbit/s; in the case of installing new networks with fixed connection to the individual households, such a network needs to enable the transmission speed of up to 100 Mbit/s,</w:t>
      </w:r>
    </w:p>
    <w:p w14:paraId="73C282A2" w14:textId="77777777" w:rsidR="006D3AD5" w:rsidRPr="0073014D" w:rsidRDefault="006D3AD5" w:rsidP="006D3AD5">
      <w:pPr>
        <w:pStyle w:val="Odstavecseseznamem1"/>
        <w:numPr>
          <w:ilvl w:val="0"/>
          <w:numId w:val="6"/>
        </w:numPr>
      </w:pPr>
      <w:r>
        <w:t>development of passive infrastructure for high-speed access to the internet, especially in localities of the expected future construction development, providing that such an activity needs to be supported only in the combination with one of the two preceding activities.</w:t>
      </w:r>
    </w:p>
    <w:p w14:paraId="081A7DD6" w14:textId="77777777" w:rsidR="006D3AD5" w:rsidRPr="0073014D" w:rsidRDefault="006D3AD5" w:rsidP="006D3AD5"/>
    <w:p w14:paraId="7B5A2D51" w14:textId="1C2D532A" w:rsidR="006D3AD5" w:rsidRPr="0073014D" w:rsidRDefault="003213A1" w:rsidP="006D3AD5">
      <w:pPr>
        <w:pStyle w:val="Neslovannadpisy"/>
        <w:rPr>
          <w:color w:val="000000"/>
        </w:rPr>
      </w:pPr>
      <w:r>
        <w:rPr>
          <w:color w:val="000000"/>
        </w:rPr>
        <w:t>Main type of final recipients</w:t>
      </w:r>
      <w:r w:rsidR="006D3AD5">
        <w:rPr>
          <w:color w:val="000000"/>
        </w:rPr>
        <w:t>:</w:t>
      </w:r>
    </w:p>
    <w:p w14:paraId="4D896D91" w14:textId="77777777" w:rsidR="006D3AD5" w:rsidRPr="0073014D" w:rsidRDefault="006D3AD5" w:rsidP="006D3AD5">
      <w:r>
        <w:t>Business entities in electronic communications irrespective of their size.</w:t>
      </w:r>
    </w:p>
    <w:p w14:paraId="2C3D384E" w14:textId="77777777" w:rsidR="006D3AD5" w:rsidRPr="0073014D" w:rsidRDefault="006D3AD5" w:rsidP="006D3AD5"/>
    <w:p w14:paraId="43A5E001" w14:textId="77777777" w:rsidR="006D3AD5" w:rsidRPr="0073014D" w:rsidRDefault="006D3AD5" w:rsidP="006D3AD5">
      <w:pPr>
        <w:pStyle w:val="Neslovannadpisy"/>
        <w:rPr>
          <w:color w:val="000000"/>
        </w:rPr>
      </w:pPr>
      <w:r>
        <w:rPr>
          <w:color w:val="000000"/>
        </w:rPr>
        <w:t xml:space="preserve">Main target group: </w:t>
      </w:r>
    </w:p>
    <w:p w14:paraId="4D8F4DC5" w14:textId="77777777" w:rsidR="006D3AD5" w:rsidRPr="0073014D" w:rsidRDefault="006D3AD5" w:rsidP="006D3AD5">
      <w:r>
        <w:t>People and businessmen who do not have an opportunity to use high-speed access to the internet with the speed of at least 30 Mbit/s.</w:t>
      </w:r>
    </w:p>
    <w:p w14:paraId="0DA75C61" w14:textId="77777777" w:rsidR="006D3AD5" w:rsidRPr="0073014D" w:rsidRDefault="006D3AD5" w:rsidP="006D3AD5">
      <w:pPr>
        <w:pStyle w:val="Neslovannadpisy"/>
        <w:rPr>
          <w:color w:val="000000"/>
        </w:rPr>
      </w:pPr>
    </w:p>
    <w:p w14:paraId="688FB899" w14:textId="77777777" w:rsidR="006D3AD5" w:rsidRPr="0073014D" w:rsidRDefault="006D3AD5" w:rsidP="006D3AD5">
      <w:pPr>
        <w:pStyle w:val="Neslovannadpisy"/>
        <w:rPr>
          <w:color w:val="000000"/>
        </w:rPr>
      </w:pPr>
      <w:r>
        <w:rPr>
          <w:color w:val="000000"/>
        </w:rPr>
        <w:t>Target area:</w:t>
      </w:r>
    </w:p>
    <w:p w14:paraId="6CA9AABC" w14:textId="77777777" w:rsidR="006D3AD5" w:rsidRPr="0073014D" w:rsidRDefault="006D3AD5" w:rsidP="006D3AD5">
      <w:r>
        <w:t>All regions in the Czech Republic except for the capital of Prague.</w:t>
      </w:r>
    </w:p>
    <w:p w14:paraId="4407D061" w14:textId="77777777" w:rsidR="006D3AD5" w:rsidRPr="0073014D" w:rsidRDefault="006D3AD5" w:rsidP="006D3AD5"/>
    <w:p w14:paraId="7AD1EA3C" w14:textId="77777777" w:rsidR="006D3AD5" w:rsidRPr="0073014D" w:rsidRDefault="006D3AD5" w:rsidP="006D3AD5">
      <w:pPr>
        <w:pStyle w:val="Neslovannadpisy"/>
        <w:rPr>
          <w:color w:val="000000"/>
        </w:rPr>
      </w:pPr>
      <w:r>
        <w:rPr>
          <w:color w:val="000000"/>
        </w:rPr>
        <w:t>Selection of activities to evaluate suitability of the financial instrument</w:t>
      </w:r>
    </w:p>
    <w:p w14:paraId="6213E732" w14:textId="07D2B0A0" w:rsidR="006D3AD5" w:rsidRPr="0073014D" w:rsidRDefault="006D3AD5" w:rsidP="006D3AD5">
      <w:r>
        <w:t xml:space="preserve">The whole area of building NGA networks in </w:t>
      </w:r>
      <w:r w:rsidR="00685AEF">
        <w:t xml:space="preserve">SO </w:t>
      </w:r>
      <w:r>
        <w:t>4.1. was selected for a preliminary review also on the basis of the indication of the European Commission.</w:t>
      </w:r>
    </w:p>
    <w:p w14:paraId="30995C7B" w14:textId="77777777" w:rsidR="006D3AD5" w:rsidRPr="0073014D" w:rsidRDefault="006D3AD5" w:rsidP="006D3AD5"/>
    <w:p w14:paraId="067DA311" w14:textId="77777777" w:rsidR="006D3AD5" w:rsidRPr="0073014D" w:rsidRDefault="006D3AD5" w:rsidP="006D3AD5">
      <w:pPr>
        <w:pStyle w:val="Nadpis3"/>
        <w:rPr>
          <w:rFonts w:ascii="Calibri" w:hAnsi="Calibri"/>
          <w:color w:val="000000"/>
        </w:rPr>
      </w:pPr>
      <w:bookmarkStart w:id="942" w:name="_Toc416800472"/>
      <w:bookmarkStart w:id="943" w:name="_Toc422312134"/>
      <w:r>
        <w:rPr>
          <w:rFonts w:ascii="Calibri" w:hAnsi="Calibri"/>
          <w:color w:val="000000"/>
        </w:rPr>
        <w:lastRenderedPageBreak/>
        <w:t>Analysis</w:t>
      </w:r>
      <w:bookmarkEnd w:id="942"/>
      <w:r>
        <w:rPr>
          <w:rFonts w:ascii="Calibri" w:hAnsi="Calibri"/>
          <w:color w:val="000000"/>
        </w:rPr>
        <w:t xml:space="preserve"> of the market failure</w:t>
      </w:r>
      <w:bookmarkEnd w:id="943"/>
    </w:p>
    <w:p w14:paraId="1CE5887D" w14:textId="77777777" w:rsidR="006D3AD5" w:rsidRPr="0073014D" w:rsidRDefault="006D3AD5" w:rsidP="006D3AD5">
      <w:pPr>
        <w:pStyle w:val="Nadpis4"/>
        <w:rPr>
          <w:rFonts w:ascii="Calibri" w:hAnsi="Calibri"/>
          <w:color w:val="000000"/>
        </w:rPr>
      </w:pPr>
      <w:r>
        <w:rPr>
          <w:rFonts w:ascii="Calibri" w:hAnsi="Calibri"/>
          <w:color w:val="000000"/>
        </w:rPr>
        <w:t>Market analysis</w:t>
      </w:r>
    </w:p>
    <w:p w14:paraId="2CB1D790" w14:textId="77777777" w:rsidR="006D3AD5" w:rsidRPr="0073014D" w:rsidRDefault="006D3AD5" w:rsidP="006D3AD5"/>
    <w:p w14:paraId="3DA772F9" w14:textId="77777777" w:rsidR="006D3AD5" w:rsidRPr="0073014D" w:rsidRDefault="006D3AD5" w:rsidP="006D3AD5">
      <w:r>
        <w:t xml:space="preserve">The economic development in the developed countries is considered as the most important aspect of the economic growth. Without the ICT development the economic development is not possible and this is why the EU bodies have started to deal with the support of the development of this area, whose integral part is reliable and fast connection to the internet. The coverage of quality internet connection is important for both companies and households, because the modern society requires new forms of work, communication. when searching for information is closely connected right with the access to the high-speed internet. </w:t>
      </w:r>
    </w:p>
    <w:p w14:paraId="5BF2951E" w14:textId="77777777" w:rsidR="006D3AD5" w:rsidRPr="0073014D" w:rsidRDefault="006D3AD5" w:rsidP="006D3AD5"/>
    <w:p w14:paraId="044F97DD" w14:textId="77777777" w:rsidR="006D3AD5" w:rsidRPr="0073014D" w:rsidRDefault="006D3AD5" w:rsidP="006D3AD5">
      <w:r>
        <w:t xml:space="preserve">If the Czech Republic intends to keep pace with the developed countries, it needs to deal with the issue of the development of the new generation networks (Next Generation Access) at the government level. The subject of the specific objective 4.1 is to increase the coverage by the high-speed Internet. The expansion of networks shall be either in the form of the reconstruction of the existing networks of electronic communications or the construction of new ones. </w:t>
      </w:r>
    </w:p>
    <w:p w14:paraId="7C81A557" w14:textId="77777777" w:rsidR="006D3AD5" w:rsidRPr="0073014D" w:rsidRDefault="006D3AD5" w:rsidP="006D3AD5"/>
    <w:p w14:paraId="14B0F351" w14:textId="77777777" w:rsidR="006D3AD5" w:rsidRPr="0073014D" w:rsidRDefault="006D3AD5" w:rsidP="006D3AD5">
      <w:pPr>
        <w:rPr>
          <w:sz w:val="24"/>
        </w:rPr>
      </w:pPr>
      <w:r>
        <w:t>On 20 March 2013, with its resolution No. 203, the Government approved the National Policy of Electronic Communications – Digital Czech v. 2.0</w:t>
      </w:r>
      <w:r>
        <w:br/>
        <w:t>The Way to Digital Economy</w:t>
      </w:r>
      <w:r>
        <w:br/>
      </w:r>
      <w:r>
        <w:rPr>
          <w:rStyle w:val="Znakapoznpodarou"/>
          <w:rFonts w:ascii="Calibri" w:hAnsi="Calibri"/>
          <w:b/>
        </w:rPr>
        <w:footnoteReference w:id="46"/>
      </w:r>
      <w:r>
        <w:t xml:space="preserve">. The Support of the Development of High-speed Access to the Internet and facilitating its construction is one of the items of this strategy. According to this government document, the goal is to achieve the access to the 30 Mbit/s internet for all people and the bandwidth of 100 Mbit/s for at least one half of households by 2020. </w:t>
      </w:r>
    </w:p>
    <w:p w14:paraId="637335E0" w14:textId="77777777" w:rsidR="006D3AD5" w:rsidRPr="0073014D" w:rsidRDefault="006D3AD5" w:rsidP="006D3AD5"/>
    <w:p w14:paraId="55E6CF34" w14:textId="77777777" w:rsidR="006D3AD5" w:rsidRPr="0073014D" w:rsidRDefault="006D3AD5" w:rsidP="006D3AD5">
      <w:r>
        <w:t>The target group are not only common households but also businessmen who are located in the areas where there is no NGA (Next Generation Access) and it is unlikely that the existing situation would change shortly. Entities carrying on business in electronic communications do bot build NGA networks in areas with a lower population density, because it is not economically attractive. Investments in the communication infrastructure are performed on the liberalised markets by private entities on the basis of market mechanisms and therefore particularly in the regions with highly prospective demand, while the “gap in the access to the high-speed connection” between rural and urban areas is growing. As a result of insufficient access to the internet – in spite of the growing demand – less populated areas of the Czech Republic could remain excluded from the economic development long-term.</w:t>
      </w:r>
    </w:p>
    <w:p w14:paraId="12A7EF43" w14:textId="77777777" w:rsidR="006D3AD5" w:rsidRPr="0073014D" w:rsidRDefault="006D3AD5" w:rsidP="006D3AD5">
      <w:pPr>
        <w:jc w:val="left"/>
      </w:pPr>
    </w:p>
    <w:p w14:paraId="4F9289FF" w14:textId="77777777" w:rsidR="006D3AD5" w:rsidRPr="0073014D" w:rsidRDefault="006D3AD5" w:rsidP="006D3AD5">
      <w:r>
        <w:t>The so-called “mapping” in the territory of the whole Czech Republic was performed for the localisation of areas with weak or no access to the internet via the infrastructure complying with the criterion of the NGA networks. The survey of the NGA availability at a level lower than the municipality territory, i.e. at the level of the basic community unit (BCU) was performed by the Czech Telecommunications Office</w:t>
      </w:r>
      <w:r>
        <w:rPr>
          <w:rStyle w:val="Znakapoznpodarou"/>
          <w:rFonts w:ascii="Calibri" w:hAnsi="Calibri"/>
        </w:rPr>
        <w:footnoteReference w:id="47"/>
      </w:r>
      <w:r>
        <w:t>. These results were also used in the preparation of the National Plan of the Development of New Generation Networks, whose working version was subject to a public consultation</w:t>
      </w:r>
      <w:r>
        <w:rPr>
          <w:rStyle w:val="Znakapoznpodarou"/>
          <w:rFonts w:ascii="Calibri" w:hAnsi="Calibri"/>
        </w:rPr>
        <w:footnoteReference w:id="48"/>
      </w:r>
      <w:r>
        <w:t xml:space="preserve">. </w:t>
      </w:r>
    </w:p>
    <w:p w14:paraId="43C4DF5E" w14:textId="77777777" w:rsidR="006D3AD5" w:rsidRPr="0073014D" w:rsidRDefault="006D3AD5" w:rsidP="006D3AD5"/>
    <w:p w14:paraId="72B9E9EB" w14:textId="77777777" w:rsidR="006D3AD5" w:rsidRPr="0073014D" w:rsidRDefault="006D3AD5" w:rsidP="006D3AD5">
      <w:pPr>
        <w:rPr>
          <w:b/>
        </w:rPr>
      </w:pPr>
      <w:r>
        <w:rPr>
          <w:b/>
        </w:rPr>
        <w:t>The result of the mapping of areas was the division of BCUs into the so-called white, grey and black areas:</w:t>
      </w:r>
    </w:p>
    <w:p w14:paraId="614FD53B" w14:textId="77777777" w:rsidR="006D3AD5" w:rsidRPr="0073014D" w:rsidRDefault="006D3AD5" w:rsidP="006D3AD5">
      <w:pPr>
        <w:pStyle w:val="Odstavecseseznamem1"/>
        <w:numPr>
          <w:ilvl w:val="0"/>
          <w:numId w:val="2"/>
        </w:numPr>
      </w:pPr>
      <w:r>
        <w:lastRenderedPageBreak/>
        <w:t>White areas – a locality where no NGA network exists and there exists a high likelihood that no network will be constructed under commercial conditions within the upcoming 3 years.</w:t>
      </w:r>
    </w:p>
    <w:p w14:paraId="4EB411D3" w14:textId="77777777" w:rsidR="006D3AD5" w:rsidRPr="0073014D" w:rsidRDefault="006D3AD5" w:rsidP="006D3AD5">
      <w:pPr>
        <w:pStyle w:val="Odstavecseseznamem1"/>
        <w:numPr>
          <w:ilvl w:val="0"/>
          <w:numId w:val="2"/>
        </w:numPr>
      </w:pPr>
      <w:r>
        <w:t>Grey areas – a locality where only one NGA exists from one operator and the likelihood that another network will be constructed under commercial conditions within 3 years is low.</w:t>
      </w:r>
    </w:p>
    <w:p w14:paraId="6D1C99E0" w14:textId="77777777" w:rsidR="006D3AD5" w:rsidRPr="0073014D" w:rsidRDefault="006D3AD5" w:rsidP="006D3AD5">
      <w:pPr>
        <w:pStyle w:val="Odstavecseseznamem1"/>
        <w:numPr>
          <w:ilvl w:val="0"/>
          <w:numId w:val="2"/>
        </w:numPr>
      </w:pPr>
      <w:r>
        <w:t xml:space="preserve">Black areas – a locality where there exist or within the 3 upcoming years there will exist at least 2 NGA networks from different operators. </w:t>
      </w:r>
    </w:p>
    <w:p w14:paraId="7D48187D" w14:textId="77777777" w:rsidR="006D3AD5" w:rsidRPr="0073014D" w:rsidRDefault="006D3AD5" w:rsidP="006D3AD5"/>
    <w:p w14:paraId="51E065D3" w14:textId="77777777" w:rsidR="006D3AD5" w:rsidRPr="0073014D" w:rsidRDefault="006D3AD5" w:rsidP="006D3AD5">
      <w:r>
        <w:t>The geographical distribution of white, grey and black areas is shown in the figure below.</w:t>
      </w:r>
    </w:p>
    <w:p w14:paraId="28AF3794" w14:textId="77777777" w:rsidR="006D3AD5" w:rsidRPr="0073014D" w:rsidRDefault="006D3AD5" w:rsidP="006D3AD5"/>
    <w:p w14:paraId="64F40021" w14:textId="77777777" w:rsidR="006D3AD5" w:rsidRPr="0073014D" w:rsidRDefault="006D3AD5" w:rsidP="006D3AD5">
      <w:pPr>
        <w:keepNext/>
      </w:pPr>
      <w:r>
        <w:rPr>
          <w:noProof/>
        </w:rPr>
        <w:drawing>
          <wp:inline distT="0" distB="0" distL="0" distR="0" wp14:anchorId="02C8E1B4" wp14:editId="6F87587B">
            <wp:extent cx="5720080" cy="3572510"/>
            <wp:effectExtent l="0" t="0" r="0" b="889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080" cy="3572510"/>
                    </a:xfrm>
                    <a:prstGeom prst="rect">
                      <a:avLst/>
                    </a:prstGeom>
                    <a:noFill/>
                    <a:ln>
                      <a:noFill/>
                    </a:ln>
                  </pic:spPr>
                </pic:pic>
              </a:graphicData>
            </a:graphic>
          </wp:inline>
        </w:drawing>
      </w:r>
    </w:p>
    <w:p w14:paraId="7FB5EA3F" w14:textId="5D049EE3" w:rsidR="006D3AD5" w:rsidRPr="00685AEF" w:rsidRDefault="006D3AD5">
      <w:pPr>
        <w:pStyle w:val="Titulek"/>
      </w:pPr>
      <w:r w:rsidRPr="00685AEF">
        <w:t xml:space="preserve">Figure </w:t>
      </w:r>
      <w:r w:rsidR="004929D6" w:rsidRPr="00685AEF">
        <w:t>3</w:t>
      </w:r>
      <w:r w:rsidR="00243196">
        <w:t>5</w:t>
      </w:r>
      <w:r w:rsidRPr="00685AEF">
        <w:t>: Distribution of white, grey and black areas</w:t>
      </w:r>
    </w:p>
    <w:p w14:paraId="00E8612F" w14:textId="77777777" w:rsidR="006D3AD5" w:rsidRPr="00685AEF" w:rsidRDefault="006D3AD5">
      <w:pPr>
        <w:pStyle w:val="Titulek"/>
      </w:pPr>
      <w:r w:rsidRPr="00685AEF">
        <w:t xml:space="preserve">Source: Czech Telecommunications Office (CTO) – </w:t>
      </w:r>
      <w:hyperlink r:id="rId46" w:history="1">
        <w:r w:rsidRPr="00685AEF">
          <w:rPr>
            <w:rStyle w:val="Hypertextovodkaz"/>
            <w:rFonts w:cs="Arial"/>
            <w:color w:val="4F81BD"/>
            <w:u w:val="none"/>
          </w:rPr>
          <w:t>https://www.ctu.cz/ctu-online/pruzkum-nga.html</w:t>
        </w:r>
      </w:hyperlink>
    </w:p>
    <w:p w14:paraId="6DE509EF" w14:textId="77777777" w:rsidR="006D3AD5" w:rsidRPr="0073014D" w:rsidRDefault="006D3AD5" w:rsidP="006D3AD5"/>
    <w:p w14:paraId="06BB0912" w14:textId="77777777" w:rsidR="006D3AD5" w:rsidRPr="0073014D" w:rsidRDefault="006D3AD5" w:rsidP="006D3AD5">
      <w:r>
        <w:t xml:space="preserve">As of 01/07/2014, 43.53% of basic community units was marked in white colour, 24.8% was marked in grey colour and 31.68% in black colour. </w:t>
      </w:r>
      <w:r>
        <w:rPr>
          <w:b/>
        </w:rPr>
        <w:t xml:space="preserve">Only the white areas, and in exceptional cases grey areas </w:t>
      </w:r>
      <w:r>
        <w:t xml:space="preserve">(where the only operator disturbs the market environment) </w:t>
      </w:r>
      <w:r>
        <w:rPr>
          <w:b/>
        </w:rPr>
        <w:t>are entitled to receive support from public financial resources.</w:t>
      </w:r>
      <w:r>
        <w:t xml:space="preserve"> In the considerations based on the NGA mapping outputs of August 2014 it should be borne in mind that the map is designed as indicative.  For the specific cases of the utilisation of any of the forms of public support, the data will be specified and updates.</w:t>
      </w:r>
    </w:p>
    <w:p w14:paraId="50579E20" w14:textId="77777777" w:rsidR="006D3AD5" w:rsidRPr="0073014D" w:rsidRDefault="006D3AD5" w:rsidP="006D3AD5"/>
    <w:p w14:paraId="4C5A205E" w14:textId="77777777" w:rsidR="006D3AD5" w:rsidRPr="0073014D" w:rsidRDefault="006D3AD5" w:rsidP="006D3AD5">
      <w:r>
        <w:t>White and grey areas are primarily of a rural character, the Czech Republic achieves below average-results in the occurrence of these insufficiently covered areas in the European comparison (EU28). Availability of the high-speed internet particularly in rural areas is only at 2.8% (2013), which means a huge investment opportunity for providers of electronic communication, especially with the presumption of the possibility to apply public resources of financing for the respective investments.</w:t>
      </w:r>
    </w:p>
    <w:p w14:paraId="3898A1D2" w14:textId="77777777" w:rsidR="006D3AD5" w:rsidRPr="0073014D" w:rsidRDefault="006D3AD5" w:rsidP="006D3AD5"/>
    <w:p w14:paraId="5284CFCD" w14:textId="77777777" w:rsidR="006D3AD5" w:rsidRPr="0073014D" w:rsidRDefault="006D3AD5" w:rsidP="006D3AD5">
      <w:r>
        <w:t>Only 20% of companies and 7% households used the transfer speed higher than 100 Mbit/s during 2014. This state is caused mainly by low awareness of the existence of high-speed access to the internet but also due to unavailability in places with the demand.</w:t>
      </w:r>
    </w:p>
    <w:p w14:paraId="4C24D57F" w14:textId="77777777" w:rsidR="006D3AD5" w:rsidRPr="0073014D" w:rsidRDefault="006D3AD5" w:rsidP="006D3AD5"/>
    <w:p w14:paraId="3C1F43CD" w14:textId="77777777" w:rsidR="006D3AD5" w:rsidRPr="0073014D" w:rsidRDefault="006D3AD5" w:rsidP="006D3AD5">
      <w:r>
        <w:lastRenderedPageBreak/>
        <w:t>Between 16/02/2015 and 22/02/2015 Seznam.cz performed the measuring of the speed of the internet connection on the territory of the Czech Republic. The results show that as much as 80% of the Czech population connected to the internet has the connection speed below 10 Mbit/s. Only 2.82% of users have internet connection with a speed over 30 Mbit/s, in which the majority in the Region of Ústí n. L. (4.4%) and the least in the region of Hradec Králové (0.93%). Other findings show that the majority of people connect to the internet via Wi-Fi (42%). 29% of the Czech population connects to the internet with a mobile.</w:t>
      </w:r>
      <w:r>
        <w:rPr>
          <w:rStyle w:val="Znakapoznpodarou"/>
          <w:rFonts w:ascii="Calibri" w:hAnsi="Calibri"/>
        </w:rPr>
        <w:footnoteReference w:id="49"/>
      </w:r>
      <w:r>
        <w:t xml:space="preserve"> The detailed map of the internet speed from Seznam.cz is shown below.</w:t>
      </w:r>
    </w:p>
    <w:p w14:paraId="1678E113" w14:textId="77777777" w:rsidR="006D3AD5" w:rsidRPr="0073014D" w:rsidRDefault="006D3AD5" w:rsidP="006D3AD5">
      <w:r>
        <w:rPr>
          <w:noProof/>
        </w:rPr>
        <w:drawing>
          <wp:inline distT="0" distB="0" distL="0" distR="0" wp14:anchorId="365A5954" wp14:editId="4321B29F">
            <wp:extent cx="5582285" cy="3179445"/>
            <wp:effectExtent l="0" t="0" r="0" b="1905"/>
            <wp:docPr id="111" name="Obrázek 111" descr="https://www.seznam.cz/mapa-rychlosti-internetu/img/map/map-full.png?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2" descr="https://www.seznam.cz/mapa-rychlosti-internetu/img/map/map-full.png?4.24.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2285" cy="3179445"/>
                    </a:xfrm>
                    <a:prstGeom prst="rect">
                      <a:avLst/>
                    </a:prstGeom>
                    <a:noFill/>
                    <a:ln>
                      <a:noFill/>
                    </a:ln>
                  </pic:spPr>
                </pic:pic>
              </a:graphicData>
            </a:graphic>
          </wp:inline>
        </w:drawing>
      </w:r>
    </w:p>
    <w:p w14:paraId="365F41F6" w14:textId="1550608E" w:rsidR="006D3AD5" w:rsidRPr="00685AEF" w:rsidRDefault="006D3AD5">
      <w:pPr>
        <w:pStyle w:val="Titulek"/>
      </w:pPr>
      <w:r w:rsidRPr="00685AEF">
        <w:t xml:space="preserve">Figure </w:t>
      </w:r>
      <w:r w:rsidR="004929D6" w:rsidRPr="00685AEF">
        <w:t>3</w:t>
      </w:r>
      <w:r w:rsidR="00243196">
        <w:t>6</w:t>
      </w:r>
      <w:r w:rsidRPr="00685AEF">
        <w:t>: map of the internet speed in the Czech Republic (state at 02/2015)</w:t>
      </w:r>
    </w:p>
    <w:p w14:paraId="7F724CB6" w14:textId="77777777" w:rsidR="006D3AD5" w:rsidRPr="00685AEF" w:rsidRDefault="006D3AD5">
      <w:pPr>
        <w:pStyle w:val="Titulek"/>
      </w:pPr>
      <w:r w:rsidRPr="00685AEF">
        <w:t>(Source: www.seznam.cz)</w:t>
      </w:r>
    </w:p>
    <w:p w14:paraId="5EF5D3DB" w14:textId="77777777" w:rsidR="006D3AD5" w:rsidRPr="0073014D" w:rsidRDefault="006D3AD5" w:rsidP="006D3AD5"/>
    <w:p w14:paraId="17CD6E93" w14:textId="77777777" w:rsidR="006D3AD5" w:rsidRPr="0073014D" w:rsidRDefault="006D3AD5" w:rsidP="006D3AD5"/>
    <w:p w14:paraId="3F17B41A" w14:textId="77777777" w:rsidR="006D3AD5" w:rsidRPr="0073014D" w:rsidRDefault="006D3AD5" w:rsidP="006D3AD5">
      <w:pPr>
        <w:rPr>
          <w:b/>
        </w:rPr>
      </w:pPr>
      <w:r>
        <w:rPr>
          <w:b/>
        </w:rPr>
        <w:t>The strategic goal of the MIT is to build a sufficiently developed and available technological basis in the form of an adequate infrastructure (NGA networks) enabling high-speed access to the internet in relevant localities of the Czech Republic in which such infrastructure does not exist and where it is expectable that it will not be built up by the force of market mechanisms under commercial conditions.</w:t>
      </w:r>
    </w:p>
    <w:p w14:paraId="0B6513DA" w14:textId="77777777" w:rsidR="006D3AD5" w:rsidRPr="0073014D" w:rsidRDefault="006D3AD5" w:rsidP="006D3AD5"/>
    <w:p w14:paraId="3FB753D5" w14:textId="77777777" w:rsidR="006D3AD5" w:rsidRPr="0073014D" w:rsidRDefault="006D3AD5" w:rsidP="006D3AD5">
      <w:r>
        <w:t xml:space="preserve">Therefore, the demand part is created by the need to fulfil one of the goals of the Digital Czech 2.0 programme, which is a relatively ambitious complete removal of white areas (and grey ones in exceptional cases). All aforementioned measures shall be built with respect to the implementation of </w:t>
      </w:r>
      <w:r>
        <w:rPr>
          <w:b/>
        </w:rPr>
        <w:t>the Digital Czech 2.0 concept</w:t>
      </w:r>
      <w:r>
        <w:t>. Even though the white areas are in most cases rural or mountain areas, account needs to be taken of the structural problems of regions, where white areas are considered according to the Strategy of Regional Development with emphasis on a balanced development of the Czech Republic.</w:t>
      </w:r>
    </w:p>
    <w:p w14:paraId="7717F0B6" w14:textId="77777777" w:rsidR="006D3AD5" w:rsidRPr="0073014D" w:rsidRDefault="006D3AD5" w:rsidP="006D3AD5"/>
    <w:p w14:paraId="6C7A6A41" w14:textId="77777777" w:rsidR="006D3AD5" w:rsidRPr="0073014D" w:rsidRDefault="006D3AD5" w:rsidP="006D3AD5">
      <w:r>
        <w:t>It should be noted that a large part of white areas are in fact not cut off the internet, but there operate internet providers but through a network infrastructure that does not comply with the parameters of NGA networks. Therefore, we need to approach carefully the quantification of the actual investment needs and the approach to the market environment within all internet providers.</w:t>
      </w:r>
    </w:p>
    <w:p w14:paraId="2F4B2E6F" w14:textId="77777777" w:rsidR="006D3AD5" w:rsidRPr="0073014D" w:rsidRDefault="006D3AD5" w:rsidP="006D3AD5"/>
    <w:p w14:paraId="724124AC" w14:textId="77777777" w:rsidR="006D3AD5" w:rsidRPr="0073014D" w:rsidRDefault="006D3AD5" w:rsidP="006D3AD5">
      <w:pPr>
        <w:rPr>
          <w:b/>
        </w:rPr>
      </w:pPr>
      <w:r>
        <w:rPr>
          <w:b/>
        </w:rPr>
        <w:t>Investment models:</w:t>
      </w:r>
    </w:p>
    <w:p w14:paraId="4828DE35" w14:textId="77777777" w:rsidR="006D3AD5" w:rsidRPr="0073014D" w:rsidRDefault="006D3AD5" w:rsidP="006D3AD5">
      <w:pPr>
        <w:pStyle w:val="Odstavecseseznamem1"/>
        <w:numPr>
          <w:ilvl w:val="0"/>
          <w:numId w:val="2"/>
        </w:numPr>
      </w:pPr>
      <w:r>
        <w:lastRenderedPageBreak/>
        <w:t>Bottom-up model</w:t>
      </w:r>
    </w:p>
    <w:p w14:paraId="62E17DAE" w14:textId="77777777" w:rsidR="006D3AD5" w:rsidRPr="0073014D" w:rsidRDefault="006D3AD5" w:rsidP="006D3AD5">
      <w:pPr>
        <w:pStyle w:val="Odstavecseseznamem1"/>
        <w:numPr>
          <w:ilvl w:val="0"/>
          <w:numId w:val="2"/>
        </w:numPr>
      </w:pPr>
      <w:r>
        <w:t xml:space="preserve">Private design, build and operate (DBO) model – preferred and appropriate. SB provides a subsidy to the operator, who operates the network and ensures the provision of the service of the high internet connection. The public entity has no specific role in the ownership or operation, only imposes the obligations conditioning the access to the public support.  </w:t>
      </w:r>
    </w:p>
    <w:p w14:paraId="7F9F61A9" w14:textId="77777777" w:rsidR="006D3AD5" w:rsidRPr="0073014D" w:rsidRDefault="006D3AD5" w:rsidP="006D3AD5">
      <w:pPr>
        <w:pStyle w:val="Odstavecseseznamem1"/>
        <w:numPr>
          <w:ilvl w:val="0"/>
          <w:numId w:val="2"/>
        </w:numPr>
      </w:pPr>
      <w:r>
        <w:t>Public outsourcing model</w:t>
      </w:r>
    </w:p>
    <w:p w14:paraId="20728E5A" w14:textId="77777777" w:rsidR="006D3AD5" w:rsidRPr="0073014D" w:rsidRDefault="006D3AD5" w:rsidP="006D3AD5">
      <w:pPr>
        <w:pStyle w:val="Odstavecseseznamem1"/>
        <w:numPr>
          <w:ilvl w:val="0"/>
          <w:numId w:val="2"/>
        </w:numPr>
      </w:pPr>
      <w:r>
        <w:t>Joint venture model</w:t>
      </w:r>
    </w:p>
    <w:p w14:paraId="65CBD335" w14:textId="77777777" w:rsidR="006D3AD5" w:rsidRPr="0073014D" w:rsidRDefault="006D3AD5" w:rsidP="006D3AD5"/>
    <w:p w14:paraId="57728127" w14:textId="6B21BBDD" w:rsidR="006D3AD5" w:rsidRPr="0073014D" w:rsidRDefault="00685AEF" w:rsidP="006D3AD5">
      <w:r>
        <w:rPr>
          <w:b/>
        </w:rPr>
        <w:t xml:space="preserve">SO </w:t>
      </w:r>
      <w:r w:rsidR="006D3AD5">
        <w:rPr>
          <w:b/>
        </w:rPr>
        <w:t>4.1 is a new area of support, which has not been supported within OPEI and other operational programmes so far.</w:t>
      </w:r>
      <w:r w:rsidR="006D3AD5">
        <w:t xml:space="preserve"> Correspondingly, companies have not had access to public financing resources of this type. The Government is currently not planning to use any national public resources for the construction of NGA networks. In April 2014, a decision was made that even the revenues from the auction of the sale of frequencies in 2013-2014 would not be used for their construction either.</w:t>
      </w:r>
    </w:p>
    <w:p w14:paraId="5ED19A65" w14:textId="77777777" w:rsidR="006D3AD5" w:rsidRPr="0073014D" w:rsidRDefault="006D3AD5" w:rsidP="006D3AD5"/>
    <w:p w14:paraId="2A1CFDBE" w14:textId="77777777" w:rsidR="006D3AD5" w:rsidRPr="0073014D" w:rsidRDefault="006D3AD5" w:rsidP="006D3AD5">
      <w:pPr>
        <w:pStyle w:val="Nadpis4"/>
        <w:rPr>
          <w:rFonts w:ascii="Calibri" w:hAnsi="Calibri"/>
          <w:color w:val="000000"/>
        </w:rPr>
      </w:pPr>
      <w:bookmarkStart w:id="944" w:name="_Toc416800473"/>
      <w:r>
        <w:rPr>
          <w:rFonts w:ascii="Calibri" w:hAnsi="Calibri"/>
          <w:color w:val="000000"/>
        </w:rPr>
        <w:t>The estimation of absorption capacity of the public support and the financial instrument</w:t>
      </w:r>
    </w:p>
    <w:p w14:paraId="353F2ED3" w14:textId="77777777" w:rsidR="006D3AD5" w:rsidRPr="0073014D" w:rsidRDefault="006D3AD5" w:rsidP="006D3AD5"/>
    <w:bookmarkEnd w:id="944"/>
    <w:p w14:paraId="53F43575" w14:textId="77777777" w:rsidR="006D3AD5" w:rsidRPr="0073014D" w:rsidRDefault="006D3AD5" w:rsidP="006D3AD5">
      <w:r>
        <w:rPr>
          <w:b/>
        </w:rPr>
        <w:t xml:space="preserve">The average cost of one kilometre of network is 1.5-2 MCZK according to the estimate of the ICT Union CZ. </w:t>
      </w:r>
      <w:r>
        <w:t xml:space="preserve">However, the variability of white places and projects is high. Even when knowing roughly 10 thousand white areas identified in the last survey, only an approximate estimate of the total investments required for networking of the current white areas may be pronounced. According to the estimate of Deloitte Advisory based on the area of the Czech Republic, the number of municipalities, taking military districts and distances between them into account, it is deduced that roughly 6-8km network is required for a network of 1 standard white area. Based on these assumptions, a model-based determination of the investment need is between CZK 90bn and 160bn. </w:t>
      </w:r>
      <w:r>
        <w:rPr>
          <w:b/>
        </w:rPr>
        <w:t>Therefore, the overall certainly exceeds CZK 100bn and approximately also the OPEIC allocated resources.</w:t>
      </w:r>
      <w:r>
        <w:t xml:space="preserve"> The purposefulness of the application of NGA in a number of white localities needs to be critically evaluated.</w:t>
      </w:r>
    </w:p>
    <w:p w14:paraId="5AB3BD6B" w14:textId="77777777" w:rsidR="006D3AD5" w:rsidRPr="0073014D" w:rsidRDefault="006D3AD5" w:rsidP="006D3AD5"/>
    <w:p w14:paraId="3C768BA3" w14:textId="77777777" w:rsidR="006D3AD5" w:rsidRPr="0073014D" w:rsidRDefault="006D3AD5" w:rsidP="006D3AD5">
      <w:r>
        <w:t>The actual investment demand shall be extremely dependent on the availability of the support, as implies from the definition of white areas. In practice, only a minimum absorption capacity of soft loans for target localities can be considered.</w:t>
      </w:r>
    </w:p>
    <w:p w14:paraId="2AD7B6EC" w14:textId="77777777" w:rsidR="006D3AD5" w:rsidRPr="0073014D" w:rsidRDefault="006D3AD5" w:rsidP="006D3AD5"/>
    <w:p w14:paraId="309132E2" w14:textId="77777777" w:rsidR="006D3AD5" w:rsidRPr="0073014D" w:rsidRDefault="006D3AD5" w:rsidP="006D3AD5">
      <w:pPr>
        <w:pStyle w:val="Nadpis4"/>
        <w:rPr>
          <w:rFonts w:ascii="Calibri" w:hAnsi="Calibri"/>
          <w:color w:val="000000"/>
        </w:rPr>
      </w:pPr>
      <w:bookmarkStart w:id="945" w:name="_Toc416800474"/>
      <w:r>
        <w:rPr>
          <w:rFonts w:ascii="Calibri" w:hAnsi="Calibri"/>
          <w:color w:val="000000"/>
        </w:rPr>
        <w:t>Identification of market failure and suboptimum investment situations</w:t>
      </w:r>
    </w:p>
    <w:p w14:paraId="4D59D5F4" w14:textId="77777777" w:rsidR="006D3AD5" w:rsidRPr="0073014D" w:rsidRDefault="006D3AD5" w:rsidP="006D3AD5"/>
    <w:bookmarkEnd w:id="945"/>
    <w:p w14:paraId="0A71C0EB" w14:textId="77777777" w:rsidR="006D3AD5" w:rsidRPr="0073014D" w:rsidRDefault="006D3AD5" w:rsidP="006D3AD5">
      <w:r>
        <w:t>The major market failure in the development of the new generation network is the high costs for the construction and also a weak demand for such services in less populated white areas generating lower revenues. The costs are increased particularly by administrative costs of the construction, rights of use and additional costs without a direct connection to the construction (e.g. outdating of technologies, which push to a fast payback of the investments). The administrative obstacles during the construction occur due to the non-existence “construction in the public interest”.</w:t>
      </w:r>
    </w:p>
    <w:p w14:paraId="4902B197" w14:textId="77777777" w:rsidR="006D3AD5" w:rsidRPr="0073014D" w:rsidRDefault="006D3AD5" w:rsidP="006D3AD5"/>
    <w:p w14:paraId="0763CCDE" w14:textId="77777777" w:rsidR="006D3AD5" w:rsidRPr="0073014D" w:rsidRDefault="006D3AD5" w:rsidP="006D3AD5">
      <w:r>
        <w:t>Suboptimal investment situation on the Czech market arises also from the fact that the demand of households for high speeds of connection is still low and in many cases it does not suffice to cover high investment costs. Logically speaking, individual households are not willing to finance benefits of a fast access to the internet for the development of a certain type of business and services in a more peripheral areas.</w:t>
      </w:r>
    </w:p>
    <w:p w14:paraId="1AB7206A" w14:textId="77777777" w:rsidR="006D3AD5" w:rsidRPr="0073014D" w:rsidRDefault="006D3AD5" w:rsidP="006D3AD5"/>
    <w:p w14:paraId="7E634C15" w14:textId="77777777" w:rsidR="006D3AD5" w:rsidRPr="0073014D" w:rsidRDefault="006D3AD5" w:rsidP="006D3AD5">
      <w:r>
        <w:t xml:space="preserve">Alternative mobile networks are built in areas with a low population density, but at present they are not able to provide the quality and robustness of the connection corresponding to NGA networks.  </w:t>
      </w:r>
    </w:p>
    <w:p w14:paraId="426AD011" w14:textId="77777777" w:rsidR="006D3AD5" w:rsidRPr="0073014D" w:rsidRDefault="006D3AD5" w:rsidP="006D3AD5"/>
    <w:p w14:paraId="16BD018E" w14:textId="77777777" w:rsidR="006D3AD5" w:rsidRPr="0073014D" w:rsidRDefault="006D3AD5" w:rsidP="006D3AD5">
      <w:pPr>
        <w:pStyle w:val="Nadpis4"/>
        <w:rPr>
          <w:rFonts w:ascii="Calibri" w:hAnsi="Calibri"/>
          <w:color w:val="000000"/>
        </w:rPr>
      </w:pPr>
      <w:bookmarkStart w:id="946" w:name="_Toc416383885"/>
      <w:bookmarkStart w:id="947" w:name="_Toc416447882"/>
      <w:bookmarkStart w:id="948" w:name="_Toc416383886"/>
      <w:bookmarkStart w:id="949" w:name="_Toc416447883"/>
      <w:bookmarkStart w:id="950" w:name="_Toc416383887"/>
      <w:bookmarkStart w:id="951" w:name="_Toc416447884"/>
      <w:bookmarkStart w:id="952" w:name="_Toc416383888"/>
      <w:bookmarkStart w:id="953" w:name="_Toc416447885"/>
      <w:bookmarkStart w:id="954" w:name="_Toc416383889"/>
      <w:bookmarkStart w:id="955" w:name="_Toc416447886"/>
      <w:bookmarkStart w:id="956" w:name="_Toc416383890"/>
      <w:bookmarkStart w:id="957" w:name="_Toc416447887"/>
      <w:bookmarkStart w:id="958" w:name="_Toc416383891"/>
      <w:bookmarkStart w:id="959" w:name="_Toc416447888"/>
      <w:bookmarkStart w:id="960" w:name="_Toc41680047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Pr>
          <w:rFonts w:ascii="Calibri" w:hAnsi="Calibri"/>
          <w:color w:val="000000"/>
        </w:rPr>
        <w:t>Proposed solution of identified market failures</w:t>
      </w:r>
    </w:p>
    <w:p w14:paraId="6BF17535" w14:textId="77777777" w:rsidR="006D3AD5" w:rsidRPr="0073014D" w:rsidRDefault="006D3AD5" w:rsidP="006D3AD5"/>
    <w:bookmarkEnd w:id="960"/>
    <w:p w14:paraId="292A5D2E" w14:textId="597E0D28" w:rsidR="006D3AD5" w:rsidRPr="0073014D" w:rsidRDefault="006D3AD5" w:rsidP="006D3AD5">
      <w:r>
        <w:t xml:space="preserve">With respect to high investment costs for the building of NGA networks and estimated low return in the majority of sparsely populated “white” regions, the entities need to be motivated to this targeted activity by public support, from national or European resources. This is also the reason why the high utilisation of subsidy support is assumed in </w:t>
      </w:r>
      <w:r w:rsidR="00685AEF">
        <w:t xml:space="preserve">SO </w:t>
      </w:r>
      <w:r>
        <w:t>4.1.</w:t>
      </w:r>
    </w:p>
    <w:p w14:paraId="594568FA" w14:textId="77777777" w:rsidR="006D3AD5" w:rsidRPr="0073014D" w:rsidRDefault="006D3AD5" w:rsidP="006D3AD5"/>
    <w:p w14:paraId="56D932A9" w14:textId="4785ADCA" w:rsidR="006D3AD5" w:rsidRPr="0073014D" w:rsidRDefault="006D3AD5" w:rsidP="006D3AD5">
      <w:r>
        <w:t xml:space="preserve">If the definition of white areas as regions beyond market profitability of investments to NGA networks is to be complied with consistently, the potential of </w:t>
      </w:r>
      <w:r w:rsidR="00685AEF">
        <w:t xml:space="preserve">SO </w:t>
      </w:r>
      <w:r>
        <w:t>4.1 for the utilisation of repayable financial instruments form the definition is very low. Most of the investors in this area are large telecommunication companies, which when compared with SMEs do not have problem with the availability of external financing for low rates. The expense-to-revenue ratio and return on investment are the identified barriers. With the current generally low interest rates, the potential of sufficient advantage of projects by their lowering is very limited. In our opinion, the area is suitable primarily for subsidy support.</w:t>
      </w:r>
    </w:p>
    <w:p w14:paraId="65795030" w14:textId="77777777" w:rsidR="006D3AD5" w:rsidRPr="0073014D" w:rsidRDefault="006D3AD5" w:rsidP="006D3AD5"/>
    <w:p w14:paraId="7A06369F" w14:textId="77777777" w:rsidR="006D3AD5" w:rsidRPr="0073014D" w:rsidRDefault="006D3AD5" w:rsidP="006D3AD5">
      <w:r>
        <w:t>In this area, financial instruments may be used for investments that are close to market conditions in terms of their profitability (or, the support of the strengthening of the NGA structure outside the defined “white” areas). Therefore, they can be applied outside OPEI, e.g. with the support of the Investment Plan for Europe, in order to adequately supplement the results of OPEI.</w:t>
      </w:r>
    </w:p>
    <w:p w14:paraId="5B6A7542" w14:textId="77777777" w:rsidR="006D3AD5" w:rsidRPr="0073014D" w:rsidRDefault="006D3AD5" w:rsidP="006D3AD5"/>
    <w:p w14:paraId="1E215CCA" w14:textId="77777777" w:rsidR="006D3AD5" w:rsidRPr="0073014D" w:rsidRDefault="006D3AD5" w:rsidP="006D3AD5">
      <w:pPr>
        <w:overflowPunct/>
        <w:autoSpaceDE/>
        <w:autoSpaceDN/>
        <w:adjustRightInd/>
        <w:jc w:val="left"/>
        <w:textAlignment w:val="auto"/>
      </w:pPr>
      <w:r>
        <w:br w:type="page"/>
      </w:r>
      <w:bookmarkStart w:id="961" w:name="_Toc416383893"/>
      <w:bookmarkStart w:id="962" w:name="_Toc416383894"/>
      <w:bookmarkStart w:id="963" w:name="_Toc416383895"/>
      <w:bookmarkStart w:id="964" w:name="_Toc416383896"/>
      <w:bookmarkStart w:id="965" w:name="_Toc416383897"/>
      <w:bookmarkStart w:id="966" w:name="_Toc416383898"/>
      <w:bookmarkStart w:id="967" w:name="_Toc416383899"/>
      <w:bookmarkStart w:id="968" w:name="_Toc416383900"/>
      <w:bookmarkStart w:id="969" w:name="_Toc416383901"/>
      <w:bookmarkStart w:id="970" w:name="_Toc416383902"/>
      <w:bookmarkEnd w:id="961"/>
      <w:bookmarkEnd w:id="962"/>
      <w:bookmarkEnd w:id="963"/>
      <w:bookmarkEnd w:id="964"/>
      <w:bookmarkEnd w:id="965"/>
      <w:bookmarkEnd w:id="966"/>
      <w:bookmarkEnd w:id="967"/>
      <w:bookmarkEnd w:id="968"/>
      <w:bookmarkEnd w:id="969"/>
      <w:bookmarkEnd w:id="970"/>
    </w:p>
    <w:p w14:paraId="00F175DF" w14:textId="77777777" w:rsidR="006D3AD5" w:rsidRPr="0073014D" w:rsidRDefault="006D3AD5" w:rsidP="006D3AD5">
      <w:pPr>
        <w:pStyle w:val="Nadpis1"/>
        <w:rPr>
          <w:rFonts w:ascii="Calibri" w:hAnsi="Calibri"/>
          <w:color w:val="000000"/>
        </w:rPr>
      </w:pPr>
      <w:bookmarkStart w:id="971" w:name="_Toc416383905"/>
      <w:bookmarkStart w:id="972" w:name="_Toc416447890"/>
      <w:bookmarkStart w:id="973" w:name="_Toc414464596"/>
      <w:bookmarkStart w:id="974" w:name="_Toc416800476"/>
      <w:bookmarkStart w:id="975" w:name="_Toc422312135"/>
      <w:bookmarkEnd w:id="971"/>
      <w:bookmarkEnd w:id="972"/>
      <w:r>
        <w:rPr>
          <w:rFonts w:ascii="Calibri" w:hAnsi="Calibri"/>
          <w:color w:val="000000"/>
        </w:rPr>
        <w:lastRenderedPageBreak/>
        <w:t>Block II: Proposed appropriate strategy</w:t>
      </w:r>
      <w:bookmarkEnd w:id="973"/>
      <w:bookmarkEnd w:id="974"/>
      <w:bookmarkEnd w:id="975"/>
    </w:p>
    <w:p w14:paraId="4A43A03D" w14:textId="77777777" w:rsidR="006D3AD5" w:rsidRPr="0073014D" w:rsidRDefault="006D3AD5" w:rsidP="006D3AD5"/>
    <w:p w14:paraId="1F670ECB" w14:textId="77777777" w:rsidR="006D3AD5" w:rsidRPr="0073014D" w:rsidRDefault="006D3AD5" w:rsidP="006D3AD5">
      <w:pPr>
        <w:rPr>
          <w:b/>
        </w:rPr>
      </w:pPr>
      <w:r>
        <w:t xml:space="preserve">The goal of this chapter is to summarise the basic attributes connected with the proposal of the setting of financial instruments in the OPEI areas in which the market failure and the fitness of the transfer of the subsidy scheme to alternative financing has been confirmed. A proposal of the financial instrument has been prepared for each area, which seeks to clarify the key questions for the possibility of the implementation of the proposed instruments. </w:t>
      </w:r>
    </w:p>
    <w:p w14:paraId="4FAF3D63" w14:textId="77777777" w:rsidR="006D3AD5" w:rsidRPr="0073014D" w:rsidRDefault="006D3AD5" w:rsidP="006D3AD5">
      <w:pPr>
        <w:rPr>
          <w:b/>
        </w:rPr>
      </w:pPr>
    </w:p>
    <w:p w14:paraId="10D2EF49" w14:textId="77777777" w:rsidR="006D3AD5" w:rsidRPr="0073014D" w:rsidRDefault="006D3AD5" w:rsidP="006D3AD5">
      <w:pPr>
        <w:spacing w:after="240"/>
      </w:pPr>
      <w:r>
        <w:t>The proposal of the investment strategy broken down by the support areas is prepared in the following structure:</w:t>
      </w:r>
    </w:p>
    <w:p w14:paraId="073281B7" w14:textId="77777777" w:rsidR="006D3AD5" w:rsidRPr="0073014D" w:rsidRDefault="006D3AD5" w:rsidP="006D3AD5">
      <w:pPr>
        <w:pStyle w:val="Odstavecseseznamem1"/>
        <w:numPr>
          <w:ilvl w:val="0"/>
          <w:numId w:val="25"/>
        </w:numPr>
        <w:overflowPunct/>
        <w:autoSpaceDE/>
        <w:autoSpaceDN/>
        <w:adjustRightInd/>
        <w:spacing w:after="120"/>
        <w:contextualSpacing w:val="0"/>
        <w:textAlignment w:val="auto"/>
      </w:pPr>
      <w:r>
        <w:t>Justification of the selection of the support area and the instrument proposal;</w:t>
      </w:r>
    </w:p>
    <w:p w14:paraId="37A6F3D1" w14:textId="77777777" w:rsidR="006D3AD5" w:rsidRPr="0073014D" w:rsidRDefault="006D3AD5" w:rsidP="006D3AD5">
      <w:pPr>
        <w:pStyle w:val="Odstavecseseznamem1"/>
        <w:numPr>
          <w:ilvl w:val="0"/>
          <w:numId w:val="25"/>
        </w:numPr>
        <w:overflowPunct/>
        <w:autoSpaceDE/>
        <w:autoSpaceDN/>
        <w:adjustRightInd/>
        <w:spacing w:after="120"/>
        <w:contextualSpacing w:val="0"/>
        <w:textAlignment w:val="auto"/>
      </w:pPr>
      <w:r>
        <w:t>Scheme of the functioning of the proposed financial instrument;</w:t>
      </w:r>
    </w:p>
    <w:p w14:paraId="1AE46475" w14:textId="77777777" w:rsidR="006D3AD5" w:rsidRPr="0073014D" w:rsidRDefault="006D3AD5" w:rsidP="006D3AD5">
      <w:pPr>
        <w:pStyle w:val="Odstavecseseznamem1"/>
        <w:numPr>
          <w:ilvl w:val="0"/>
          <w:numId w:val="25"/>
        </w:numPr>
        <w:overflowPunct/>
        <w:autoSpaceDE/>
        <w:autoSpaceDN/>
        <w:adjustRightInd/>
        <w:spacing w:after="120"/>
        <w:contextualSpacing w:val="0"/>
        <w:textAlignment w:val="auto"/>
      </w:pPr>
      <w:r>
        <w:t>Basic parameters of the financial instrument;</w:t>
      </w:r>
    </w:p>
    <w:p w14:paraId="46EE9393" w14:textId="77777777" w:rsidR="006D3AD5" w:rsidRPr="0073014D" w:rsidRDefault="006D3AD5" w:rsidP="006D3AD5">
      <w:pPr>
        <w:pStyle w:val="Odstavecseseznamem1"/>
        <w:numPr>
          <w:ilvl w:val="0"/>
          <w:numId w:val="25"/>
        </w:numPr>
        <w:overflowPunct/>
        <w:autoSpaceDE/>
        <w:autoSpaceDN/>
        <w:adjustRightInd/>
        <w:spacing w:after="120"/>
        <w:contextualSpacing w:val="0"/>
        <w:textAlignment w:val="auto"/>
      </w:pPr>
      <w:r>
        <w:t>Assessment of experience gained in the past;</w:t>
      </w:r>
    </w:p>
    <w:p w14:paraId="49A05BA6" w14:textId="77777777" w:rsidR="006D3AD5" w:rsidRPr="0073014D" w:rsidRDefault="006D3AD5" w:rsidP="006D3AD5">
      <w:pPr>
        <w:pStyle w:val="Odstavecseseznamem1"/>
        <w:numPr>
          <w:ilvl w:val="0"/>
          <w:numId w:val="25"/>
        </w:numPr>
        <w:overflowPunct/>
        <w:autoSpaceDE/>
        <w:autoSpaceDN/>
        <w:adjustRightInd/>
        <w:spacing w:after="120"/>
        <w:contextualSpacing w:val="0"/>
        <w:textAlignment w:val="auto"/>
      </w:pPr>
      <w:r>
        <w:t>Expected results of the financial instrument.</w:t>
      </w:r>
    </w:p>
    <w:p w14:paraId="27E8C2B4" w14:textId="77777777" w:rsidR="006D3AD5" w:rsidRPr="0073014D" w:rsidRDefault="006D3AD5" w:rsidP="006D3AD5">
      <w:pPr>
        <w:pStyle w:val="Odstavecseseznamem1"/>
        <w:overflowPunct/>
        <w:autoSpaceDE/>
        <w:autoSpaceDN/>
        <w:adjustRightInd/>
        <w:spacing w:after="120"/>
        <w:contextualSpacing w:val="0"/>
        <w:textAlignment w:val="auto"/>
      </w:pPr>
    </w:p>
    <w:p w14:paraId="27822D3D" w14:textId="77777777" w:rsidR="006D3AD5" w:rsidRPr="0073014D" w:rsidRDefault="006D3AD5" w:rsidP="006D3AD5">
      <w:pPr>
        <w:pStyle w:val="Nadpis2"/>
        <w:rPr>
          <w:rFonts w:ascii="Calibri" w:hAnsi="Calibri"/>
          <w:color w:val="000000"/>
        </w:rPr>
      </w:pPr>
      <w:bookmarkStart w:id="976" w:name="_Toc422312136"/>
      <w:bookmarkStart w:id="977" w:name="_Toc416800477"/>
      <w:r>
        <w:rPr>
          <w:rFonts w:ascii="Calibri" w:hAnsi="Calibri"/>
          <w:color w:val="000000"/>
        </w:rPr>
        <w:t>Assessment of experience gained in the past</w:t>
      </w:r>
      <w:bookmarkEnd w:id="976"/>
    </w:p>
    <w:p w14:paraId="480E3954" w14:textId="77777777" w:rsidR="006D3AD5" w:rsidRPr="0073014D" w:rsidRDefault="006D3AD5" w:rsidP="006D3AD5">
      <w:pPr>
        <w:pStyle w:val="Nadpis3"/>
        <w:rPr>
          <w:rFonts w:ascii="Calibri" w:hAnsi="Calibri"/>
          <w:color w:val="000000"/>
        </w:rPr>
      </w:pPr>
      <w:bookmarkStart w:id="978" w:name="_Toc422312137"/>
      <w:r>
        <w:rPr>
          <w:rFonts w:ascii="Calibri" w:hAnsi="Calibri"/>
          <w:color w:val="000000"/>
        </w:rPr>
        <w:t>Specific objective 1.1</w:t>
      </w:r>
      <w:bookmarkEnd w:id="977"/>
      <w:bookmarkEnd w:id="978"/>
    </w:p>
    <w:p w14:paraId="64BA1FE2" w14:textId="77777777" w:rsidR="006D3AD5" w:rsidRPr="0073014D" w:rsidRDefault="006D3AD5" w:rsidP="006D3AD5">
      <w:pPr>
        <w:pStyle w:val="Nadpis4"/>
        <w:rPr>
          <w:rFonts w:ascii="Calibri" w:hAnsi="Calibri"/>
          <w:color w:val="000000"/>
        </w:rPr>
      </w:pPr>
      <w:bookmarkStart w:id="979" w:name="_Toc416383908"/>
      <w:bookmarkStart w:id="980" w:name="_Toc416447893"/>
      <w:bookmarkStart w:id="981" w:name="_Toc416383909"/>
      <w:bookmarkStart w:id="982" w:name="_Toc416447894"/>
      <w:bookmarkStart w:id="983" w:name="_Toc416383910"/>
      <w:bookmarkStart w:id="984" w:name="_Toc416447895"/>
      <w:bookmarkEnd w:id="979"/>
      <w:bookmarkEnd w:id="980"/>
      <w:bookmarkEnd w:id="981"/>
      <w:bookmarkEnd w:id="982"/>
      <w:bookmarkEnd w:id="983"/>
      <w:bookmarkEnd w:id="984"/>
      <w:r>
        <w:rPr>
          <w:rFonts w:ascii="Calibri" w:hAnsi="Calibri"/>
          <w:color w:val="000000"/>
        </w:rPr>
        <w:t>Conclusions deduced from the implementation of comparable instruments in the past</w:t>
      </w:r>
    </w:p>
    <w:p w14:paraId="53660F2C" w14:textId="77777777" w:rsidR="006D3AD5" w:rsidRPr="0073014D" w:rsidRDefault="006D3AD5" w:rsidP="006D3AD5"/>
    <w:p w14:paraId="0D60DE4F" w14:textId="77777777" w:rsidR="006D3AD5" w:rsidRPr="0073014D" w:rsidRDefault="006D3AD5" w:rsidP="006D3AD5">
      <w:r>
        <w:t>The proposed instrument follows up the support that was provided in the programming period 2007-2013. The monitored areas were mostly handled by a subsidy.</w:t>
      </w:r>
    </w:p>
    <w:p w14:paraId="583D2F93" w14:textId="77777777" w:rsidR="006D3AD5" w:rsidRPr="0073014D" w:rsidRDefault="006D3AD5" w:rsidP="006D3AD5"/>
    <w:p w14:paraId="3E57010E" w14:textId="77777777" w:rsidR="006D3AD5" w:rsidRPr="0073014D" w:rsidRDefault="006D3AD5" w:rsidP="006D3AD5">
      <w:r>
        <w:rPr>
          <w:b/>
        </w:rPr>
        <w:t xml:space="preserve">The Innovations program in OPEI </w:t>
      </w:r>
      <w:r>
        <w:t xml:space="preserve">was the main programme of support for business innovations of higher orders (at least 5 for MSE and 6 for VP), whose detailed results in terms of the offer of resources and the demand are shown in Block I. </w:t>
      </w:r>
      <w:r>
        <w:rPr>
          <w:b/>
        </w:rPr>
        <w:t>The Programme showed a considerable excess of demand,</w:t>
      </w:r>
      <w:r>
        <w:t xml:space="preserve"> although we need to take a partial duplicity of applications in the individual calls into account. In the area of innovation projects of companies, the MIT received a total of 4,335 registration applications with the total eligible costs of CZK 158bn and the required subsidies of CZK 65.4bn until the end of 2014. A total of 1,643 projects were supported (38%) in the amount of eligible costs of CZK 51bn and the required subsidy of CZK 22.3bn. As a  result, the average size of the supported project in terms of the eligible costs was CZK 30 million.</w:t>
      </w:r>
    </w:p>
    <w:p w14:paraId="2AD04A15" w14:textId="77777777" w:rsidR="006D3AD5" w:rsidRPr="0073014D" w:rsidRDefault="006D3AD5" w:rsidP="006D3AD5"/>
    <w:p w14:paraId="13B6D2DC" w14:textId="77777777" w:rsidR="006D3AD5" w:rsidRPr="0073014D" w:rsidRDefault="006D3AD5" w:rsidP="006D3AD5">
      <w:r>
        <w:t>Like in the case of the TIP programme and other subsidy programmes in VaVaI the last support of innovations by subsidies was successful in terms of the absorption capacity and the increase in the innovation investments, which were however conditioned by the expenditure of a large amount of irrecoverable public resources. The disadvantage of the irrecoverable subsidy support was a lower pressure on the economic success and rationality of the project, which could have partially lowered the quality of the projects.</w:t>
      </w:r>
    </w:p>
    <w:p w14:paraId="67C4037B" w14:textId="77777777" w:rsidR="006D3AD5" w:rsidRPr="0073014D" w:rsidRDefault="006D3AD5" w:rsidP="006D3AD5"/>
    <w:p w14:paraId="65C68369" w14:textId="77777777" w:rsidR="006D3AD5" w:rsidRPr="0073014D" w:rsidRDefault="006D3AD5" w:rsidP="006D3AD5">
      <w:r>
        <w:t xml:space="preserve">The reactions to the subsidy support in VaVaI in this period (MIT questionnaire 2014) still in part show problematic level of administrative burden and costs – a lot of small companies needed to utilise specialised consulting companies for the preparation and administration of projects. Other complaints that occurred pointed out excessive assessment of formal and technical mistakes in subsidy projects, which may lead even to the removal of the subsidy. The necessity of public tenders, which made the </w:t>
      </w:r>
      <w:r>
        <w:lastRenderedPageBreak/>
        <w:t>project progress and the selection of suppliers more difficult, was a large problem, too. As a rule, the suppliers put higher prices in the subsidy projects.</w:t>
      </w:r>
    </w:p>
    <w:p w14:paraId="0BAC4B68" w14:textId="77777777" w:rsidR="006D3AD5" w:rsidRPr="0073014D" w:rsidRDefault="006D3AD5" w:rsidP="006D3AD5"/>
    <w:p w14:paraId="6BD59CB6" w14:textId="56ED55D6" w:rsidR="006D3AD5" w:rsidRPr="0073014D" w:rsidRDefault="006D3AD5" w:rsidP="006D3AD5">
      <w:r>
        <w:t xml:space="preserve">The credit programme, Inostart, was launched in the monitored period, too, which in terms of its specialisation can be placed at the border of </w:t>
      </w:r>
      <w:r w:rsidR="00685AEF">
        <w:t xml:space="preserve">SO </w:t>
      </w:r>
      <w:r>
        <w:t xml:space="preserve">1.1 a </w:t>
      </w:r>
      <w:r w:rsidR="00685AEF">
        <w:t xml:space="preserve">SO </w:t>
      </w:r>
      <w:r>
        <w:t xml:space="preserve">2.1 – it is a support for starting businessmen, which is conditioned by highly innovative orientation. In terms of </w:t>
      </w:r>
      <w:r w:rsidR="00685AEF">
        <w:t xml:space="preserve">SO </w:t>
      </w:r>
      <w:r>
        <w:t xml:space="preserve">1.1, the indicative experience from this programme may be the fact that according to the initial experience of the pilot launch of the programme in the Olomouc Region and Moravian and Silesian Region the absorption capacity was limited to a large extent right by the requirement of innovations, which was not always sufficiently met in the registered projects. However, this concerned a narrow segment of companies up to 3 years of existence, which is outside the primary specialisation of </w:t>
      </w:r>
      <w:r w:rsidR="00685AEF">
        <w:t xml:space="preserve">SO </w:t>
      </w:r>
      <w:r>
        <w:t>1.1.</w:t>
      </w:r>
    </w:p>
    <w:p w14:paraId="7CE9DA57" w14:textId="77777777" w:rsidR="006D3AD5" w:rsidRPr="0073014D" w:rsidRDefault="006D3AD5" w:rsidP="006D3AD5"/>
    <w:p w14:paraId="326A2EEC" w14:textId="77777777" w:rsidR="006D3AD5" w:rsidRDefault="006D3AD5" w:rsidP="006D3AD5">
      <w:r>
        <w:t>The guarantee programme in the VaVaI area was implemented in the Czech Republic within the Risk Sharing Instrument EIF. Several banks in the Czech Republic applied guaranteed loans by this method (UniCredit Bank, Česká spořitelna, Komerční banka, GE Money Bank), which typically concerned right the target projects of the Innovation Programme OPEI. However, it should be noted that the limitations in terms of other combinations of public support, which shall be applied to financial instruments within ESIF, were not applied to this programme.</w:t>
      </w:r>
    </w:p>
    <w:p w14:paraId="1874A70B" w14:textId="77777777" w:rsidR="000F3562" w:rsidRDefault="000F3562" w:rsidP="006D3AD5"/>
    <w:p w14:paraId="394BC3A6" w14:textId="77777777" w:rsidR="00993879" w:rsidRPr="0073014D" w:rsidRDefault="00993879" w:rsidP="00993879">
      <w:pPr>
        <w:pStyle w:val="Nadpis4"/>
        <w:rPr>
          <w:rFonts w:ascii="Calibri" w:hAnsi="Calibri"/>
          <w:color w:val="000000"/>
        </w:rPr>
      </w:pPr>
      <w:r>
        <w:rPr>
          <w:rFonts w:ascii="Calibri" w:hAnsi="Calibri"/>
          <w:color w:val="000000"/>
        </w:rPr>
        <w:t>An overview of international experience with comparable financial instruments</w:t>
      </w:r>
    </w:p>
    <w:p w14:paraId="3D0FEAA7" w14:textId="77777777" w:rsidR="000F3562" w:rsidRPr="006D4D13" w:rsidRDefault="000F3562" w:rsidP="000F3562">
      <w:pPr>
        <w:rPr>
          <w:lang w:val="en-US" w:eastAsia="en-US"/>
        </w:rPr>
      </w:pPr>
      <w:r w:rsidRPr="006D4D13">
        <w:rPr>
          <w:lang w:val="en-US" w:eastAsia="en-US"/>
        </w:rPr>
        <w:t>The EU programmes of EIB/EIF (RSI) that facilitate credit to innovative projects are a widespread instrument across the Europe, similarly</w:t>
      </w:r>
      <w:r>
        <w:rPr>
          <w:lang w:val="en-US" w:eastAsia="en-US"/>
        </w:rPr>
        <w:t xml:space="preserve"> to the Czech Republic</w:t>
      </w:r>
      <w:r w:rsidRPr="006D4D13">
        <w:rPr>
          <w:lang w:val="en-US" w:eastAsia="en-US"/>
        </w:rPr>
        <w:t>.</w:t>
      </w:r>
      <w:r>
        <w:rPr>
          <w:lang w:val="en-US" w:eastAsia="en-US"/>
        </w:rPr>
        <w:t xml:space="preserve"> The support by soft loans and guarantees use to be complementary with grant support.</w:t>
      </w:r>
      <w:r w:rsidRPr="006D4D13">
        <w:rPr>
          <w:lang w:val="en-US" w:eastAsia="en-US"/>
        </w:rPr>
        <w:t xml:space="preserve"> The common method of the enterpris</w:t>
      </w:r>
      <w:r>
        <w:rPr>
          <w:lang w:val="en-US" w:eastAsia="en-US"/>
        </w:rPr>
        <w:t>e innovations support</w:t>
      </w:r>
      <w:r w:rsidRPr="006D4D13">
        <w:rPr>
          <w:lang w:val="en-US" w:eastAsia="en-US"/>
        </w:rPr>
        <w:t xml:space="preserve"> </w:t>
      </w:r>
      <w:r>
        <w:rPr>
          <w:lang w:val="en-US" w:eastAsia="en-US"/>
        </w:rPr>
        <w:t>(</w:t>
      </w:r>
      <w:r w:rsidRPr="006D4D13">
        <w:rPr>
          <w:lang w:val="en-US" w:eastAsia="en-US"/>
        </w:rPr>
        <w:t>especially of</w:t>
      </w:r>
      <w:r>
        <w:rPr>
          <w:lang w:val="en-US" w:eastAsia="en-US"/>
        </w:rPr>
        <w:t xml:space="preserve"> the</w:t>
      </w:r>
      <w:r w:rsidRPr="006D4D13">
        <w:rPr>
          <w:lang w:val="en-US" w:eastAsia="en-US"/>
        </w:rPr>
        <w:t xml:space="preserve"> SMEs</w:t>
      </w:r>
      <w:r>
        <w:rPr>
          <w:lang w:val="en-US" w:eastAsia="en-US"/>
        </w:rPr>
        <w:t>)</w:t>
      </w:r>
      <w:r w:rsidRPr="006D4D13">
        <w:rPr>
          <w:lang w:val="en-US" w:eastAsia="en-US"/>
        </w:rPr>
        <w:t xml:space="preserve"> are grants </w:t>
      </w:r>
      <w:r>
        <w:rPr>
          <w:lang w:val="en-US" w:eastAsia="en-US"/>
        </w:rPr>
        <w:t>similar</w:t>
      </w:r>
      <w:r w:rsidRPr="006D4D13">
        <w:rPr>
          <w:lang w:val="en-US" w:eastAsia="en-US"/>
        </w:rPr>
        <w:t xml:space="preserve"> to the Czech Republic.</w:t>
      </w:r>
    </w:p>
    <w:p w14:paraId="4E391255" w14:textId="77777777" w:rsidR="000F3562" w:rsidRPr="0073014D" w:rsidRDefault="000F3562" w:rsidP="006D3AD5"/>
    <w:tbl>
      <w:tblPr>
        <w:tblpPr w:leftFromText="141" w:rightFromText="141" w:vertAnchor="text" w:tblpXSpec="center" w:tblpY="1"/>
        <w:tblOverlap w:val="never"/>
        <w:tblW w:w="8800" w:type="dxa"/>
        <w:jc w:val="center"/>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993879" w:rsidRPr="002C224A" w14:paraId="3DAA8256" w14:textId="77777777" w:rsidTr="007A67F5">
        <w:trPr>
          <w:trHeight w:val="482"/>
          <w:jc w:val="center"/>
        </w:trPr>
        <w:tc>
          <w:tcPr>
            <w:tcW w:w="2000" w:type="dxa"/>
            <w:shd w:val="clear" w:color="auto" w:fill="548DD4"/>
            <w:noWrap/>
            <w:vAlign w:val="center"/>
          </w:tcPr>
          <w:p w14:paraId="027ADFD4" w14:textId="77777777" w:rsidR="00993879" w:rsidRPr="00A50943" w:rsidRDefault="00993879" w:rsidP="007A67F5">
            <w:pPr>
              <w:jc w:val="center"/>
              <w:rPr>
                <w:b/>
                <w:color w:val="FFFFFF"/>
              </w:rPr>
            </w:pPr>
            <w:r>
              <w:rPr>
                <w:b/>
                <w:color w:val="FFFFFF"/>
              </w:rPr>
              <w:t>Germany</w:t>
            </w:r>
          </w:p>
        </w:tc>
        <w:tc>
          <w:tcPr>
            <w:tcW w:w="6800" w:type="dxa"/>
            <w:shd w:val="clear" w:color="auto" w:fill="FFFFFF"/>
            <w:noWrap/>
          </w:tcPr>
          <w:p w14:paraId="3EE96CBB" w14:textId="50DF5D55" w:rsidR="00993879" w:rsidRPr="00532CDE" w:rsidRDefault="00993879" w:rsidP="007A67F5">
            <w:pPr>
              <w:rPr>
                <w:b/>
                <w:lang w:val="en-US"/>
              </w:rPr>
            </w:pPr>
            <w:r>
              <w:rPr>
                <w:b/>
              </w:rPr>
              <w:t>F</w:t>
            </w:r>
            <w:r w:rsidRPr="00532CDE">
              <w:rPr>
                <w:b/>
                <w:lang w:val="en-US"/>
              </w:rPr>
              <w:t>ederal innovation support programme Zentrales Innovationsprogramm Mittelstand (ZIM)</w:t>
            </w:r>
            <w:r w:rsidRPr="00532CDE">
              <w:rPr>
                <w:lang w:val="en-US"/>
              </w:rPr>
              <w:t xml:space="preserve"> is SMEs and Midcaps targeted grant instrument. The enterprises can obtain a non-returnable grant of 25-45 % eligible expenditures for their innovative projects, according to the type of the region and the size of the enterprise.</w:t>
            </w:r>
          </w:p>
          <w:p w14:paraId="1BFD1BED" w14:textId="77777777" w:rsidR="00993879" w:rsidRPr="00532CDE" w:rsidRDefault="00993879" w:rsidP="007A67F5">
            <w:pPr>
              <w:rPr>
                <w:lang w:val="en-US" w:eastAsia="en-US"/>
              </w:rPr>
            </w:pPr>
          </w:p>
          <w:p w14:paraId="58252358" w14:textId="77777777" w:rsidR="00993879" w:rsidRPr="008C34C5" w:rsidRDefault="00993879" w:rsidP="007A67F5">
            <w:pPr>
              <w:rPr>
                <w:lang w:eastAsia="en-US"/>
              </w:rPr>
            </w:pPr>
            <w:r w:rsidRPr="00532CDE">
              <w:rPr>
                <w:lang w:val="en-US" w:eastAsia="en-US"/>
              </w:rPr>
              <w:t>Projects of cooperation of two or more</w:t>
            </w:r>
            <w:r w:rsidRPr="00532CDE">
              <w:rPr>
                <w:lang w:val="en-US"/>
              </w:rPr>
              <w:t xml:space="preserve"> enterprises and networks of partnerships of small enterprises and universities</w:t>
            </w:r>
            <w:r w:rsidRPr="00532CDE">
              <w:rPr>
                <w:lang w:val="en-US" w:eastAsia="en-US"/>
              </w:rPr>
              <w:t xml:space="preserve"> are supported as well.</w:t>
            </w:r>
          </w:p>
          <w:p w14:paraId="23C9D56A" w14:textId="77777777" w:rsidR="00993879" w:rsidRDefault="00993879" w:rsidP="007A67F5">
            <w:pPr>
              <w:rPr>
                <w:lang w:eastAsia="en-US"/>
              </w:rPr>
            </w:pPr>
          </w:p>
          <w:p w14:paraId="110D134F" w14:textId="77777777" w:rsidR="00993879" w:rsidRPr="008C34C5" w:rsidRDefault="00993879" w:rsidP="007A67F5">
            <w:pPr>
              <w:rPr>
                <w:lang w:eastAsia="en-US"/>
              </w:rPr>
            </w:pPr>
          </w:p>
        </w:tc>
      </w:tr>
    </w:tbl>
    <w:p w14:paraId="3AE48855" w14:textId="3F3D05E5" w:rsidR="00A9664A" w:rsidRPr="0073014D" w:rsidRDefault="00A9664A" w:rsidP="003D68AA">
      <w:pPr>
        <w:pStyle w:val="Titulek"/>
      </w:pPr>
      <w:r>
        <w:t>Table 88: Examples of international schemes of support for innovation</w:t>
      </w:r>
    </w:p>
    <w:p w14:paraId="2E96DC31" w14:textId="77777777" w:rsidR="006D3AD5" w:rsidRPr="0073014D" w:rsidRDefault="006D3AD5" w:rsidP="006D3AD5"/>
    <w:p w14:paraId="6C8A1013" w14:textId="77777777" w:rsidR="006D3AD5" w:rsidRPr="0073014D" w:rsidRDefault="006D3AD5" w:rsidP="006D3AD5">
      <w:pPr>
        <w:pStyle w:val="Nadpis4"/>
        <w:rPr>
          <w:rFonts w:ascii="Calibri" w:hAnsi="Calibri"/>
          <w:color w:val="000000"/>
        </w:rPr>
      </w:pPr>
      <w:r>
        <w:rPr>
          <w:rFonts w:ascii="Calibri" w:hAnsi="Calibri"/>
          <w:color w:val="000000"/>
        </w:rPr>
        <w:t>Application of experience to the present conditions</w:t>
      </w:r>
    </w:p>
    <w:p w14:paraId="0797A5A9" w14:textId="77777777" w:rsidR="006D3AD5" w:rsidRPr="0073014D" w:rsidRDefault="006D3AD5" w:rsidP="006D3AD5"/>
    <w:p w14:paraId="52D2EEF0" w14:textId="77777777" w:rsidR="00495F5C" w:rsidRPr="00C31770" w:rsidRDefault="00495F5C" w:rsidP="00495F5C">
      <w:pPr>
        <w:rPr>
          <w:lang w:val="en-US"/>
        </w:rPr>
      </w:pPr>
      <w:r>
        <w:rPr>
          <w:lang w:val="en-US"/>
        </w:rPr>
        <w:t>The g</w:t>
      </w:r>
      <w:r w:rsidRPr="00C31770">
        <w:rPr>
          <w:lang w:val="en-US"/>
        </w:rPr>
        <w:t>rant support</w:t>
      </w:r>
      <w:r>
        <w:rPr>
          <w:lang w:val="en-US"/>
        </w:rPr>
        <w:t xml:space="preserve"> method</w:t>
      </w:r>
      <w:r w:rsidRPr="00C31770">
        <w:rPr>
          <w:lang w:val="en-US"/>
        </w:rPr>
        <w:t xml:space="preserve"> for </w:t>
      </w:r>
      <w:r>
        <w:rPr>
          <w:lang w:val="en-US"/>
        </w:rPr>
        <w:t xml:space="preserve">the </w:t>
      </w:r>
      <w:r w:rsidRPr="00C31770">
        <w:rPr>
          <w:lang w:val="en-US"/>
        </w:rPr>
        <w:t xml:space="preserve">innovation activities is still </w:t>
      </w:r>
      <w:r>
        <w:rPr>
          <w:lang w:val="en-US"/>
        </w:rPr>
        <w:t>widely used</w:t>
      </w:r>
      <w:r w:rsidRPr="00C31770">
        <w:rPr>
          <w:lang w:val="en-US"/>
        </w:rPr>
        <w:t xml:space="preserve"> not only in the Czech Republic, but also within Europe. </w:t>
      </w:r>
      <w:r>
        <w:rPr>
          <w:lang w:val="en-US"/>
        </w:rPr>
        <w:t>However, implementation of financial instruments (soft loans) in order to actively support the SMEs access to finance for their innovative projects are of the similar importance.</w:t>
      </w:r>
    </w:p>
    <w:p w14:paraId="22F602B7" w14:textId="77777777" w:rsidR="00495F5C" w:rsidRDefault="00495F5C" w:rsidP="006D3AD5"/>
    <w:p w14:paraId="5FBB0881" w14:textId="77777777" w:rsidR="006D3AD5" w:rsidRPr="0073014D" w:rsidRDefault="006D3AD5" w:rsidP="006D3AD5">
      <w:r>
        <w:t>On the basis of this experience, we consider the guarantee instrument as a potential supplementary alternative to a subsidy support, which shall enable a more flexible and administratively easier form of support to companies that have a problem with obtaining bank financing.</w:t>
      </w:r>
    </w:p>
    <w:p w14:paraId="7411A1B0" w14:textId="77777777" w:rsidR="006D3AD5" w:rsidRPr="0073014D" w:rsidRDefault="006D3AD5" w:rsidP="006D3AD5">
      <w:pPr>
        <w:rPr>
          <w:b/>
        </w:rPr>
      </w:pPr>
    </w:p>
    <w:p w14:paraId="6374D7F8" w14:textId="77777777" w:rsidR="006D3AD5" w:rsidRPr="0073014D" w:rsidRDefault="006D3AD5" w:rsidP="006D3AD5">
      <w:pPr>
        <w:pStyle w:val="Nadpis3"/>
        <w:rPr>
          <w:rFonts w:ascii="Calibri" w:hAnsi="Calibri"/>
          <w:color w:val="000000"/>
        </w:rPr>
      </w:pPr>
      <w:bookmarkStart w:id="985" w:name="_Toc422312138"/>
      <w:r>
        <w:rPr>
          <w:rFonts w:ascii="Calibri" w:hAnsi="Calibri"/>
          <w:color w:val="000000"/>
        </w:rPr>
        <w:lastRenderedPageBreak/>
        <w:t>Specific objective 1.2</w:t>
      </w:r>
      <w:bookmarkEnd w:id="985"/>
    </w:p>
    <w:p w14:paraId="148E28D4" w14:textId="77777777" w:rsidR="006D3AD5" w:rsidRPr="0073014D" w:rsidRDefault="006D3AD5" w:rsidP="006D3AD5">
      <w:pPr>
        <w:pStyle w:val="Nadpis4"/>
        <w:rPr>
          <w:rFonts w:ascii="Calibri" w:hAnsi="Calibri"/>
          <w:color w:val="000000"/>
        </w:rPr>
      </w:pPr>
      <w:r>
        <w:rPr>
          <w:rFonts w:ascii="Calibri" w:hAnsi="Calibri"/>
          <w:color w:val="000000"/>
        </w:rPr>
        <w:t>Conclusions deduced from the implementation of comparable instruments in the past</w:t>
      </w:r>
    </w:p>
    <w:p w14:paraId="2CC0F76D" w14:textId="77777777" w:rsidR="006D3AD5" w:rsidRPr="0073014D" w:rsidRDefault="006D3AD5" w:rsidP="006D3AD5"/>
    <w:p w14:paraId="01E0E319" w14:textId="77777777" w:rsidR="006D3AD5" w:rsidRPr="0073014D" w:rsidRDefault="006D3AD5" w:rsidP="006D3AD5">
      <w:r>
        <w:t>The monitored area of support of the specific objective 1.2 OPEI specialised in the activities leading to commercialisation of the results of research using the activities of feasibility verification („proof-of-concept“) was supported though OP R&amp;DfI in the programming period 2007-2013, by subsidy support. The still continuing programme TACR GAMA was the other resource of financing, which also focused on the support of pre-seed activities, providing that the supported institutions rather than directly entities were selected within the calls on the basis of internal criteria.</w:t>
      </w:r>
    </w:p>
    <w:p w14:paraId="2B74E909" w14:textId="77777777" w:rsidR="006D3AD5" w:rsidRPr="0073014D" w:rsidRDefault="006D3AD5" w:rsidP="006D3AD5"/>
    <w:p w14:paraId="3F1CC587" w14:textId="0B82DE5E" w:rsidR="006D3AD5" w:rsidRPr="0073014D" w:rsidRDefault="006D3AD5" w:rsidP="006D3AD5">
      <w:r>
        <w:t xml:space="preserve">Within </w:t>
      </w:r>
      <w:r w:rsidR="00685AEF">
        <w:t xml:space="preserve">SO </w:t>
      </w:r>
      <w:r>
        <w:t>3.1 OP R&amp;DfI, a more than a double excess of the demand for the resources in the ratio to the available allocation was recorded in the past; likewise, insufficient allocation was in the GAMA programme (see chap. 5.1.2), which indicates positive experience in terms of the interest of research institutions. As a result of the support, internal processes in the selection of commercialisation projects were partly improved, and the centres for the transfer of technologies started to function at workplaces within OP R&amp;DfI. However, quality and sustainability of these results is rather various, the hitherto evaluations are controversial, too. On the one hand, several workplaces with quality operation was established, on the other hand, this quality tends to fluctuate and the support of commercialisation is based on several individualities, with a limited potential of sustainability.</w:t>
      </w:r>
    </w:p>
    <w:p w14:paraId="4DD2B2EB" w14:textId="77777777" w:rsidR="006D3AD5" w:rsidRPr="0073014D" w:rsidRDefault="006D3AD5" w:rsidP="006D3AD5"/>
    <w:p w14:paraId="2726CA46" w14:textId="77777777" w:rsidR="006D3AD5" w:rsidRPr="0073014D" w:rsidRDefault="006D3AD5" w:rsidP="006D3AD5">
      <w:r>
        <w:t>Stakeholders across specialisations and potential groups of beneficiaries confirm that the present concept of R&amp;D financial support does not achieve the required results. The final pre-seed stage – i.e. qualified support of the development of spin-offs and the sale of intangible assets – remains the weakness of the commercialisation support. Considerable reserves can be found in the effective interconnection of scientists with specialists in the commercial sector. The present character of the grant support is problematic, which has not been sufficiently motivating and lacked sufficient relation to material results and above all their commercial applicability. It is exactly the area of commercialisation that has the potential to be closely connected with the criteria depending on commercial results.</w:t>
      </w:r>
    </w:p>
    <w:p w14:paraId="162A9E4C" w14:textId="77777777" w:rsidR="006D3AD5" w:rsidRPr="0073014D" w:rsidRDefault="006D3AD5" w:rsidP="006D3AD5"/>
    <w:p w14:paraId="7C078C4B" w14:textId="77777777" w:rsidR="006D3AD5" w:rsidRPr="0073014D" w:rsidRDefault="006D3AD5" w:rsidP="006D3AD5">
      <w:r>
        <w:t>The fact that commercialisation activities are rather at the edge of the main activities of public VO emphasises the need of targeted public support especially in this area.</w:t>
      </w:r>
    </w:p>
    <w:p w14:paraId="489E0C69" w14:textId="77777777" w:rsidR="006D3AD5" w:rsidRPr="0073014D" w:rsidRDefault="006D3AD5" w:rsidP="006D3AD5"/>
    <w:p w14:paraId="724EF906" w14:textId="77777777" w:rsidR="006D3AD5" w:rsidRPr="0073014D" w:rsidRDefault="006D3AD5" w:rsidP="006D3AD5">
      <w:pPr>
        <w:pStyle w:val="Nadpis4"/>
        <w:rPr>
          <w:rFonts w:ascii="Calibri" w:hAnsi="Calibri"/>
          <w:color w:val="000000"/>
        </w:rPr>
      </w:pPr>
      <w:r>
        <w:rPr>
          <w:rFonts w:ascii="Calibri" w:hAnsi="Calibri"/>
          <w:color w:val="000000"/>
        </w:rPr>
        <w:t>An overview of international experience with comparable financial instruments</w:t>
      </w:r>
    </w:p>
    <w:p w14:paraId="5AB45610" w14:textId="77777777" w:rsidR="006D3AD5" w:rsidRPr="0073014D" w:rsidRDefault="006D3AD5" w:rsidP="006D3AD5"/>
    <w:p w14:paraId="53567974" w14:textId="77777777" w:rsidR="006D3AD5" w:rsidRPr="0073014D" w:rsidRDefault="006D3AD5" w:rsidP="006D3AD5">
      <w:r>
        <w:t>A number of schemes and forms of support exist for the proof-of-concept and pre-seed activities. It is apparent that a combination of different forms of support, ensuring quality and qualified investors, who are able to evaluated the projects and also interconnection to further financing, which make it possible for the projects to continuous transfer to further phases, is important.</w:t>
      </w:r>
    </w:p>
    <w:p w14:paraId="377E4895" w14:textId="77777777" w:rsidR="006D3AD5" w:rsidRPr="0073014D" w:rsidRDefault="006D3AD5" w:rsidP="006D3AD5"/>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3AD5" w:rsidRPr="0073014D" w14:paraId="2C8BA916" w14:textId="77777777" w:rsidTr="00443B8F">
        <w:trPr>
          <w:trHeight w:val="482"/>
        </w:trPr>
        <w:tc>
          <w:tcPr>
            <w:tcW w:w="2000" w:type="dxa"/>
            <w:shd w:val="clear" w:color="auto" w:fill="548DD4"/>
            <w:noWrap/>
            <w:vAlign w:val="center"/>
          </w:tcPr>
          <w:p w14:paraId="02B3561F" w14:textId="77777777" w:rsidR="006D3AD5" w:rsidRPr="00685AEF" w:rsidRDefault="006D3AD5" w:rsidP="00443B8F">
            <w:pPr>
              <w:jc w:val="center"/>
              <w:rPr>
                <w:b/>
                <w:color w:val="FFFFFF" w:themeColor="background1"/>
              </w:rPr>
            </w:pPr>
            <w:r w:rsidRPr="00685AEF">
              <w:rPr>
                <w:b/>
                <w:color w:val="FFFFFF" w:themeColor="background1"/>
              </w:rPr>
              <w:t>BRIdge VC (Poland)</w:t>
            </w:r>
          </w:p>
        </w:tc>
        <w:tc>
          <w:tcPr>
            <w:tcW w:w="6800" w:type="dxa"/>
            <w:shd w:val="clear" w:color="auto" w:fill="FFFFFF"/>
            <w:noWrap/>
          </w:tcPr>
          <w:p w14:paraId="34FB9C82" w14:textId="77777777" w:rsidR="006D3AD5" w:rsidRPr="0073014D" w:rsidRDefault="006D3AD5" w:rsidP="00443B8F">
            <w:pPr>
              <w:jc w:val="left"/>
              <w:rPr>
                <w:szCs w:val="19"/>
              </w:rPr>
            </w:pPr>
            <w:r>
              <w:t>Joint investments of public and private resources in technological projects based on the R&amp;D results are connected within the programme. The programme is administered by the National Centre for Research and Development (NCRD).</w:t>
            </w:r>
          </w:p>
          <w:p w14:paraId="33AFF861" w14:textId="77777777" w:rsidR="006D3AD5" w:rsidRPr="0073014D" w:rsidRDefault="006D3AD5" w:rsidP="00443B8F">
            <w:pPr>
              <w:jc w:val="left"/>
              <w:rPr>
                <w:szCs w:val="19"/>
              </w:rPr>
            </w:pPr>
          </w:p>
          <w:p w14:paraId="00D860DB" w14:textId="77777777" w:rsidR="006D3AD5" w:rsidRPr="0073014D" w:rsidRDefault="006D3AD5" w:rsidP="00443B8F">
            <w:pPr>
              <w:jc w:val="left"/>
              <w:rPr>
                <w:szCs w:val="19"/>
              </w:rPr>
            </w:pPr>
            <w:r>
              <w:t>NCRD invited venture capital funds for the implementation, which are connected to create “vehicles” (3 such instruments have been created) and shall co-finance selected projects, and consulting companies, which shall provide consulting and coaching services.</w:t>
            </w:r>
          </w:p>
          <w:p w14:paraId="08086D35" w14:textId="77777777" w:rsidR="006D3AD5" w:rsidRPr="0073014D" w:rsidRDefault="006D3AD5" w:rsidP="00443B8F">
            <w:pPr>
              <w:jc w:val="left"/>
              <w:rPr>
                <w:szCs w:val="19"/>
              </w:rPr>
            </w:pPr>
            <w:r>
              <w:t>Projects are financed at three stages:</w:t>
            </w:r>
          </w:p>
          <w:p w14:paraId="46522DD9" w14:textId="77777777" w:rsidR="006D3AD5" w:rsidRPr="0073014D" w:rsidRDefault="006D3AD5" w:rsidP="00443B8F">
            <w:pPr>
              <w:numPr>
                <w:ilvl w:val="0"/>
                <w:numId w:val="28"/>
              </w:numPr>
              <w:overflowPunct/>
              <w:autoSpaceDE/>
              <w:autoSpaceDN/>
              <w:adjustRightInd/>
              <w:jc w:val="left"/>
              <w:textAlignment w:val="auto"/>
              <w:rPr>
                <w:b/>
                <w:bCs/>
                <w:sz w:val="32"/>
                <w:szCs w:val="19"/>
              </w:rPr>
            </w:pPr>
            <w:r>
              <w:lastRenderedPageBreak/>
              <w:t>pre-incubation stage – 80% irrecoverable support, 20% venture capital</w:t>
            </w:r>
          </w:p>
          <w:p w14:paraId="59B5A786" w14:textId="77777777" w:rsidR="006D3AD5" w:rsidRPr="0073014D" w:rsidRDefault="006D3AD5" w:rsidP="00443B8F">
            <w:pPr>
              <w:numPr>
                <w:ilvl w:val="0"/>
                <w:numId w:val="28"/>
              </w:numPr>
              <w:overflowPunct/>
              <w:autoSpaceDE/>
              <w:autoSpaceDN/>
              <w:adjustRightInd/>
              <w:jc w:val="left"/>
              <w:textAlignment w:val="auto"/>
              <w:rPr>
                <w:b/>
                <w:bCs/>
                <w:sz w:val="32"/>
                <w:szCs w:val="19"/>
              </w:rPr>
            </w:pPr>
            <w:r>
              <w:t>incubation stage– 70% irrecoverable support, 30% venture capital</w:t>
            </w:r>
          </w:p>
          <w:p w14:paraId="28E89EFD" w14:textId="77777777" w:rsidR="006D3AD5" w:rsidRPr="0073014D" w:rsidRDefault="006D3AD5" w:rsidP="00443B8F">
            <w:pPr>
              <w:numPr>
                <w:ilvl w:val="0"/>
                <w:numId w:val="28"/>
              </w:numPr>
              <w:overflowPunct/>
              <w:autoSpaceDE/>
              <w:autoSpaceDN/>
              <w:adjustRightInd/>
              <w:jc w:val="left"/>
              <w:textAlignment w:val="auto"/>
              <w:rPr>
                <w:b/>
                <w:bCs/>
                <w:sz w:val="32"/>
                <w:szCs w:val="19"/>
              </w:rPr>
            </w:pPr>
            <w:r>
              <w:t>post-incubation/ acceleration stage– 50% irrecoverable support, 50% venture capital</w:t>
            </w:r>
          </w:p>
          <w:p w14:paraId="7F282B8B" w14:textId="77777777" w:rsidR="006D3AD5" w:rsidRPr="0073014D" w:rsidRDefault="006D3AD5" w:rsidP="00443B8F">
            <w:pPr>
              <w:ind w:left="720"/>
              <w:jc w:val="left"/>
              <w:rPr>
                <w:szCs w:val="19"/>
              </w:rPr>
            </w:pPr>
          </w:p>
          <w:p w14:paraId="431B7951" w14:textId="77777777" w:rsidR="006D3AD5" w:rsidRPr="0073014D" w:rsidRDefault="006D3AD5" w:rsidP="00443B8F">
            <w:pPr>
              <w:jc w:val="left"/>
              <w:rPr>
                <w:szCs w:val="19"/>
              </w:rPr>
            </w:pPr>
            <w:r>
              <w:t xml:space="preserve">In addition to financial resources, the supported projects are offered consulting services, including basic consulting in business, and specialised services, such as due diligence analyses. </w:t>
            </w:r>
          </w:p>
          <w:p w14:paraId="100A0227" w14:textId="77777777" w:rsidR="006D3AD5" w:rsidRPr="0073014D" w:rsidRDefault="006D3AD5" w:rsidP="00443B8F">
            <w:pPr>
              <w:jc w:val="left"/>
              <w:rPr>
                <w:szCs w:val="19"/>
              </w:rPr>
            </w:pPr>
          </w:p>
          <w:p w14:paraId="6B0150F5" w14:textId="77777777" w:rsidR="006D3AD5" w:rsidRPr="0073014D" w:rsidRDefault="006D3AD5" w:rsidP="00443B8F">
            <w:pPr>
              <w:jc w:val="left"/>
              <w:rPr>
                <w:rFonts w:cs="Calibri"/>
              </w:rPr>
            </w:pPr>
            <w:r>
              <w:t>If, as a result of commercialisation, a project supported by the consulting services creates income at the level of at least four times the 25% value of the consulting services provided by NCRD, it is subsequently obliged to reimburse an amount which equals at least 25% of the costs of the services received from NCRD within such a component.</w:t>
            </w:r>
          </w:p>
        </w:tc>
      </w:tr>
      <w:tr w:rsidR="006D3AD5" w:rsidRPr="0073014D" w14:paraId="3FED5E2B" w14:textId="77777777" w:rsidTr="00443B8F">
        <w:trPr>
          <w:trHeight w:val="1260"/>
        </w:trPr>
        <w:tc>
          <w:tcPr>
            <w:tcW w:w="2000" w:type="dxa"/>
            <w:shd w:val="clear" w:color="auto" w:fill="548DD4"/>
            <w:noWrap/>
            <w:vAlign w:val="center"/>
          </w:tcPr>
          <w:p w14:paraId="04E281FE" w14:textId="77777777" w:rsidR="006D3AD5" w:rsidRPr="00685AEF" w:rsidRDefault="006D3AD5" w:rsidP="00443B8F">
            <w:pPr>
              <w:jc w:val="center"/>
              <w:rPr>
                <w:b/>
                <w:color w:val="FFFFFF" w:themeColor="background1"/>
              </w:rPr>
            </w:pPr>
            <w:r w:rsidRPr="00685AEF">
              <w:rPr>
                <w:b/>
                <w:color w:val="FFFFFF" w:themeColor="background1"/>
              </w:rPr>
              <w:lastRenderedPageBreak/>
              <w:t>IP Group, FusionIP (Great Britain)</w:t>
            </w:r>
          </w:p>
        </w:tc>
        <w:tc>
          <w:tcPr>
            <w:tcW w:w="6800" w:type="dxa"/>
            <w:shd w:val="clear" w:color="auto" w:fill="FFFFFF"/>
            <w:noWrap/>
          </w:tcPr>
          <w:p w14:paraId="00A1AE51" w14:textId="77777777" w:rsidR="006D3AD5" w:rsidRPr="0073014D" w:rsidRDefault="006D3AD5" w:rsidP="00443B8F">
            <w:pPr>
              <w:jc w:val="left"/>
            </w:pPr>
            <w:r>
              <w:t xml:space="preserve">They are companies (firms) specialised in the support of commercialisation. Companies have tight connections to universities (they have contracts with 14 major British universities). Their goal is ensuring commercialisation of the results of their R&amp;D through the provision of the require capital and consulting to interested companies. </w:t>
            </w:r>
          </w:p>
          <w:p w14:paraId="55A90003" w14:textId="77777777" w:rsidR="006D3AD5" w:rsidRPr="0073014D" w:rsidRDefault="006D3AD5" w:rsidP="00443B8F">
            <w:pPr>
              <w:jc w:val="left"/>
            </w:pPr>
          </w:p>
          <w:p w14:paraId="4F7261D6" w14:textId="77777777" w:rsidR="006D3AD5" w:rsidRPr="0073014D" w:rsidRDefault="006D3AD5" w:rsidP="00443B8F">
            <w:pPr>
              <w:jc w:val="left"/>
            </w:pPr>
            <w:r>
              <w:t xml:space="preserve">The required and sufficient deal flow is ensured by the exclusive cooperation with the respective universities. The team of companies works in a close contact with partners at universities with a view to identifying promising research. Business models are developed for identified promising cases, they are evaluated and tested and on the basis of this decisions are made as to how to progress with them further. </w:t>
            </w:r>
          </w:p>
          <w:p w14:paraId="72201F83" w14:textId="77777777" w:rsidR="006D3AD5" w:rsidRPr="0073014D" w:rsidRDefault="006D3AD5" w:rsidP="00443B8F">
            <w:pPr>
              <w:jc w:val="left"/>
            </w:pPr>
          </w:p>
          <w:p w14:paraId="5565DD73" w14:textId="77777777" w:rsidR="006D3AD5" w:rsidRPr="0073014D" w:rsidRDefault="006D3AD5" w:rsidP="00443B8F">
            <w:pPr>
              <w:jc w:val="left"/>
            </w:pPr>
            <w:r>
              <w:t>Once the project reaches the commercialisation stage, the required financing for the establishment of a company and the continuation of the commercialisation is ensured. The risk of failure has dramatically dropped as a result of the wide structure of the portfolio and close cooperation with the research teams (consulting).</w:t>
            </w:r>
          </w:p>
        </w:tc>
      </w:tr>
      <w:tr w:rsidR="006D3AD5" w:rsidRPr="0073014D" w14:paraId="333DA4D4" w14:textId="77777777" w:rsidTr="00443B8F">
        <w:trPr>
          <w:trHeight w:val="315"/>
        </w:trPr>
        <w:tc>
          <w:tcPr>
            <w:tcW w:w="2000" w:type="dxa"/>
            <w:shd w:val="clear" w:color="auto" w:fill="548DD4"/>
            <w:noWrap/>
            <w:vAlign w:val="center"/>
          </w:tcPr>
          <w:p w14:paraId="104265D9" w14:textId="77777777" w:rsidR="006D3AD5" w:rsidRPr="00685AEF" w:rsidRDefault="006D3AD5" w:rsidP="00443B8F">
            <w:pPr>
              <w:jc w:val="center"/>
              <w:rPr>
                <w:b/>
                <w:color w:val="FFFFFF" w:themeColor="background1"/>
              </w:rPr>
            </w:pPr>
            <w:r w:rsidRPr="00685AEF">
              <w:rPr>
                <w:b/>
                <w:color w:val="FFFFFF" w:themeColor="background1"/>
              </w:rPr>
              <w:t>Technology enterprise commercialisation scheme (Singapore)</w:t>
            </w:r>
          </w:p>
        </w:tc>
        <w:tc>
          <w:tcPr>
            <w:tcW w:w="6800" w:type="dxa"/>
            <w:shd w:val="clear" w:color="auto" w:fill="FFFFFF"/>
            <w:noWrap/>
          </w:tcPr>
          <w:p w14:paraId="5E4A0195" w14:textId="77777777" w:rsidR="006D3AD5" w:rsidRPr="0073014D" w:rsidRDefault="006D3AD5" w:rsidP="00443B8F">
            <w:r>
              <w:t xml:space="preserve">The support focuses on two types of projects: </w:t>
            </w:r>
          </w:p>
          <w:p w14:paraId="582BA378" w14:textId="77777777" w:rsidR="006D3AD5" w:rsidRPr="0073014D" w:rsidRDefault="006D3AD5" w:rsidP="00443B8F">
            <w:pPr>
              <w:numPr>
                <w:ilvl w:val="0"/>
                <w:numId w:val="29"/>
              </w:numPr>
              <w:overflowPunct/>
              <w:autoSpaceDE/>
              <w:autoSpaceDN/>
              <w:adjustRightInd/>
              <w:textAlignment w:val="auto"/>
              <w:rPr>
                <w:b/>
                <w:bCs/>
                <w:sz w:val="32"/>
              </w:rPr>
            </w:pPr>
            <w:r>
              <w:t>Proof-Of-Concept: technical viability of the projects yet needs to be proved, projects are supported up to 100% of costs through a subsidy.</w:t>
            </w:r>
          </w:p>
          <w:p w14:paraId="1D2B137A" w14:textId="77777777" w:rsidR="006D3AD5" w:rsidRPr="0073014D" w:rsidRDefault="006D3AD5" w:rsidP="00443B8F">
            <w:pPr>
              <w:numPr>
                <w:ilvl w:val="0"/>
                <w:numId w:val="29"/>
              </w:numPr>
              <w:overflowPunct/>
              <w:autoSpaceDE/>
              <w:autoSpaceDN/>
              <w:adjustRightInd/>
              <w:textAlignment w:val="auto"/>
              <w:rPr>
                <w:b/>
                <w:bCs/>
                <w:sz w:val="32"/>
              </w:rPr>
            </w:pPr>
            <w:r>
              <w:t>Proof-Of-Value: The PoC stage is completed, the commercial value of the particular idea/solution needs to be verified, however, preliminary interest of a commercial partner needs to be demonstrated. The projects are financed up to 85% of the costs.</w:t>
            </w:r>
          </w:p>
          <w:p w14:paraId="189703D8" w14:textId="77777777" w:rsidR="006D3AD5" w:rsidRPr="0073014D" w:rsidRDefault="006D3AD5" w:rsidP="00443B8F"/>
          <w:p w14:paraId="747B24BF" w14:textId="77777777" w:rsidR="006D3AD5" w:rsidRPr="0073014D" w:rsidRDefault="006D3AD5" w:rsidP="00443B8F">
            <w:r>
              <w:t>Projects may be submitted all the year round. Proposals are reviewed every two months or earlier. Each proposal of a project needs to go through three-stage evaluation process with stringent criteria – evaluation of capacity – evaluation of technical aspects – presentation at the board.</w:t>
            </w:r>
          </w:p>
        </w:tc>
      </w:tr>
      <w:tr w:rsidR="006D3AD5" w:rsidRPr="0073014D" w14:paraId="0489C304" w14:textId="77777777" w:rsidTr="00443B8F">
        <w:trPr>
          <w:trHeight w:val="315"/>
        </w:trPr>
        <w:tc>
          <w:tcPr>
            <w:tcW w:w="2000" w:type="dxa"/>
            <w:shd w:val="clear" w:color="auto" w:fill="548DD4"/>
            <w:noWrap/>
            <w:vAlign w:val="center"/>
          </w:tcPr>
          <w:p w14:paraId="5EE93327" w14:textId="77777777" w:rsidR="006D3AD5" w:rsidRPr="00685AEF" w:rsidRDefault="006D3AD5" w:rsidP="00443B8F">
            <w:pPr>
              <w:jc w:val="center"/>
              <w:rPr>
                <w:b/>
                <w:color w:val="FFFFFF" w:themeColor="background1"/>
              </w:rPr>
            </w:pPr>
            <w:r w:rsidRPr="00685AEF">
              <w:rPr>
                <w:b/>
                <w:color w:val="FFFFFF" w:themeColor="background1"/>
              </w:rPr>
              <w:t>North East Proof-of-Concept Fund</w:t>
            </w:r>
          </w:p>
        </w:tc>
        <w:tc>
          <w:tcPr>
            <w:tcW w:w="6800" w:type="dxa"/>
            <w:shd w:val="clear" w:color="auto" w:fill="FFFFFF"/>
            <w:noWrap/>
          </w:tcPr>
          <w:p w14:paraId="335C4CB7" w14:textId="6FEA634F" w:rsidR="006D3AD5" w:rsidRPr="0073014D" w:rsidRDefault="006D3AD5" w:rsidP="00443B8F">
            <w:r>
              <w:t xml:space="preserve">A public fund specialised in capital investments in developing research projects </w:t>
            </w:r>
            <w:r>
              <w:rPr>
                <w:b/>
              </w:rPr>
              <w:t>near the commercialisation stage,</w:t>
            </w:r>
            <w:r>
              <w:t xml:space="preserve"> which is by its character at the border of  </w:t>
            </w:r>
            <w:r w:rsidR="00685AEF">
              <w:t xml:space="preserve">SO </w:t>
            </w:r>
            <w:r>
              <w:t xml:space="preserve">1.2 and </w:t>
            </w:r>
            <w:r w:rsidR="00685AEF">
              <w:t xml:space="preserve">SO </w:t>
            </w:r>
            <w:r>
              <w:t xml:space="preserve">2.1.  North East Proof-of-Concept Fund (POC) was </w:t>
            </w:r>
            <w:r>
              <w:lastRenderedPageBreak/>
              <w:t>established in 2004 with a view to bridging the problem with insufficient availability of investors in the equity of developing companies, whereas it is particularly the companies at the early stages of their development that perceive this problem. The goal of the fund is to catalyse investments in innovations from scientific and technological fields, both in the academic and the existing SME communities. The capital was provided from the European Regional Development Fund.</w:t>
            </w:r>
          </w:p>
          <w:p w14:paraId="76F7D162" w14:textId="77777777" w:rsidR="006D3AD5" w:rsidRPr="0073014D" w:rsidRDefault="006D3AD5" w:rsidP="00443B8F"/>
          <w:p w14:paraId="1C2892B1" w14:textId="77777777" w:rsidR="006D3AD5" w:rsidRPr="0073014D" w:rsidRDefault="006D3AD5" w:rsidP="00443B8F">
            <w:pPr>
              <w:rPr>
                <w:b/>
              </w:rPr>
            </w:pPr>
            <w:r>
              <w:t xml:space="preserve">The POC Fund is intended for the support of technological companies that appear at a very risky stage. Investments are relatively small – 60,000 to 90,000 pounds for university pre-start projects.  The POC Fund has available 10 million pounds. </w:t>
            </w:r>
            <w:r>
              <w:rPr>
                <w:b/>
              </w:rPr>
              <w:t>Investments should be used to test the basic idea, protection of intellectual property or the research of the demand on the market.</w:t>
            </w:r>
          </w:p>
          <w:p w14:paraId="5B904DF7" w14:textId="77777777" w:rsidR="006D3AD5" w:rsidRPr="0073014D" w:rsidRDefault="006D3AD5" w:rsidP="00443B8F">
            <w:pPr>
              <w:rPr>
                <w:b/>
              </w:rPr>
            </w:pPr>
          </w:p>
          <w:p w14:paraId="4A0BE960" w14:textId="77777777" w:rsidR="006D3AD5" w:rsidRPr="0073014D" w:rsidRDefault="006D3AD5" w:rsidP="00443B8F">
            <w:r>
              <w:t xml:space="preserve">Investments are distributed across a broad range of technological sectors. </w:t>
            </w:r>
            <w:r>
              <w:rPr>
                <w:b/>
              </w:rPr>
              <w:t xml:space="preserve">The POC Fund does not focus only on the support of innovations in the traditional industries, but also supports the growth of alliances (clusters) in healthcare, power engineering and other sectors. </w:t>
            </w:r>
            <w:r>
              <w:t>The ICT sectors accounts for a large part.</w:t>
            </w:r>
          </w:p>
          <w:p w14:paraId="4604F040" w14:textId="77777777" w:rsidR="006D3AD5" w:rsidRPr="0073014D" w:rsidRDefault="006D3AD5" w:rsidP="00443B8F"/>
          <w:p w14:paraId="4681A210" w14:textId="77777777" w:rsidR="006D3AD5" w:rsidRPr="0073014D" w:rsidRDefault="006D3AD5" w:rsidP="00443B8F">
            <w:r>
              <w:t xml:space="preserve">The major source of applicants and subsequently also supported objectives comes from the regional business base; however, universities have a relatively high share, too. </w:t>
            </w:r>
            <w:r>
              <w:rPr>
                <w:b/>
              </w:rPr>
              <w:t>The POC in alliance with universities, centres of excellence and representatives of industry and other organisations accelerates the transfer of business ideas to the functional market environment.</w:t>
            </w:r>
          </w:p>
          <w:p w14:paraId="76331F58" w14:textId="77777777" w:rsidR="006D3AD5" w:rsidRPr="0073014D" w:rsidRDefault="006D3AD5" w:rsidP="00443B8F"/>
          <w:p w14:paraId="22466383" w14:textId="77777777" w:rsidR="006D3AD5" w:rsidRPr="0073014D" w:rsidRDefault="006D3AD5" w:rsidP="00443B8F">
            <w:r>
              <w:t>The “The project survival rate” is generally high and the portfolio of supported projects is growing that continue to successfully grow and approach another development by sufficient strengthening and alliances with other investors (the seed stage), when such further investments amount to 7 million pounds in order to finance the growth and development of a company.</w:t>
            </w:r>
          </w:p>
          <w:p w14:paraId="01646BD7" w14:textId="77777777" w:rsidR="006D3AD5" w:rsidRPr="0073014D" w:rsidRDefault="006D3AD5" w:rsidP="00443B8F"/>
        </w:tc>
      </w:tr>
    </w:tbl>
    <w:p w14:paraId="340B34DD" w14:textId="4794E540" w:rsidR="006D3AD5" w:rsidRPr="0073014D" w:rsidRDefault="006D3AD5" w:rsidP="003D68AA">
      <w:pPr>
        <w:pStyle w:val="Titulek"/>
      </w:pPr>
      <w:r>
        <w:lastRenderedPageBreak/>
        <w:t>Table 8</w:t>
      </w:r>
      <w:r w:rsidR="00FE27E9">
        <w:t>9</w:t>
      </w:r>
      <w:r>
        <w:t>: Examples of international schemes of support for the Proof-Of-Concept activities</w:t>
      </w:r>
    </w:p>
    <w:p w14:paraId="2CF7E167" w14:textId="77777777" w:rsidR="006D3AD5" w:rsidRPr="0073014D" w:rsidRDefault="006D3AD5" w:rsidP="006D3AD5"/>
    <w:p w14:paraId="3C8F022D" w14:textId="77777777" w:rsidR="006D3AD5" w:rsidRPr="0073014D" w:rsidRDefault="006D3AD5" w:rsidP="006D3AD5">
      <w:pPr>
        <w:pStyle w:val="Nadpis4"/>
        <w:rPr>
          <w:rFonts w:ascii="Calibri" w:hAnsi="Calibri"/>
          <w:color w:val="000000"/>
        </w:rPr>
      </w:pPr>
      <w:r>
        <w:rPr>
          <w:rFonts w:ascii="Calibri" w:hAnsi="Calibri"/>
          <w:color w:val="000000"/>
        </w:rPr>
        <w:t>Application of experience to the present conditions</w:t>
      </w:r>
    </w:p>
    <w:p w14:paraId="55533AB2" w14:textId="77777777" w:rsidR="006D3AD5" w:rsidRPr="0073014D" w:rsidRDefault="006D3AD5" w:rsidP="006D3AD5">
      <w:r>
        <w:t xml:space="preserve">International experience indicate that the commercialisation stage is supported by different methods, which often include both the grant form, and recoverable equity investments and their combination as well. </w:t>
      </w:r>
    </w:p>
    <w:p w14:paraId="74FFA59D" w14:textId="77777777" w:rsidR="006D3AD5" w:rsidRPr="0073014D" w:rsidRDefault="006D3AD5" w:rsidP="006D3AD5">
      <w:r>
        <w:t>It is often supported by grants, but recoverable equity investments are used as well. The connection with the following stage of investments and support of new business projects appears to be an important point in the spin-off area.</w:t>
      </w:r>
    </w:p>
    <w:p w14:paraId="0E8167E8" w14:textId="77777777" w:rsidR="006D3AD5" w:rsidRPr="0073014D" w:rsidRDefault="006D3AD5" w:rsidP="006D3AD5"/>
    <w:p w14:paraId="157BEA1A" w14:textId="77777777" w:rsidR="006D3AD5" w:rsidRPr="0073014D" w:rsidRDefault="006D3AD5" w:rsidP="006D3AD5">
      <w:r>
        <w:t xml:space="preserve">The hitherto experience with the support indicates the need to raise the support of commercialisation stage one stage higher and make use of the progress in this area in the past programming period. The new form of support needs to be interconnected more with the final commercialisation stage, investment environment and commercial criteria of the provision of resources. A flexible resource of financing is necessary that will not create excessive administrative barriers to the development of projects, but will expose them to specialist supervision. Therefore, a significant role of equity </w:t>
      </w:r>
      <w:r>
        <w:lastRenderedPageBreak/>
        <w:t>investments, even when knowing the high risk rate of the expected portfolio of projects, is a potential solution of such needs. The quality specialist background of the potential pre-seed fund OPEI is prerequisite.</w:t>
      </w:r>
    </w:p>
    <w:p w14:paraId="4DD0B179" w14:textId="77777777" w:rsidR="006D3AD5" w:rsidRPr="0073014D" w:rsidRDefault="006D3AD5" w:rsidP="006D3AD5"/>
    <w:p w14:paraId="5A355A7A" w14:textId="689AFF6E" w:rsidR="006D3AD5" w:rsidRPr="0073014D" w:rsidRDefault="006D3AD5" w:rsidP="006D3AD5">
      <w:pPr>
        <w:pStyle w:val="Nadpis3"/>
        <w:rPr>
          <w:rFonts w:ascii="Calibri" w:hAnsi="Calibri"/>
          <w:color w:val="000000"/>
        </w:rPr>
      </w:pPr>
      <w:bookmarkStart w:id="986" w:name="_Toc417544650"/>
      <w:bookmarkStart w:id="987" w:name="_Toc417544651"/>
      <w:bookmarkStart w:id="988" w:name="_Toc417544652"/>
      <w:bookmarkStart w:id="989" w:name="_Toc422312139"/>
      <w:bookmarkEnd w:id="986"/>
      <w:bookmarkEnd w:id="987"/>
      <w:bookmarkEnd w:id="988"/>
      <w:r>
        <w:rPr>
          <w:rFonts w:ascii="Calibri" w:hAnsi="Calibri"/>
          <w:color w:val="000000"/>
        </w:rPr>
        <w:t>Specific objective 2.1</w:t>
      </w:r>
      <w:bookmarkEnd w:id="989"/>
    </w:p>
    <w:p w14:paraId="4BDCED43" w14:textId="77777777" w:rsidR="006D3AD5" w:rsidRPr="0073014D" w:rsidRDefault="006D3AD5" w:rsidP="006D3AD5">
      <w:pPr>
        <w:pStyle w:val="Nadpis4"/>
        <w:rPr>
          <w:rFonts w:ascii="Calibri" w:hAnsi="Calibri"/>
          <w:color w:val="000000"/>
        </w:rPr>
      </w:pPr>
      <w:r>
        <w:rPr>
          <w:rFonts w:ascii="Calibri" w:hAnsi="Calibri"/>
          <w:color w:val="000000"/>
        </w:rPr>
        <w:t>Conclusions deduced from the implementation of comparable instruments in the past</w:t>
      </w:r>
    </w:p>
    <w:p w14:paraId="7586EF3D" w14:textId="77777777" w:rsidR="006D3AD5" w:rsidRPr="0073014D" w:rsidRDefault="006D3AD5" w:rsidP="006D3AD5"/>
    <w:p w14:paraId="5494F770" w14:textId="77777777" w:rsidR="006D3AD5" w:rsidRPr="0073014D" w:rsidRDefault="006D3AD5" w:rsidP="006D3AD5">
      <w:pPr>
        <w:pStyle w:val="Neslovannadpisy"/>
        <w:rPr>
          <w:color w:val="000000"/>
        </w:rPr>
      </w:pPr>
      <w:r>
        <w:rPr>
          <w:color w:val="000000"/>
        </w:rPr>
        <w:t xml:space="preserve">Debt instruments </w:t>
      </w:r>
    </w:p>
    <w:p w14:paraId="71E55C53" w14:textId="1AA00A6C" w:rsidR="006D3AD5" w:rsidRPr="0073014D" w:rsidRDefault="006D3AD5" w:rsidP="006D3AD5">
      <w:r>
        <w:t xml:space="preserve">The proposal of the application of credit and guarantee instruments is supported by the experience from the past, that is the interest in the support drawn for the application of financial instruments in the programming period 2007-2013, for the application of the Start, Záruka, Progress OPEI programmes, as well as experience with the interest in comparable instruments provided from the national resources under the </w:t>
      </w:r>
      <w:r w:rsidR="00A97232">
        <w:t xml:space="preserve">CMGDB </w:t>
      </w:r>
      <w:r>
        <w:t>programmes. The specific results of the individual programmes are shown below.</w:t>
      </w:r>
    </w:p>
    <w:p w14:paraId="0713D7CA" w14:textId="77777777" w:rsidR="006D3AD5" w:rsidRPr="0073014D" w:rsidRDefault="006D3AD5" w:rsidP="006D3AD5"/>
    <w:p w14:paraId="1F4A08C6" w14:textId="77777777" w:rsidR="006D3AD5" w:rsidRPr="0073014D" w:rsidRDefault="006D3AD5" w:rsidP="006D3AD5">
      <w:pPr>
        <w:rPr>
          <w:b/>
          <w:i/>
        </w:rPr>
      </w:pPr>
      <w:r>
        <w:rPr>
          <w:b/>
          <w:i/>
        </w:rPr>
        <w:t>START</w:t>
      </w:r>
    </w:p>
    <w:p w14:paraId="763F43BB" w14:textId="77777777" w:rsidR="006D3AD5" w:rsidRPr="0073014D" w:rsidRDefault="006D3AD5" w:rsidP="006D3AD5">
      <w:pPr>
        <w:rPr>
          <w:i/>
          <w:u w:val="single"/>
        </w:rPr>
      </w:pPr>
      <w:r>
        <w:rPr>
          <w:i/>
          <w:u w:val="single"/>
        </w:rPr>
        <w:t>Loans</w:t>
      </w:r>
    </w:p>
    <w:p w14:paraId="741658CA" w14:textId="77777777" w:rsidR="006D3AD5" w:rsidRPr="0073014D" w:rsidRDefault="006D3AD5" w:rsidP="006D3AD5">
      <w:pPr>
        <w:numPr>
          <w:ilvl w:val="0"/>
          <w:numId w:val="31"/>
        </w:numPr>
        <w:overflowPunct/>
        <w:autoSpaceDE/>
        <w:autoSpaceDN/>
        <w:adjustRightInd/>
        <w:textAlignment w:val="auto"/>
        <w:rPr>
          <w:i/>
        </w:rPr>
      </w:pPr>
      <w:r>
        <w:rPr>
          <w:i/>
        </w:rPr>
        <w:t>In the total volume of concluded contracts of 2.254 MEUR (62.5 MCZK) and the number of 97 loans, as of 31/12/2014, a total of 16 loans was with overdue receivables and including default interest they amounted to EUR 142,527 (3.952 MCZK), which accounted for 6.3% of the volume of provided loans and 17.6% of the number of provided loans. The balance of the principal of before maturity amounted to EUR 76,529 (2.122 MCZK) as of 31/12/2014. The amount of the outstanding principal amounted to 2.107 MEUR (58.428 MCZK), i.e. 93.5 % of the drawn loans. 51 loans in the total amount of 1.203 MEUR (33.362 MCZK) have been fully paid up.</w:t>
      </w:r>
    </w:p>
    <w:p w14:paraId="185920F7" w14:textId="77777777" w:rsidR="006D3AD5" w:rsidRPr="0073014D" w:rsidRDefault="006D3AD5" w:rsidP="006D3AD5">
      <w:pPr>
        <w:numPr>
          <w:ilvl w:val="0"/>
          <w:numId w:val="31"/>
        </w:numPr>
        <w:overflowPunct/>
        <w:autoSpaceDE/>
        <w:autoSpaceDN/>
        <w:adjustRightInd/>
        <w:textAlignment w:val="auto"/>
        <w:rPr>
          <w:i/>
        </w:rPr>
      </w:pPr>
      <w:r>
        <w:rPr>
          <w:i/>
        </w:rPr>
        <w:t xml:space="preserve">No receivables have been written within the START programme for uncollectibility. With respect to the fact that the loans were repaid at the time of an unfavourable economic development, the development of </w:t>
      </w:r>
      <w:r>
        <w:rPr>
          <w:i/>
          <w:u w:val="single"/>
        </w:rPr>
        <w:t>the created loan portfolio is very good</w:t>
      </w:r>
      <w:r>
        <w:t>.</w:t>
      </w:r>
    </w:p>
    <w:p w14:paraId="2E5266A5" w14:textId="77777777" w:rsidR="006D3AD5" w:rsidRPr="0073014D" w:rsidRDefault="006D3AD5" w:rsidP="006D3AD5">
      <w:pPr>
        <w:rPr>
          <w:i/>
          <w:u w:val="single"/>
        </w:rPr>
      </w:pPr>
    </w:p>
    <w:p w14:paraId="2A388349" w14:textId="77777777" w:rsidR="006D3AD5" w:rsidRPr="0073014D" w:rsidRDefault="006D3AD5" w:rsidP="006D3AD5">
      <w:pPr>
        <w:rPr>
          <w:i/>
          <w:u w:val="single"/>
        </w:rPr>
      </w:pPr>
      <w:r>
        <w:rPr>
          <w:i/>
          <w:u w:val="single"/>
        </w:rPr>
        <w:t>Guarantees</w:t>
      </w:r>
    </w:p>
    <w:p w14:paraId="55115BF6" w14:textId="77777777" w:rsidR="006D3AD5" w:rsidRPr="0073014D" w:rsidRDefault="006D3AD5" w:rsidP="006D3AD5">
      <w:pPr>
        <w:numPr>
          <w:ilvl w:val="0"/>
          <w:numId w:val="32"/>
        </w:numPr>
        <w:overflowPunct/>
        <w:autoSpaceDE/>
        <w:autoSpaceDN/>
        <w:adjustRightInd/>
        <w:textAlignment w:val="auto"/>
        <w:rPr>
          <w:i/>
        </w:rPr>
      </w:pPr>
      <w:r>
        <w:rPr>
          <w:i/>
        </w:rPr>
        <w:t xml:space="preserve">In the total amount of provided guarantees of 3.657 MEUR (101.4 MCZK) and the number of 85, payments under the guarantees were made in the amount of EUR 217,506 (6.031 MCZK) for 9 guarantees, which accounts for 5.95% of the amount of the provided guarantees and 10.58 % of the number of provided guarantees. </w:t>
      </w:r>
    </w:p>
    <w:p w14:paraId="1601E168" w14:textId="47A5B8F7" w:rsidR="006D3AD5" w:rsidRPr="0073014D" w:rsidRDefault="006D3AD5" w:rsidP="006D3AD5">
      <w:pPr>
        <w:numPr>
          <w:ilvl w:val="0"/>
          <w:numId w:val="32"/>
        </w:numPr>
        <w:overflowPunct/>
        <w:autoSpaceDE/>
        <w:autoSpaceDN/>
        <w:adjustRightInd/>
        <w:textAlignment w:val="auto"/>
        <w:rPr>
          <w:i/>
        </w:rPr>
      </w:pPr>
      <w:r>
        <w:rPr>
          <w:i/>
        </w:rPr>
        <w:t xml:space="preserve">After the termination of the collection process, the receivables in the amount of 0.3 MCZK for 2 guarantees were written off for uncollectibility. The state of this portfolio guarantees and their development is relatively favourable. The character of the guarantee document needs to be taken into account which does not primarily aim at revolving but the leverage effect. </w:t>
      </w:r>
      <w:r w:rsidR="00A97232">
        <w:t xml:space="preserve">CMGDB </w:t>
      </w:r>
      <w:r>
        <w:rPr>
          <w:i/>
        </w:rPr>
        <w:t>does not expect considerable surplus at the guarantee account at the end.</w:t>
      </w:r>
    </w:p>
    <w:p w14:paraId="613121FB" w14:textId="77777777" w:rsidR="006D3AD5" w:rsidRPr="0073014D" w:rsidRDefault="006D3AD5" w:rsidP="006D3AD5">
      <w:pPr>
        <w:rPr>
          <w:b/>
          <w:i/>
        </w:rPr>
      </w:pPr>
    </w:p>
    <w:p w14:paraId="34F173CD" w14:textId="77777777" w:rsidR="006D3AD5" w:rsidRPr="0073014D" w:rsidRDefault="006D3AD5" w:rsidP="006D3AD5">
      <w:pPr>
        <w:rPr>
          <w:b/>
          <w:i/>
        </w:rPr>
      </w:pPr>
      <w:r>
        <w:rPr>
          <w:b/>
          <w:i/>
        </w:rPr>
        <w:t>ZÁRUKA</w:t>
      </w:r>
    </w:p>
    <w:p w14:paraId="2DF43C3E" w14:textId="77777777" w:rsidR="006D3AD5" w:rsidRPr="0073014D" w:rsidRDefault="006D3AD5" w:rsidP="006D3AD5">
      <w:pPr>
        <w:numPr>
          <w:ilvl w:val="0"/>
          <w:numId w:val="33"/>
        </w:numPr>
        <w:overflowPunct/>
        <w:autoSpaceDE/>
        <w:autoSpaceDN/>
        <w:adjustRightInd/>
        <w:textAlignment w:val="auto"/>
        <w:rPr>
          <w:i/>
        </w:rPr>
      </w:pPr>
      <w:r>
        <w:rPr>
          <w:i/>
        </w:rPr>
        <w:t xml:space="preserve">In the total amount of provided guarantees of 409.041 MEUR (11,341.9 MCZK) and the number of guarantees of 2,011, as of 31/12/2014, the payments in the amount of 12.847 MEUR (356.208 MCZK) in 181 guarantees, which represents 3.1% of the amount of the provided guarantees and 9.0% of the number of provided guarantees. </w:t>
      </w:r>
    </w:p>
    <w:p w14:paraId="0DB7D5EB" w14:textId="77777777" w:rsidR="006D3AD5" w:rsidRPr="0073014D" w:rsidRDefault="006D3AD5" w:rsidP="006D3AD5">
      <w:pPr>
        <w:numPr>
          <w:ilvl w:val="0"/>
          <w:numId w:val="33"/>
        </w:numPr>
        <w:overflowPunct/>
        <w:autoSpaceDE/>
        <w:autoSpaceDN/>
        <w:adjustRightInd/>
        <w:textAlignment w:val="auto"/>
        <w:rPr>
          <w:i/>
        </w:rPr>
      </w:pPr>
      <w:r>
        <w:rPr>
          <w:i/>
        </w:rPr>
        <w:t>After the termination of the collecting process, the following receivables were written off for uncollectibility:</w:t>
      </w:r>
    </w:p>
    <w:p w14:paraId="60963F1B" w14:textId="77777777" w:rsidR="006D3AD5" w:rsidRPr="0073014D" w:rsidRDefault="006D3AD5" w:rsidP="006D3AD5">
      <w:pPr>
        <w:numPr>
          <w:ilvl w:val="1"/>
          <w:numId w:val="33"/>
        </w:numPr>
        <w:overflowPunct/>
        <w:autoSpaceDE/>
        <w:autoSpaceDN/>
        <w:adjustRightInd/>
        <w:textAlignment w:val="auto"/>
        <w:rPr>
          <w:i/>
        </w:rPr>
      </w:pPr>
      <w:r>
        <w:rPr>
          <w:i/>
        </w:rPr>
        <w:t>S-guarantees of EUR 1,305,540 (CZK 36.2 million) in 12 guarantees,</w:t>
      </w:r>
    </w:p>
    <w:p w14:paraId="7EFFEB7C" w14:textId="77777777" w:rsidR="006D3AD5" w:rsidRPr="0073014D" w:rsidRDefault="006D3AD5" w:rsidP="006D3AD5">
      <w:pPr>
        <w:numPr>
          <w:ilvl w:val="1"/>
          <w:numId w:val="33"/>
        </w:numPr>
        <w:overflowPunct/>
        <w:autoSpaceDE/>
        <w:autoSpaceDN/>
        <w:adjustRightInd/>
        <w:textAlignment w:val="auto"/>
        <w:rPr>
          <w:i/>
        </w:rPr>
      </w:pPr>
      <w:r>
        <w:rPr>
          <w:i/>
        </w:rPr>
        <w:t xml:space="preserve">M-guarantees of EUR 2,445,182 (CZK 67.8 million) in 36 guarantees.            </w:t>
      </w:r>
    </w:p>
    <w:p w14:paraId="3AF9FDD7" w14:textId="43B322D8" w:rsidR="006D3AD5" w:rsidRPr="0073014D" w:rsidRDefault="006D3AD5" w:rsidP="006D3AD5">
      <w:pPr>
        <w:numPr>
          <w:ilvl w:val="0"/>
          <w:numId w:val="33"/>
        </w:numPr>
        <w:overflowPunct/>
        <w:autoSpaceDE/>
        <w:autoSpaceDN/>
        <w:adjustRightInd/>
        <w:textAlignment w:val="auto"/>
        <w:rPr>
          <w:i/>
        </w:rPr>
      </w:pPr>
      <w:r>
        <w:rPr>
          <w:i/>
        </w:rPr>
        <w:lastRenderedPageBreak/>
        <w:t xml:space="preserve">The ongoing cycle needs to be taken into account in the interpretation. Minimal revolving arises from the character of the guarantee instrument. </w:t>
      </w:r>
      <w:r w:rsidR="00A97232">
        <w:t xml:space="preserve">CMGDB </w:t>
      </w:r>
      <w:r>
        <w:rPr>
          <w:i/>
        </w:rPr>
        <w:t>does not expect considerable surplus at the guarantee account at the end.</w:t>
      </w:r>
    </w:p>
    <w:p w14:paraId="238BFC72" w14:textId="77777777" w:rsidR="006D3AD5" w:rsidRPr="0073014D" w:rsidRDefault="006D3AD5" w:rsidP="006D3AD5">
      <w:pPr>
        <w:rPr>
          <w:b/>
          <w:i/>
        </w:rPr>
      </w:pPr>
    </w:p>
    <w:p w14:paraId="4C606500" w14:textId="77777777" w:rsidR="006D3AD5" w:rsidRPr="0073014D" w:rsidRDefault="006D3AD5" w:rsidP="006D3AD5">
      <w:pPr>
        <w:rPr>
          <w:b/>
          <w:i/>
        </w:rPr>
      </w:pPr>
      <w:r>
        <w:rPr>
          <w:b/>
          <w:i/>
        </w:rPr>
        <w:t>PROGRES</w:t>
      </w:r>
    </w:p>
    <w:p w14:paraId="290F84B2" w14:textId="77777777" w:rsidR="006D3AD5" w:rsidRPr="0073014D" w:rsidRDefault="006D3AD5" w:rsidP="006D3AD5">
      <w:pPr>
        <w:numPr>
          <w:ilvl w:val="0"/>
          <w:numId w:val="34"/>
        </w:numPr>
        <w:overflowPunct/>
        <w:autoSpaceDE/>
        <w:autoSpaceDN/>
        <w:adjustRightInd/>
        <w:textAlignment w:val="auto"/>
        <w:rPr>
          <w:i/>
        </w:rPr>
      </w:pPr>
      <w:r>
        <w:rPr>
          <w:i/>
        </w:rPr>
        <w:t xml:space="preserve">In the total amount of the provided subordinated loans of 137.298 MEUR (3,807.0 MCZK) and the number of 472, as of 31/12/2014, the overdue receivables, including the outstanding interest (default interest and interest on loans) in 36 loans amounted to 3.448 MEUR (95.610 MCZK), which represents 2.5% of the amount of the provided loans and  7.6% of the number of the provided loans. </w:t>
      </w:r>
    </w:p>
    <w:p w14:paraId="53627662" w14:textId="77777777" w:rsidR="006D3AD5" w:rsidRPr="0073014D" w:rsidRDefault="006D3AD5" w:rsidP="006D3AD5">
      <w:pPr>
        <w:numPr>
          <w:ilvl w:val="0"/>
          <w:numId w:val="34"/>
        </w:numPr>
        <w:overflowPunct/>
        <w:autoSpaceDE/>
        <w:autoSpaceDN/>
        <w:adjustRightInd/>
        <w:textAlignment w:val="auto"/>
        <w:rPr>
          <w:i/>
        </w:rPr>
      </w:pPr>
      <w:r>
        <w:rPr>
          <w:i/>
        </w:rPr>
        <w:t>No receivables have been written off for uncollectibility in the PROGRES programme. The balance of the principal until the maturity as of 31/12/2014 amounted to 76.856 MEUR (2,131.075 MCZK). The amount of fully paid up loans is 17.194 MEUR (476.755 MCZK), the number of paid loans is 68.</w:t>
      </w:r>
    </w:p>
    <w:p w14:paraId="03645FA7" w14:textId="77777777" w:rsidR="006D3AD5" w:rsidRPr="0073014D" w:rsidRDefault="006D3AD5" w:rsidP="006D3AD5"/>
    <w:p w14:paraId="3CB6392C" w14:textId="77777777" w:rsidR="006D3AD5" w:rsidRPr="0073014D" w:rsidRDefault="006D3AD5" w:rsidP="006D3AD5">
      <w:r>
        <w:t>The results of the aforesaid programmes are affected by the fact that they were used only for a part of the programming period.</w:t>
      </w:r>
    </w:p>
    <w:p w14:paraId="35BC2CF8" w14:textId="77777777" w:rsidR="006D3AD5" w:rsidRPr="0073014D" w:rsidRDefault="006D3AD5" w:rsidP="006D3AD5"/>
    <w:p w14:paraId="0F15F3B9" w14:textId="194FFFD8" w:rsidR="006D3AD5" w:rsidRDefault="006D3AD5" w:rsidP="006D3AD5">
      <w:pPr>
        <w:pStyle w:val="Neslovannadpisy"/>
        <w:rPr>
          <w:color w:val="000000"/>
        </w:rPr>
      </w:pPr>
      <w:r>
        <w:rPr>
          <w:color w:val="000000"/>
        </w:rPr>
        <w:t>Equity investment</w:t>
      </w:r>
    </w:p>
    <w:p w14:paraId="2D16CC2C" w14:textId="6EDAF32F" w:rsidR="00BC389E" w:rsidRPr="0073014D" w:rsidRDefault="00BC389E" w:rsidP="006D3AD5">
      <w:pPr>
        <w:pStyle w:val="Neslovannadpisy"/>
        <w:rPr>
          <w:color w:val="000000"/>
        </w:rPr>
      </w:pPr>
      <w:r>
        <w:rPr>
          <w:color w:val="000000"/>
        </w:rPr>
        <w:t>Seed fond OP EI</w:t>
      </w:r>
    </w:p>
    <w:p w14:paraId="71D8BEB1" w14:textId="647100F1" w:rsidR="00BC389E" w:rsidRPr="00017467" w:rsidRDefault="00BC389E" w:rsidP="00BC389E">
      <w:pPr>
        <w:rPr>
          <w:lang w:val="en-US"/>
        </w:rPr>
      </w:pPr>
      <w:r w:rsidRPr="00017467">
        <w:rPr>
          <w:lang w:val="en-US"/>
        </w:rPr>
        <w:t>In the period 2011-2013, „Seed fond“ project was prepared by Ministry of Industry and Trade within the OP EI programme and was supposed to offer completely new support instrument in the form of capital investment (venture capital).</w:t>
      </w:r>
    </w:p>
    <w:p w14:paraId="6AECE3A1" w14:textId="77777777" w:rsidR="00BC389E" w:rsidRDefault="00BC389E" w:rsidP="006D3AD5"/>
    <w:p w14:paraId="053FACCD" w14:textId="77777777" w:rsidR="00BC389E" w:rsidRPr="00542476" w:rsidRDefault="00BC389E" w:rsidP="00BC389E">
      <w:pPr>
        <w:rPr>
          <w:lang w:val="en-US"/>
        </w:rPr>
      </w:pPr>
      <w:r>
        <w:t xml:space="preserve">The aim of the project was to evolve the investments in both the early stage and the established enterprises with innovative capacity/potential. </w:t>
      </w:r>
      <w:r w:rsidRPr="00542476">
        <w:rPr>
          <w:lang w:val="en-US"/>
        </w:rPr>
        <w:t>The fund was structured into two sections – Seed section and Venture capital (VC) section. Seed section was to administrate the allocation of 31</w:t>
      </w:r>
      <w:r>
        <w:rPr>
          <w:lang w:val="en-US"/>
        </w:rPr>
        <w:t>,</w:t>
      </w:r>
      <w:r w:rsidRPr="00542476">
        <w:rPr>
          <w:lang w:val="en-US"/>
        </w:rPr>
        <w:t xml:space="preserve">8 million EUR and provide early-stage investment (seed and start-up) within the priority axis 1 </w:t>
      </w:r>
      <w:r>
        <w:rPr>
          <w:lang w:val="en-US"/>
        </w:rPr>
        <w:t>“</w:t>
      </w:r>
      <w:r w:rsidRPr="00BD6023">
        <w:rPr>
          <w:lang w:val="en-US"/>
        </w:rPr>
        <w:t>Establishment</w:t>
      </w:r>
      <w:r w:rsidRPr="00542476">
        <w:rPr>
          <w:lang w:val="en-US"/>
        </w:rPr>
        <w:t xml:space="preserve"> of enterprises</w:t>
      </w:r>
      <w:r>
        <w:rPr>
          <w:lang w:val="en-US"/>
        </w:rPr>
        <w:t>”</w:t>
      </w:r>
      <w:r w:rsidRPr="00542476">
        <w:rPr>
          <w:lang w:val="en-US"/>
        </w:rPr>
        <w:t xml:space="preserve"> OP EI. VC section was targeted at later-stage (expansion) investments and will </w:t>
      </w:r>
      <w:r>
        <w:rPr>
          <w:lang w:val="en-US"/>
        </w:rPr>
        <w:t>administered</w:t>
      </w:r>
      <w:r w:rsidRPr="00542476">
        <w:rPr>
          <w:lang w:val="en-US"/>
        </w:rPr>
        <w:t xml:space="preserve"> the budget of 21,2 million EUR within the priority axis 2 Development of enterprises OP EI.</w:t>
      </w:r>
    </w:p>
    <w:p w14:paraId="1CE58350" w14:textId="7E57B174" w:rsidR="00BC389E" w:rsidRDefault="00BC389E" w:rsidP="00BC389E"/>
    <w:p w14:paraId="6CF1DE05" w14:textId="77777777" w:rsidR="00BC389E" w:rsidRPr="00256383" w:rsidRDefault="00BC389E" w:rsidP="00BC389E">
      <w:pPr>
        <w:rPr>
          <w:lang w:val="en-US"/>
        </w:rPr>
      </w:pPr>
      <w:r w:rsidRPr="003C6401">
        <w:rPr>
          <w:lang w:val="en-US"/>
        </w:rPr>
        <w:t xml:space="preserve">Private and public funds were supposed to meet at the level of the individual projects based on co-investment agreement between the fund and the private investors. In </w:t>
      </w:r>
      <w:r>
        <w:rPr>
          <w:lang w:val="en-US"/>
        </w:rPr>
        <w:t xml:space="preserve">the </w:t>
      </w:r>
      <w:r w:rsidRPr="003C6401">
        <w:rPr>
          <w:lang w:val="en-US"/>
        </w:rPr>
        <w:t xml:space="preserve">case of Seed section, the fund had to </w:t>
      </w:r>
      <w:r>
        <w:rPr>
          <w:lang w:val="en-US"/>
        </w:rPr>
        <w:t>invest at least 10 % of the total investment in the targeted enterprise (but maximally 70 %).</w:t>
      </w:r>
      <w:r w:rsidRPr="003C6401">
        <w:rPr>
          <w:lang w:val="en-US"/>
        </w:rPr>
        <w:t xml:space="preserve"> In case of VC section, the fund had to contribute with</w:t>
      </w:r>
      <w:r>
        <w:rPr>
          <w:lang w:val="en-US"/>
        </w:rPr>
        <w:t>in 10-50 % of the total investment.</w:t>
      </w:r>
      <w:r w:rsidRPr="003C6401">
        <w:rPr>
          <w:lang w:val="en-US"/>
        </w:rPr>
        <w:t xml:space="preserve"> Investments under the „de minimis“rule did not need to </w:t>
      </w:r>
      <w:r>
        <w:rPr>
          <w:lang w:val="en-US"/>
        </w:rPr>
        <w:t>include the co-financing of the private investors.</w:t>
      </w:r>
      <w:r w:rsidRPr="003C6401">
        <w:rPr>
          <w:lang w:val="en-US"/>
        </w:rPr>
        <w:t xml:space="preserve"> </w:t>
      </w:r>
      <w:r w:rsidRPr="00256383">
        <w:rPr>
          <w:lang w:val="en-US"/>
        </w:rPr>
        <w:t>The Fund manager had to establish the investment committee that was to provide recommending opinions on the projects proposed for financing.</w:t>
      </w:r>
    </w:p>
    <w:p w14:paraId="55142B51" w14:textId="77777777" w:rsidR="00BC389E" w:rsidRDefault="00BC389E" w:rsidP="00BC389E">
      <w:pPr>
        <w:rPr>
          <w:lang w:val="en-US"/>
        </w:rPr>
      </w:pPr>
    </w:p>
    <w:p w14:paraId="26D0CABC" w14:textId="77777777" w:rsidR="00BC389E" w:rsidRPr="00256383" w:rsidRDefault="00BC389E" w:rsidP="00BC389E">
      <w:pPr>
        <w:rPr>
          <w:lang w:val="en-US"/>
        </w:rPr>
      </w:pPr>
      <w:r w:rsidRPr="00256383">
        <w:rPr>
          <w:lang w:val="en-US"/>
        </w:rPr>
        <w:t>The state aid for the fund was notified by the Commission that issued two decisions in favor of the fund in December 2012. In January 2013 on the basis of the results of the open tender, a contract with the Fund depository was signed, in March 2013 the Fund manager was selected in the open tender. In April 2013, an administrative procedure was initiated at the Office for the Protection of Competition (OPC) because of a complaint of one of the excluded tender candidate</w:t>
      </w:r>
      <w:r>
        <w:rPr>
          <w:lang w:val="en-US"/>
        </w:rPr>
        <w:t>s</w:t>
      </w:r>
      <w:r w:rsidRPr="00256383">
        <w:rPr>
          <w:lang w:val="en-US"/>
        </w:rPr>
        <w:t xml:space="preserve"> for Fund assets management. In April 2014, the managing authority canceled the tender, inter alia for the reason of protracted administrative procedure of OPC that failed to issue the final decision even after 12 months, and it was imminent that </w:t>
      </w:r>
      <w:r>
        <w:rPr>
          <w:lang w:val="en-US"/>
        </w:rPr>
        <w:t>the Seed fund will not be able to use the funds from OP EI in time</w:t>
      </w:r>
      <w:r w:rsidRPr="00256383">
        <w:rPr>
          <w:lang w:val="en-US"/>
        </w:rPr>
        <w:t>. In October 2014, the administrative procedure was terminated by OPC fo</w:t>
      </w:r>
      <w:r w:rsidRPr="00DB2E78">
        <w:rPr>
          <w:lang w:val="en-US"/>
        </w:rPr>
        <w:t>r devoid of purpose.</w:t>
      </w:r>
      <w:r w:rsidRPr="00256383">
        <w:rPr>
          <w:lang w:val="en-US"/>
        </w:rPr>
        <w:t xml:space="preserve"> The funds designated for Seed fund implementation of OP EI were relocated into the grant support programmes of OP EI.</w:t>
      </w:r>
    </w:p>
    <w:p w14:paraId="36459779" w14:textId="77777777" w:rsidR="00BC389E" w:rsidRDefault="00BC389E" w:rsidP="00BC389E">
      <w:pPr>
        <w:rPr>
          <w:lang w:val="en-US"/>
        </w:rPr>
      </w:pPr>
    </w:p>
    <w:p w14:paraId="47365CF0" w14:textId="77777777" w:rsidR="00BC389E" w:rsidRPr="00DB2E78" w:rsidRDefault="00BC389E" w:rsidP="00BC389E">
      <w:pPr>
        <w:rPr>
          <w:lang w:val="en-US"/>
        </w:rPr>
      </w:pPr>
      <w:r w:rsidRPr="00DB2E78">
        <w:rPr>
          <w:lang w:val="en-US"/>
        </w:rPr>
        <w:t>These experiences shows</w:t>
      </w:r>
      <w:r>
        <w:rPr>
          <w:lang w:val="en-US"/>
        </w:rPr>
        <w:t xml:space="preserve"> the public tender as a serious possible complication for the timely implementation of the financial instrument.</w:t>
      </w:r>
    </w:p>
    <w:p w14:paraId="624D36A6" w14:textId="77777777" w:rsidR="00BC389E" w:rsidRPr="003C6401" w:rsidRDefault="00BC389E" w:rsidP="00BC389E">
      <w:pPr>
        <w:rPr>
          <w:lang w:val="en-US"/>
        </w:rPr>
      </w:pPr>
    </w:p>
    <w:p w14:paraId="5E9A008E" w14:textId="77777777" w:rsidR="00BC389E" w:rsidRDefault="00BC389E" w:rsidP="00BC389E"/>
    <w:p w14:paraId="5833BA93" w14:textId="2113F343" w:rsidR="006D3AD5" w:rsidRDefault="006D3AD5" w:rsidP="006D3AD5"/>
    <w:p w14:paraId="55686331" w14:textId="77777777" w:rsidR="00BC389E" w:rsidRPr="0073014D" w:rsidRDefault="00BC389E" w:rsidP="006D3AD5"/>
    <w:p w14:paraId="53898659" w14:textId="77777777" w:rsidR="006D3AD5" w:rsidRPr="0073014D" w:rsidRDefault="006D3AD5" w:rsidP="006D3AD5"/>
    <w:p w14:paraId="5DF3E237" w14:textId="77777777" w:rsidR="006D3AD5" w:rsidRPr="0073014D" w:rsidRDefault="006D3AD5" w:rsidP="006D3AD5">
      <w:pPr>
        <w:pStyle w:val="Nadpis4"/>
        <w:rPr>
          <w:rFonts w:ascii="Calibri" w:hAnsi="Calibri"/>
          <w:color w:val="000000"/>
        </w:rPr>
      </w:pPr>
      <w:r>
        <w:rPr>
          <w:rFonts w:ascii="Calibri" w:hAnsi="Calibri"/>
          <w:color w:val="000000"/>
        </w:rPr>
        <w:t>An overview of international experience with comparable financial instruments</w:t>
      </w:r>
    </w:p>
    <w:p w14:paraId="703A48AC" w14:textId="77777777" w:rsidR="006D3AD5" w:rsidRPr="0073014D" w:rsidRDefault="006D3AD5" w:rsidP="006D3AD5">
      <w:pPr>
        <w:rPr>
          <w:szCs w:val="22"/>
        </w:rPr>
      </w:pPr>
      <w:r>
        <w:t>As international experience shows, venture capital may be a significant catalyst of the economic and innovative development. The USA, Israel but also some countries of Europe (e.g. Finland, Switzerland, Germany) are the word leaders in this area.</w:t>
      </w:r>
    </w:p>
    <w:p w14:paraId="0702CF85" w14:textId="77777777" w:rsidR="006D3AD5" w:rsidRPr="0073014D" w:rsidRDefault="006D3AD5" w:rsidP="006D3AD5">
      <w:pPr>
        <w:rPr>
          <w:szCs w:val="22"/>
        </w:rPr>
      </w:pPr>
    </w:p>
    <w:p w14:paraId="11DFDD7D" w14:textId="77777777" w:rsidR="006D3AD5" w:rsidRPr="0073014D" w:rsidRDefault="006D3AD5" w:rsidP="006D3AD5">
      <w:pPr>
        <w:rPr>
          <w:szCs w:val="22"/>
        </w:rPr>
      </w:pPr>
      <w:r>
        <w:t xml:space="preserve">The utilisation of venture capital in the EU has an increasing tendency also with respect to the support of the European Commission (EC) in cooperation especially with the European Investment Fund (EIF). Within the cohesion policy it was used by a number of states in the region of Central and Eastern Europe, which launched their own programmes of the national support of venture capital in the programming period 2007-2013. </w:t>
      </w:r>
      <w:r>
        <w:rPr>
          <w:b/>
        </w:rPr>
        <w:t xml:space="preserve">In the past programming period, public investment funds were established in 20 EU states (including Slovakia, Poland and Hungary) from the EU structural funds. </w:t>
      </w:r>
      <w:r>
        <w:t>Funds of funds are the prevailing form of the implementation, which invest in the capital of funds with identically focused investment strategy rather than directly in individual projects. However, co-investment funds are not quite rare either, which consist not only in searching for investors but also appropriate projects in which they invest directly along with venture funds.</w:t>
      </w:r>
    </w:p>
    <w:p w14:paraId="5440B26A" w14:textId="77777777" w:rsidR="006D3AD5" w:rsidRPr="0073014D" w:rsidRDefault="006D3AD5" w:rsidP="006D3AD5">
      <w:pPr>
        <w:rPr>
          <w:szCs w:val="22"/>
        </w:rPr>
      </w:pP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3AD5" w:rsidRPr="0073014D" w14:paraId="4E704C3B" w14:textId="77777777" w:rsidTr="00443B8F">
        <w:trPr>
          <w:trHeight w:val="482"/>
        </w:trPr>
        <w:tc>
          <w:tcPr>
            <w:tcW w:w="2000" w:type="dxa"/>
            <w:shd w:val="clear" w:color="auto" w:fill="548DD4"/>
            <w:noWrap/>
            <w:vAlign w:val="center"/>
          </w:tcPr>
          <w:p w14:paraId="51097A94" w14:textId="77777777" w:rsidR="006D3AD5" w:rsidRPr="00685AEF" w:rsidRDefault="006D3AD5" w:rsidP="00443B8F">
            <w:pPr>
              <w:jc w:val="center"/>
              <w:rPr>
                <w:b/>
                <w:color w:val="FFFFFF" w:themeColor="background1"/>
              </w:rPr>
            </w:pPr>
            <w:r w:rsidRPr="00685AEF">
              <w:rPr>
                <w:b/>
                <w:color w:val="FFFFFF" w:themeColor="background1"/>
              </w:rPr>
              <w:t>Izrael (Yozma)</w:t>
            </w:r>
          </w:p>
        </w:tc>
        <w:tc>
          <w:tcPr>
            <w:tcW w:w="6800" w:type="dxa"/>
            <w:shd w:val="clear" w:color="auto" w:fill="FFFFFF"/>
            <w:noWrap/>
          </w:tcPr>
          <w:p w14:paraId="73B05315" w14:textId="77777777" w:rsidR="006D3AD5" w:rsidRPr="0073014D" w:rsidRDefault="006D3AD5" w:rsidP="00443B8F">
            <w:r>
              <w:t>Israel is currently one of the most advanced markets in the area of venture capital. At present, approximately seventy venture funds operate here, including international ones. The development of venture capital started in 1990's in connection with the national support programme, Yozma. Within it, the national fund co-invested with Israeli venture funds in start-up projects on the condition that the Israeli funds acquired also international funds as their partner.</w:t>
            </w:r>
            <w:r>
              <w:rPr>
                <w:b/>
              </w:rPr>
              <w:t xml:space="preserve"> </w:t>
            </w:r>
            <w:r>
              <w:t>The original Yozma had USD 100 million, which it divided into 10 FRK, providing that roughly 50% of financing was ensured by the private financial sector. An inflow especially of American venture and development capital followed. The capital provided in such a way brought some supported start-ups even to the primary emission at the American or European stock exchanges. Currently, the FRK direct support is abandoned, nonetheless, e.g. the specialised Life Science Fund with the capitalisation of USD 220 million is in progress, in which the country invested a minority share as the so-called limited partner. The Fund has to allocate part of its investments in the projects of bio-pharmaceutical technologies. The major weight of the government support is moved to the pre-seed stage.</w:t>
            </w:r>
          </w:p>
        </w:tc>
      </w:tr>
      <w:tr w:rsidR="006D3AD5" w:rsidRPr="0073014D" w14:paraId="245250D8" w14:textId="77777777" w:rsidTr="00443B8F">
        <w:trPr>
          <w:trHeight w:val="1260"/>
        </w:trPr>
        <w:tc>
          <w:tcPr>
            <w:tcW w:w="2000" w:type="dxa"/>
            <w:shd w:val="clear" w:color="auto" w:fill="548DD4"/>
            <w:noWrap/>
            <w:vAlign w:val="center"/>
          </w:tcPr>
          <w:p w14:paraId="45295A29" w14:textId="77777777" w:rsidR="006D3AD5" w:rsidRPr="00685AEF" w:rsidRDefault="006D3AD5" w:rsidP="00443B8F">
            <w:pPr>
              <w:jc w:val="center"/>
              <w:rPr>
                <w:b/>
                <w:color w:val="FFFFFF" w:themeColor="background1"/>
              </w:rPr>
            </w:pPr>
            <w:r w:rsidRPr="00685AEF">
              <w:rPr>
                <w:b/>
                <w:color w:val="FFFFFF" w:themeColor="background1"/>
              </w:rPr>
              <w:t>Germany (HTGF)</w:t>
            </w:r>
          </w:p>
        </w:tc>
        <w:tc>
          <w:tcPr>
            <w:tcW w:w="6800" w:type="dxa"/>
            <w:shd w:val="clear" w:color="auto" w:fill="FFFFFF"/>
            <w:noWrap/>
          </w:tcPr>
          <w:p w14:paraId="5E74B1DB" w14:textId="77777777" w:rsidR="006D3AD5" w:rsidRPr="0073014D" w:rsidRDefault="006D3AD5" w:rsidP="00443B8F">
            <w:pPr>
              <w:rPr>
                <w:szCs w:val="22"/>
              </w:rPr>
            </w:pPr>
            <w:r>
              <w:t>Germany represents a developed market with a strongly decentralised system of venture capital funds according to individual federal countries. The market is characteristic</w:t>
            </w:r>
            <w:r>
              <w:rPr>
                <w:b/>
              </w:rPr>
              <w:t xml:space="preserve"> for the partnership of the public sector with the domestic industry.</w:t>
            </w:r>
            <w:r>
              <w:t xml:space="preserve"> High-Tech Gründerfonds (HTGF) specialising in the seed investments in the initial stage of the business of start-ups with a high-growth potential is the example of the fund with the cooperating private and public sector. It is the most active venture fund in Germany. The HTG stakeholders include the Federal Ministry of Economy and Energy, Federal Development Bank KfW and 12 private industrial groups.  The HTFG has the capital amounting to ca. EUR 560.5 million in the administration of its two funds.</w:t>
            </w:r>
          </w:p>
          <w:p w14:paraId="3DD80C07" w14:textId="77777777" w:rsidR="006D3AD5" w:rsidRPr="0073014D" w:rsidRDefault="006D3AD5" w:rsidP="00443B8F">
            <w:pPr>
              <w:jc w:val="left"/>
            </w:pPr>
          </w:p>
        </w:tc>
      </w:tr>
      <w:tr w:rsidR="006D3AD5" w:rsidRPr="0073014D" w14:paraId="6D5A01A0" w14:textId="77777777" w:rsidTr="00443B8F">
        <w:trPr>
          <w:trHeight w:val="315"/>
        </w:trPr>
        <w:tc>
          <w:tcPr>
            <w:tcW w:w="2000" w:type="dxa"/>
            <w:shd w:val="clear" w:color="auto" w:fill="548DD4"/>
            <w:noWrap/>
            <w:vAlign w:val="center"/>
          </w:tcPr>
          <w:p w14:paraId="04F44251" w14:textId="77777777" w:rsidR="006D3AD5" w:rsidRPr="00685AEF" w:rsidRDefault="006D3AD5" w:rsidP="00443B8F">
            <w:pPr>
              <w:jc w:val="center"/>
              <w:rPr>
                <w:b/>
                <w:color w:val="FFFFFF" w:themeColor="background1"/>
              </w:rPr>
            </w:pPr>
            <w:r w:rsidRPr="00685AEF">
              <w:rPr>
                <w:b/>
                <w:color w:val="FFFFFF" w:themeColor="background1"/>
              </w:rPr>
              <w:lastRenderedPageBreak/>
              <w:t>Slovakia (the Slovak Guarantee and Development Fund)</w:t>
            </w:r>
          </w:p>
        </w:tc>
        <w:tc>
          <w:tcPr>
            <w:tcW w:w="6800" w:type="dxa"/>
            <w:shd w:val="clear" w:color="auto" w:fill="FFFFFF"/>
            <w:noWrap/>
          </w:tcPr>
          <w:p w14:paraId="29A0DAB8" w14:textId="77777777" w:rsidR="006D3AD5" w:rsidRPr="0073014D" w:rsidRDefault="006D3AD5" w:rsidP="00443B8F">
            <w:r>
              <w:t xml:space="preserve">In 2013, the Slovak government utilised the JEREMIE initiative for the implementation of the own instrument for the support of the venture capital. This is based on the holding fund “the Slovak Guarantee and Development Fund (SGADF)” </w:t>
            </w:r>
            <w:r>
              <w:rPr>
                <w:b/>
              </w:rPr>
              <w:t>administered by the EIF.</w:t>
            </w:r>
            <w:r>
              <w:t xml:space="preserve"> The funds in it (EUR 100 million) were invested from three OP and they are designed for the support of SMEs in the form of recoverable financial tools (loans, guarantees, venture capital).</w:t>
            </w:r>
          </w:p>
          <w:p w14:paraId="1AF38EA7" w14:textId="77777777" w:rsidR="006D3AD5" w:rsidRPr="0073014D" w:rsidRDefault="006D3AD5" w:rsidP="00443B8F"/>
          <w:p w14:paraId="0CB44CED" w14:textId="77777777" w:rsidR="006D3AD5" w:rsidRPr="0073014D" w:rsidRDefault="006D3AD5" w:rsidP="00443B8F">
            <w:r>
              <w:rPr>
                <w:b/>
              </w:rPr>
              <w:t xml:space="preserve">Within the financial instruments of the venture capital, the SGADF/EIF provided means in the funds with different thematic orientation, for which, in spring 2014, upon the call, it selected two local Slovak companies </w:t>
            </w:r>
            <w:r>
              <w:t xml:space="preserve">(Neulogy Ventures and Limerock Fund Managers) </w:t>
            </w:r>
            <w:r>
              <w:rPr>
                <w:b/>
              </w:rPr>
              <w:t>to be the managers.</w:t>
            </w:r>
            <w:r>
              <w:t xml:space="preserve"> The funds are to co-invest a total of EUR 50 million in more than 50 SMEs together with private investors, which will participate by 50% at minimum. Totally, the invested capital exceeding EUR 100 million is being planned. Currently, the first investments are in progress.</w:t>
            </w:r>
          </w:p>
          <w:p w14:paraId="7BF7D2AC" w14:textId="77777777" w:rsidR="006D3AD5" w:rsidRPr="0073014D" w:rsidRDefault="006D3AD5" w:rsidP="00443B8F"/>
        </w:tc>
      </w:tr>
      <w:tr w:rsidR="006D3AD5" w:rsidRPr="0073014D" w14:paraId="7DE7DE6D" w14:textId="77777777" w:rsidTr="00443B8F">
        <w:trPr>
          <w:trHeight w:val="315"/>
        </w:trPr>
        <w:tc>
          <w:tcPr>
            <w:tcW w:w="2000" w:type="dxa"/>
            <w:shd w:val="clear" w:color="auto" w:fill="548DD4"/>
            <w:noWrap/>
            <w:vAlign w:val="center"/>
          </w:tcPr>
          <w:p w14:paraId="30FD3BC1" w14:textId="77777777" w:rsidR="006D3AD5" w:rsidRPr="00685AEF" w:rsidRDefault="006D3AD5" w:rsidP="00443B8F">
            <w:pPr>
              <w:jc w:val="center"/>
              <w:rPr>
                <w:b/>
                <w:color w:val="FFFFFF" w:themeColor="background1"/>
              </w:rPr>
            </w:pPr>
            <w:r w:rsidRPr="00685AEF">
              <w:rPr>
                <w:b/>
                <w:color w:val="FFFFFF" w:themeColor="background1"/>
              </w:rPr>
              <w:t>Poland (KFK, PFFW)</w:t>
            </w:r>
          </w:p>
        </w:tc>
        <w:tc>
          <w:tcPr>
            <w:tcW w:w="6800" w:type="dxa"/>
            <w:shd w:val="clear" w:color="auto" w:fill="FFFFFF"/>
            <w:noWrap/>
          </w:tcPr>
          <w:p w14:paraId="7DEA32DA" w14:textId="77777777" w:rsidR="006D3AD5" w:rsidRPr="0073014D" w:rsidRDefault="006D3AD5" w:rsidP="00443B8F">
            <w:r>
              <w:t xml:space="preserve">The venture capital started to be supported by the government in 2005, when the National Capital Fund (NCP) was established in the 100% possession of Banka Gospodarstwa Krajowego (BGK- the national development bank). </w:t>
            </w:r>
            <w:r>
              <w:rPr>
                <w:b/>
              </w:rPr>
              <w:t xml:space="preserve">This holding fund administers public means from the ESIF and other resources, which it invest together with primary resources in private venture funds </w:t>
            </w:r>
            <w:r>
              <w:t xml:space="preserve">(it actively participates in its operation via its representatives in Supervisory Boards), not directly in the target enterprises. In such a way, </w:t>
            </w:r>
            <w:r>
              <w:rPr>
                <w:b/>
              </w:rPr>
              <w:t>it cooperates with 16 funds with total capitalisation of EUR 178 million, which have so far made 72 investments.</w:t>
            </w:r>
          </w:p>
          <w:p w14:paraId="1CADC9F0" w14:textId="77777777" w:rsidR="006D3AD5" w:rsidRPr="0073014D" w:rsidRDefault="006D3AD5" w:rsidP="00443B8F"/>
          <w:p w14:paraId="5228AFAA" w14:textId="77777777" w:rsidR="006D3AD5" w:rsidRPr="0073014D" w:rsidRDefault="006D3AD5" w:rsidP="00443B8F">
            <w:r>
              <w:t xml:space="preserve">In April 2013, the BGK together with the EIF established another fund of the </w:t>
            </w:r>
            <w:r>
              <w:rPr>
                <w:b/>
              </w:rPr>
              <w:t>Polski Fundusz Funduszy Wzrostu Funds (PFFW)</w:t>
            </w:r>
            <w:r>
              <w:t>, which will invest in the investment portfolios oriented on the starting and developing SMEs. The initial deposits amount to EUR 30 million from the EIF and EUR 60 million from the BGK. Other private investors with a view to achieving the capitalisation of up to EUR 180 million should be added to the funds of both the partners.</w:t>
            </w:r>
          </w:p>
        </w:tc>
      </w:tr>
    </w:tbl>
    <w:p w14:paraId="434CFB5A" w14:textId="15681DFF" w:rsidR="006D3AD5" w:rsidRPr="0073014D" w:rsidRDefault="006D3AD5" w:rsidP="003D68AA">
      <w:pPr>
        <w:pStyle w:val="Titulek"/>
      </w:pPr>
      <w:r>
        <w:t xml:space="preserve">Table </w:t>
      </w:r>
      <w:r w:rsidR="00FE27E9">
        <w:t>90</w:t>
      </w:r>
      <w:r>
        <w:t>: Examples of Foreign Experience with similar FI</w:t>
      </w:r>
    </w:p>
    <w:p w14:paraId="7B5379FE" w14:textId="77777777" w:rsidR="006D3AD5" w:rsidRDefault="006D3AD5" w:rsidP="006D3AD5">
      <w:r>
        <w:t>Public policies take into account the complementary role of the informal “Business Angels” (BA) market, especially in investment areas, where the traditional venture capital was not active. Interventions supporting BA investments include tax titles, new legislation concerning securities, capacity building of investors and businessmen, BA networks and co-investment schemes.</w:t>
      </w:r>
    </w:p>
    <w:p w14:paraId="59C8148D" w14:textId="77777777" w:rsidR="00256773" w:rsidRDefault="00256773" w:rsidP="006D3AD5"/>
    <w:p w14:paraId="22E9B5F6" w14:textId="77777777" w:rsidR="00256773" w:rsidRPr="00422DFB" w:rsidRDefault="00256773" w:rsidP="00256773">
      <w:pPr>
        <w:rPr>
          <w:lang w:val="en-US"/>
        </w:rPr>
      </w:pPr>
      <w:r w:rsidRPr="00422DFB">
        <w:rPr>
          <w:lang w:val="en-US"/>
        </w:rPr>
        <w:t xml:space="preserve">META fund investing in several Italian regions is an example of a successful profitable venture fund. That fund represents an example of importance of investments in the following investment rounds. The table below illustrates the application of 40 million EUR allocation (8,9 million EUR were accounted for management fees 2 % per year). The main profits were generated in the next rounds of investments. </w:t>
      </w:r>
      <w:r>
        <w:rPr>
          <w:lang w:val="en-US"/>
        </w:rPr>
        <w:t>For the first round a</w:t>
      </w:r>
      <w:r w:rsidRPr="00422DFB">
        <w:rPr>
          <w:lang w:val="en-US"/>
        </w:rPr>
        <w:t xml:space="preserve"> high project mortality and </w:t>
      </w:r>
      <w:r>
        <w:rPr>
          <w:lang w:val="en-US"/>
        </w:rPr>
        <w:t>thus losses were characteristic.</w:t>
      </w:r>
    </w:p>
    <w:p w14:paraId="6BC941AF" w14:textId="77777777" w:rsidR="00256773" w:rsidRDefault="00256773" w:rsidP="006D3AD5"/>
    <w:tbl>
      <w:tblPr>
        <w:tblStyle w:val="Mkatabulky"/>
        <w:tblW w:w="0" w:type="auto"/>
        <w:jc w:val="center"/>
        <w:tblLook w:val="04A0" w:firstRow="1" w:lastRow="0" w:firstColumn="1" w:lastColumn="0" w:noHBand="0" w:noVBand="1"/>
      </w:tblPr>
      <w:tblGrid>
        <w:gridCol w:w="1039"/>
        <w:gridCol w:w="1354"/>
        <w:gridCol w:w="1257"/>
        <w:gridCol w:w="1083"/>
        <w:gridCol w:w="1084"/>
        <w:gridCol w:w="1084"/>
        <w:gridCol w:w="1077"/>
      </w:tblGrid>
      <w:tr w:rsidR="00256773" w14:paraId="4F977CF1" w14:textId="77777777" w:rsidTr="007A67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9" w:type="dxa"/>
          </w:tcPr>
          <w:p w14:paraId="52F6B8DC" w14:textId="77777777" w:rsidR="00256773" w:rsidRDefault="00256773" w:rsidP="007A67F5"/>
        </w:tc>
        <w:tc>
          <w:tcPr>
            <w:tcW w:w="1354" w:type="dxa"/>
          </w:tcPr>
          <w:p w14:paraId="5E1EC15D"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Investment result</w:t>
            </w:r>
          </w:p>
        </w:tc>
        <w:tc>
          <w:tcPr>
            <w:tcW w:w="1257" w:type="dxa"/>
          </w:tcPr>
          <w:p w14:paraId="5CECE6C6"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Number</w:t>
            </w:r>
          </w:p>
        </w:tc>
        <w:tc>
          <w:tcPr>
            <w:tcW w:w="1083" w:type="dxa"/>
          </w:tcPr>
          <w:p w14:paraId="075E198B"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1st round</w:t>
            </w:r>
          </w:p>
        </w:tc>
        <w:tc>
          <w:tcPr>
            <w:tcW w:w="1084" w:type="dxa"/>
          </w:tcPr>
          <w:p w14:paraId="40069448"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2nd round</w:t>
            </w:r>
          </w:p>
        </w:tc>
        <w:tc>
          <w:tcPr>
            <w:tcW w:w="1084" w:type="dxa"/>
          </w:tcPr>
          <w:p w14:paraId="57735D21"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3rd round</w:t>
            </w:r>
          </w:p>
        </w:tc>
        <w:tc>
          <w:tcPr>
            <w:tcW w:w="1077" w:type="dxa"/>
          </w:tcPr>
          <w:p w14:paraId="7FC8A60F" w14:textId="77777777" w:rsidR="00256773" w:rsidRDefault="00256773" w:rsidP="007A67F5">
            <w:pPr>
              <w:cnfStyle w:val="100000000000" w:firstRow="1" w:lastRow="0" w:firstColumn="0" w:lastColumn="0" w:oddVBand="0" w:evenVBand="0" w:oddHBand="0" w:evenHBand="0" w:firstRowFirstColumn="0" w:firstRowLastColumn="0" w:lastRowFirstColumn="0" w:lastRowLastColumn="0"/>
            </w:pPr>
            <w:r>
              <w:t>Total</w:t>
            </w:r>
          </w:p>
        </w:tc>
      </w:tr>
      <w:tr w:rsidR="00256773" w14:paraId="44632A8A"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val="restart"/>
            <w:vAlign w:val="center"/>
          </w:tcPr>
          <w:p w14:paraId="01A10E2F" w14:textId="77777777" w:rsidR="00256773" w:rsidRDefault="00256773" w:rsidP="007A67F5">
            <w:pPr>
              <w:jc w:val="center"/>
            </w:pPr>
            <w:r>
              <w:t>Seed</w:t>
            </w:r>
          </w:p>
        </w:tc>
        <w:tc>
          <w:tcPr>
            <w:tcW w:w="1354" w:type="dxa"/>
          </w:tcPr>
          <w:p w14:paraId="1AA9D261"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Unprofitable project</w:t>
            </w:r>
          </w:p>
        </w:tc>
        <w:tc>
          <w:tcPr>
            <w:tcW w:w="1257" w:type="dxa"/>
            <w:vAlign w:val="center"/>
          </w:tcPr>
          <w:p w14:paraId="7FF89AA4"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5</w:t>
            </w:r>
          </w:p>
        </w:tc>
        <w:tc>
          <w:tcPr>
            <w:tcW w:w="1083" w:type="dxa"/>
            <w:vAlign w:val="center"/>
          </w:tcPr>
          <w:p w14:paraId="7F519540"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€ 100 000</w:t>
            </w:r>
          </w:p>
        </w:tc>
        <w:tc>
          <w:tcPr>
            <w:tcW w:w="1084" w:type="dxa"/>
            <w:vAlign w:val="center"/>
          </w:tcPr>
          <w:p w14:paraId="77D7B0A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84" w:type="dxa"/>
            <w:vAlign w:val="center"/>
          </w:tcPr>
          <w:p w14:paraId="28A11957"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77" w:type="dxa"/>
            <w:vAlign w:val="center"/>
          </w:tcPr>
          <w:p w14:paraId="4755DF45"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€ 500 000</w:t>
            </w:r>
          </w:p>
        </w:tc>
      </w:tr>
      <w:tr w:rsidR="00256773" w14:paraId="6285F49A"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tcPr>
          <w:p w14:paraId="2B63CD1F" w14:textId="77777777" w:rsidR="00256773" w:rsidRDefault="00256773" w:rsidP="007A67F5"/>
        </w:tc>
        <w:tc>
          <w:tcPr>
            <w:tcW w:w="1354" w:type="dxa"/>
          </w:tcPr>
          <w:p w14:paraId="2EC0E1B3"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Money Back</w:t>
            </w:r>
          </w:p>
        </w:tc>
        <w:tc>
          <w:tcPr>
            <w:tcW w:w="1257" w:type="dxa"/>
            <w:vAlign w:val="center"/>
          </w:tcPr>
          <w:p w14:paraId="389F55C9"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6</w:t>
            </w:r>
          </w:p>
        </w:tc>
        <w:tc>
          <w:tcPr>
            <w:tcW w:w="1083" w:type="dxa"/>
            <w:vAlign w:val="center"/>
          </w:tcPr>
          <w:p w14:paraId="53AADDFB"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€ 100 000</w:t>
            </w:r>
          </w:p>
        </w:tc>
        <w:tc>
          <w:tcPr>
            <w:tcW w:w="1084" w:type="dxa"/>
            <w:vAlign w:val="center"/>
          </w:tcPr>
          <w:p w14:paraId="5D12B77B"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€ 250 000</w:t>
            </w:r>
          </w:p>
        </w:tc>
        <w:tc>
          <w:tcPr>
            <w:tcW w:w="1084" w:type="dxa"/>
            <w:vAlign w:val="center"/>
          </w:tcPr>
          <w:p w14:paraId="3215C699"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77" w:type="dxa"/>
            <w:vAlign w:val="center"/>
          </w:tcPr>
          <w:p w14:paraId="0870980E"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€ 2 100 000</w:t>
            </w:r>
          </w:p>
        </w:tc>
      </w:tr>
      <w:tr w:rsidR="00256773" w14:paraId="38F1F00D"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tcPr>
          <w:p w14:paraId="48059588" w14:textId="77777777" w:rsidR="00256773" w:rsidRDefault="00256773" w:rsidP="007A67F5"/>
        </w:tc>
        <w:tc>
          <w:tcPr>
            <w:tcW w:w="1354" w:type="dxa"/>
          </w:tcPr>
          <w:p w14:paraId="1946573A"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Profitable</w:t>
            </w:r>
          </w:p>
        </w:tc>
        <w:tc>
          <w:tcPr>
            <w:tcW w:w="1257" w:type="dxa"/>
            <w:vAlign w:val="center"/>
          </w:tcPr>
          <w:p w14:paraId="3A8D1739"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4</w:t>
            </w:r>
          </w:p>
        </w:tc>
        <w:tc>
          <w:tcPr>
            <w:tcW w:w="1083" w:type="dxa"/>
            <w:vAlign w:val="center"/>
          </w:tcPr>
          <w:p w14:paraId="51C0C6AA"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€ 100 000</w:t>
            </w:r>
          </w:p>
        </w:tc>
        <w:tc>
          <w:tcPr>
            <w:tcW w:w="1084" w:type="dxa"/>
            <w:vAlign w:val="center"/>
          </w:tcPr>
          <w:p w14:paraId="6B92433E"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€ 250 000</w:t>
            </w:r>
          </w:p>
        </w:tc>
        <w:tc>
          <w:tcPr>
            <w:tcW w:w="1084" w:type="dxa"/>
            <w:vAlign w:val="center"/>
          </w:tcPr>
          <w:p w14:paraId="652A996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€ 400 000</w:t>
            </w:r>
          </w:p>
        </w:tc>
        <w:tc>
          <w:tcPr>
            <w:tcW w:w="1077" w:type="dxa"/>
            <w:vAlign w:val="center"/>
          </w:tcPr>
          <w:p w14:paraId="2E4C1C99"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€ 3 000 000</w:t>
            </w:r>
          </w:p>
        </w:tc>
      </w:tr>
      <w:tr w:rsidR="00256773" w14:paraId="4FCF9671"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val="restart"/>
            <w:vAlign w:val="center"/>
          </w:tcPr>
          <w:p w14:paraId="3492EDBA" w14:textId="77777777" w:rsidR="00256773" w:rsidRDefault="00256773" w:rsidP="007A67F5">
            <w:pPr>
              <w:jc w:val="center"/>
            </w:pPr>
            <w:r>
              <w:t>Start-up</w:t>
            </w:r>
          </w:p>
        </w:tc>
        <w:tc>
          <w:tcPr>
            <w:tcW w:w="1354" w:type="dxa"/>
          </w:tcPr>
          <w:p w14:paraId="03B6CB9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Unprofitable project</w:t>
            </w:r>
          </w:p>
        </w:tc>
        <w:tc>
          <w:tcPr>
            <w:tcW w:w="1257" w:type="dxa"/>
            <w:vAlign w:val="center"/>
          </w:tcPr>
          <w:p w14:paraId="16AD4396"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2</w:t>
            </w:r>
          </w:p>
        </w:tc>
        <w:tc>
          <w:tcPr>
            <w:tcW w:w="1083" w:type="dxa"/>
            <w:vAlign w:val="center"/>
          </w:tcPr>
          <w:p w14:paraId="1006A245"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€ 500 000</w:t>
            </w:r>
          </w:p>
        </w:tc>
        <w:tc>
          <w:tcPr>
            <w:tcW w:w="1084" w:type="dxa"/>
            <w:vAlign w:val="center"/>
          </w:tcPr>
          <w:p w14:paraId="698BDD32"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84" w:type="dxa"/>
            <w:vAlign w:val="center"/>
          </w:tcPr>
          <w:p w14:paraId="35B1C6D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77" w:type="dxa"/>
            <w:vAlign w:val="center"/>
          </w:tcPr>
          <w:p w14:paraId="002613BB"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€ 1 000 000</w:t>
            </w:r>
          </w:p>
        </w:tc>
      </w:tr>
      <w:tr w:rsidR="00256773" w14:paraId="71C4F900"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tcPr>
          <w:p w14:paraId="69CB5F04" w14:textId="77777777" w:rsidR="00256773" w:rsidRDefault="00256773" w:rsidP="007A67F5"/>
        </w:tc>
        <w:tc>
          <w:tcPr>
            <w:tcW w:w="1354" w:type="dxa"/>
          </w:tcPr>
          <w:p w14:paraId="3A090F3E"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Money Back</w:t>
            </w:r>
          </w:p>
        </w:tc>
        <w:tc>
          <w:tcPr>
            <w:tcW w:w="1257" w:type="dxa"/>
            <w:vAlign w:val="center"/>
          </w:tcPr>
          <w:p w14:paraId="089AA1DB"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8</w:t>
            </w:r>
          </w:p>
        </w:tc>
        <w:tc>
          <w:tcPr>
            <w:tcW w:w="1083" w:type="dxa"/>
            <w:vAlign w:val="center"/>
          </w:tcPr>
          <w:p w14:paraId="2F400A5A"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€ 500 000</w:t>
            </w:r>
          </w:p>
        </w:tc>
        <w:tc>
          <w:tcPr>
            <w:tcW w:w="1084" w:type="dxa"/>
            <w:vAlign w:val="center"/>
          </w:tcPr>
          <w:p w14:paraId="46D9F696"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€ 1 000 000</w:t>
            </w:r>
          </w:p>
        </w:tc>
        <w:tc>
          <w:tcPr>
            <w:tcW w:w="1084" w:type="dxa"/>
            <w:vAlign w:val="center"/>
          </w:tcPr>
          <w:p w14:paraId="32D5B4CE"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p>
        </w:tc>
        <w:tc>
          <w:tcPr>
            <w:tcW w:w="1077" w:type="dxa"/>
            <w:vAlign w:val="center"/>
          </w:tcPr>
          <w:p w14:paraId="4B86144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€ 12 000 000</w:t>
            </w:r>
          </w:p>
        </w:tc>
      </w:tr>
      <w:tr w:rsidR="00256773" w14:paraId="2E50F206" w14:textId="77777777" w:rsidTr="007A67F5">
        <w:trPr>
          <w:jc w:val="center"/>
        </w:trPr>
        <w:tc>
          <w:tcPr>
            <w:cnfStyle w:val="001000000000" w:firstRow="0" w:lastRow="0" w:firstColumn="1" w:lastColumn="0" w:oddVBand="0" w:evenVBand="0" w:oddHBand="0" w:evenHBand="0" w:firstRowFirstColumn="0" w:firstRowLastColumn="0" w:lastRowFirstColumn="0" w:lastRowLastColumn="0"/>
            <w:tcW w:w="1039" w:type="dxa"/>
            <w:vMerge/>
          </w:tcPr>
          <w:p w14:paraId="2C9175F4" w14:textId="77777777" w:rsidR="00256773" w:rsidRDefault="00256773" w:rsidP="007A67F5"/>
        </w:tc>
        <w:tc>
          <w:tcPr>
            <w:tcW w:w="1354" w:type="dxa"/>
          </w:tcPr>
          <w:p w14:paraId="6366DC5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t>Profitable</w:t>
            </w:r>
          </w:p>
        </w:tc>
        <w:tc>
          <w:tcPr>
            <w:tcW w:w="1257" w:type="dxa"/>
            <w:vAlign w:val="center"/>
          </w:tcPr>
          <w:p w14:paraId="7C1FF97A"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5</w:t>
            </w:r>
          </w:p>
        </w:tc>
        <w:tc>
          <w:tcPr>
            <w:tcW w:w="1083" w:type="dxa"/>
            <w:vAlign w:val="center"/>
          </w:tcPr>
          <w:p w14:paraId="71B2B188"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€ 500 000</w:t>
            </w:r>
          </w:p>
        </w:tc>
        <w:tc>
          <w:tcPr>
            <w:tcW w:w="1084" w:type="dxa"/>
            <w:vAlign w:val="center"/>
          </w:tcPr>
          <w:p w14:paraId="6F51A41E"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€ 1 000 000</w:t>
            </w:r>
          </w:p>
        </w:tc>
        <w:tc>
          <w:tcPr>
            <w:tcW w:w="1084" w:type="dxa"/>
            <w:vAlign w:val="center"/>
          </w:tcPr>
          <w:p w14:paraId="2A11FA87"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€ 1 000 000</w:t>
            </w:r>
          </w:p>
        </w:tc>
        <w:tc>
          <w:tcPr>
            <w:tcW w:w="1077" w:type="dxa"/>
            <w:vAlign w:val="center"/>
          </w:tcPr>
          <w:p w14:paraId="0EC4C89D" w14:textId="77777777" w:rsidR="00256773" w:rsidRDefault="00256773" w:rsidP="007A67F5">
            <w:pPr>
              <w:cnfStyle w:val="000000000000" w:firstRow="0" w:lastRow="0" w:firstColumn="0" w:lastColumn="0" w:oddVBand="0" w:evenVBand="0" w:oddHBand="0" w:evenHBand="0" w:firstRowFirstColumn="0" w:firstRowLastColumn="0" w:lastRowFirstColumn="0" w:lastRowLastColumn="0"/>
            </w:pPr>
            <w:r w:rsidRPr="00D66D0C">
              <w:rPr>
                <w:color w:val="000000"/>
                <w:sz w:val="18"/>
                <w:szCs w:val="18"/>
              </w:rPr>
              <w:t>€ 12 500 000</w:t>
            </w:r>
          </w:p>
        </w:tc>
      </w:tr>
    </w:tbl>
    <w:p w14:paraId="7FD2A5CC" w14:textId="7EB3BBF8" w:rsidR="00256773" w:rsidRPr="0073014D" w:rsidRDefault="00256773" w:rsidP="003D68AA">
      <w:pPr>
        <w:pStyle w:val="Titulek"/>
      </w:pPr>
      <w:r w:rsidRPr="00685AEF">
        <w:t xml:space="preserve">Table </w:t>
      </w:r>
      <w:r w:rsidR="00FE27E9">
        <w:t>91</w:t>
      </w:r>
      <w:r>
        <w:t xml:space="preserve">: </w:t>
      </w:r>
      <w:r w:rsidRPr="00256773">
        <w:t>Multiple-round financing through META fund</w:t>
      </w:r>
    </w:p>
    <w:p w14:paraId="4835CC98" w14:textId="77777777" w:rsidR="00256773" w:rsidRPr="0073014D" w:rsidRDefault="00256773" w:rsidP="006D3AD5"/>
    <w:p w14:paraId="4C7BFE5B" w14:textId="77777777" w:rsidR="006D3AD5" w:rsidRPr="0073014D" w:rsidRDefault="006D3AD5" w:rsidP="006D3AD5">
      <w:pPr>
        <w:pStyle w:val="Nadpis4"/>
        <w:rPr>
          <w:rFonts w:ascii="Calibri" w:hAnsi="Calibri"/>
          <w:color w:val="000000"/>
        </w:rPr>
      </w:pPr>
      <w:r>
        <w:rPr>
          <w:rFonts w:ascii="Calibri" w:hAnsi="Calibri"/>
          <w:color w:val="000000"/>
        </w:rPr>
        <w:t>Application of experience to the present conditions</w:t>
      </w:r>
    </w:p>
    <w:p w14:paraId="4BD9D747" w14:textId="74092FBA" w:rsidR="006D3AD5" w:rsidRPr="0073014D" w:rsidRDefault="006D3AD5" w:rsidP="006D3AD5">
      <w:pPr>
        <w:overflowPunct/>
        <w:autoSpaceDE/>
        <w:autoSpaceDN/>
        <w:adjustRightInd/>
        <w:textAlignment w:val="auto"/>
      </w:pPr>
      <w:r>
        <w:t xml:space="preserve">The functional scheme of the support of SMEs with debt instruments in the past period create a good starting point for the setting of financial instruments also for OPEI. The effective involvement of private lending institutions and the public banking sector in the form of </w:t>
      </w:r>
      <w:r w:rsidR="00A97232">
        <w:t>CMGDB</w:t>
      </w:r>
      <w:r>
        <w:t>, which has sufficient know-how and experience in this area for the current programming period, may be verified here. However, the past experience indicates that legislative rules for the FI setting in OPEI need to be approached very carefully.</w:t>
      </w:r>
    </w:p>
    <w:p w14:paraId="7F24A00C" w14:textId="77777777" w:rsidR="006D3AD5" w:rsidRPr="0073014D" w:rsidRDefault="006D3AD5" w:rsidP="006D3AD5">
      <w:pPr>
        <w:overflowPunct/>
        <w:autoSpaceDE/>
        <w:autoSpaceDN/>
        <w:adjustRightInd/>
        <w:textAlignment w:val="auto"/>
      </w:pPr>
    </w:p>
    <w:p w14:paraId="3B1CE3B9" w14:textId="77777777" w:rsidR="006D3AD5" w:rsidRDefault="006D3AD5" w:rsidP="006D3AD5">
      <w:pPr>
        <w:overflowPunct/>
        <w:autoSpaceDE/>
        <w:autoSpaceDN/>
        <w:adjustRightInd/>
        <w:textAlignment w:val="auto"/>
      </w:pPr>
      <w:r>
        <w:t>International experience with venture capital document very positive effect of effectively directed public support. Professional management and the participation of private investors are a precondition of success. By no means should a state fund replace private capital. The state fond of fond is a form of investment strategy verified abroad, which invests in the individual private venture funds with a given investment strategy. Direct co-investments with private investors may be a functional alternative. International experience document the significant potential of the leverage effect by the employment of private investments, not only on the basis of co-investing, but also by other investments of private investors at the level of funds. Experience with the attempt to implement support in the past period also indicates time and quality risks in the case of a competition for a private FI manager under the conditions of the Czech market. The preferred alternative for the proposed FI equity investments is the utilisation of EIF, or, if appropriate, the establishment of own structure for administration.</w:t>
      </w:r>
    </w:p>
    <w:p w14:paraId="607D9BED" w14:textId="77777777" w:rsidR="00B61899" w:rsidRDefault="00B61899" w:rsidP="006D3AD5">
      <w:pPr>
        <w:overflowPunct/>
        <w:autoSpaceDE/>
        <w:autoSpaceDN/>
        <w:adjustRightInd/>
        <w:textAlignment w:val="auto"/>
      </w:pPr>
    </w:p>
    <w:p w14:paraId="603D25CB" w14:textId="146D5E12" w:rsidR="00B61899" w:rsidRPr="00685AEF" w:rsidRDefault="00B61899" w:rsidP="006D3AD5">
      <w:pPr>
        <w:overflowPunct/>
        <w:autoSpaceDE/>
        <w:autoSpaceDN/>
        <w:adjustRightInd/>
        <w:textAlignment w:val="auto"/>
        <w:rPr>
          <w:lang w:val="en-US"/>
        </w:rPr>
      </w:pPr>
      <w:r w:rsidRPr="00685AEF">
        <w:rPr>
          <w:lang w:val="en-US"/>
        </w:rPr>
        <w:t xml:space="preserve">Losses of the fond will be dependend on the chosen investment </w:t>
      </w:r>
      <w:r>
        <w:rPr>
          <w:lang w:val="en-US"/>
        </w:rPr>
        <w:t>strategy</w:t>
      </w:r>
      <w:r w:rsidRPr="00685AEF">
        <w:rPr>
          <w:lang w:val="en-US"/>
        </w:rPr>
        <w:t>.</w:t>
      </w:r>
      <w:r w:rsidRPr="00B225B7">
        <w:rPr>
          <w:lang w:val="en-US"/>
        </w:rPr>
        <w:t xml:space="preserve"> For their li</w:t>
      </w:r>
      <w:r>
        <w:rPr>
          <w:lang w:val="en-US"/>
        </w:rPr>
        <w:t xml:space="preserve">mitation the MA can consider also investments of the fond </w:t>
      </w:r>
      <w:r w:rsidRPr="00B225B7">
        <w:rPr>
          <w:lang w:val="en-US"/>
        </w:rPr>
        <w:t>in the next investment rounds.</w:t>
      </w:r>
    </w:p>
    <w:p w14:paraId="152EAAB6" w14:textId="77777777" w:rsidR="006D3AD5" w:rsidRPr="0073014D" w:rsidRDefault="006D3AD5" w:rsidP="006D3AD5">
      <w:pPr>
        <w:overflowPunct/>
        <w:autoSpaceDE/>
        <w:autoSpaceDN/>
        <w:adjustRightInd/>
        <w:textAlignment w:val="auto"/>
      </w:pPr>
    </w:p>
    <w:p w14:paraId="3A57CC61" w14:textId="77777777" w:rsidR="006D3AD5" w:rsidRPr="0073014D" w:rsidRDefault="006D3AD5" w:rsidP="006D3AD5">
      <w:pPr>
        <w:pStyle w:val="Nadpis3"/>
        <w:rPr>
          <w:rFonts w:ascii="Calibri" w:hAnsi="Calibri"/>
          <w:color w:val="000000"/>
        </w:rPr>
      </w:pPr>
      <w:bookmarkStart w:id="990" w:name="_Toc422312140"/>
      <w:r>
        <w:rPr>
          <w:rFonts w:ascii="Calibri" w:hAnsi="Calibri"/>
          <w:color w:val="000000"/>
        </w:rPr>
        <w:t>Specific objective 2.3</w:t>
      </w:r>
      <w:bookmarkEnd w:id="990"/>
    </w:p>
    <w:p w14:paraId="55486AEC" w14:textId="77777777" w:rsidR="006D3AD5" w:rsidRPr="0073014D" w:rsidRDefault="006D3AD5" w:rsidP="006D3AD5">
      <w:pPr>
        <w:pStyle w:val="Nadpis4"/>
        <w:rPr>
          <w:rFonts w:ascii="Calibri" w:hAnsi="Calibri"/>
          <w:color w:val="000000"/>
        </w:rPr>
      </w:pPr>
      <w:r>
        <w:rPr>
          <w:rFonts w:ascii="Calibri" w:hAnsi="Calibri"/>
          <w:color w:val="000000"/>
        </w:rPr>
        <w:t>Conclusions deduced from the implementation of comparable instruments in the past</w:t>
      </w:r>
    </w:p>
    <w:p w14:paraId="563AB6BA" w14:textId="77777777" w:rsidR="006D3AD5" w:rsidRPr="0073014D" w:rsidRDefault="006D3AD5" w:rsidP="006D3AD5">
      <w:r>
        <w:t>Subsidy programmes for the support of Brownfields were in the past utilised not only in the OPEI, but also in other programmes. The interest i subsidy support in all the cases markedly exceeded the supply of resources, which was also due to the level of subsidy support.</w:t>
      </w:r>
    </w:p>
    <w:p w14:paraId="2580D2FE" w14:textId="77777777" w:rsidR="006D3AD5" w:rsidRPr="0073014D" w:rsidRDefault="006D3AD5" w:rsidP="006D3AD5"/>
    <w:p w14:paraId="5A2B1072" w14:textId="77777777" w:rsidR="006D3AD5" w:rsidRPr="0073014D" w:rsidRDefault="006D3AD5" w:rsidP="006D3AD5">
      <w:r>
        <w:t>In the programme Real Estates OPEI, which was aimed at commercial entities and real estates, via subsidy support, significant investments in this area were initiated. Nevertheless, the evaluating criteria of the selection and a character of some supported projects were a problem aspect of its results.  The subsidy form supported also relatively less cost-intensive and effective reconstructions of the existing, partially utilised commercial real estates, for which such form of subsidy seems to be inadequate. Thus the programme supported truly hardly renewable brownfields only in a limited extent.</w:t>
      </w:r>
    </w:p>
    <w:p w14:paraId="4122CBC4" w14:textId="77777777" w:rsidR="006D3AD5" w:rsidRPr="0073014D" w:rsidRDefault="006D3AD5" w:rsidP="006D3AD5"/>
    <w:p w14:paraId="6EEFFCAF" w14:textId="679405A2" w:rsidR="006D3AD5" w:rsidRPr="0073014D" w:rsidRDefault="006D3AD5" w:rsidP="006D3AD5">
      <w:r>
        <w:t xml:space="preserve">The reconstructions of commercial real estates were also, concurrently, in many cases the subject matter of the credit and guarantee programmes of the CMGDB (Czech and Moravian Guarantee and Development Bank) (within the OPEI as well as the national programmes, see sub-chapter 6.1.4). </w:t>
      </w:r>
      <w:r>
        <w:lastRenderedPageBreak/>
        <w:t xml:space="preserve">Construction costs were one of the major components of the supported projects, as per the statement of the CMGDB, the reconstructions were not a negligible part - although these were generally the projects of a considerably smaller extent when compared to the standard projects </w:t>
      </w:r>
      <w:r w:rsidR="00685AEF">
        <w:t xml:space="preserve">SO </w:t>
      </w:r>
      <w:r>
        <w:t>2.3. Such last practice evidences a possibility of the support of a certain kind of reconstructions of old buildings via the financial instrument, concurrently it shows a necessity of more thorough specification of individual areas of the support for the up-coming programme period.</w:t>
      </w:r>
    </w:p>
    <w:p w14:paraId="07BDC7A7" w14:textId="77777777" w:rsidR="006D3AD5" w:rsidRPr="0073014D" w:rsidRDefault="006D3AD5" w:rsidP="006D3AD5"/>
    <w:p w14:paraId="16A111BC" w14:textId="77777777" w:rsidR="006D3AD5" w:rsidRPr="0073014D" w:rsidRDefault="006D3AD5" w:rsidP="006D3AD5">
      <w:r>
        <w:t xml:space="preserve">The JESSICA holding fund in the Moravian and Silesian Region created to invest in the City Development Fund represented the experience with the FI in the Czech Republic for the area of brownfields </w:t>
      </w:r>
      <w:r>
        <w:rPr>
          <w:rStyle w:val="Znakapoznpodarou"/>
          <w:rFonts w:ascii="Calibri" w:hAnsi="Calibri"/>
        </w:rPr>
        <w:footnoteReference w:id="50"/>
      </w:r>
      <w:r>
        <w:t>. Since 01/01/2014, it has been administered within the Regional Council Authority of the Moravian and Silesian Department for the JESSICA financial instrument. Within JESSICA, the fund operates as a private law trading company, the fund is administered by a private development company, CONTERA Management s.r.o. The means were deposited  in the fund via an interest-free term loan. The fund provides long-term senior loans with a decreased interest rate, for the projects of BF renewal and the construction of business infrastructure. The fund finances the projects only within the Moravian-Silesian Region. The allocation of the fund is ca. CZK 420 million.</w:t>
      </w:r>
    </w:p>
    <w:p w14:paraId="3C321863" w14:textId="77777777" w:rsidR="006D3AD5" w:rsidRPr="0073014D" w:rsidRDefault="006D3AD5" w:rsidP="006D3AD5"/>
    <w:p w14:paraId="68DE658E" w14:textId="77777777" w:rsidR="006D3AD5" w:rsidRPr="0073014D" w:rsidRDefault="006D3AD5" w:rsidP="006D3AD5">
      <w:r>
        <w:t>The example of a successful result was the preparation of the Ostrava business part, on the area of 13:5ha of the former BF, which was granted from the fund a soft loan with the interest rate of 0.5%p.a. for 75% eligible expenses.</w:t>
      </w:r>
    </w:p>
    <w:p w14:paraId="36EADF63" w14:textId="77777777" w:rsidR="006D3AD5" w:rsidRDefault="006D3AD5" w:rsidP="006D3AD5">
      <w:pPr>
        <w:pStyle w:val="Highlight1"/>
        <w:rPr>
          <w:rFonts w:ascii="Calibri" w:hAnsi="Calibri"/>
          <w:color w:val="000000"/>
        </w:rPr>
      </w:pPr>
    </w:p>
    <w:p w14:paraId="0C5C407F" w14:textId="1C8AD73E" w:rsidR="00581B72" w:rsidRPr="00685AEF" w:rsidRDefault="00581B72" w:rsidP="006D3AD5">
      <w:pPr>
        <w:pStyle w:val="Highlight1"/>
        <w:rPr>
          <w:rFonts w:ascii="Calibri" w:hAnsi="Calibri"/>
          <w:b w:val="0"/>
          <w:color w:val="000000"/>
          <w:sz w:val="22"/>
          <w:szCs w:val="22"/>
        </w:rPr>
      </w:pPr>
      <w:r w:rsidRPr="00685AEF">
        <w:rPr>
          <w:rFonts w:ascii="Calibri" w:hAnsi="Calibri"/>
          <w:b w:val="0"/>
          <w:color w:val="000000"/>
          <w:sz w:val="22"/>
          <w:szCs w:val="22"/>
        </w:rPr>
        <w:t xml:space="preserve">The longest experience in the revitalization of BF exists in the </w:t>
      </w:r>
      <w:r>
        <w:rPr>
          <w:rFonts w:ascii="Calibri" w:hAnsi="Calibri"/>
          <w:b w:val="0"/>
          <w:color w:val="000000"/>
          <w:sz w:val="22"/>
          <w:szCs w:val="22"/>
        </w:rPr>
        <w:t>Western Europe where the changes of post-industrial structure of the economy began already after 1970.</w:t>
      </w:r>
    </w:p>
    <w:p w14:paraId="6B88BAE5" w14:textId="77777777" w:rsidR="006D3AD5" w:rsidRPr="0073014D" w:rsidRDefault="006D3AD5" w:rsidP="006D3AD5">
      <w:pPr>
        <w:pStyle w:val="Nadpis4"/>
        <w:rPr>
          <w:rFonts w:ascii="Calibri" w:hAnsi="Calibri"/>
          <w:color w:val="000000"/>
        </w:rPr>
      </w:pPr>
      <w:r>
        <w:rPr>
          <w:rFonts w:ascii="Calibri" w:hAnsi="Calibri"/>
          <w:color w:val="000000"/>
        </w:rPr>
        <w:t>An overview of international experience with comparable financial instruments</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3AD5" w:rsidRPr="0073014D" w14:paraId="5C8D0E28" w14:textId="77777777" w:rsidTr="00443B8F">
        <w:trPr>
          <w:trHeight w:val="482"/>
        </w:trPr>
        <w:tc>
          <w:tcPr>
            <w:tcW w:w="2000" w:type="dxa"/>
            <w:shd w:val="clear" w:color="auto" w:fill="548DD4"/>
            <w:noWrap/>
            <w:vAlign w:val="center"/>
          </w:tcPr>
          <w:p w14:paraId="7776CC8A" w14:textId="77777777" w:rsidR="006D3AD5" w:rsidRPr="00685AEF" w:rsidRDefault="006D3AD5" w:rsidP="00443B8F">
            <w:pPr>
              <w:jc w:val="center"/>
              <w:rPr>
                <w:b/>
                <w:color w:val="FFFFFF" w:themeColor="background1"/>
              </w:rPr>
            </w:pPr>
            <w:r w:rsidRPr="00685AEF">
              <w:rPr>
                <w:b/>
                <w:color w:val="FFFFFF" w:themeColor="background1"/>
              </w:rPr>
              <w:t>Germany (LEG NRW)</w:t>
            </w:r>
            <w:r w:rsidRPr="00685AEF">
              <w:rPr>
                <w:rStyle w:val="Znakapoznpodarou"/>
                <w:rFonts w:ascii="Calibri" w:hAnsi="Calibri"/>
                <w:b/>
                <w:color w:val="FFFFFF" w:themeColor="background1"/>
              </w:rPr>
              <w:footnoteReference w:id="51"/>
            </w:r>
          </w:p>
        </w:tc>
        <w:tc>
          <w:tcPr>
            <w:tcW w:w="6800" w:type="dxa"/>
            <w:shd w:val="clear" w:color="auto" w:fill="FFFFFF"/>
            <w:noWrap/>
          </w:tcPr>
          <w:p w14:paraId="2391B2F6" w14:textId="77777777" w:rsidR="006D3AD5" w:rsidRPr="0073014D" w:rsidRDefault="006D3AD5" w:rsidP="00443B8F">
            <w:r>
              <w:t>So called land development companies became very uccessful instruments for the management of the entire processes during the BF renewal. For example in North Rhineland – Westphalia, which is known as the coal and steel area, the Company for the Development of the Federal State (</w:t>
            </w:r>
            <w:r>
              <w:rPr>
                <w:i/>
              </w:rPr>
              <w:t>Landesentwicklungsgesellschaft Nordrhein-Westfalen</w:t>
            </w:r>
            <w:r>
              <w:t xml:space="preserve"> - LEG NRW) took action to limit abandoned and neglected localities. Part of the company is the economic</w:t>
            </w:r>
            <w:r>
              <w:rPr>
                <w:rStyle w:val="Znakapoznpodarou"/>
                <w:rFonts w:ascii="Calibri" w:hAnsi="Calibri"/>
              </w:rPr>
              <w:footnoteReference w:id="52"/>
            </w:r>
            <w:r>
              <w:t xml:space="preserve"> instrument in the form of the land fund with revolving character, i.e. that all the profits from sales of renewed areas need to re-invested back in the fund. The Fund was established in 1979 with the capital of DEM 500 million by the provincial government and it was entrusted to the LEG NRW administration. The LEG NRW is a private law limited liability company possessed by the federal country, provincial banks, cities and regional councils.</w:t>
            </w:r>
          </w:p>
          <w:p w14:paraId="278B3F57" w14:textId="77777777" w:rsidR="006D3AD5" w:rsidRPr="0073014D" w:rsidRDefault="006D3AD5" w:rsidP="00443B8F"/>
          <w:p w14:paraId="2409BA62" w14:textId="77777777" w:rsidR="006D3AD5" w:rsidRPr="0073014D" w:rsidRDefault="006D3AD5" w:rsidP="00443B8F">
            <w:r>
              <w:t>The fund follows the directive which regulates the terms and conditions of the purchase, cleaning and preparation of degraded areas. The fund can purchase the lands only in the case that:</w:t>
            </w:r>
          </w:p>
          <w:p w14:paraId="244009E9" w14:textId="77777777" w:rsidR="006D3AD5" w:rsidRPr="0073014D" w:rsidRDefault="006D3AD5" w:rsidP="00443B8F">
            <w:pPr>
              <w:pStyle w:val="Odstavecseseznamem1"/>
              <w:numPr>
                <w:ilvl w:val="0"/>
                <w:numId w:val="35"/>
              </w:numPr>
            </w:pPr>
            <w:r>
              <w:t>the owner terminated original commercial, industrial or transport utilisation of the land,</w:t>
            </w:r>
          </w:p>
          <w:p w14:paraId="47C8EDFC" w14:textId="77777777" w:rsidR="006D3AD5" w:rsidRPr="0073014D" w:rsidRDefault="006D3AD5" w:rsidP="00443B8F">
            <w:pPr>
              <w:pStyle w:val="Odstavecseseznamem1"/>
              <w:numPr>
                <w:ilvl w:val="0"/>
                <w:numId w:val="35"/>
              </w:numPr>
            </w:pPr>
            <w:r>
              <w:t>lands are a barrier of the development of the city or municipality or they represent a distinct ecological problem,</w:t>
            </w:r>
          </w:p>
          <w:p w14:paraId="025EBB2F" w14:textId="77777777" w:rsidR="006D3AD5" w:rsidRPr="0073014D" w:rsidRDefault="006D3AD5" w:rsidP="00443B8F">
            <w:pPr>
              <w:pStyle w:val="Odstavecseseznamem1"/>
              <w:numPr>
                <w:ilvl w:val="0"/>
                <w:numId w:val="35"/>
              </w:numPr>
            </w:pPr>
            <w:r>
              <w:t>new arrangement and utilisation of the areas will prevent from the consumption of non-built areas or the area will be cleaned.</w:t>
            </w:r>
          </w:p>
          <w:p w14:paraId="073FBD5D" w14:textId="77777777" w:rsidR="006D3AD5" w:rsidRPr="0073014D" w:rsidRDefault="006D3AD5" w:rsidP="00443B8F">
            <w:pPr>
              <w:pStyle w:val="BodyText1"/>
              <w:jc w:val="both"/>
              <w:rPr>
                <w:rFonts w:ascii="Calibri" w:hAnsi="Calibri"/>
              </w:rPr>
            </w:pPr>
          </w:p>
          <w:p w14:paraId="3350509C" w14:textId="77777777" w:rsidR="006D3AD5" w:rsidRPr="0073014D" w:rsidRDefault="006D3AD5" w:rsidP="00443B8F">
            <w:r>
              <w:t>The nominations for the purchase of areas under the act on local governments are submitted by municipalities or associations of municipalities, which prepare the application, make photographs, compare cooperation with the territorial development, assess the ability of the municipality to participate in financing (in the public use) and concurrently they seek to obtain the area/real estate owner's consent.</w:t>
            </w:r>
          </w:p>
          <w:p w14:paraId="2B314782" w14:textId="77777777" w:rsidR="006D3AD5" w:rsidRPr="0073014D" w:rsidRDefault="006D3AD5" w:rsidP="00443B8F"/>
          <w:p w14:paraId="1C90FE76" w14:textId="77777777" w:rsidR="006D3AD5" w:rsidRPr="0073014D" w:rsidRDefault="006D3AD5" w:rsidP="00443B8F">
            <w:r>
              <w:t>Municipalities have the pre-emption right to the prepared areas and give their opinion on the offers. This territorial policy guarantees quick reuse, complying with the objective and prevention from speculations. Between 1984 and 2005, the fund obtained 2650ha of areas, in which the most part has been renewed (57% of the green public area). Sine 1988, the funds started to utilise public subsidy means and since 1989 also the EU structural funds.</w:t>
            </w:r>
          </w:p>
          <w:p w14:paraId="017EC7DB" w14:textId="77777777" w:rsidR="006D3AD5" w:rsidRPr="0073014D" w:rsidRDefault="006D3AD5" w:rsidP="00443B8F"/>
          <w:p w14:paraId="77C5C342" w14:textId="77777777" w:rsidR="006D3AD5" w:rsidRPr="0073014D" w:rsidRDefault="006D3AD5" w:rsidP="00443B8F">
            <w:r>
              <w:t>The greatest part of financing the fund is secured via subsidies, other resources are secured through the different funds of municipalities and returned means from the previous projects.</w:t>
            </w:r>
          </w:p>
          <w:p w14:paraId="78E0A0FD" w14:textId="77777777" w:rsidR="006D3AD5" w:rsidRPr="0073014D" w:rsidRDefault="006D3AD5" w:rsidP="00443B8F">
            <w:pPr>
              <w:pStyle w:val="BodyText1"/>
              <w:numPr>
                <w:ilvl w:val="0"/>
                <w:numId w:val="24"/>
              </w:numPr>
              <w:jc w:val="both"/>
              <w:rPr>
                <w:rFonts w:ascii="Calibri" w:hAnsi="Calibri"/>
              </w:rPr>
            </w:pPr>
          </w:p>
        </w:tc>
      </w:tr>
      <w:tr w:rsidR="006D3AD5" w:rsidRPr="0073014D" w14:paraId="32E67E41" w14:textId="77777777" w:rsidTr="00443B8F">
        <w:trPr>
          <w:trHeight w:val="1260"/>
        </w:trPr>
        <w:tc>
          <w:tcPr>
            <w:tcW w:w="2000" w:type="dxa"/>
            <w:shd w:val="clear" w:color="auto" w:fill="548DD4"/>
            <w:noWrap/>
            <w:vAlign w:val="center"/>
          </w:tcPr>
          <w:p w14:paraId="2A65054D" w14:textId="77777777" w:rsidR="006D3AD5" w:rsidRPr="00685AEF" w:rsidRDefault="006D3AD5" w:rsidP="00443B8F">
            <w:pPr>
              <w:jc w:val="center"/>
              <w:rPr>
                <w:b/>
                <w:color w:val="FFFFFF" w:themeColor="background1"/>
              </w:rPr>
            </w:pPr>
            <w:r w:rsidRPr="00685AEF">
              <w:rPr>
                <w:b/>
                <w:color w:val="FFFFFF" w:themeColor="background1"/>
              </w:rPr>
              <w:lastRenderedPageBreak/>
              <w:t>France</w:t>
            </w:r>
            <w:r w:rsidRPr="00685AEF">
              <w:rPr>
                <w:rStyle w:val="Znakapoznpodarou"/>
                <w:rFonts w:ascii="Calibri" w:hAnsi="Calibri"/>
                <w:b/>
                <w:color w:val="FFFFFF" w:themeColor="background1"/>
              </w:rPr>
              <w:footnoteReference w:id="53"/>
            </w:r>
          </w:p>
        </w:tc>
        <w:tc>
          <w:tcPr>
            <w:tcW w:w="6800" w:type="dxa"/>
            <w:shd w:val="clear" w:color="auto" w:fill="FFFFFF"/>
            <w:noWrap/>
          </w:tcPr>
          <w:p w14:paraId="00891C9D" w14:textId="77777777" w:rsidR="006D3AD5" w:rsidRPr="0073014D" w:rsidRDefault="006D3AD5" w:rsidP="00443B8F">
            <w:r>
              <w:t>Like in Germany, the land company is one of the instruments used in France. The second instrument is a thoroughly prepared regional planning whose part is the identification and prioritisation of the localities designed for renewal and public support. France approach to the renewal is strongly decentralised, there is no national plan at the central level like in the CZ. Municipalities or rather regions are responsible for the re-conversion of abandoned areas and for the development of their territory.</w:t>
            </w:r>
          </w:p>
          <w:p w14:paraId="271B6B02" w14:textId="77777777" w:rsidR="006D3AD5" w:rsidRPr="0073014D" w:rsidRDefault="006D3AD5" w:rsidP="00443B8F"/>
          <w:p w14:paraId="61E4F980" w14:textId="77777777" w:rsidR="006D3AD5" w:rsidRPr="0073014D" w:rsidRDefault="006D3AD5" w:rsidP="00443B8F">
            <w:r>
              <w:t>The legislative instrument defining the approach to the renewal of neglected, unused or eliminated spaces/areas is general policy which prioritises zones according to sensitivity. The zones endangered by elimination</w:t>
            </w:r>
            <w:r>
              <w:rPr>
                <w:rStyle w:val="Znakapoznpodarou"/>
                <w:rFonts w:ascii="Calibri" w:hAnsi="Calibri"/>
              </w:rPr>
              <w:footnoteReference w:id="54"/>
            </w:r>
            <w:r>
              <w:t xml:space="preserve"> are called Zones Urbane Sensible (</w:t>
            </w:r>
            <w:r>
              <w:rPr>
                <w:i/>
              </w:rPr>
              <w:t>Zone Urbane Sensible</w:t>
            </w:r>
            <w:r>
              <w:t xml:space="preserve"> - ZUS). The implementation of the National Programme for Municipal Renewal (</w:t>
            </w:r>
            <w:r>
              <w:rPr>
                <w:i/>
              </w:rPr>
              <w:t>Programme national pour la rénovation urbaine</w:t>
            </w:r>
            <w:r>
              <w:t xml:space="preserve"> - PNRU) was entrusted to the National Agency for Municipal Renovation (</w:t>
            </w:r>
            <w:r>
              <w:rPr>
                <w:i/>
              </w:rPr>
              <w:t>Agence Nationale pour la Renovation Urbaine</w:t>
            </w:r>
            <w:r>
              <w:t xml:space="preserve"> - ANRU), which right deals with the urban inclusion of municipal parts together with building public areas for social living.</w:t>
            </w:r>
          </w:p>
          <w:p w14:paraId="28449DAC" w14:textId="77777777" w:rsidR="006D3AD5" w:rsidRPr="0073014D" w:rsidRDefault="006D3AD5" w:rsidP="00443B8F">
            <w:pPr>
              <w:rPr>
                <w:b/>
              </w:rPr>
            </w:pPr>
          </w:p>
          <w:p w14:paraId="6B619C82" w14:textId="77777777" w:rsidR="006D3AD5" w:rsidRPr="0073014D" w:rsidRDefault="006D3AD5" w:rsidP="00443B8F">
            <w:r>
              <w:t>The institutions established for brownfield renewal include the Mixed Society (</w:t>
            </w:r>
            <w:r>
              <w:rPr>
                <w:i/>
              </w:rPr>
              <w:t>Société d’économie mixte</w:t>
            </w:r>
            <w:r>
              <w:t xml:space="preserve"> - SME). It is a joint stock company established in order to renew one or more projects and its capital is largely in the possession of local government (51%-85%). The owners of the remaining part can include private investors or the French National Bank CDC (Caisse de dépôts et consignations), which very often cooperates with regions. In industrial projects the partners are land owners, regions, the country.</w:t>
            </w:r>
          </w:p>
          <w:p w14:paraId="1ABE1CF1" w14:textId="77777777" w:rsidR="006D3AD5" w:rsidRPr="0073014D" w:rsidRDefault="006D3AD5" w:rsidP="00443B8F"/>
          <w:p w14:paraId="0A690AD1" w14:textId="77777777" w:rsidR="006D3AD5" w:rsidRPr="0073014D" w:rsidRDefault="006D3AD5" w:rsidP="00443B8F">
            <w:r>
              <w:lastRenderedPageBreak/>
              <w:t>The Public Land Organisation(Établissement public foncier - EPF) is the most important institution, which assists in the organisation of the purchase, adjustment of lands, administration of renewed buildings and a subsequent sale to the final interested person, if any. Adjustment means demolition, covering with verdure and terrain. The EPF cannot build the infrastructure, make documentation and parcel out the plot. The organisation pre-arrange the land and local governments will subsequently purchase it from the organisation to implement the project. The resources of EPF income include special development tax, tax on built-up and non-built-up area, housing tax and sales tax (max. EUR 20 per person annually). Other resources are resources from the state, local governments, the EU and other public and private organisations. It is also financed through the external debt financing or the profits from the sale of renewed lands.</w:t>
            </w:r>
            <w:r>
              <w:rPr>
                <w:rStyle w:val="Znakapoznpodarou"/>
                <w:rFonts w:ascii="Calibri" w:hAnsi="Calibri"/>
              </w:rPr>
              <w:footnoteReference w:id="55"/>
            </w:r>
          </w:p>
          <w:p w14:paraId="7AD0AF6A" w14:textId="77777777" w:rsidR="006D3AD5" w:rsidRPr="0073014D" w:rsidRDefault="006D3AD5" w:rsidP="00443B8F"/>
        </w:tc>
      </w:tr>
      <w:tr w:rsidR="006D3AD5" w:rsidRPr="0073014D" w14:paraId="09DADF7D" w14:textId="77777777" w:rsidTr="00443B8F">
        <w:trPr>
          <w:trHeight w:val="315"/>
        </w:trPr>
        <w:tc>
          <w:tcPr>
            <w:tcW w:w="2000" w:type="dxa"/>
            <w:shd w:val="clear" w:color="auto" w:fill="548DD4"/>
            <w:noWrap/>
            <w:vAlign w:val="center"/>
          </w:tcPr>
          <w:p w14:paraId="4F864A1F" w14:textId="77777777" w:rsidR="006D3AD5" w:rsidRPr="00685AEF" w:rsidRDefault="006D3AD5" w:rsidP="00443B8F">
            <w:pPr>
              <w:jc w:val="center"/>
              <w:rPr>
                <w:b/>
                <w:color w:val="FFFFFF" w:themeColor="background1"/>
              </w:rPr>
            </w:pPr>
            <w:r w:rsidRPr="00685AEF">
              <w:rPr>
                <w:b/>
                <w:color w:val="FFFFFF" w:themeColor="background1"/>
              </w:rPr>
              <w:lastRenderedPageBreak/>
              <w:t>Great Britain</w:t>
            </w:r>
            <w:r w:rsidRPr="00685AEF">
              <w:rPr>
                <w:rStyle w:val="Znakapoznpodarou"/>
                <w:rFonts w:ascii="Calibri" w:hAnsi="Calibri"/>
                <w:b/>
                <w:color w:val="FFFFFF" w:themeColor="background1"/>
              </w:rPr>
              <w:footnoteReference w:id="56"/>
            </w:r>
          </w:p>
        </w:tc>
        <w:tc>
          <w:tcPr>
            <w:tcW w:w="6800" w:type="dxa"/>
            <w:shd w:val="clear" w:color="auto" w:fill="FFFFFF"/>
            <w:noWrap/>
          </w:tcPr>
          <w:p w14:paraId="6DD65E2D" w14:textId="77777777" w:rsidR="006D3AD5" w:rsidRPr="0073014D" w:rsidRDefault="006D3AD5" w:rsidP="00443B8F">
            <w:r>
              <w:t>With respect to its longest industrial history, the Great Britain has also the greatest experience and the most sophisticated strategy for the regeneration of unused areas. Almost in all the cases it is a combination of private and public investments, whose compatibility is clearly specified by the intention stated in the relevant planning contract. The European Union Structural Funds are always utilised for financing, as per possibilities. The public is involved in decision-making through discussions, debates and workshops, whereby the investor and the affected parties create a more positive relationship to the project.</w:t>
            </w:r>
          </w:p>
          <w:p w14:paraId="53E7D929" w14:textId="77777777" w:rsidR="006D3AD5" w:rsidRPr="0073014D" w:rsidRDefault="006D3AD5" w:rsidP="00443B8F">
            <w:pPr>
              <w:pStyle w:val="Zkladntext21"/>
              <w:jc w:val="both"/>
              <w:rPr>
                <w:rFonts w:ascii="Calibri" w:hAnsi="Calibri" w:cs="Times New Roman"/>
                <w:sz w:val="19"/>
                <w:szCs w:val="48"/>
              </w:rPr>
            </w:pPr>
          </w:p>
          <w:p w14:paraId="0082DAA2" w14:textId="77777777" w:rsidR="006D3AD5" w:rsidRPr="0073014D" w:rsidRDefault="006D3AD5" w:rsidP="00443B8F">
            <w:r>
              <w:t>There is a National Brownfield Strategy, which is managed at the lowest level. Its primary orientation is the renewal of abandoned industrial warehouse and other premises and also residential areas which meet the criteria of abandoned urban areas with undeveloped public services. The core of the system includes 4 institutions:</w:t>
            </w:r>
          </w:p>
          <w:p w14:paraId="370A1912" w14:textId="77777777" w:rsidR="006D3AD5" w:rsidRPr="0073014D" w:rsidRDefault="006D3AD5" w:rsidP="00443B8F">
            <w:pPr>
              <w:pStyle w:val="Bulletslevel1"/>
              <w:jc w:val="left"/>
              <w:rPr>
                <w:rFonts w:ascii="Calibri" w:hAnsi="Calibri"/>
              </w:rPr>
            </w:pPr>
            <w:r>
              <w:rPr>
                <w:rFonts w:ascii="Calibri" w:hAnsi="Calibri"/>
              </w:rPr>
              <w:t>Department for Communities and local government – the ministry accountable for the legislative support of brownfields and eliminated areas</w:t>
            </w:r>
          </w:p>
          <w:p w14:paraId="1970A56E" w14:textId="77777777" w:rsidR="006D3AD5" w:rsidRPr="0073014D" w:rsidRDefault="006D3AD5" w:rsidP="00443B8F">
            <w:pPr>
              <w:pStyle w:val="Bulletslevel1"/>
              <w:jc w:val="left"/>
              <w:rPr>
                <w:rFonts w:ascii="Calibri" w:hAnsi="Calibri"/>
              </w:rPr>
            </w:pPr>
            <w:r>
              <w:rPr>
                <w:rFonts w:ascii="Calibri" w:hAnsi="Calibri"/>
              </w:rPr>
              <w:t>Homes and communities agency – a national agency accountable for the renewal of housing, renewal of neglected areas and, concurrently, it is an advisory body of the government for the questions of renewal and revitalisation</w:t>
            </w:r>
          </w:p>
          <w:p w14:paraId="11871C65" w14:textId="77777777" w:rsidR="006D3AD5" w:rsidRPr="0073014D" w:rsidRDefault="006D3AD5" w:rsidP="00443B8F">
            <w:pPr>
              <w:pStyle w:val="Bulletslevel1"/>
              <w:jc w:val="left"/>
              <w:rPr>
                <w:rFonts w:ascii="Calibri" w:hAnsi="Calibri"/>
              </w:rPr>
            </w:pPr>
            <w:r>
              <w:rPr>
                <w:rFonts w:ascii="Calibri" w:hAnsi="Calibri"/>
              </w:rPr>
              <w:t>Regional development agencies (RDA) – create strategies of housing renewal for a particular region, provide consulting for local authorities, ensure coordination of the investment intention etc.</w:t>
            </w:r>
          </w:p>
          <w:p w14:paraId="07590159" w14:textId="77777777" w:rsidR="006D3AD5" w:rsidRPr="0073014D" w:rsidRDefault="006D3AD5" w:rsidP="00443B8F">
            <w:pPr>
              <w:pStyle w:val="Bulletslevel1"/>
              <w:jc w:val="left"/>
              <w:rPr>
                <w:rFonts w:ascii="Calibri" w:hAnsi="Calibri"/>
              </w:rPr>
            </w:pPr>
            <w:r>
              <w:rPr>
                <w:rFonts w:ascii="Calibri" w:hAnsi="Calibri"/>
              </w:rPr>
              <w:t>Local planning authorities – their task is to identify so called “recyclable” areas and propose instruments which help in renewal (mentioned below).</w:t>
            </w:r>
          </w:p>
          <w:p w14:paraId="7C955EB6" w14:textId="77777777" w:rsidR="006D3AD5" w:rsidRPr="0073014D" w:rsidRDefault="006D3AD5" w:rsidP="00443B8F">
            <w:pPr>
              <w:pStyle w:val="Bulletslevel1"/>
              <w:numPr>
                <w:ilvl w:val="0"/>
                <w:numId w:val="0"/>
              </w:numPr>
              <w:rPr>
                <w:rFonts w:ascii="Calibri" w:hAnsi="Calibri"/>
              </w:rPr>
            </w:pPr>
            <w:r>
              <w:rPr>
                <w:rFonts w:ascii="Calibri" w:hAnsi="Calibri"/>
                <w:b/>
              </w:rPr>
              <w:t>Urban regeneration companies (URC)</w:t>
            </w:r>
            <w:r>
              <w:rPr>
                <w:rFonts w:ascii="Calibri" w:hAnsi="Calibri"/>
              </w:rPr>
              <w:t xml:space="preserve"> – are established in cooperation with the RDA and local authorities and their task is to unify the partners of the public and private sector. They organise cooperation between involved entities, coordinate investment plans and attract new investments via purposeful support and renewal. </w:t>
            </w:r>
          </w:p>
          <w:p w14:paraId="095F72D8" w14:textId="77777777" w:rsidR="006D3AD5" w:rsidRPr="0073014D" w:rsidRDefault="006D3AD5" w:rsidP="00443B8F">
            <w:pPr>
              <w:pStyle w:val="BodyText1"/>
              <w:jc w:val="both"/>
              <w:rPr>
                <w:rFonts w:ascii="Calibri" w:hAnsi="Calibri"/>
              </w:rPr>
            </w:pPr>
          </w:p>
          <w:p w14:paraId="2DC56C5C" w14:textId="77777777" w:rsidR="006D3AD5" w:rsidRPr="0073014D" w:rsidRDefault="006D3AD5" w:rsidP="00443B8F">
            <w:pPr>
              <w:pStyle w:val="BodyText1"/>
              <w:jc w:val="both"/>
              <w:rPr>
                <w:rFonts w:ascii="Calibri" w:hAnsi="Calibri"/>
              </w:rPr>
            </w:pPr>
            <w:r>
              <w:rPr>
                <w:rFonts w:ascii="Calibri" w:hAnsi="Calibri"/>
                <w:b/>
              </w:rPr>
              <w:t>Urban development companies (UDC)</w:t>
            </w:r>
            <w:r>
              <w:rPr>
                <w:rFonts w:ascii="Calibri" w:hAnsi="Calibri"/>
              </w:rPr>
              <w:t xml:space="preserve"> - making lands and constructions accessible for their further effective utilisation, support of the development of both the existing and new industry and trade, creation of the attractive environment and securing conditions </w:t>
            </w:r>
            <w:r>
              <w:rPr>
                <w:rFonts w:ascii="Calibri" w:hAnsi="Calibri"/>
              </w:rPr>
              <w:lastRenderedPageBreak/>
              <w:t>for housing and social living to maintain the inhabitants in a particular locality. For such purpose, the UDC can obtain, hold and administer lands and other assets for their reclamation (they have the right for compulsory purchase), they can perform construction works, secure engineering networks, carry out different activities connected with the territory renewal. They draw the finance for their operation via the Department for Communities and Local Government (until 2008 from English Partnerships).</w:t>
            </w:r>
          </w:p>
        </w:tc>
      </w:tr>
      <w:tr w:rsidR="006D3AD5" w:rsidRPr="0073014D" w14:paraId="0BF3DE1D" w14:textId="77777777" w:rsidTr="00443B8F">
        <w:trPr>
          <w:trHeight w:val="315"/>
        </w:trPr>
        <w:tc>
          <w:tcPr>
            <w:tcW w:w="2000" w:type="dxa"/>
            <w:shd w:val="clear" w:color="auto" w:fill="548DD4"/>
            <w:noWrap/>
            <w:vAlign w:val="center"/>
          </w:tcPr>
          <w:p w14:paraId="2CBC7EA0" w14:textId="77777777" w:rsidR="006D3AD5" w:rsidRPr="00685AEF" w:rsidRDefault="006D3AD5" w:rsidP="00443B8F">
            <w:pPr>
              <w:jc w:val="center"/>
              <w:rPr>
                <w:b/>
                <w:color w:val="FFFFFF" w:themeColor="background1"/>
              </w:rPr>
            </w:pPr>
            <w:r w:rsidRPr="00685AEF">
              <w:rPr>
                <w:b/>
                <w:color w:val="FFFFFF" w:themeColor="background1"/>
              </w:rPr>
              <w:lastRenderedPageBreak/>
              <w:t>Wales</w:t>
            </w:r>
          </w:p>
        </w:tc>
        <w:tc>
          <w:tcPr>
            <w:tcW w:w="6800" w:type="dxa"/>
            <w:shd w:val="clear" w:color="auto" w:fill="FFFFFF"/>
            <w:noWrap/>
          </w:tcPr>
          <w:p w14:paraId="56528D26" w14:textId="77777777" w:rsidR="006D3AD5" w:rsidRPr="0073014D" w:rsidRDefault="006D3AD5" w:rsidP="00443B8F">
            <w:pPr>
              <w:rPr>
                <w:b/>
              </w:rPr>
            </w:pPr>
            <w:r>
              <w:rPr>
                <w:b/>
              </w:rPr>
              <w:t>The Regeneration Investment Fund for Wales</w:t>
            </w:r>
          </w:p>
          <w:p w14:paraId="37FDE085" w14:textId="77777777" w:rsidR="006D3AD5" w:rsidRPr="0073014D" w:rsidRDefault="006D3AD5" w:rsidP="00443B8F">
            <w:r>
              <w:t xml:space="preserve">The Regeneration Investment Fund for Wales was created within the JESSICA initiative (joint European support of sustainable investments in municipal areas). The financial support of the Fund fr Wales is provided in the form of a loan and investment capital, which will be repaid within the agreed time schedule. </w:t>
            </w:r>
          </w:p>
          <w:p w14:paraId="219B0F82" w14:textId="77777777" w:rsidR="006D3AD5" w:rsidRPr="0073014D" w:rsidRDefault="006D3AD5" w:rsidP="00443B8F">
            <w:r>
              <w:t>The fund is administered by Amber Infrastructure, a company which is a leading sponsor and manager of the social and economic infrastructure projects. The investment manager is Lambert Smith Hampton.</w:t>
            </w:r>
          </w:p>
          <w:p w14:paraId="54AEA2C0" w14:textId="77777777" w:rsidR="006D3AD5" w:rsidRPr="0073014D" w:rsidRDefault="006D3AD5" w:rsidP="00443B8F">
            <w:r>
              <w:t xml:space="preserve">The fund's co-owners are Welsh government and Amber Infrastructure. The board consists of the representatives appointed by the ministers of the Welsh government and persons recommended by Amber Infrastructure and Lambert Smith Hampton. </w:t>
            </w:r>
          </w:p>
          <w:p w14:paraId="4AA68640" w14:textId="77777777" w:rsidR="006D3AD5" w:rsidRPr="0073014D" w:rsidRDefault="006D3AD5" w:rsidP="00443B8F">
            <w:pPr>
              <w:rPr>
                <w:b/>
              </w:rPr>
            </w:pPr>
            <w:r>
              <w:rPr>
                <w:b/>
              </w:rPr>
              <w:t>Strategy of the fund</w:t>
            </w:r>
          </w:p>
          <w:p w14:paraId="717931AB" w14:textId="77777777" w:rsidR="006D3AD5" w:rsidRPr="0073014D" w:rsidRDefault="006D3AD5" w:rsidP="00443B8F">
            <w:r>
              <w:t xml:space="preserve">The fund seeks projects which, in principle, meet the following criteria: </w:t>
            </w:r>
          </w:p>
          <w:p w14:paraId="517366F4" w14:textId="77777777" w:rsidR="006D3AD5" w:rsidRPr="0073014D" w:rsidRDefault="006D3AD5" w:rsidP="00443B8F">
            <w:pPr>
              <w:pStyle w:val="Odstavecseseznamem1"/>
              <w:numPr>
                <w:ilvl w:val="0"/>
                <w:numId w:val="51"/>
              </w:numPr>
              <w:overflowPunct/>
              <w:autoSpaceDE/>
              <w:autoSpaceDN/>
              <w:adjustRightInd/>
              <w:spacing w:after="200" w:line="276" w:lineRule="auto"/>
              <w:textAlignment w:val="auto"/>
            </w:pPr>
            <w:r>
              <w:t xml:space="preserve">are located in the municipal area, </w:t>
            </w:r>
          </w:p>
          <w:p w14:paraId="534185F7" w14:textId="77777777" w:rsidR="006D3AD5" w:rsidRPr="0073014D" w:rsidRDefault="006D3AD5" w:rsidP="00443B8F">
            <w:pPr>
              <w:pStyle w:val="Odstavecseseznamem1"/>
              <w:numPr>
                <w:ilvl w:val="0"/>
                <w:numId w:val="51"/>
              </w:numPr>
              <w:overflowPunct/>
              <w:autoSpaceDE/>
              <w:autoSpaceDN/>
              <w:adjustRightInd/>
              <w:spacing w:after="200" w:line="276" w:lineRule="auto"/>
              <w:textAlignment w:val="auto"/>
            </w:pPr>
            <w:r>
              <w:t>are commercially viable and include the renewal of the area,</w:t>
            </w:r>
          </w:p>
          <w:p w14:paraId="13BD4114" w14:textId="77777777" w:rsidR="006D3AD5" w:rsidRPr="0073014D" w:rsidRDefault="006D3AD5" w:rsidP="00443B8F">
            <w:pPr>
              <w:pStyle w:val="Odstavecseseznamem1"/>
              <w:numPr>
                <w:ilvl w:val="0"/>
                <w:numId w:val="51"/>
              </w:numPr>
              <w:overflowPunct/>
              <w:autoSpaceDE/>
              <w:autoSpaceDN/>
              <w:adjustRightInd/>
              <w:spacing w:after="200" w:line="276" w:lineRule="auto"/>
              <w:textAlignment w:val="auto"/>
            </w:pPr>
            <w:r>
              <w:t>the place needs to be part of the integrated plan of sustainable development of cities,</w:t>
            </w:r>
          </w:p>
          <w:p w14:paraId="5E7668C4" w14:textId="77777777" w:rsidR="006D3AD5" w:rsidRPr="0073014D" w:rsidRDefault="006D3AD5" w:rsidP="00443B8F">
            <w:pPr>
              <w:pStyle w:val="Odstavecseseznamem1"/>
              <w:numPr>
                <w:ilvl w:val="0"/>
                <w:numId w:val="51"/>
              </w:numPr>
              <w:overflowPunct/>
              <w:autoSpaceDE/>
              <w:autoSpaceDN/>
              <w:adjustRightInd/>
              <w:spacing w:after="200" w:line="276" w:lineRule="auto"/>
              <w:textAlignment w:val="auto"/>
            </w:pPr>
            <w:r>
              <w:t>include energy production and distribution from renewables.</w:t>
            </w:r>
          </w:p>
          <w:p w14:paraId="7F9E127F" w14:textId="77777777" w:rsidR="006D3AD5" w:rsidRPr="0073014D" w:rsidRDefault="006D3AD5" w:rsidP="00443B8F">
            <w:r>
              <w:t>The financial report is assumed to range between EUR 3m and EUR10m per a project (ca. CZK110-380 million).</w:t>
            </w:r>
          </w:p>
          <w:p w14:paraId="6E389688" w14:textId="77777777" w:rsidR="006D3AD5" w:rsidRPr="0073014D" w:rsidRDefault="006D3AD5" w:rsidP="00443B8F"/>
        </w:tc>
      </w:tr>
    </w:tbl>
    <w:p w14:paraId="259CB802" w14:textId="56536C25" w:rsidR="000857F9" w:rsidRPr="002C224A" w:rsidRDefault="006D3AD5" w:rsidP="003D68AA">
      <w:pPr>
        <w:pStyle w:val="Titulek"/>
      </w:pPr>
      <w:r>
        <w:t xml:space="preserve">Table </w:t>
      </w:r>
      <w:r w:rsidR="00FE27E9">
        <w:t>92</w:t>
      </w:r>
      <w:r>
        <w:t>: Examples of Foreign Experience with similar FI</w:t>
      </w:r>
    </w:p>
    <w:p w14:paraId="084BE46B" w14:textId="77777777" w:rsidR="006D67F1" w:rsidRPr="002C224A" w:rsidRDefault="006D67F1" w:rsidP="009920E2">
      <w:pPr>
        <w:pStyle w:val="BodyText1"/>
        <w:rPr>
          <w:rFonts w:ascii="Calibri" w:hAnsi="Calibri"/>
          <w:b/>
        </w:rPr>
      </w:pPr>
    </w:p>
    <w:p w14:paraId="62869F7B" w14:textId="77777777" w:rsidR="006D3AD5" w:rsidRPr="002C224A" w:rsidRDefault="006D3AD5" w:rsidP="006D3AD5">
      <w:pPr>
        <w:pStyle w:val="Nadpis4"/>
        <w:rPr>
          <w:rFonts w:ascii="Calibri" w:hAnsi="Calibri"/>
        </w:rPr>
      </w:pPr>
      <w:bookmarkStart w:id="991" w:name="_Toc417545344"/>
      <w:bookmarkStart w:id="992" w:name="_Toc417545345"/>
      <w:bookmarkEnd w:id="890"/>
      <w:bookmarkEnd w:id="891"/>
      <w:bookmarkEnd w:id="991"/>
      <w:bookmarkEnd w:id="992"/>
      <w:r>
        <w:rPr>
          <w:rFonts w:ascii="Calibri" w:hAnsi="Calibri"/>
        </w:rPr>
        <w:t>Application of experience to current circumstances</w:t>
      </w:r>
    </w:p>
    <w:p w14:paraId="61A11DE1" w14:textId="77777777" w:rsidR="006D3AD5" w:rsidRPr="002C224A" w:rsidRDefault="006D3AD5" w:rsidP="006D3AD5">
      <w:r>
        <w:t>Experience with previous bronwfields regeneration support clearly suggest the need to more rigorously define the target projects the individual instruments should target. Even based on the foreign experience analysis it is apparent that it is necessary to define in what areas lies the public interest of their regeneration. Experience of the Czech-Moravian Guarantee and Development Bank (CMGDB) with real estate reconstructions clearly indicate that in case of neglected business real estates the subsidies are often neither necessary nor purposeful. On the other hand the experience of JESSICA MSK indicate that financial instruments can also be used for regeneration of bigger BF areas with the result of a complex business infrastructure.</w:t>
      </w:r>
    </w:p>
    <w:p w14:paraId="7D0425AA" w14:textId="77777777" w:rsidR="006D3AD5" w:rsidRPr="002C224A" w:rsidRDefault="006D3AD5" w:rsidP="006D3AD5"/>
    <w:p w14:paraId="2325DE4D" w14:textId="760FC0E3" w:rsidR="006D3AD5" w:rsidRPr="002C224A" w:rsidRDefault="006D3AD5" w:rsidP="006D3AD5">
      <w:r>
        <w:t xml:space="preserve">Analysis of foreign experience with regeneration and revitalization of neglected industrial areas also shows that a successful instrument in countries with developed solutions for BF regeneration issues are </w:t>
      </w:r>
      <w:r w:rsidR="00701EE4">
        <w:t xml:space="preserve">beside the subsidies also </w:t>
      </w:r>
      <w:r>
        <w:t>various forms of development companies that are predominantly in municipal ownership</w:t>
      </w:r>
      <w:r w:rsidR="00701EE4">
        <w:t xml:space="preserve"> and integrate the interests of the municipalities, firms and owner’s of the estates</w:t>
      </w:r>
      <w:r>
        <w:t xml:space="preserve">. Despite partial revolving effect these companies draw funds </w:t>
      </w:r>
      <w:r w:rsidR="00701EE4">
        <w:t xml:space="preserve">largely </w:t>
      </w:r>
      <w:r>
        <w:t>from subsidies from various sources.</w:t>
      </w:r>
    </w:p>
    <w:p w14:paraId="7ECDE70B" w14:textId="77777777" w:rsidR="006D3AD5" w:rsidRPr="002C224A" w:rsidRDefault="006D3AD5" w:rsidP="006D3AD5"/>
    <w:p w14:paraId="3C257E3E" w14:textId="77777777" w:rsidR="006D3AD5" w:rsidRPr="002C224A" w:rsidRDefault="006D3AD5" w:rsidP="006D3AD5">
      <w:r>
        <w:lastRenderedPageBreak/>
        <w:t>These instruments can be used for projects where the original owner maintained the original usage of the facility / area and it is in the interest of the municipality, city or region (social interest) to change the appearance or social function of such area. For private investors the cost gap is a risk factor that could be removed by providing a subsidy for the primary project stage that does not produce any income and to provide a soft loan for construction of real estates and infrastructure that would be used for business activities.</w:t>
      </w:r>
    </w:p>
    <w:p w14:paraId="0568E413" w14:textId="77777777" w:rsidR="006D3AD5" w:rsidRPr="002C224A" w:rsidRDefault="006D3AD5" w:rsidP="006D3AD5"/>
    <w:p w14:paraId="24024E53" w14:textId="77777777" w:rsidR="006D3AD5" w:rsidRPr="002C224A" w:rsidRDefault="006D3AD5" w:rsidP="006D3AD5">
      <w:pPr>
        <w:pStyle w:val="Nadpis3"/>
        <w:rPr>
          <w:rFonts w:ascii="Calibri" w:hAnsi="Calibri"/>
        </w:rPr>
      </w:pPr>
      <w:bookmarkStart w:id="993" w:name="_Toc419183275"/>
      <w:bookmarkStart w:id="994" w:name="_Toc422312141"/>
      <w:r>
        <w:rPr>
          <w:rFonts w:ascii="Calibri" w:hAnsi="Calibri"/>
        </w:rPr>
        <w:t>Specific objective 3.1</w:t>
      </w:r>
      <w:bookmarkEnd w:id="993"/>
      <w:bookmarkEnd w:id="994"/>
    </w:p>
    <w:p w14:paraId="07837A15" w14:textId="77777777" w:rsidR="006D3AD5" w:rsidRPr="002C224A" w:rsidRDefault="006D3AD5" w:rsidP="006D3AD5">
      <w:pPr>
        <w:pStyle w:val="Nadpis4"/>
        <w:rPr>
          <w:rFonts w:ascii="Calibri" w:hAnsi="Calibri"/>
        </w:rPr>
      </w:pPr>
      <w:r>
        <w:rPr>
          <w:rFonts w:ascii="Calibri" w:hAnsi="Calibri"/>
        </w:rPr>
        <w:t>Conclusions from the implementation of similar instruments in the past</w:t>
      </w:r>
    </w:p>
    <w:p w14:paraId="59EF2662" w14:textId="77777777" w:rsidR="006D3AD5" w:rsidRPr="002C224A" w:rsidRDefault="006D3AD5" w:rsidP="006D3AD5">
      <w:r>
        <w:t xml:space="preserve">The predominant operational support used for renewable sources in the previous years led to massive electricity market deformation and to disproportional growth of some segments, especially solar energy. It also contributed to the construction of high number of biogas stations (BGS). The rationalization of the current renewable energy production with already constructed facilities and support for usage of heat produced as a side effect are major problems of today. These activities were not directly supported with the BGS but we can follow-up on experience with subsidy support of some projects in the OP EI which concerned biomass processing and small hydroelectric power plants. In the Eco-Energy OP EI many projects of this type were successfully supported. In case of small hydroelectric power plants that are currently using the operational support further subsidies seem unjustified. Hydroelectric power plants from Eco-Energy calls for proposals reached the IRR of about 10%.  </w:t>
      </w:r>
    </w:p>
    <w:p w14:paraId="46A064A1" w14:textId="77777777" w:rsidR="006D3AD5" w:rsidRPr="002C224A" w:rsidRDefault="006D3AD5" w:rsidP="006D3AD5"/>
    <w:p w14:paraId="124144F7" w14:textId="77777777" w:rsidR="006D3AD5" w:rsidRPr="002C224A" w:rsidRDefault="006D3AD5" w:rsidP="006D3AD5">
      <w:r>
        <w:t>Small hydroelectric power plants economy using the current operational support show potential for using investment support in the form of soft loans. This is evidenced by several SHPP projects that were supported in the frame of previous CMGDB programmes by soft loans and guarantees.</w:t>
      </w:r>
    </w:p>
    <w:p w14:paraId="6CFF6E5A" w14:textId="77777777" w:rsidR="006D3AD5" w:rsidRPr="002C224A" w:rsidRDefault="006D3AD5" w:rsidP="006D3AD5"/>
    <w:p w14:paraId="1E395C7F" w14:textId="77777777" w:rsidR="006D3AD5" w:rsidRPr="002C224A" w:rsidRDefault="006D3AD5" w:rsidP="006D3AD5">
      <w:pPr>
        <w:pStyle w:val="Nadpis4"/>
        <w:rPr>
          <w:rFonts w:ascii="Calibri" w:hAnsi="Calibri"/>
        </w:rPr>
      </w:pPr>
      <w:r>
        <w:rPr>
          <w:rFonts w:ascii="Calibri" w:hAnsi="Calibri"/>
        </w:rPr>
        <w:t>Overview of foreign experience with similar financial instruments</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3AD5" w:rsidRPr="002C224A" w14:paraId="2CCC9C6B" w14:textId="77777777" w:rsidTr="00443B8F">
        <w:trPr>
          <w:trHeight w:val="482"/>
        </w:trPr>
        <w:tc>
          <w:tcPr>
            <w:tcW w:w="2000" w:type="dxa"/>
            <w:shd w:val="clear" w:color="auto" w:fill="548DD4"/>
            <w:noWrap/>
            <w:vAlign w:val="center"/>
          </w:tcPr>
          <w:p w14:paraId="199E39E6" w14:textId="77777777" w:rsidR="006D3AD5" w:rsidRPr="00A50943" w:rsidRDefault="006D3AD5" w:rsidP="00443B8F">
            <w:pPr>
              <w:jc w:val="center"/>
              <w:rPr>
                <w:b/>
                <w:color w:val="FFFFFF"/>
              </w:rPr>
            </w:pPr>
            <w:r>
              <w:rPr>
                <w:b/>
                <w:color w:val="FFFFFF"/>
              </w:rPr>
              <w:t>Austria</w:t>
            </w:r>
          </w:p>
        </w:tc>
        <w:tc>
          <w:tcPr>
            <w:tcW w:w="6800" w:type="dxa"/>
            <w:shd w:val="clear" w:color="auto" w:fill="FFFFFF"/>
            <w:noWrap/>
          </w:tcPr>
          <w:p w14:paraId="661FE426" w14:textId="77777777" w:rsidR="006D3AD5" w:rsidRPr="002C224A" w:rsidRDefault="006D3AD5" w:rsidP="00443B8F">
            <w:r>
              <w:t>A programme similar to the reconstruction of current small hydroelectric power plants (SHPP) was realized between 2004 and 2011 in the frame of the ÖKOP investment fund programme for the Upper Austria province. In this province up to 78% of the electricity was produced by hydroelectric power plants at the beginning of 2013. In this period the fund offered subsidies of up to 25% costs for the reconstruction and extension of current technologies with maximum amount being € 50,000. SHPP owners received financial funds of € 4.8 million that led to investments of € 37.3 million (+80 GWh which is an equivalent of 22,800 households). The leverage was 7.7. Since 2012 the national SHPP (with power output of up to 1MW) financing investment programme has a yearly budget of € 33 million for further reconstructions and construction of new SHPP. Owners can ask for financial support of up to 30% of the investment or they can alternatively ask for guarantees for purchase price for 13 years. Each applicant for license and financial support must ensure the continuity of the river and must respect the environmental requirements.</w:t>
            </w:r>
          </w:p>
          <w:p w14:paraId="70807D76" w14:textId="77777777" w:rsidR="006D3AD5" w:rsidRPr="002C224A" w:rsidRDefault="006D3AD5" w:rsidP="00443B8F"/>
          <w:p w14:paraId="0C5A1B25" w14:textId="77777777" w:rsidR="006D3AD5" w:rsidRPr="002C224A" w:rsidRDefault="006D3AD5" w:rsidP="00443B8F">
            <w:r>
              <w:t xml:space="preserve"> In this region there are 790 operational SHPPs (out of 860 HPP in total) with power output below 0.5MW. The energy agency is responsible for increasing the awareness and provision of consulting programme for SHPP owners. SHPP owners can ask for consultations regarding the potential optimization, technical and environmental requirements and financing and public support. Since 2007 there were 338 consultations and all costs were reimbursed from the programme funds.</w:t>
            </w:r>
          </w:p>
          <w:p w14:paraId="77D016E8" w14:textId="77777777" w:rsidR="006D3AD5" w:rsidRPr="002C224A" w:rsidRDefault="006D3AD5" w:rsidP="00443B8F">
            <w:pPr>
              <w:pStyle w:val="Titulek"/>
            </w:pPr>
            <w:r>
              <w:lastRenderedPageBreak/>
              <w:t>Table 88: Examples of foreign experience with similar FI</w:t>
            </w:r>
          </w:p>
          <w:p w14:paraId="050BB287" w14:textId="77777777" w:rsidR="006D3AD5" w:rsidRPr="00A50943" w:rsidRDefault="006D3AD5" w:rsidP="00443B8F">
            <w:pPr>
              <w:rPr>
                <w:rFonts w:cs="Arial"/>
                <w:color w:val="000000"/>
              </w:rPr>
            </w:pPr>
          </w:p>
        </w:tc>
      </w:tr>
    </w:tbl>
    <w:p w14:paraId="154538E6" w14:textId="6579645F" w:rsidR="00FE27E9" w:rsidRPr="002C224A" w:rsidRDefault="00FE27E9" w:rsidP="00FE27E9">
      <w:pPr>
        <w:pStyle w:val="Titulek"/>
      </w:pPr>
      <w:r>
        <w:lastRenderedPageBreak/>
        <w:t>Table 9</w:t>
      </w:r>
      <w:r w:rsidR="00B90ACD">
        <w:t>3</w:t>
      </w:r>
      <w:r>
        <w:t>: Examples of Foreign Experience with support of renewables</w:t>
      </w:r>
    </w:p>
    <w:p w14:paraId="3FB81D34" w14:textId="77777777" w:rsidR="00FE27E9" w:rsidRDefault="00FE27E9" w:rsidP="00685AEF">
      <w:pPr>
        <w:pStyle w:val="Nadpis4"/>
        <w:numPr>
          <w:ilvl w:val="0"/>
          <w:numId w:val="0"/>
        </w:numPr>
        <w:ind w:left="864"/>
        <w:rPr>
          <w:rFonts w:ascii="Calibri" w:hAnsi="Calibri"/>
        </w:rPr>
      </w:pPr>
    </w:p>
    <w:p w14:paraId="40997143" w14:textId="77777777" w:rsidR="006D3AD5" w:rsidRPr="002C224A" w:rsidRDefault="006D3AD5" w:rsidP="006D3AD5">
      <w:pPr>
        <w:pStyle w:val="Nadpis4"/>
        <w:rPr>
          <w:rFonts w:ascii="Calibri" w:hAnsi="Calibri"/>
        </w:rPr>
      </w:pPr>
      <w:r>
        <w:rPr>
          <w:rFonts w:ascii="Calibri" w:hAnsi="Calibri"/>
        </w:rPr>
        <w:t>Application of experience to current circumstances</w:t>
      </w:r>
    </w:p>
    <w:p w14:paraId="599B009D" w14:textId="77777777" w:rsidR="006D3AD5" w:rsidRPr="002C224A" w:rsidRDefault="006D3AD5" w:rsidP="006D3AD5">
      <w:r>
        <w:t>Current experience both at home and abroad show persisting need of extensive support of affected renewable energy sources during their construction and during improving their effectiveness. Within combination with operational support it is probably good to use the form of soft loans similar to the SO 3.2 scheme.</w:t>
      </w:r>
    </w:p>
    <w:p w14:paraId="2A7368BE" w14:textId="77777777" w:rsidR="006D3AD5" w:rsidRPr="002C224A" w:rsidRDefault="006D3AD5" w:rsidP="006D3AD5"/>
    <w:p w14:paraId="28861578" w14:textId="77777777" w:rsidR="006D3AD5" w:rsidRPr="002C224A" w:rsidRDefault="006D3AD5" w:rsidP="006D3AD5">
      <w:pPr>
        <w:pStyle w:val="Nadpis3"/>
        <w:rPr>
          <w:rFonts w:ascii="Calibri" w:hAnsi="Calibri"/>
        </w:rPr>
      </w:pPr>
      <w:bookmarkStart w:id="995" w:name="_Toc419183276"/>
      <w:bookmarkStart w:id="996" w:name="_Toc422312142"/>
      <w:r>
        <w:rPr>
          <w:rFonts w:ascii="Calibri" w:hAnsi="Calibri"/>
        </w:rPr>
        <w:t>Specific objective 3.2</w:t>
      </w:r>
      <w:bookmarkEnd w:id="995"/>
      <w:bookmarkEnd w:id="996"/>
    </w:p>
    <w:p w14:paraId="3AF26B45" w14:textId="77777777" w:rsidR="006D3AD5" w:rsidRPr="002C224A" w:rsidRDefault="006D3AD5" w:rsidP="006D3AD5">
      <w:pPr>
        <w:pStyle w:val="Nadpis4"/>
        <w:rPr>
          <w:rFonts w:ascii="Calibri" w:hAnsi="Calibri"/>
        </w:rPr>
      </w:pPr>
      <w:r>
        <w:rPr>
          <w:rFonts w:ascii="Calibri" w:hAnsi="Calibri"/>
        </w:rPr>
        <w:t>Conclusions from the implementation of similar instruments in the past</w:t>
      </w:r>
    </w:p>
    <w:p w14:paraId="010A0545" w14:textId="77777777" w:rsidR="006D3AD5" w:rsidRPr="002C224A" w:rsidRDefault="006D3AD5" w:rsidP="006D3AD5">
      <w:r>
        <w:t xml:space="preserve">Relatively successful experience with up to date subsidy support within the Eco-Energy OP EI programme is characterized by its high demand. Problems related to the subsidy character are nevertheless prevalent even within this programme. The administrative requirements are relatively high and there were some projects that became profitable thanks to the support bonus above common market circumstances. In the last years the subsidy support has a negative effect on the functionality of the market environment. The marked is now accustomed to subsidies and investment activities are often held back in expectation of further calls for proposals. Subsidies can also partially expel market mechanisms and private equity. </w:t>
      </w:r>
    </w:p>
    <w:p w14:paraId="7878DB50" w14:textId="77777777" w:rsidR="006D3AD5" w:rsidRPr="002C224A" w:rsidRDefault="006D3AD5" w:rsidP="006D3AD5"/>
    <w:p w14:paraId="4F82958E" w14:textId="77777777" w:rsidR="006D3AD5" w:rsidRPr="002C224A" w:rsidRDefault="006D3AD5" w:rsidP="006D3AD5">
      <w:r>
        <w:t>Experience with up to date calls for proposals indicate a not negligible potential of eligible projects with economy balancing on the edge of market feasibility and it is possible to support it by a financial instrument.</w:t>
      </w:r>
    </w:p>
    <w:p w14:paraId="5FB059F3" w14:textId="77777777" w:rsidR="006D3AD5" w:rsidRPr="002C224A" w:rsidRDefault="006D3AD5" w:rsidP="006D3AD5">
      <w:r>
        <w:t>In the frame of the 3rd calls for proposals within the Eco-Energy OP EI there were 37 registered projects with eligible costs of CZK 600 million with IRR of above 20%. The IRR median of projects within the extended 3rd call for proposals was nevertheless 6.67% which indicates a much larger ratio of projects with significantly lower returns.</w:t>
      </w:r>
    </w:p>
    <w:p w14:paraId="0B77B8AA" w14:textId="77777777" w:rsidR="006D3AD5" w:rsidRPr="002C224A" w:rsidRDefault="006D3AD5" w:rsidP="006D3AD5"/>
    <w:p w14:paraId="0AF40F21" w14:textId="77777777" w:rsidR="006D3AD5" w:rsidRPr="002C224A" w:rsidRDefault="006D3AD5" w:rsidP="006D3AD5">
      <w:pPr>
        <w:pStyle w:val="Nadpis4"/>
        <w:rPr>
          <w:rFonts w:ascii="Calibri" w:hAnsi="Calibri"/>
        </w:rPr>
      </w:pPr>
      <w:r>
        <w:rPr>
          <w:rFonts w:ascii="Calibri" w:hAnsi="Calibri"/>
        </w:rPr>
        <w:t>Overview of foreign experience with similar financial instruments</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firstRow="1" w:lastRow="0" w:firstColumn="1" w:lastColumn="0" w:noHBand="0" w:noVBand="0"/>
      </w:tblPr>
      <w:tblGrid>
        <w:gridCol w:w="2000"/>
        <w:gridCol w:w="6800"/>
      </w:tblGrid>
      <w:tr w:rsidR="006D3AD5" w:rsidRPr="002C224A" w14:paraId="1EC1166F" w14:textId="77777777" w:rsidTr="00443B8F">
        <w:trPr>
          <w:trHeight w:val="482"/>
        </w:trPr>
        <w:tc>
          <w:tcPr>
            <w:tcW w:w="2000" w:type="dxa"/>
            <w:shd w:val="clear" w:color="auto" w:fill="548DD4"/>
            <w:noWrap/>
            <w:vAlign w:val="center"/>
          </w:tcPr>
          <w:p w14:paraId="4FF50F66" w14:textId="77777777" w:rsidR="006D3AD5" w:rsidRPr="00A50943" w:rsidRDefault="006D3AD5" w:rsidP="00443B8F">
            <w:pPr>
              <w:jc w:val="center"/>
              <w:rPr>
                <w:b/>
                <w:color w:val="FFFFFF"/>
              </w:rPr>
            </w:pPr>
            <w:r>
              <w:rPr>
                <w:b/>
                <w:color w:val="FFFFFF"/>
              </w:rPr>
              <w:t>Poland (WFOŚiGWvK)</w:t>
            </w:r>
          </w:p>
        </w:tc>
        <w:tc>
          <w:tcPr>
            <w:tcW w:w="6800" w:type="dxa"/>
            <w:shd w:val="clear" w:color="auto" w:fill="FFFFFF"/>
            <w:noWrap/>
          </w:tcPr>
          <w:p w14:paraId="075C8E8E" w14:textId="77777777" w:rsidR="006D3AD5" w:rsidRPr="007A5C1D" w:rsidRDefault="006D3AD5" w:rsidP="00443B8F">
            <w:pPr>
              <w:rPr>
                <w:lang w:val="pl-PL"/>
              </w:rPr>
            </w:pPr>
            <w:r w:rsidRPr="007A5C1D">
              <w:rPr>
                <w:b/>
                <w:lang w:val="pl-PL"/>
              </w:rPr>
              <w:t>Wojewódzki Fundusz Ochrony Środowiska i Gospodarki Wodnej w Katowicach (WFOŚiGWvK)</w:t>
            </w:r>
          </w:p>
          <w:p w14:paraId="04D5908B" w14:textId="77777777" w:rsidR="006D3AD5" w:rsidRPr="002C224A" w:rsidRDefault="006D3AD5" w:rsidP="00443B8F">
            <w:pPr>
              <w:rPr>
                <w:b/>
              </w:rPr>
            </w:pPr>
            <w:r>
              <w:t>Each voivodeship has its own fund working on the same principle. For the purpose of international comparison the Katowice voivodeship fund was selected. This fund was founded in 1993 as a public financial institution realizing the environmental politics of the Silesian voivodeship. The Fund supports environmental projects funded by both public and private subjects with usage of European funds designated for the environmental protection and water management. The Fund supports projects mainly by the form of subsidies and loans and with the approval of the voivode it can also become an equity investor. Among others, these projects belong into the investment area:</w:t>
            </w:r>
          </w:p>
          <w:p w14:paraId="1016C565" w14:textId="77777777" w:rsidR="006D3AD5" w:rsidRPr="002C224A" w:rsidRDefault="006D3AD5" w:rsidP="00443B8F">
            <w:pPr>
              <w:pStyle w:val="Odstavecseseznamem1"/>
              <w:numPr>
                <w:ilvl w:val="0"/>
                <w:numId w:val="42"/>
              </w:numPr>
              <w:overflowPunct/>
              <w:autoSpaceDE/>
              <w:autoSpaceDN/>
              <w:adjustRightInd/>
              <w:spacing w:after="120"/>
              <w:textAlignment w:val="auto"/>
              <w:rPr>
                <w:b/>
              </w:rPr>
            </w:pPr>
            <w:r>
              <w:t>Thermal insulation of buildings,</w:t>
            </w:r>
          </w:p>
          <w:p w14:paraId="549F5D33" w14:textId="77777777" w:rsidR="006D3AD5" w:rsidRPr="002C224A" w:rsidRDefault="006D3AD5" w:rsidP="00443B8F">
            <w:pPr>
              <w:pStyle w:val="Odstavecseseznamem1"/>
              <w:numPr>
                <w:ilvl w:val="0"/>
                <w:numId w:val="42"/>
              </w:numPr>
              <w:overflowPunct/>
              <w:autoSpaceDE/>
              <w:autoSpaceDN/>
              <w:adjustRightInd/>
              <w:spacing w:after="120"/>
              <w:textAlignment w:val="auto"/>
              <w:rPr>
                <w:b/>
              </w:rPr>
            </w:pPr>
            <w:r>
              <w:t>Asbestos elimination,</w:t>
            </w:r>
          </w:p>
          <w:p w14:paraId="00C75F7F" w14:textId="77777777" w:rsidR="006D3AD5" w:rsidRPr="002C224A" w:rsidRDefault="006D3AD5" w:rsidP="00443B8F">
            <w:pPr>
              <w:pStyle w:val="Odstavecseseznamem1"/>
              <w:numPr>
                <w:ilvl w:val="0"/>
                <w:numId w:val="42"/>
              </w:numPr>
              <w:overflowPunct/>
              <w:autoSpaceDE/>
              <w:autoSpaceDN/>
              <w:adjustRightInd/>
              <w:spacing w:after="120"/>
              <w:textAlignment w:val="auto"/>
              <w:rPr>
                <w:b/>
              </w:rPr>
            </w:pPr>
            <w:r>
              <w:t>Eco-friendly energy sources,</w:t>
            </w:r>
          </w:p>
          <w:p w14:paraId="7BA7492D" w14:textId="77777777" w:rsidR="006D3AD5" w:rsidRPr="002C224A" w:rsidRDefault="006D3AD5" w:rsidP="00443B8F">
            <w:pPr>
              <w:pStyle w:val="Odstavecseseznamem1"/>
              <w:numPr>
                <w:ilvl w:val="0"/>
                <w:numId w:val="42"/>
              </w:numPr>
              <w:overflowPunct/>
              <w:autoSpaceDE/>
              <w:autoSpaceDN/>
              <w:adjustRightInd/>
              <w:spacing w:after="120"/>
              <w:textAlignment w:val="auto"/>
              <w:rPr>
                <w:b/>
              </w:rPr>
            </w:pPr>
            <w:r>
              <w:t>Heat units replacements.</w:t>
            </w:r>
          </w:p>
          <w:p w14:paraId="5BAF2C79" w14:textId="77777777" w:rsidR="006D3AD5" w:rsidRPr="002C224A" w:rsidRDefault="006D3AD5" w:rsidP="00443B8F">
            <w:r>
              <w:lastRenderedPageBreak/>
              <w:t xml:space="preserve">The main role in the fund financing is played by the EU funds and other foreign financing sources which are supplemented from the central regional budget. At the beginning of the year the Fund will have PLN 1,225.5 million and further PLN 155.8 million will be given into the budget during the year. Total expenditures for 2015 are expected to be about PLN 493.5 million (PLN 488.2 million in 2014, PLN 374.8 million in 2013). </w:t>
            </w:r>
          </w:p>
          <w:p w14:paraId="6A49FD57" w14:textId="77777777" w:rsidR="006D3AD5" w:rsidRPr="002C224A" w:rsidRDefault="006D3AD5" w:rsidP="00443B8F">
            <w:pPr>
              <w:rPr>
                <w:b/>
              </w:rPr>
            </w:pPr>
            <w:r>
              <w:t>The fund provides financing in these form of financial instruments:</w:t>
            </w:r>
          </w:p>
          <w:p w14:paraId="3388D536" w14:textId="77777777" w:rsidR="006D3AD5" w:rsidRPr="002C224A" w:rsidRDefault="006D3AD5" w:rsidP="00443B8F">
            <w:pPr>
              <w:rPr>
                <w:b/>
              </w:rPr>
            </w:pPr>
          </w:p>
          <w:p w14:paraId="236853F5" w14:textId="77777777" w:rsidR="006D3AD5" w:rsidRPr="002C224A" w:rsidRDefault="006D3AD5" w:rsidP="00443B8F">
            <w:pPr>
              <w:rPr>
                <w:b/>
              </w:rPr>
            </w:pPr>
            <w:r>
              <w:rPr>
                <w:b/>
              </w:rPr>
              <w:t>Loans including bridging loans</w:t>
            </w:r>
          </w:p>
          <w:p w14:paraId="7469A196" w14:textId="77777777" w:rsidR="006D3AD5" w:rsidRPr="002C224A" w:rsidRDefault="006D3AD5" w:rsidP="00443B8F">
            <w:r>
              <w:t>Loans of up to 80% of eligible costs with regard to environmental significance of the project and Fund capacities. In case of loan and subsidy combination the total support must not exceed 80% of eligible costs. The exception is for projects for elimination of asbestos that are eligible for support of up to 100% of costs. In case of financing with using European funds the support must not exceed 80% of fund sources of the applicant.</w:t>
            </w:r>
          </w:p>
          <w:p w14:paraId="1368F18E" w14:textId="77777777" w:rsidR="006D3AD5" w:rsidRPr="002C224A" w:rsidRDefault="006D3AD5" w:rsidP="00443B8F">
            <w:pPr>
              <w:rPr>
                <w:b/>
              </w:rPr>
            </w:pPr>
          </w:p>
          <w:p w14:paraId="3C078404" w14:textId="77777777" w:rsidR="006D3AD5" w:rsidRPr="002C224A" w:rsidRDefault="006D3AD5" w:rsidP="00443B8F">
            <w:r>
              <w:t>The interest rate is calculated as 0.95 * repo rate published by Polish central bank but cannot be lower than 3.5%. The loan must be returned in 3 to 12 years with the first instalment being payable 3 to 12 months after the project completion. For bridging loans special conditions apply. The loan is provided by a collaborating bank that is responsible for evaluation of the applicant solvency and adheres to standard banking sector procedures.</w:t>
            </w:r>
          </w:p>
          <w:p w14:paraId="07606679" w14:textId="77777777" w:rsidR="006D3AD5" w:rsidRPr="002C224A" w:rsidRDefault="006D3AD5" w:rsidP="00443B8F">
            <w:pPr>
              <w:rPr>
                <w:b/>
              </w:rPr>
            </w:pPr>
          </w:p>
          <w:p w14:paraId="1847DB58" w14:textId="77777777" w:rsidR="006D3AD5" w:rsidRPr="002C224A" w:rsidRDefault="006D3AD5" w:rsidP="00443B8F">
            <w:pPr>
              <w:rPr>
                <w:b/>
              </w:rPr>
            </w:pPr>
            <w:r>
              <w:rPr>
                <w:b/>
              </w:rPr>
              <w:t>Repayment of the part of the used credit</w:t>
            </w:r>
          </w:p>
          <w:p w14:paraId="17B678F7" w14:textId="77777777" w:rsidR="006D3AD5" w:rsidRPr="002C224A" w:rsidRDefault="006D3AD5" w:rsidP="00443B8F">
            <w:pPr>
              <w:rPr>
                <w:b/>
              </w:rPr>
            </w:pPr>
            <w:r>
              <w:t xml:space="preserve">The Fund offers a possibility for repayment of the part of the principal of the common commercial loan used by the applicant in relation to the project. The repayment can be made in case the whole project was completed in accordance with the plan and brought all negotiated environmental benefits and at least half of the loan was repaid at the same time. </w:t>
            </w:r>
          </w:p>
          <w:p w14:paraId="4E4B65D6" w14:textId="77777777" w:rsidR="006D3AD5" w:rsidRPr="002C224A" w:rsidRDefault="006D3AD5" w:rsidP="00443B8F">
            <w:r>
              <w:t>The repaid amount can be 20% of the loan or up to 40% (in some cases up to 45%) of the loan in case the debtor agrees to invest the equivalent of the repaid amount into another project of supported type.</w:t>
            </w:r>
          </w:p>
          <w:p w14:paraId="3D8E8EDF" w14:textId="77777777" w:rsidR="006D3AD5" w:rsidRPr="002C224A" w:rsidRDefault="006D3AD5" w:rsidP="00443B8F"/>
          <w:p w14:paraId="210BC978" w14:textId="77777777" w:rsidR="006D3AD5" w:rsidRPr="002C224A" w:rsidRDefault="006D3AD5" w:rsidP="00443B8F">
            <w:pPr>
              <w:rPr>
                <w:b/>
              </w:rPr>
            </w:pPr>
            <w:r>
              <w:rPr>
                <w:b/>
              </w:rPr>
              <w:t>Subsidy for payment of interest costs of the used credit</w:t>
            </w:r>
          </w:p>
          <w:p w14:paraId="5C3CCCDF" w14:textId="77777777" w:rsidR="006D3AD5" w:rsidRPr="002C224A" w:rsidRDefault="006D3AD5" w:rsidP="00443B8F">
            <w:r>
              <w:t>Subsidy is provided for payments of interest costs of loans reaching up to 80% of eligible costs. It is possible to reimburse loan costs with interest rate not exceeding double the 3M WIBOR rate. The Fund will also not reimburse more than 0.6*3M WIBOR rate from the interest costs. It is only possible to subsidize interest costs of loans payable in 12 years after project completion.</w:t>
            </w:r>
          </w:p>
          <w:p w14:paraId="238C5D68" w14:textId="77777777" w:rsidR="006D3AD5" w:rsidRPr="002C224A" w:rsidRDefault="006D3AD5" w:rsidP="00443B8F"/>
          <w:p w14:paraId="5AE822D1" w14:textId="77777777" w:rsidR="006D3AD5" w:rsidRPr="002C224A" w:rsidRDefault="006D3AD5" w:rsidP="00443B8F">
            <w:pPr>
              <w:rPr>
                <w:b/>
              </w:rPr>
            </w:pPr>
            <w:r>
              <w:rPr>
                <w:b/>
              </w:rPr>
              <w:t>Banking loan line</w:t>
            </w:r>
          </w:p>
          <w:p w14:paraId="168C8312" w14:textId="77777777" w:rsidR="006D3AD5" w:rsidRPr="002C224A" w:rsidRDefault="006D3AD5" w:rsidP="00443B8F">
            <w:pPr>
              <w:rPr>
                <w:b/>
              </w:rPr>
            </w:pPr>
            <w:r>
              <w:t xml:space="preserve">It is possible to finance up to 90% of eligible investment costs by banking loan line but no more than PLN 300 thousand. The interest rate is 0.95 the repo rate but no lower than 3.5% p.a. One-time banking commission is 1% of the awarded line. </w:t>
            </w:r>
          </w:p>
          <w:p w14:paraId="278D0688" w14:textId="77777777" w:rsidR="006D3AD5" w:rsidRPr="002C224A" w:rsidRDefault="006D3AD5" w:rsidP="00443B8F">
            <w:r>
              <w:t>The line must be returned in 3 to 12 years with the first instalment being payable 3 to 12 months after the project completion. Whole project must be completed in 18 months after provision of the loan line. The line is provided by a collaborating bank that is responsible for evaluation of the applicant solvency and adheres to standard banking sector procedures.</w:t>
            </w:r>
          </w:p>
          <w:p w14:paraId="684063B3" w14:textId="77777777" w:rsidR="006D3AD5" w:rsidRPr="002C224A" w:rsidRDefault="006D3AD5" w:rsidP="00443B8F">
            <w:pPr>
              <w:pStyle w:val="Titulek"/>
            </w:pPr>
            <w:r>
              <w:t>Table 89: Examples of foreign experience with similar FI</w:t>
            </w:r>
          </w:p>
          <w:p w14:paraId="093DB122" w14:textId="77777777" w:rsidR="006D3AD5" w:rsidRPr="00A50943" w:rsidRDefault="006D3AD5" w:rsidP="00443B8F">
            <w:pPr>
              <w:rPr>
                <w:rFonts w:cs="Arial"/>
                <w:color w:val="000000"/>
              </w:rPr>
            </w:pPr>
          </w:p>
        </w:tc>
      </w:tr>
    </w:tbl>
    <w:p w14:paraId="4BB23B59" w14:textId="65C531E7" w:rsidR="00FE27E9" w:rsidRPr="002C224A" w:rsidRDefault="00FE27E9" w:rsidP="00FE27E9">
      <w:pPr>
        <w:pStyle w:val="Titulek"/>
      </w:pPr>
      <w:r>
        <w:lastRenderedPageBreak/>
        <w:t>Table 9</w:t>
      </w:r>
      <w:r w:rsidR="00B90ACD">
        <w:t>4</w:t>
      </w:r>
      <w:r>
        <w:t>: Examples of Foreign Experience with support of energy efficiency</w:t>
      </w:r>
    </w:p>
    <w:p w14:paraId="708652D3" w14:textId="77777777" w:rsidR="006D3AD5" w:rsidRPr="002C224A" w:rsidRDefault="006D3AD5" w:rsidP="006D3AD5">
      <w:pPr>
        <w:pStyle w:val="Nadpis4"/>
        <w:rPr>
          <w:rFonts w:ascii="Calibri" w:hAnsi="Calibri"/>
        </w:rPr>
      </w:pPr>
      <w:r>
        <w:rPr>
          <w:rFonts w:ascii="Calibri" w:hAnsi="Calibri"/>
        </w:rPr>
        <w:t>Application of experience to current circumstances</w:t>
      </w:r>
    </w:p>
    <w:p w14:paraId="6C2452D3" w14:textId="0FF017BF" w:rsidR="006D3AD5" w:rsidRPr="002C224A" w:rsidRDefault="006D3AD5" w:rsidP="006D3AD5">
      <w:r>
        <w:t xml:space="preserve">Experience with up to date support indicate a significant space for using the proposed financial instrument in the form of soft loans even though not across the board. The segment of projects on the edge of market feasibility will therefore be more effectively filled in and at the same time it will be a step towards decreasing the market deformation that was caused by previous subsidy support. Foreign experience also indicates that it is effective to motivate </w:t>
      </w:r>
      <w:r w:rsidR="00CF3F95">
        <w:t>final recipients</w:t>
      </w:r>
      <w:r>
        <w:t xml:space="preserve"> for maximum savings by conditional bonuses.</w:t>
      </w:r>
    </w:p>
    <w:p w14:paraId="488A5154" w14:textId="77777777" w:rsidR="006D3AD5" w:rsidRPr="002C224A" w:rsidRDefault="006D3AD5" w:rsidP="006D3AD5"/>
    <w:p w14:paraId="7D5ED3E9" w14:textId="77777777" w:rsidR="006D3AD5" w:rsidRPr="002C224A" w:rsidRDefault="006D3AD5" w:rsidP="006D3AD5">
      <w:pPr>
        <w:pStyle w:val="Nadpis3"/>
        <w:rPr>
          <w:rFonts w:ascii="Calibri" w:hAnsi="Calibri"/>
        </w:rPr>
      </w:pPr>
      <w:bookmarkStart w:id="997" w:name="_Toc419183277"/>
      <w:bookmarkStart w:id="998" w:name="_Toc422312143"/>
      <w:r>
        <w:rPr>
          <w:rFonts w:ascii="Calibri" w:hAnsi="Calibri"/>
        </w:rPr>
        <w:t>Specific objective 3.5</w:t>
      </w:r>
      <w:bookmarkEnd w:id="997"/>
      <w:bookmarkEnd w:id="998"/>
    </w:p>
    <w:p w14:paraId="39F48E07" w14:textId="77777777" w:rsidR="006D3AD5" w:rsidRPr="002C224A" w:rsidRDefault="006D3AD5" w:rsidP="006D3AD5">
      <w:pPr>
        <w:pStyle w:val="Nadpis4"/>
        <w:rPr>
          <w:rFonts w:ascii="Calibri" w:hAnsi="Calibri"/>
        </w:rPr>
      </w:pPr>
      <w:r>
        <w:rPr>
          <w:rFonts w:ascii="Calibri" w:hAnsi="Calibri"/>
        </w:rPr>
        <w:t>Conclusions from the implementation of similar instruments in the past</w:t>
      </w:r>
    </w:p>
    <w:p w14:paraId="75F96A19" w14:textId="77777777" w:rsidR="006D3AD5" w:rsidRPr="002C224A" w:rsidRDefault="006D3AD5" w:rsidP="006D3AD5">
      <w:r>
        <w:t>The subsidy support for reconstruction of heat supply networks in the previous period of the OP EI and OP E caused a significant demand and increased investment activity in this sector. Final recipients react positively to such incentives but the problem lies in reduction of available sources and huge investment needs that were supported by previous subsidies only in part. For CPEH effectiveness projects supported within the frame of ECO-Energy points listed under SO 3.2 apply in most part. There are some projects that could be supported more sensibly in the form of soft loans.</w:t>
      </w:r>
    </w:p>
    <w:p w14:paraId="7C682CD3" w14:textId="77777777" w:rsidR="006D3AD5" w:rsidRPr="002C224A" w:rsidRDefault="006D3AD5" w:rsidP="006D3AD5">
      <w:pPr>
        <w:pStyle w:val="Nadpis4"/>
        <w:rPr>
          <w:rFonts w:ascii="Calibri" w:hAnsi="Calibri"/>
        </w:rPr>
      </w:pPr>
      <w:r>
        <w:rPr>
          <w:rFonts w:ascii="Calibri" w:hAnsi="Calibri"/>
        </w:rPr>
        <w:t>Overview of foreign experience with similar financial instruments</w:t>
      </w:r>
    </w:p>
    <w:p w14:paraId="438CA2A6" w14:textId="77777777" w:rsidR="006D3AD5" w:rsidRPr="00A50943" w:rsidRDefault="006D3AD5" w:rsidP="006D3AD5"/>
    <w:p w14:paraId="054887DC" w14:textId="77777777" w:rsidR="006D3AD5" w:rsidRPr="00A50943" w:rsidRDefault="006D3AD5" w:rsidP="006D3AD5">
      <w:r>
        <w:t>Foreign experience from this specific objectives are very hard to transfer. In many West European states the heat supply market is very specific and the market itself differs all across the continent. Only 12% of heat (for heating of space and water) comes from centralized heat sources. In Northern states (with the exception of Norway) 50% of heat sources in average comes from centralized sources, whereas in Western states (UK, NL, GER, AUT, BEL) the market is small but it is on the rise. The share of centralized heat sources on the market in the Mediterranean states is about 2%. Former socialist countries inherited their heating plant and heat plant structures from the previous period but it is necessary to invest huge financial funds into their modernization. This type of investments is therefore very different from investments into heating industry in the older EU countries.</w:t>
      </w:r>
      <w:r>
        <w:rPr>
          <w:rStyle w:val="Znakapoznpodarou"/>
          <w:rFonts w:ascii="Calibri" w:hAnsi="Calibri"/>
        </w:rPr>
        <w:footnoteReference w:id="57"/>
      </w:r>
    </w:p>
    <w:p w14:paraId="4A90B653" w14:textId="77777777" w:rsidR="006D3AD5" w:rsidRPr="002C224A" w:rsidRDefault="006D3AD5" w:rsidP="006D3AD5"/>
    <w:p w14:paraId="2CAF58DB" w14:textId="77777777" w:rsidR="006D3AD5" w:rsidRPr="002C224A" w:rsidRDefault="006D3AD5" w:rsidP="006D3AD5">
      <w:r>
        <w:rPr>
          <w:b/>
        </w:rPr>
        <w:t>In general it is possible to state that above all the specific objectives 3.2 and 3.5 (energy savings realization, CPEH) target areas that were supported in other EU countries mainly by financial credit instruments, typically within the frame of the JESSICA programme.</w:t>
      </w:r>
      <w:r>
        <w:t xml:space="preserve"> These credit funds can be included in examples:</w:t>
      </w:r>
    </w:p>
    <w:p w14:paraId="5DF0A711" w14:textId="77777777" w:rsidR="006D3AD5" w:rsidRPr="002C224A" w:rsidRDefault="006D3AD5" w:rsidP="006D3AD5">
      <w:pPr>
        <w:pStyle w:val="Odstavecseseznamem1"/>
        <w:numPr>
          <w:ilvl w:val="0"/>
          <w:numId w:val="43"/>
        </w:numPr>
        <w:overflowPunct/>
        <w:autoSpaceDE/>
        <w:autoSpaceDN/>
        <w:adjustRightInd/>
        <w:contextualSpacing w:val="0"/>
        <w:textAlignment w:val="auto"/>
      </w:pPr>
      <w:r>
        <w:t>Amber Green London Energy Efficiency Fund (Great Britain)</w:t>
      </w:r>
    </w:p>
    <w:p w14:paraId="74462B63" w14:textId="77777777" w:rsidR="006D3AD5" w:rsidRPr="002C224A" w:rsidRDefault="006D3AD5" w:rsidP="006D3AD5">
      <w:pPr>
        <w:pStyle w:val="Odstavecseseznamem1"/>
        <w:numPr>
          <w:ilvl w:val="0"/>
          <w:numId w:val="43"/>
        </w:numPr>
        <w:overflowPunct/>
        <w:autoSpaceDE/>
        <w:autoSpaceDN/>
        <w:adjustRightInd/>
        <w:contextualSpacing w:val="0"/>
        <w:textAlignment w:val="auto"/>
      </w:pPr>
      <w:r>
        <w:t>Regional Urban Development Fund (Bulgaria)</w:t>
      </w:r>
    </w:p>
    <w:p w14:paraId="42FB6A9A" w14:textId="77777777" w:rsidR="006D3AD5" w:rsidRPr="002C224A" w:rsidRDefault="006D3AD5" w:rsidP="006D3AD5">
      <w:pPr>
        <w:pStyle w:val="Odstavecseseznamem1"/>
        <w:numPr>
          <w:ilvl w:val="0"/>
          <w:numId w:val="43"/>
        </w:numPr>
        <w:overflowPunct/>
        <w:autoSpaceDE/>
        <w:autoSpaceDN/>
        <w:adjustRightInd/>
        <w:contextualSpacing w:val="0"/>
        <w:textAlignment w:val="auto"/>
      </w:pPr>
      <w:r>
        <w:t>Investment for energy diversification and savings (Spain)</w:t>
      </w:r>
    </w:p>
    <w:p w14:paraId="423576AE" w14:textId="77777777" w:rsidR="006D3AD5" w:rsidRPr="002C224A" w:rsidRDefault="006D3AD5" w:rsidP="006D3AD5">
      <w:pPr>
        <w:pStyle w:val="Odstavecseseznamem1"/>
        <w:numPr>
          <w:ilvl w:val="0"/>
          <w:numId w:val="43"/>
        </w:numPr>
        <w:overflowPunct/>
        <w:autoSpaceDE/>
        <w:autoSpaceDN/>
        <w:adjustRightInd/>
        <w:contextualSpacing w:val="0"/>
        <w:textAlignment w:val="auto"/>
      </w:pPr>
      <w:r>
        <w:t>EIB Green Initiative (Romania)</w:t>
      </w:r>
    </w:p>
    <w:p w14:paraId="1816B7CC" w14:textId="77777777" w:rsidR="006D3AD5" w:rsidRPr="002C224A" w:rsidRDefault="006D3AD5" w:rsidP="006D3AD5"/>
    <w:p w14:paraId="3A95C4A2" w14:textId="77777777" w:rsidR="006D3AD5" w:rsidRPr="002C224A" w:rsidRDefault="006D3AD5" w:rsidP="006D3AD5">
      <w:pPr>
        <w:pStyle w:val="Nadpis4"/>
        <w:rPr>
          <w:rFonts w:ascii="Calibri" w:hAnsi="Calibri"/>
        </w:rPr>
      </w:pPr>
      <w:r>
        <w:rPr>
          <w:rFonts w:ascii="Calibri" w:hAnsi="Calibri"/>
        </w:rPr>
        <w:t>Application of experience to current circumstances</w:t>
      </w:r>
    </w:p>
    <w:p w14:paraId="1EA5452F" w14:textId="77777777" w:rsidR="006D3AD5" w:rsidRPr="002C224A" w:rsidRDefault="006D3AD5" w:rsidP="006D3AD5">
      <w:r>
        <w:t>Current experience show interest in public support and its effect on increased investment activity in these areas. At the same time they show potential for partial rationalization and usage of returnable financial instruments.</w:t>
      </w:r>
    </w:p>
    <w:p w14:paraId="455BD6BE" w14:textId="77777777" w:rsidR="006D3AD5" w:rsidRPr="002C224A" w:rsidRDefault="006D3AD5" w:rsidP="006D3AD5">
      <w:pPr>
        <w:pStyle w:val="Nadpis3"/>
        <w:rPr>
          <w:rFonts w:ascii="Calibri" w:hAnsi="Calibri"/>
        </w:rPr>
      </w:pPr>
      <w:bookmarkStart w:id="999" w:name="_Toc419183278"/>
      <w:bookmarkStart w:id="1000" w:name="_Toc422312144"/>
      <w:r>
        <w:rPr>
          <w:rFonts w:ascii="Calibri" w:hAnsi="Calibri"/>
        </w:rPr>
        <w:lastRenderedPageBreak/>
        <w:t>Specific objective 4.1</w:t>
      </w:r>
      <w:bookmarkEnd w:id="999"/>
      <w:bookmarkEnd w:id="1000"/>
    </w:p>
    <w:p w14:paraId="6F4A197A" w14:textId="77777777" w:rsidR="006D3AD5" w:rsidRPr="002C224A" w:rsidRDefault="006D3AD5" w:rsidP="006D3AD5">
      <w:pPr>
        <w:pStyle w:val="Nadpis4"/>
        <w:rPr>
          <w:rFonts w:ascii="Calibri" w:hAnsi="Calibri"/>
        </w:rPr>
      </w:pPr>
      <w:r>
        <w:rPr>
          <w:rFonts w:ascii="Calibri" w:hAnsi="Calibri"/>
        </w:rPr>
        <w:t>Conclusions from the implementation of similar instruments in the past</w:t>
      </w:r>
    </w:p>
    <w:p w14:paraId="08C05117" w14:textId="77777777" w:rsidR="006D3AD5" w:rsidRPr="00A50943" w:rsidRDefault="006D3AD5" w:rsidP="006D3AD5"/>
    <w:p w14:paraId="54F384E5" w14:textId="77777777" w:rsidR="006D3AD5" w:rsidRPr="002C224A" w:rsidRDefault="006D3AD5" w:rsidP="006D3AD5">
      <w:r>
        <w:t>NGA networks in CR were supported within the common infrastructure construction stimulation projects - line constructions, confluence with road networks, PPP constructions. The Integrated Operational programme IOP was aimed exclusively at public administration and public service projects and was awarded only in the form of subsidies. The regional operational programme for the support of telecommunications and digital infrastructure functioned exclusively on the NUTS II level. Another supported area within the IROP South-East was the OP 3.3 Development and stabilization of rural settlements. Municipalities of between 500 and 4,999 inhabitants were eligible to fund organizations that could receive subsidies from CZK 2 to 50 million for the construction of the broadband NGA ITC network (up to 85% of eligible costs). Given the fact that the support for the high-speed networks was never supported on the nation-wide scale and was subsidized only on the NUTS II level, no financial instruments were used for this specific objective in the Czech Republic. In CR it would be necessary to function on the technological neutrality concept and not to focus solely on optical cables that are not suitable for all types of areas.</w:t>
      </w:r>
    </w:p>
    <w:p w14:paraId="1D3E1F1C" w14:textId="77777777" w:rsidR="006D3AD5" w:rsidRPr="002C224A" w:rsidRDefault="006D3AD5" w:rsidP="006D3AD5">
      <w:pPr>
        <w:pStyle w:val="Nadpis4"/>
        <w:rPr>
          <w:rFonts w:ascii="Calibri" w:hAnsi="Calibri"/>
        </w:rPr>
      </w:pPr>
      <w:r>
        <w:rPr>
          <w:rFonts w:ascii="Calibri" w:hAnsi="Calibri"/>
        </w:rPr>
        <w:t>Overview of foreign experience with similar financial instruments</w:t>
      </w:r>
    </w:p>
    <w:p w14:paraId="733C2772" w14:textId="77777777" w:rsidR="006D3AD5" w:rsidRPr="00A50943" w:rsidRDefault="006D3AD5" w:rsidP="006D3AD5"/>
    <w:tbl>
      <w:tblPr>
        <w:tblpPr w:leftFromText="141" w:rightFromText="141" w:vertAnchor="text" w:tblpY="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6852"/>
      </w:tblGrid>
      <w:tr w:rsidR="006D3AD5" w:rsidRPr="002C224A" w14:paraId="553D93DE" w14:textId="77777777" w:rsidTr="00443B8F">
        <w:trPr>
          <w:trHeight w:val="501"/>
        </w:trPr>
        <w:tc>
          <w:tcPr>
            <w:tcW w:w="2015" w:type="dxa"/>
            <w:shd w:val="clear" w:color="auto" w:fill="4472C4"/>
            <w:noWrap/>
            <w:vAlign w:val="center"/>
          </w:tcPr>
          <w:p w14:paraId="65C23C0B" w14:textId="77777777" w:rsidR="006D3AD5" w:rsidRPr="002C224A" w:rsidRDefault="006D3AD5" w:rsidP="00443B8F">
            <w:pPr>
              <w:jc w:val="center"/>
              <w:rPr>
                <w:b/>
                <w:color w:val="FFFFFF"/>
              </w:rPr>
            </w:pPr>
            <w:r>
              <w:rPr>
                <w:b/>
                <w:color w:val="FFFFFF"/>
              </w:rPr>
              <w:t>Germany (Bavaria)</w:t>
            </w:r>
          </w:p>
        </w:tc>
        <w:tc>
          <w:tcPr>
            <w:tcW w:w="6852" w:type="dxa"/>
            <w:noWrap/>
          </w:tcPr>
          <w:p w14:paraId="6786671B" w14:textId="77777777" w:rsidR="006D3AD5" w:rsidRDefault="006D3AD5" w:rsidP="00443B8F">
            <w:pPr>
              <w:spacing w:before="90" w:after="90"/>
              <w:ind w:right="120"/>
            </w:pPr>
            <w:r>
              <w:t>In the last years massive support for high-speed internet networks development is taking place in Germany. An example of an instrument similar to the SO 4.1 is the support scheme in Bavaria notified by the EC in 2012.</w:t>
            </w:r>
          </w:p>
          <w:p w14:paraId="2A2E7357" w14:textId="77777777" w:rsidR="006D3AD5" w:rsidRDefault="006D3AD5" w:rsidP="00443B8F"/>
          <w:p w14:paraId="530BA619" w14:textId="77777777" w:rsidR="006D3AD5" w:rsidRDefault="006D3AD5" w:rsidP="00443B8F">
            <w:r>
              <w:t xml:space="preserve">The support in Bavaria is aimed at building the NGA network in undeveloped rural areas to maintain competitiveness of local companies in places where economical conditions do not allow for market investments. The condition for the award of subsidy is the fact that no investment is planned in the area for the next 3 years.  </w:t>
            </w:r>
          </w:p>
          <w:p w14:paraId="00EFF097" w14:textId="77777777" w:rsidR="006D3AD5" w:rsidRDefault="006D3AD5" w:rsidP="00443B8F"/>
          <w:p w14:paraId="0FED8CBA" w14:textId="77777777" w:rsidR="006D3AD5" w:rsidRDefault="006D3AD5" w:rsidP="00443B8F">
            <w:r>
              <w:t>Municipalities can award subsidies to selected operators for the construction and operation of the NGA infrastructure. From the budget of the free state financial funds of up to 80% of cost gap can be provided. The limit is set at EUR 500,000 per municipality. The requirement is to ensure non-discriminatory access to network to all operators as per market conditions.</w:t>
            </w:r>
          </w:p>
          <w:p w14:paraId="273C7412" w14:textId="77777777" w:rsidR="006D3AD5" w:rsidRPr="002C224A" w:rsidRDefault="006D3AD5" w:rsidP="00443B8F"/>
        </w:tc>
      </w:tr>
      <w:tr w:rsidR="006D3AD5" w:rsidRPr="002C224A" w14:paraId="7731D067" w14:textId="77777777" w:rsidTr="00443B8F">
        <w:trPr>
          <w:trHeight w:val="1309"/>
        </w:trPr>
        <w:tc>
          <w:tcPr>
            <w:tcW w:w="2015" w:type="dxa"/>
            <w:shd w:val="clear" w:color="auto" w:fill="4472C4"/>
            <w:noWrap/>
            <w:vAlign w:val="center"/>
          </w:tcPr>
          <w:p w14:paraId="365E8C1F" w14:textId="77777777" w:rsidR="006D3AD5" w:rsidRPr="0066751D" w:rsidRDefault="006D3AD5" w:rsidP="00443B8F">
            <w:pPr>
              <w:jc w:val="center"/>
              <w:rPr>
                <w:b/>
                <w:color w:val="FFFFFF"/>
              </w:rPr>
            </w:pPr>
            <w:r>
              <w:rPr>
                <w:b/>
                <w:color w:val="FFFFFF"/>
              </w:rPr>
              <w:t>France</w:t>
            </w:r>
          </w:p>
        </w:tc>
        <w:tc>
          <w:tcPr>
            <w:tcW w:w="6852" w:type="dxa"/>
            <w:noWrap/>
          </w:tcPr>
          <w:p w14:paraId="64324299" w14:textId="77777777" w:rsidR="006D3AD5" w:rsidRPr="0066751D" w:rsidRDefault="006D3AD5" w:rsidP="00443B8F">
            <w:r>
              <w:t xml:space="preserve">In France the government financial institution of Caisse des Dépôts provided soft loans to local authorities (municipalities) to increase access to broadband. The loans were primarily used for financing the backbone nodes connecting the local network with national backbone network. This led to increased competition on public networks. In the half of 2012 there were 6,257 connections made so up to 85% existing networks were interconnected. France is an example of a successful development of broadband internet access and is a suitable inspiration for cases where municipalities in the vicinity of grey areas could be connected to the backbone network.  </w:t>
            </w:r>
          </w:p>
        </w:tc>
      </w:tr>
      <w:tr w:rsidR="006D3AD5" w:rsidRPr="002C224A" w14:paraId="18EACB02" w14:textId="77777777" w:rsidTr="00443B8F">
        <w:trPr>
          <w:trHeight w:val="1309"/>
        </w:trPr>
        <w:tc>
          <w:tcPr>
            <w:tcW w:w="2015" w:type="dxa"/>
            <w:shd w:val="clear" w:color="auto" w:fill="4472C4"/>
            <w:noWrap/>
            <w:vAlign w:val="center"/>
          </w:tcPr>
          <w:p w14:paraId="4D15040A" w14:textId="77777777" w:rsidR="006D3AD5" w:rsidRPr="002C224A" w:rsidRDefault="006D3AD5" w:rsidP="00443B8F">
            <w:pPr>
              <w:jc w:val="center"/>
              <w:rPr>
                <w:b/>
                <w:color w:val="FFFFFF"/>
              </w:rPr>
            </w:pPr>
            <w:r>
              <w:rPr>
                <w:b/>
                <w:color w:val="FFFFFF"/>
              </w:rPr>
              <w:lastRenderedPageBreak/>
              <w:t>Ireland</w:t>
            </w:r>
          </w:p>
        </w:tc>
        <w:tc>
          <w:tcPr>
            <w:tcW w:w="6852" w:type="dxa"/>
            <w:noWrap/>
          </w:tcPr>
          <w:p w14:paraId="3A48E0F4" w14:textId="77777777" w:rsidR="006D3AD5" w:rsidRPr="002C224A" w:rsidRDefault="006D3AD5" w:rsidP="00443B8F">
            <w:r>
              <w:t xml:space="preserve">In Ireland the MAN project was launched in 2004. It is an example of building network infrastructure by using the </w:t>
            </w:r>
            <w:r>
              <w:rPr>
                <w:b/>
              </w:rPr>
              <w:t>PPP concession outsourcing model</w:t>
            </w:r>
            <w:r>
              <w:t>. The state awarded the concession to a selected company for the construction and operation of a network for 15 years on the profit division basis. Investment costs for the passive network were funded from public sources and the network remained fully in the public ownership. Private investments then went into active elements and further extension of the passive infrastructure. In total EUR 170 million were invested from public sources. The goal of this model is to combine state funds with private expertise in building an infrastructure accessible for wholesale prices to other internet operators who could not enter the local network market due to high infrastructure costs.</w:t>
            </w:r>
          </w:p>
        </w:tc>
      </w:tr>
      <w:tr w:rsidR="006D3AD5" w:rsidRPr="002C224A" w14:paraId="32C114B4" w14:textId="77777777" w:rsidTr="00443B8F">
        <w:trPr>
          <w:trHeight w:val="1309"/>
        </w:trPr>
        <w:tc>
          <w:tcPr>
            <w:tcW w:w="2015" w:type="dxa"/>
            <w:shd w:val="clear" w:color="auto" w:fill="4472C4"/>
            <w:noWrap/>
            <w:vAlign w:val="center"/>
          </w:tcPr>
          <w:p w14:paraId="027AC174" w14:textId="77777777" w:rsidR="006D3AD5" w:rsidRPr="002C224A" w:rsidRDefault="006D3AD5" w:rsidP="00443B8F">
            <w:pPr>
              <w:jc w:val="center"/>
              <w:rPr>
                <w:b/>
                <w:color w:val="FFFFFF"/>
              </w:rPr>
            </w:pPr>
            <w:r>
              <w:rPr>
                <w:b/>
                <w:color w:val="FFFFFF"/>
              </w:rPr>
              <w:t>Italy</w:t>
            </w:r>
          </w:p>
        </w:tc>
        <w:tc>
          <w:tcPr>
            <w:tcW w:w="6852" w:type="dxa"/>
            <w:noWrap/>
          </w:tcPr>
          <w:p w14:paraId="3A5C3BAF" w14:textId="77777777" w:rsidR="006D3AD5" w:rsidRDefault="006D3AD5" w:rsidP="00443B8F"/>
          <w:p w14:paraId="7F6A796C" w14:textId="77777777" w:rsidR="006D3AD5" w:rsidRPr="002C224A" w:rsidRDefault="006D3AD5" w:rsidP="00443B8F">
            <w:r>
              <w:t xml:space="preserve">An example of joint venture PPP model type is the Metroweb project. Within this project EUR 400 million were invested into the optical network in the Milan region. The Joint Venture model presents combined private and public ownership in a SPV for construction and operation of a network infrastructure. It enables the public subject to finance in the most part the initial project investment costs with subsequent buyout of the capital equity by private companies. The advantage is the provision of private expertise during and public support and control in the critical initial phase of the project. </w:t>
            </w:r>
          </w:p>
        </w:tc>
      </w:tr>
    </w:tbl>
    <w:p w14:paraId="3CFF34A7" w14:textId="13ADD12B" w:rsidR="00FE27E9" w:rsidRPr="002C224A" w:rsidRDefault="00FE27E9" w:rsidP="00FE27E9">
      <w:pPr>
        <w:pStyle w:val="Titulek"/>
      </w:pPr>
      <w:r>
        <w:t>Table 9</w:t>
      </w:r>
      <w:r w:rsidR="00B90ACD">
        <w:t>5</w:t>
      </w:r>
      <w:r>
        <w:t>: Examples of Foreign Experience with support of NGA</w:t>
      </w:r>
    </w:p>
    <w:p w14:paraId="34440998" w14:textId="77777777" w:rsidR="006D3AD5" w:rsidRPr="002C224A" w:rsidRDefault="006D3AD5" w:rsidP="006D3AD5"/>
    <w:p w14:paraId="3130DBA5" w14:textId="77777777" w:rsidR="006D3AD5" w:rsidRPr="002C224A" w:rsidRDefault="006D3AD5" w:rsidP="006D3AD5">
      <w:pPr>
        <w:pStyle w:val="Nadpis4"/>
        <w:rPr>
          <w:rFonts w:ascii="Calibri" w:hAnsi="Calibri"/>
        </w:rPr>
      </w:pPr>
      <w:r>
        <w:rPr>
          <w:rFonts w:ascii="Calibri" w:hAnsi="Calibri"/>
        </w:rPr>
        <w:t>Application of experience to current circumstances</w:t>
      </w:r>
    </w:p>
    <w:p w14:paraId="3A671119" w14:textId="77777777" w:rsidR="006D3AD5" w:rsidRDefault="006D3AD5" w:rsidP="006D3AD5">
      <w:r>
        <w:t>Experience from abroad show several possible NGA networks development support models which are dependent on defined goals and economical conditions of projects. In case of covering so called white spaces the subsidy model is used similarly in the SO 4.1 which also includes individual municipalities in Germany. The PPP models can present an alternative which should not be focused on white spaces with substantial cost gap in case of a direct involvement of private sector (not only outsourcing).</w:t>
      </w:r>
    </w:p>
    <w:p w14:paraId="1F07C2DA" w14:textId="77777777" w:rsidR="006D3AD5" w:rsidRPr="002C224A" w:rsidRDefault="006D3AD5" w:rsidP="006D3AD5">
      <w:r>
        <w:br w:type="page"/>
      </w:r>
    </w:p>
    <w:p w14:paraId="07CAE5B6" w14:textId="77777777" w:rsidR="006D3AD5" w:rsidRPr="002C224A" w:rsidRDefault="006D3AD5" w:rsidP="006D3AD5">
      <w:pPr>
        <w:pStyle w:val="Nadpis2"/>
        <w:rPr>
          <w:rFonts w:ascii="Calibri" w:hAnsi="Calibri"/>
        </w:rPr>
      </w:pPr>
      <w:bookmarkStart w:id="1001" w:name="_Toc417544659"/>
      <w:bookmarkStart w:id="1002" w:name="_Toc417544660"/>
      <w:bookmarkStart w:id="1003" w:name="_Toc417544661"/>
      <w:bookmarkStart w:id="1004" w:name="_Toc419183279"/>
      <w:bookmarkStart w:id="1005" w:name="_Toc422312145"/>
      <w:bookmarkEnd w:id="1001"/>
      <w:bookmarkEnd w:id="1002"/>
      <w:bookmarkEnd w:id="1003"/>
      <w:r>
        <w:rPr>
          <w:rFonts w:ascii="Calibri" w:hAnsi="Calibri"/>
        </w:rPr>
        <w:lastRenderedPageBreak/>
        <w:t>Proposed investment strategy and expected results</w:t>
      </w:r>
      <w:bookmarkEnd w:id="1004"/>
      <w:bookmarkEnd w:id="1005"/>
    </w:p>
    <w:p w14:paraId="0DDB39A8" w14:textId="77777777" w:rsidR="006D3AD5" w:rsidRPr="002C224A" w:rsidRDefault="006D3AD5" w:rsidP="006D3AD5">
      <w:pPr>
        <w:pStyle w:val="Nadpis3"/>
        <w:rPr>
          <w:rFonts w:ascii="Calibri" w:hAnsi="Calibri"/>
        </w:rPr>
      </w:pPr>
      <w:bookmarkStart w:id="1006" w:name="_Toc419183280"/>
      <w:bookmarkStart w:id="1007" w:name="_Toc422312146"/>
      <w:r>
        <w:rPr>
          <w:rFonts w:ascii="Calibri" w:hAnsi="Calibri"/>
        </w:rPr>
        <w:t>Specific objective 1.1</w:t>
      </w:r>
      <w:bookmarkEnd w:id="1006"/>
      <w:bookmarkEnd w:id="1007"/>
    </w:p>
    <w:p w14:paraId="2E3FA0E6" w14:textId="77777777" w:rsidR="006D3AD5" w:rsidRPr="002C224A" w:rsidRDefault="006D3AD5" w:rsidP="006D3AD5">
      <w:pPr>
        <w:pStyle w:val="Nadpis4"/>
        <w:rPr>
          <w:rFonts w:ascii="Calibri" w:hAnsi="Calibri"/>
        </w:rPr>
      </w:pPr>
      <w:r>
        <w:rPr>
          <w:rFonts w:ascii="Calibri" w:hAnsi="Calibri"/>
        </w:rPr>
        <w:t>Forms of financial instruments and allocation amount</w:t>
      </w:r>
    </w:p>
    <w:p w14:paraId="5A0C5A3D" w14:textId="77777777" w:rsidR="006D3AD5" w:rsidRPr="00A50943" w:rsidRDefault="006D3AD5" w:rsidP="006D3AD5"/>
    <w:p w14:paraId="26EEC954" w14:textId="77777777" w:rsidR="006D3AD5" w:rsidRPr="002C224A" w:rsidRDefault="006D3AD5" w:rsidP="006D3AD5">
      <w:r>
        <w:t xml:space="preserve">Based on the analysis made during the Block I we identify a partial potential for using financial instruments within the OP EIC programme. </w:t>
      </w:r>
      <w:r>
        <w:rPr>
          <w:b/>
        </w:rPr>
        <w:t>The guarantee financial instrument</w:t>
      </w:r>
      <w:r>
        <w:t xml:space="preserve"> seems to be the most suitable one when evaluating an added value besides the subsidy.</w:t>
      </w:r>
    </w:p>
    <w:p w14:paraId="31AE55F6" w14:textId="77777777" w:rsidR="006D3AD5" w:rsidRPr="002C224A" w:rsidRDefault="006D3AD5" w:rsidP="006D3AD5"/>
    <w:p w14:paraId="08248BEC" w14:textId="77777777" w:rsidR="006D3AD5" w:rsidRPr="002C224A" w:rsidRDefault="006D3AD5" w:rsidP="006D3AD5">
      <w:r>
        <w:t>The results of industrial innovations of the business sector have huge but uncertain potential. The risks and costs are considered to be the biggest barrier for realization of viable projects. This could be partially balanced by subsequent above average profitability and huge boost for the competitiveness of the company on the market. On the other hand, companies have harder access to external sources of financing due to risks.</w:t>
      </w:r>
    </w:p>
    <w:p w14:paraId="7D189022" w14:textId="77777777" w:rsidR="006D3AD5" w:rsidRPr="002C224A" w:rsidRDefault="006D3AD5" w:rsidP="006D3AD5"/>
    <w:p w14:paraId="325E596B" w14:textId="5DE12D53" w:rsidR="006D3AD5" w:rsidRPr="002C224A" w:rsidRDefault="006D3AD5" w:rsidP="006D3AD5">
      <w:pPr>
        <w:rPr>
          <w:b/>
        </w:rPr>
      </w:pPr>
      <w:r>
        <w:t xml:space="preserve">It is possible to expect a significant excess demand for call for proposals that occurred last time. Given the huge spectrum, different characteristics and profitability of target innovations within the SO 1.1 </w:t>
      </w:r>
      <w:r>
        <w:rPr>
          <w:b/>
        </w:rPr>
        <w:t>we do not think that it is effective to support all projects in this sector in the form of subsidies</w:t>
      </w:r>
      <w:r>
        <w:t xml:space="preserve">. Part of projects can be realized by the market itself without significant support for their costs. The access to external financing is a problem. Banks are not willing to finance innovation projects without sufficient securities which is </w:t>
      </w:r>
      <w:r>
        <w:rPr>
          <w:b/>
        </w:rPr>
        <w:t>a barrier mainly for small and medium-sized enterprises</w:t>
      </w:r>
      <w:r>
        <w:t xml:space="preserve">. The risk on the </w:t>
      </w:r>
      <w:r w:rsidR="0042403A">
        <w:t>SME</w:t>
      </w:r>
      <w:r>
        <w:t xml:space="preserve">s, uncertain results of innovative projects and their longer-term returns are according to our analysis the main factors for difficult access to external sources of financing for some projects. </w:t>
      </w:r>
      <w:r>
        <w:rPr>
          <w:b/>
        </w:rPr>
        <w:t>These problems can be overcome with a suitable guarantee instrument.</w:t>
      </w:r>
    </w:p>
    <w:p w14:paraId="68993B74" w14:textId="77777777" w:rsidR="006D3AD5" w:rsidRPr="002C224A" w:rsidRDefault="006D3AD5" w:rsidP="006D3AD5"/>
    <w:p w14:paraId="598ACC52" w14:textId="77777777" w:rsidR="006D3AD5" w:rsidRPr="002C224A" w:rsidRDefault="006D3AD5" w:rsidP="006D3AD5">
      <w:r>
        <w:t>The guarantee type FI was selected because it suitably supplements the subsidy support and fulfils the role of a public involvement in a problematic market segment. It simplifies access to external financing for innovations because it lowers their risk levels and therefore activates private equity. Significant leverage enables to support many more projects in the target segment that would be possible by the subsidy support itself.</w:t>
      </w:r>
    </w:p>
    <w:p w14:paraId="3CCD574E" w14:textId="77777777" w:rsidR="006D3AD5" w:rsidRPr="002C224A" w:rsidRDefault="006D3AD5" w:rsidP="006D3AD5">
      <w:pPr>
        <w:rPr>
          <w:b/>
        </w:rPr>
      </w:pPr>
    </w:p>
    <w:p w14:paraId="2C9B2C4B" w14:textId="77777777" w:rsidR="006D3AD5" w:rsidRPr="002C224A" w:rsidRDefault="006D3AD5" w:rsidP="006D3AD5">
      <w:r>
        <w:rPr>
          <w:b/>
        </w:rPr>
        <w:t xml:space="preserve">Bank loan guarantees </w:t>
      </w:r>
      <w:r>
        <w:t>will be awarded from the OP EIC fund by a selected implementing subject (recipient). The requirement will be the eligibility of the project and presentation of a credit agreement with the commercial bank (guarantee award will be conditioned by the validity of this agreement).</w:t>
      </w:r>
    </w:p>
    <w:p w14:paraId="57FF14BB" w14:textId="77777777" w:rsidR="006D3AD5" w:rsidRPr="002C224A" w:rsidRDefault="006D3AD5" w:rsidP="006D3AD5"/>
    <w:p w14:paraId="6FCB41D1" w14:textId="77777777" w:rsidR="006D3AD5" w:rsidRPr="002C224A" w:rsidRDefault="006D3AD5" w:rsidP="006D3AD5">
      <w:r>
        <w:t xml:space="preserve">The guarantee instrument will be focused on a </w:t>
      </w:r>
      <w:r>
        <w:rPr>
          <w:b/>
        </w:rPr>
        <w:t>very risky project portfolio</w:t>
      </w:r>
      <w:r>
        <w:t xml:space="preserve">. Guarantees will be awarded for </w:t>
      </w:r>
      <w:r>
        <w:rPr>
          <w:b/>
        </w:rPr>
        <w:t>80% of the credit principal at maximum</w:t>
      </w:r>
      <w:r>
        <w:t xml:space="preserve">. The FI should reimburse loses of up to 15-25% of the guarantee fund project portfolio. Given the expected lower volume of projects with higher average principal in comparison with the SO 2.1 the FI can be realized primarily as an </w:t>
      </w:r>
      <w:r>
        <w:rPr>
          <w:b/>
        </w:rPr>
        <w:t>individual guarantee</w:t>
      </w:r>
      <w:r>
        <w:t>.</w:t>
      </w:r>
    </w:p>
    <w:p w14:paraId="63A8E0BD" w14:textId="77777777" w:rsidR="006D3AD5" w:rsidRPr="002C224A" w:rsidRDefault="006D3AD5" w:rsidP="006D3AD5"/>
    <w:p w14:paraId="60C2AF90" w14:textId="77777777" w:rsidR="006D3AD5" w:rsidRPr="002C224A" w:rsidRDefault="006D3AD5" w:rsidP="006D3AD5">
      <w:r>
        <w:t>As a motivation element we propose extending the bank guarantee instrument with a subsidy for interest costs conditioned by a successful project completion and proper loan repayment. This could partially lower the risk for delinquency and subsequent guarantee reimbursement and recovery of debts.</w:t>
      </w:r>
    </w:p>
    <w:p w14:paraId="27D61FA6" w14:textId="77777777" w:rsidR="006D3AD5" w:rsidRPr="002C224A" w:rsidRDefault="006D3AD5" w:rsidP="006D3AD5"/>
    <w:p w14:paraId="5C88F234" w14:textId="77777777" w:rsidR="006D3AD5" w:rsidRPr="002C224A" w:rsidRDefault="006D3AD5" w:rsidP="006D3AD5">
      <w:r>
        <w:t>The credit administration will fully remain in the management of the credit institution the FI will provide the guarantee for and with whom the applicant entered into the contract relationship. Full engagement of the bank is desirable. In case of credits of this type the bank becomes a long-term partner of the client.</w:t>
      </w:r>
    </w:p>
    <w:p w14:paraId="0CC09900" w14:textId="77777777" w:rsidR="006D3AD5" w:rsidRPr="002C224A" w:rsidRDefault="006D3AD5" w:rsidP="006D3AD5"/>
    <w:p w14:paraId="53BA3BE3" w14:textId="3E48B8E6" w:rsidR="006D3AD5" w:rsidRPr="002C224A" w:rsidRDefault="006D3AD5" w:rsidP="006D3AD5">
      <w:r>
        <w:lastRenderedPageBreak/>
        <w:t xml:space="preserve">The main benefit of the guarantee instrument is its simplicity for the applicant which is very important especially for </w:t>
      </w:r>
      <w:r w:rsidR="0042403A">
        <w:t>SME</w:t>
      </w:r>
      <w:r>
        <w:t>s with insufficient personal capacities. Given this fact we consider the existence of the FI even beside the calls for proposals which should focus on a different project segment. Nevertheless the mutual delimitation of calls for proposals should be solved during the implementation by specific conditions of individual calls for proposals.</w:t>
      </w:r>
    </w:p>
    <w:p w14:paraId="2A9857B8" w14:textId="77777777" w:rsidR="006D3AD5" w:rsidRPr="002C224A" w:rsidRDefault="006D3AD5" w:rsidP="006D3AD5"/>
    <w:p w14:paraId="316A0908" w14:textId="77777777" w:rsidR="006D3AD5" w:rsidRPr="002C224A" w:rsidRDefault="006D3AD5" w:rsidP="006D3AD5">
      <w:r>
        <w:t>Given the higher cost of many projects and uncertain return and generally lower motivational effect of guarantees on the enterprise innovative policy we consider maintaining the subsidy support in this objective desirable.</w:t>
      </w:r>
    </w:p>
    <w:p w14:paraId="4BE953EB" w14:textId="77777777" w:rsidR="006D3AD5" w:rsidRPr="002C224A" w:rsidRDefault="006D3AD5" w:rsidP="006D3AD5"/>
    <w:p w14:paraId="51453A4F" w14:textId="77777777" w:rsidR="006D3AD5" w:rsidRPr="002C224A" w:rsidRDefault="006D3AD5" w:rsidP="006D3AD5">
      <w:pPr>
        <w:rPr>
          <w:b/>
        </w:rPr>
      </w:pPr>
      <w:r>
        <w:rPr>
          <w:b/>
        </w:rPr>
        <w:t>Allocation</w:t>
      </w:r>
    </w:p>
    <w:p w14:paraId="67DABDAA" w14:textId="77777777" w:rsidR="006D3AD5" w:rsidRPr="002C224A" w:rsidRDefault="006D3AD5" w:rsidP="006D3AD5">
      <w:r>
        <w:t xml:space="preserve">We propose using the guarantee instrument on a significantly smaller part of allocation designated to innovations. In accordance with the general results models the range of </w:t>
      </w:r>
      <w:r>
        <w:rPr>
          <w:b/>
        </w:rPr>
        <w:t>CZK 1,400 - 1,800 million</w:t>
      </w:r>
      <w:r>
        <w:t xml:space="preserve"> could given the leverage serve significant portion of the target group of innovative enterprises and significantly broaden the potential range of innovation support recipients. At the same time it is necessary to validate the absorption capacity which is uncertain given the environment used to subsidies.</w:t>
      </w:r>
    </w:p>
    <w:p w14:paraId="4DAB2236" w14:textId="77777777" w:rsidR="006D3AD5" w:rsidRPr="002C224A" w:rsidRDefault="006D3AD5" w:rsidP="006D3AD5"/>
    <w:p w14:paraId="394C4A55" w14:textId="74A8D85E" w:rsidR="006D3AD5" w:rsidRDefault="003A5C94" w:rsidP="006D3AD5">
      <w:pPr>
        <w:pStyle w:val="Nadpis4"/>
        <w:rPr>
          <w:rFonts w:ascii="Calibri" w:hAnsi="Calibri"/>
        </w:rPr>
      </w:pPr>
      <w:bookmarkStart w:id="1008" w:name="_Toc416447898"/>
      <w:bookmarkStart w:id="1009" w:name="_Toc416383913"/>
      <w:bookmarkStart w:id="1010" w:name="_Toc416447899"/>
      <w:bookmarkStart w:id="1011" w:name="_Toc416383914"/>
      <w:bookmarkStart w:id="1012" w:name="_Toc416447900"/>
      <w:bookmarkStart w:id="1013" w:name="_Toc416383915"/>
      <w:bookmarkStart w:id="1014" w:name="_Toc416447901"/>
      <w:bookmarkStart w:id="1015" w:name="_Toc416383916"/>
      <w:bookmarkStart w:id="1016" w:name="_Toc416447902"/>
      <w:bookmarkStart w:id="1017" w:name="_Toc416383917"/>
      <w:bookmarkStart w:id="1018" w:name="_Toc416447903"/>
      <w:bookmarkStart w:id="1019" w:name="_Toc416383918"/>
      <w:bookmarkStart w:id="1020" w:name="_Toc416447904"/>
      <w:bookmarkStart w:id="1021" w:name="_Toc416383919"/>
      <w:bookmarkStart w:id="1022" w:name="_Toc416447905"/>
      <w:bookmarkStart w:id="1023" w:name="_Toc416383920"/>
      <w:bookmarkStart w:id="1024" w:name="_Toc416447906"/>
      <w:bookmarkStart w:id="1025" w:name="_Toc416383921"/>
      <w:bookmarkStart w:id="1026" w:name="_Toc416447907"/>
      <w:bookmarkStart w:id="1027" w:name="_Toc414464599"/>
      <w:bookmarkStart w:id="1028" w:name="_Toc416800479"/>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7456D1">
        <w:rPr>
          <w:noProof/>
          <w:szCs w:val="22"/>
        </w:rPr>
        <w:drawing>
          <wp:anchor distT="0" distB="0" distL="114300" distR="114300" simplePos="0" relativeHeight="251680256" behindDoc="0" locked="0" layoutInCell="1" allowOverlap="1" wp14:anchorId="405BCEA8" wp14:editId="7B3152EA">
            <wp:simplePos x="0" y="0"/>
            <wp:positionH relativeFrom="margin">
              <wp:align>left</wp:align>
            </wp:positionH>
            <wp:positionV relativeFrom="paragraph">
              <wp:posOffset>464185</wp:posOffset>
            </wp:positionV>
            <wp:extent cx="5651500" cy="3752215"/>
            <wp:effectExtent l="0" t="0" r="0" b="635"/>
            <wp:wrapTopAndBottom/>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1041" b="10556"/>
                    <a:stretch/>
                  </pic:blipFill>
                  <pic:spPr bwMode="auto">
                    <a:xfrm>
                      <a:off x="0" y="0"/>
                      <a:ext cx="5651500" cy="375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AD5">
        <w:rPr>
          <w:rFonts w:ascii="Calibri" w:hAnsi="Calibri"/>
        </w:rPr>
        <w:t>Most suitable implementation possibilities</w:t>
      </w:r>
      <w:bookmarkEnd w:id="1027"/>
      <w:bookmarkEnd w:id="1028"/>
    </w:p>
    <w:p w14:paraId="3ECC7B1E" w14:textId="77777777" w:rsidR="006D3AD5" w:rsidRPr="001D237C" w:rsidRDefault="006D3AD5" w:rsidP="006D3AD5"/>
    <w:p w14:paraId="459BF861" w14:textId="3C9DE3C6" w:rsidR="006D3AD5" w:rsidRPr="002C224A" w:rsidRDefault="006D3AD5" w:rsidP="006D3AD5">
      <w:pPr>
        <w:pStyle w:val="CaptionIntroductionparagraph"/>
        <w:rPr>
          <w:rFonts w:ascii="Calibri" w:hAnsi="Calibri"/>
        </w:rPr>
      </w:pPr>
    </w:p>
    <w:p w14:paraId="0B9469D9" w14:textId="4F7C2676" w:rsidR="006D3AD5" w:rsidRPr="002C224A" w:rsidRDefault="004929D6" w:rsidP="006D3AD5">
      <w:pPr>
        <w:pStyle w:val="Titulek"/>
      </w:pPr>
      <w:r>
        <w:t>Figure 3</w:t>
      </w:r>
      <w:r w:rsidR="00243196">
        <w:t>7</w:t>
      </w:r>
      <w:r w:rsidR="006D3AD5">
        <w:t>: Scheme of the most suitable implementation possibilities</w:t>
      </w:r>
    </w:p>
    <w:p w14:paraId="57AD5DAE" w14:textId="77777777" w:rsidR="006D3AD5" w:rsidRPr="002C224A" w:rsidRDefault="006D3AD5" w:rsidP="006D3AD5">
      <w:pPr>
        <w:pStyle w:val="Nadpis4"/>
        <w:rPr>
          <w:rFonts w:ascii="Calibri" w:hAnsi="Calibri"/>
        </w:rPr>
      </w:pPr>
      <w:bookmarkStart w:id="1029" w:name="_Toc416383923"/>
      <w:bookmarkStart w:id="1030" w:name="_Toc416447909"/>
      <w:bookmarkStart w:id="1031" w:name="_Toc416383924"/>
      <w:bookmarkStart w:id="1032" w:name="_Toc416447910"/>
      <w:bookmarkStart w:id="1033" w:name="_Toc416383925"/>
      <w:bookmarkStart w:id="1034" w:name="_Toc416447911"/>
      <w:bookmarkStart w:id="1035" w:name="_Toc416383926"/>
      <w:bookmarkStart w:id="1036" w:name="_Toc416447912"/>
      <w:bookmarkStart w:id="1037" w:name="_Toc416383927"/>
      <w:bookmarkStart w:id="1038" w:name="_Toc416447913"/>
      <w:bookmarkStart w:id="1039" w:name="_Toc416383928"/>
      <w:bookmarkStart w:id="1040" w:name="_Toc416447914"/>
      <w:bookmarkStart w:id="1041" w:name="_Toc416383929"/>
      <w:bookmarkStart w:id="1042" w:name="_Toc416447915"/>
      <w:bookmarkStart w:id="1043" w:name="_Toc416383930"/>
      <w:bookmarkStart w:id="1044" w:name="_Toc416447916"/>
      <w:bookmarkStart w:id="1045" w:name="_Toc416383931"/>
      <w:bookmarkStart w:id="1046" w:name="_Toc416447917"/>
      <w:bookmarkStart w:id="1047" w:name="_Toc414464600"/>
      <w:bookmarkStart w:id="1048" w:name="_Toc416800480"/>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Pr>
          <w:rFonts w:ascii="Calibri" w:hAnsi="Calibri"/>
        </w:rPr>
        <w:t>Model scenarios of portfolio development, number of investments and the revolving effect</w:t>
      </w:r>
    </w:p>
    <w:bookmarkEnd w:id="1047"/>
    <w:bookmarkEnd w:id="1048"/>
    <w:p w14:paraId="30EFD0BA" w14:textId="77777777" w:rsidR="006D3AD5" w:rsidRPr="002C224A" w:rsidRDefault="006D3AD5" w:rsidP="006D3AD5">
      <w:r>
        <w:t xml:space="preserve">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w:t>
      </w:r>
      <w:r>
        <w:lastRenderedPageBreak/>
        <w:t>respected in general during the FI implementation. Nevertheless they cannot be considered binding given the conditions presented further.</w:t>
      </w:r>
    </w:p>
    <w:p w14:paraId="7B27345A" w14:textId="77777777" w:rsidR="006D3AD5" w:rsidRDefault="006D3AD5" w:rsidP="006D3AD5">
      <w:pPr>
        <w:pStyle w:val="Neslovannadpisy"/>
        <w:rPr>
          <w:color w:val="000000"/>
        </w:rPr>
      </w:pPr>
    </w:p>
    <w:p w14:paraId="2A105729" w14:textId="77777777" w:rsidR="006D3AD5" w:rsidRPr="002C224A" w:rsidRDefault="006D3AD5" w:rsidP="006D3AD5">
      <w:pPr>
        <w:pStyle w:val="Neslovannadpisy"/>
        <w:rPr>
          <w:b w:val="0"/>
        </w:rPr>
      </w:pPr>
      <w:r>
        <w:t>Guarantee instrument</w:t>
      </w:r>
    </w:p>
    <w:p w14:paraId="4FEC7A1D" w14:textId="77777777" w:rsidR="006D3AD5" w:rsidRDefault="006D3AD5" w:rsidP="006D3AD5">
      <w:r>
        <w:t>The multiplication and revolving effect of the guarantee instrument is directly based on the risk and losses management strategy. The model is based on the proposed allocation, parameters defined in the chapter titled "Estimate of further sources and model parameters in accordance with previous OP EI experience". The accompanying subsidy for interest costs is taken into account as well.</w:t>
      </w:r>
    </w:p>
    <w:p w14:paraId="523D772B" w14:textId="77777777" w:rsidR="00396AB4" w:rsidRPr="002C224A" w:rsidRDefault="00396AB4" w:rsidP="006D3AD5"/>
    <w:p w14:paraId="7E06D118" w14:textId="7F5D0E56" w:rsidR="00396AB4" w:rsidRPr="002C224A" w:rsidRDefault="00396AB4" w:rsidP="00396AB4">
      <w:pPr>
        <w:pStyle w:val="Titulek"/>
      </w:pPr>
      <w:r>
        <w:t>Table 9</w:t>
      </w:r>
      <w:r w:rsidR="00B90ACD">
        <w:t>6</w:t>
      </w:r>
      <w:r>
        <w:t>: SO 2.1 guarantees, model parameters</w:t>
      </w:r>
    </w:p>
    <w:tbl>
      <w:tblPr>
        <w:tblW w:w="5560" w:type="dxa"/>
        <w:tblInd w:w="80" w:type="dxa"/>
        <w:tblCellMar>
          <w:left w:w="70" w:type="dxa"/>
          <w:right w:w="70" w:type="dxa"/>
        </w:tblCellMar>
        <w:tblLook w:val="04A0" w:firstRow="1" w:lastRow="0" w:firstColumn="1" w:lastColumn="0" w:noHBand="0" w:noVBand="1"/>
      </w:tblPr>
      <w:tblGrid>
        <w:gridCol w:w="3940"/>
        <w:gridCol w:w="1620"/>
      </w:tblGrid>
      <w:tr w:rsidR="006D3AD5" w:rsidRPr="002C224A" w14:paraId="5AB56F77" w14:textId="77777777" w:rsidTr="00443B8F">
        <w:trPr>
          <w:trHeight w:val="315"/>
        </w:trPr>
        <w:tc>
          <w:tcPr>
            <w:tcW w:w="3940" w:type="dxa"/>
            <w:tcBorders>
              <w:top w:val="single" w:sz="8" w:space="0" w:color="auto"/>
              <w:left w:val="single" w:sz="8" w:space="0" w:color="auto"/>
              <w:bottom w:val="nil"/>
              <w:right w:val="nil"/>
            </w:tcBorders>
            <w:shd w:val="clear" w:color="auto" w:fill="auto"/>
            <w:noWrap/>
            <w:vAlign w:val="bottom"/>
          </w:tcPr>
          <w:p w14:paraId="5B4A7F9F" w14:textId="77777777" w:rsidR="006D3AD5" w:rsidRPr="00A50943" w:rsidRDefault="006D3AD5" w:rsidP="00443B8F">
            <w:pPr>
              <w:overflowPunct/>
              <w:autoSpaceDE/>
              <w:autoSpaceDN/>
              <w:adjustRightInd/>
              <w:jc w:val="left"/>
              <w:textAlignment w:val="auto"/>
              <w:rPr>
                <w:color w:val="000000"/>
                <w:szCs w:val="22"/>
              </w:rPr>
            </w:pPr>
            <w:r>
              <w:rPr>
                <w:color w:val="000000"/>
              </w:rPr>
              <w:t>Allocation (CZK millions)</w:t>
            </w:r>
          </w:p>
        </w:tc>
        <w:tc>
          <w:tcPr>
            <w:tcW w:w="1620" w:type="dxa"/>
            <w:tcBorders>
              <w:top w:val="single" w:sz="8" w:space="0" w:color="auto"/>
              <w:left w:val="single" w:sz="8" w:space="0" w:color="auto"/>
              <w:bottom w:val="nil"/>
              <w:right w:val="single" w:sz="8" w:space="0" w:color="auto"/>
            </w:tcBorders>
            <w:shd w:val="clear" w:color="auto" w:fill="auto"/>
            <w:noWrap/>
            <w:vAlign w:val="bottom"/>
          </w:tcPr>
          <w:p w14:paraId="540EE6B4" w14:textId="68DC4E89" w:rsidR="006D3AD5" w:rsidRPr="002C224A" w:rsidRDefault="006D3AD5" w:rsidP="00B225B7">
            <w:pPr>
              <w:overflowPunct/>
              <w:autoSpaceDE/>
              <w:autoSpaceDN/>
              <w:adjustRightInd/>
              <w:jc w:val="right"/>
              <w:textAlignment w:val="auto"/>
              <w:rPr>
                <w:color w:val="000000"/>
                <w:szCs w:val="22"/>
              </w:rPr>
            </w:pPr>
            <w:r>
              <w:rPr>
                <w:color w:val="000000"/>
              </w:rPr>
              <w:t>1,400</w:t>
            </w:r>
          </w:p>
        </w:tc>
      </w:tr>
      <w:tr w:rsidR="006D3AD5" w:rsidRPr="002C224A" w14:paraId="29F2C05B" w14:textId="77777777" w:rsidTr="00443B8F">
        <w:trPr>
          <w:trHeight w:val="345"/>
        </w:trPr>
        <w:tc>
          <w:tcPr>
            <w:tcW w:w="3940" w:type="dxa"/>
            <w:tcBorders>
              <w:top w:val="nil"/>
              <w:left w:val="single" w:sz="8" w:space="0" w:color="auto"/>
              <w:bottom w:val="nil"/>
              <w:right w:val="nil"/>
            </w:tcBorders>
            <w:shd w:val="clear" w:color="auto" w:fill="auto"/>
            <w:noWrap/>
            <w:vAlign w:val="bottom"/>
          </w:tcPr>
          <w:p w14:paraId="7D820D88" w14:textId="77777777" w:rsidR="006D3AD5" w:rsidRPr="002C224A" w:rsidRDefault="006D3AD5" w:rsidP="00443B8F">
            <w:pPr>
              <w:overflowPunct/>
              <w:autoSpaceDE/>
              <w:autoSpaceDN/>
              <w:adjustRightInd/>
              <w:jc w:val="left"/>
              <w:textAlignment w:val="auto"/>
              <w:rPr>
                <w:color w:val="000000"/>
                <w:szCs w:val="22"/>
              </w:rPr>
            </w:pPr>
            <w:r>
              <w:rPr>
                <w:color w:val="000000"/>
              </w:rPr>
              <w:t>Loss reimbursement</w:t>
            </w:r>
          </w:p>
        </w:tc>
        <w:tc>
          <w:tcPr>
            <w:tcW w:w="1620" w:type="dxa"/>
            <w:tcBorders>
              <w:top w:val="nil"/>
              <w:left w:val="single" w:sz="8" w:space="0" w:color="auto"/>
              <w:bottom w:val="nil"/>
              <w:right w:val="single" w:sz="8" w:space="0" w:color="auto"/>
            </w:tcBorders>
            <w:shd w:val="clear" w:color="auto" w:fill="auto"/>
            <w:noWrap/>
            <w:vAlign w:val="bottom"/>
          </w:tcPr>
          <w:p w14:paraId="014E0A6E" w14:textId="77777777" w:rsidR="006D3AD5" w:rsidRPr="002C224A" w:rsidRDefault="006D3AD5" w:rsidP="00443B8F">
            <w:pPr>
              <w:overflowPunct/>
              <w:autoSpaceDE/>
              <w:autoSpaceDN/>
              <w:adjustRightInd/>
              <w:jc w:val="right"/>
              <w:textAlignment w:val="auto"/>
              <w:rPr>
                <w:color w:val="000000"/>
                <w:szCs w:val="22"/>
              </w:rPr>
            </w:pPr>
            <w:r>
              <w:rPr>
                <w:color w:val="000000"/>
              </w:rPr>
              <w:t>25%</w:t>
            </w:r>
          </w:p>
        </w:tc>
      </w:tr>
      <w:tr w:rsidR="006D3AD5" w:rsidRPr="002C224A" w14:paraId="4C9CA0BE" w14:textId="77777777" w:rsidTr="00443B8F">
        <w:trPr>
          <w:trHeight w:val="315"/>
        </w:trPr>
        <w:tc>
          <w:tcPr>
            <w:tcW w:w="3940" w:type="dxa"/>
            <w:tcBorders>
              <w:top w:val="nil"/>
              <w:left w:val="single" w:sz="8" w:space="0" w:color="auto"/>
              <w:bottom w:val="nil"/>
              <w:right w:val="nil"/>
            </w:tcBorders>
            <w:shd w:val="clear" w:color="auto" w:fill="auto"/>
            <w:noWrap/>
            <w:vAlign w:val="bottom"/>
          </w:tcPr>
          <w:p w14:paraId="60CA24D8" w14:textId="77777777" w:rsidR="006D3AD5" w:rsidRPr="00A50943" w:rsidRDefault="006D3AD5" w:rsidP="00443B8F">
            <w:pPr>
              <w:overflowPunct/>
              <w:autoSpaceDE/>
              <w:autoSpaceDN/>
              <w:adjustRightInd/>
              <w:jc w:val="left"/>
              <w:textAlignment w:val="auto"/>
              <w:rPr>
                <w:color w:val="000000"/>
                <w:szCs w:val="22"/>
              </w:rPr>
            </w:pPr>
            <w:r>
              <w:rPr>
                <w:color w:val="000000"/>
              </w:rPr>
              <w:t>Ratio of reimbursed fees for allocation</w:t>
            </w:r>
          </w:p>
        </w:tc>
        <w:tc>
          <w:tcPr>
            <w:tcW w:w="1620" w:type="dxa"/>
            <w:tcBorders>
              <w:top w:val="nil"/>
              <w:left w:val="single" w:sz="8" w:space="0" w:color="auto"/>
              <w:bottom w:val="nil"/>
              <w:right w:val="single" w:sz="8" w:space="0" w:color="auto"/>
            </w:tcBorders>
            <w:shd w:val="clear" w:color="auto" w:fill="auto"/>
            <w:noWrap/>
            <w:vAlign w:val="bottom"/>
          </w:tcPr>
          <w:p w14:paraId="45F46A3E" w14:textId="77777777" w:rsidR="006D3AD5" w:rsidRPr="002C224A" w:rsidRDefault="006D3AD5" w:rsidP="00443B8F">
            <w:pPr>
              <w:overflowPunct/>
              <w:autoSpaceDE/>
              <w:autoSpaceDN/>
              <w:adjustRightInd/>
              <w:jc w:val="right"/>
              <w:textAlignment w:val="auto"/>
              <w:rPr>
                <w:color w:val="000000"/>
                <w:szCs w:val="22"/>
              </w:rPr>
            </w:pPr>
            <w:r>
              <w:rPr>
                <w:color w:val="000000"/>
              </w:rPr>
              <w:t>8%</w:t>
            </w:r>
          </w:p>
        </w:tc>
      </w:tr>
      <w:tr w:rsidR="006D3AD5" w:rsidRPr="002C224A" w14:paraId="3A80A436" w14:textId="77777777" w:rsidTr="00443B8F">
        <w:trPr>
          <w:trHeight w:val="315"/>
        </w:trPr>
        <w:tc>
          <w:tcPr>
            <w:tcW w:w="3940" w:type="dxa"/>
            <w:tcBorders>
              <w:top w:val="nil"/>
              <w:left w:val="single" w:sz="8" w:space="0" w:color="auto"/>
              <w:bottom w:val="nil"/>
              <w:right w:val="nil"/>
            </w:tcBorders>
            <w:shd w:val="clear" w:color="auto" w:fill="auto"/>
            <w:noWrap/>
            <w:vAlign w:val="bottom"/>
          </w:tcPr>
          <w:p w14:paraId="2FCF7928" w14:textId="0A5DB37A" w:rsidR="006D3AD5" w:rsidRPr="00A50943" w:rsidRDefault="006D3AD5" w:rsidP="00443B8F">
            <w:pPr>
              <w:overflowPunct/>
              <w:autoSpaceDE/>
              <w:autoSpaceDN/>
              <w:adjustRightInd/>
              <w:jc w:val="left"/>
              <w:textAlignment w:val="auto"/>
              <w:rPr>
                <w:color w:val="000000"/>
                <w:szCs w:val="22"/>
              </w:rPr>
            </w:pPr>
            <w:r>
              <w:rPr>
                <w:color w:val="000000"/>
              </w:rPr>
              <w:t xml:space="preserve">Ratio of own sources of the </w:t>
            </w:r>
            <w:r w:rsidR="00CF3F95">
              <w:rPr>
                <w:color w:val="000000"/>
              </w:rPr>
              <w:t>final recipient</w:t>
            </w:r>
          </w:p>
        </w:tc>
        <w:tc>
          <w:tcPr>
            <w:tcW w:w="1620" w:type="dxa"/>
            <w:tcBorders>
              <w:top w:val="nil"/>
              <w:left w:val="single" w:sz="8" w:space="0" w:color="auto"/>
              <w:bottom w:val="nil"/>
              <w:right w:val="single" w:sz="8" w:space="0" w:color="auto"/>
            </w:tcBorders>
            <w:shd w:val="clear" w:color="auto" w:fill="auto"/>
            <w:noWrap/>
            <w:vAlign w:val="bottom"/>
          </w:tcPr>
          <w:p w14:paraId="4567CF18" w14:textId="77777777" w:rsidR="006D3AD5" w:rsidRPr="002C224A" w:rsidRDefault="006D3AD5" w:rsidP="00443B8F">
            <w:pPr>
              <w:overflowPunct/>
              <w:autoSpaceDE/>
              <w:autoSpaceDN/>
              <w:adjustRightInd/>
              <w:jc w:val="right"/>
              <w:textAlignment w:val="auto"/>
              <w:rPr>
                <w:color w:val="000000"/>
                <w:szCs w:val="22"/>
              </w:rPr>
            </w:pPr>
            <w:r>
              <w:rPr>
                <w:color w:val="000000"/>
              </w:rPr>
              <w:t>20%</w:t>
            </w:r>
          </w:p>
        </w:tc>
      </w:tr>
      <w:tr w:rsidR="006D3AD5" w:rsidRPr="002C224A" w14:paraId="69878BD1" w14:textId="77777777" w:rsidTr="00443B8F">
        <w:trPr>
          <w:trHeight w:val="315"/>
        </w:trPr>
        <w:tc>
          <w:tcPr>
            <w:tcW w:w="3940" w:type="dxa"/>
            <w:tcBorders>
              <w:top w:val="nil"/>
              <w:left w:val="single" w:sz="8" w:space="0" w:color="auto"/>
              <w:bottom w:val="single" w:sz="8" w:space="0" w:color="auto"/>
              <w:right w:val="nil"/>
            </w:tcBorders>
            <w:shd w:val="clear" w:color="auto" w:fill="auto"/>
            <w:noWrap/>
            <w:vAlign w:val="bottom"/>
          </w:tcPr>
          <w:p w14:paraId="742872F2" w14:textId="77777777" w:rsidR="006D3AD5" w:rsidRPr="00A50943" w:rsidRDefault="006D3AD5" w:rsidP="00443B8F">
            <w:pPr>
              <w:overflowPunct/>
              <w:autoSpaceDE/>
              <w:autoSpaceDN/>
              <w:adjustRightInd/>
              <w:jc w:val="left"/>
              <w:textAlignment w:val="auto"/>
              <w:rPr>
                <w:color w:val="000000"/>
                <w:szCs w:val="22"/>
              </w:rPr>
            </w:pPr>
            <w:r>
              <w:rPr>
                <w:color w:val="000000"/>
              </w:rPr>
              <w:t>Average credit amount (CZK millions)</w:t>
            </w:r>
          </w:p>
        </w:tc>
        <w:tc>
          <w:tcPr>
            <w:tcW w:w="1620" w:type="dxa"/>
            <w:tcBorders>
              <w:top w:val="nil"/>
              <w:left w:val="single" w:sz="8" w:space="0" w:color="auto"/>
              <w:bottom w:val="single" w:sz="8" w:space="0" w:color="auto"/>
              <w:right w:val="single" w:sz="8" w:space="0" w:color="auto"/>
            </w:tcBorders>
            <w:shd w:val="clear" w:color="auto" w:fill="auto"/>
            <w:noWrap/>
            <w:vAlign w:val="bottom"/>
          </w:tcPr>
          <w:p w14:paraId="4ECEAB1E" w14:textId="77777777" w:rsidR="006D3AD5" w:rsidRPr="002C224A" w:rsidRDefault="006D3AD5" w:rsidP="00443B8F">
            <w:pPr>
              <w:overflowPunct/>
              <w:autoSpaceDE/>
              <w:autoSpaceDN/>
              <w:adjustRightInd/>
              <w:jc w:val="right"/>
              <w:textAlignment w:val="auto"/>
              <w:rPr>
                <w:color w:val="000000"/>
                <w:szCs w:val="22"/>
              </w:rPr>
            </w:pPr>
            <w:r>
              <w:rPr>
                <w:color w:val="000000"/>
              </w:rPr>
              <w:t>26</w:t>
            </w:r>
          </w:p>
        </w:tc>
      </w:tr>
    </w:tbl>
    <w:p w14:paraId="100BBCAD" w14:textId="77777777" w:rsidR="006D3AD5" w:rsidRPr="002C224A" w:rsidRDefault="006D3AD5" w:rsidP="006D3AD5">
      <w:pPr>
        <w:pStyle w:val="BodyText1"/>
        <w:jc w:val="both"/>
        <w:rPr>
          <w:rFonts w:ascii="Calibri" w:hAnsi="Calibri"/>
        </w:rPr>
      </w:pPr>
    </w:p>
    <w:p w14:paraId="2D51F3F8" w14:textId="66BDDD85" w:rsidR="006D3AD5" w:rsidRPr="002C224A" w:rsidRDefault="006D3AD5" w:rsidP="006D3AD5">
      <w:pPr>
        <w:pStyle w:val="Titulek"/>
      </w:pPr>
      <w:r>
        <w:t>Table 9</w:t>
      </w:r>
      <w:r w:rsidR="00B90ACD">
        <w:t>7</w:t>
      </w:r>
      <w:r>
        <w:t>: SO 1.1 guarantees, model results</w:t>
      </w:r>
    </w:p>
    <w:tbl>
      <w:tblPr>
        <w:tblW w:w="8800" w:type="dxa"/>
        <w:tblInd w:w="70" w:type="dxa"/>
        <w:tblCellMar>
          <w:left w:w="70" w:type="dxa"/>
          <w:right w:w="70" w:type="dxa"/>
        </w:tblCellMar>
        <w:tblLook w:val="04A0" w:firstRow="1" w:lastRow="0" w:firstColumn="1" w:lastColumn="0" w:noHBand="0" w:noVBand="1"/>
      </w:tblPr>
      <w:tblGrid>
        <w:gridCol w:w="1776"/>
        <w:gridCol w:w="6243"/>
        <w:gridCol w:w="781"/>
      </w:tblGrid>
      <w:tr w:rsidR="006D3AD5" w:rsidRPr="002C224A" w14:paraId="479B91E4" w14:textId="77777777" w:rsidTr="00443B8F">
        <w:trPr>
          <w:trHeight w:val="300"/>
        </w:trPr>
        <w:tc>
          <w:tcPr>
            <w:tcW w:w="8800" w:type="dxa"/>
            <w:gridSpan w:val="3"/>
            <w:tcBorders>
              <w:top w:val="single" w:sz="4" w:space="0" w:color="4F81BD"/>
              <w:left w:val="nil"/>
              <w:bottom w:val="single" w:sz="4" w:space="0" w:color="4F81BD"/>
              <w:right w:val="nil"/>
            </w:tcBorders>
            <w:shd w:val="clear" w:color="auto" w:fill="auto"/>
            <w:noWrap/>
            <w:vAlign w:val="bottom"/>
            <w:hideMark/>
          </w:tcPr>
          <w:p w14:paraId="3C0930A2" w14:textId="77777777" w:rsidR="006D3AD5" w:rsidRPr="00A50943" w:rsidRDefault="006D3AD5" w:rsidP="00443B8F">
            <w:pPr>
              <w:overflowPunct/>
              <w:autoSpaceDE/>
              <w:autoSpaceDN/>
              <w:adjustRightInd/>
              <w:jc w:val="center"/>
              <w:textAlignment w:val="auto"/>
              <w:rPr>
                <w:b/>
                <w:bCs/>
                <w:color w:val="366092"/>
                <w:szCs w:val="22"/>
              </w:rPr>
            </w:pPr>
            <w:r>
              <w:rPr>
                <w:b/>
                <w:color w:val="366092"/>
              </w:rPr>
              <w:t>SO 1.1 guarantee</w:t>
            </w:r>
          </w:p>
        </w:tc>
      </w:tr>
      <w:tr w:rsidR="006D3AD5" w:rsidRPr="002C224A" w14:paraId="07E95A4E" w14:textId="77777777" w:rsidTr="00443B8F">
        <w:trPr>
          <w:trHeight w:val="300"/>
        </w:trPr>
        <w:tc>
          <w:tcPr>
            <w:tcW w:w="8019" w:type="dxa"/>
            <w:gridSpan w:val="2"/>
            <w:tcBorders>
              <w:top w:val="single" w:sz="4" w:space="0" w:color="4F81BD"/>
              <w:left w:val="nil"/>
              <w:bottom w:val="nil"/>
              <w:right w:val="nil"/>
            </w:tcBorders>
            <w:shd w:val="clear" w:color="DCE6F1" w:fill="DCE6F1"/>
            <w:noWrap/>
            <w:vAlign w:val="bottom"/>
            <w:hideMark/>
          </w:tcPr>
          <w:p w14:paraId="3638A5E8" w14:textId="77777777" w:rsidR="006D3AD5" w:rsidRPr="00A50943" w:rsidRDefault="006D3AD5" w:rsidP="00443B8F">
            <w:pPr>
              <w:overflowPunct/>
              <w:autoSpaceDE/>
              <w:autoSpaceDN/>
              <w:adjustRightInd/>
              <w:jc w:val="left"/>
              <w:textAlignment w:val="auto"/>
              <w:rPr>
                <w:color w:val="366092"/>
                <w:szCs w:val="22"/>
              </w:rPr>
            </w:pPr>
            <w:r>
              <w:rPr>
                <w:color w:val="366092"/>
              </w:rPr>
              <w:t>FI Allocation (CZK millions)</w:t>
            </w:r>
          </w:p>
        </w:tc>
        <w:tc>
          <w:tcPr>
            <w:tcW w:w="781" w:type="dxa"/>
            <w:tcBorders>
              <w:top w:val="nil"/>
              <w:left w:val="nil"/>
              <w:bottom w:val="nil"/>
              <w:right w:val="nil"/>
            </w:tcBorders>
            <w:shd w:val="clear" w:color="DCE6F1" w:fill="DCE6F1"/>
            <w:noWrap/>
            <w:vAlign w:val="bottom"/>
            <w:hideMark/>
          </w:tcPr>
          <w:p w14:paraId="36417319" w14:textId="1CE82BE8" w:rsidR="006D3AD5" w:rsidRPr="002C224A" w:rsidRDefault="006D3AD5" w:rsidP="00B225B7">
            <w:pPr>
              <w:overflowPunct/>
              <w:autoSpaceDE/>
              <w:autoSpaceDN/>
              <w:adjustRightInd/>
              <w:jc w:val="right"/>
              <w:textAlignment w:val="auto"/>
              <w:rPr>
                <w:color w:val="366092"/>
                <w:szCs w:val="22"/>
              </w:rPr>
            </w:pPr>
            <w:r>
              <w:rPr>
                <w:color w:val="366092"/>
              </w:rPr>
              <w:t>1,400</w:t>
            </w:r>
          </w:p>
        </w:tc>
      </w:tr>
      <w:tr w:rsidR="006D3AD5" w:rsidRPr="002C224A" w14:paraId="1DD479B3" w14:textId="77777777" w:rsidTr="00443B8F">
        <w:trPr>
          <w:trHeight w:val="300"/>
        </w:trPr>
        <w:tc>
          <w:tcPr>
            <w:tcW w:w="1776" w:type="dxa"/>
            <w:vMerge w:val="restart"/>
            <w:tcBorders>
              <w:top w:val="nil"/>
              <w:left w:val="nil"/>
              <w:right w:val="nil"/>
            </w:tcBorders>
            <w:shd w:val="clear" w:color="auto" w:fill="auto"/>
            <w:noWrap/>
            <w:vAlign w:val="center"/>
            <w:hideMark/>
          </w:tcPr>
          <w:p w14:paraId="1E3A1C1C" w14:textId="77777777" w:rsidR="006D3AD5" w:rsidRPr="00A50943" w:rsidRDefault="006D3AD5" w:rsidP="00443B8F">
            <w:pPr>
              <w:overflowPunct/>
              <w:autoSpaceDE/>
              <w:autoSpaceDN/>
              <w:adjustRightInd/>
              <w:jc w:val="center"/>
              <w:textAlignment w:val="auto"/>
              <w:rPr>
                <w:color w:val="366092"/>
                <w:szCs w:val="22"/>
              </w:rPr>
            </w:pPr>
            <w:r>
              <w:rPr>
                <w:color w:val="366092"/>
              </w:rPr>
              <w:t>Allocation drawing</w:t>
            </w:r>
          </w:p>
        </w:tc>
        <w:tc>
          <w:tcPr>
            <w:tcW w:w="6243" w:type="dxa"/>
            <w:tcBorders>
              <w:top w:val="nil"/>
              <w:left w:val="nil"/>
              <w:bottom w:val="nil"/>
              <w:right w:val="nil"/>
            </w:tcBorders>
            <w:shd w:val="clear" w:color="auto" w:fill="auto"/>
            <w:noWrap/>
            <w:vAlign w:val="bottom"/>
            <w:hideMark/>
          </w:tcPr>
          <w:p w14:paraId="3655135F" w14:textId="77777777" w:rsidR="006D3AD5" w:rsidRPr="002C224A" w:rsidRDefault="006D3AD5" w:rsidP="00443B8F">
            <w:pPr>
              <w:overflowPunct/>
              <w:autoSpaceDE/>
              <w:autoSpaceDN/>
              <w:adjustRightInd/>
              <w:jc w:val="left"/>
              <w:textAlignment w:val="auto"/>
              <w:rPr>
                <w:color w:val="366092"/>
                <w:szCs w:val="22"/>
              </w:rPr>
            </w:pPr>
            <w:r>
              <w:rPr>
                <w:color w:val="366092"/>
              </w:rPr>
              <w:t>FI public sources after deduction of MCF</w:t>
            </w:r>
          </w:p>
        </w:tc>
        <w:tc>
          <w:tcPr>
            <w:tcW w:w="781" w:type="dxa"/>
            <w:tcBorders>
              <w:top w:val="nil"/>
              <w:left w:val="nil"/>
              <w:bottom w:val="nil"/>
              <w:right w:val="nil"/>
            </w:tcBorders>
            <w:shd w:val="clear" w:color="auto" w:fill="auto"/>
            <w:noWrap/>
            <w:vAlign w:val="bottom"/>
            <w:hideMark/>
          </w:tcPr>
          <w:p w14:paraId="78D4FC00" w14:textId="77777777" w:rsidR="006D3AD5" w:rsidRPr="002C224A" w:rsidRDefault="006D3AD5" w:rsidP="00443B8F">
            <w:pPr>
              <w:overflowPunct/>
              <w:autoSpaceDE/>
              <w:autoSpaceDN/>
              <w:adjustRightInd/>
              <w:jc w:val="right"/>
              <w:textAlignment w:val="auto"/>
              <w:rPr>
                <w:color w:val="366092"/>
                <w:szCs w:val="22"/>
              </w:rPr>
            </w:pPr>
            <w:r>
              <w:rPr>
                <w:color w:val="366092"/>
              </w:rPr>
              <w:t>1,288</w:t>
            </w:r>
          </w:p>
        </w:tc>
      </w:tr>
      <w:tr w:rsidR="006D3AD5" w:rsidRPr="002C224A" w14:paraId="1A99A4C1" w14:textId="77777777" w:rsidTr="00443B8F">
        <w:trPr>
          <w:trHeight w:val="300"/>
        </w:trPr>
        <w:tc>
          <w:tcPr>
            <w:tcW w:w="1776" w:type="dxa"/>
            <w:vMerge/>
            <w:tcBorders>
              <w:left w:val="nil"/>
              <w:right w:val="nil"/>
            </w:tcBorders>
            <w:vAlign w:val="center"/>
            <w:hideMark/>
          </w:tcPr>
          <w:p w14:paraId="7B4D7881"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6614DAB5" w14:textId="77777777" w:rsidR="006D3AD5" w:rsidRPr="002C224A" w:rsidRDefault="006D3AD5" w:rsidP="00443B8F">
            <w:pPr>
              <w:overflowPunct/>
              <w:autoSpaceDE/>
              <w:autoSpaceDN/>
              <w:adjustRightInd/>
              <w:jc w:val="left"/>
              <w:textAlignment w:val="auto"/>
              <w:rPr>
                <w:color w:val="366092"/>
                <w:szCs w:val="22"/>
              </w:rPr>
            </w:pPr>
            <w:r>
              <w:rPr>
                <w:color w:val="366092"/>
              </w:rPr>
              <w:t>Leverage for final recipient projects</w:t>
            </w:r>
          </w:p>
        </w:tc>
        <w:tc>
          <w:tcPr>
            <w:tcW w:w="781" w:type="dxa"/>
            <w:tcBorders>
              <w:top w:val="nil"/>
              <w:left w:val="nil"/>
              <w:bottom w:val="nil"/>
              <w:right w:val="nil"/>
            </w:tcBorders>
            <w:shd w:val="clear" w:color="DCE6F1" w:fill="DCE6F1"/>
            <w:noWrap/>
            <w:vAlign w:val="bottom"/>
            <w:hideMark/>
          </w:tcPr>
          <w:p w14:paraId="491736AF" w14:textId="77777777" w:rsidR="006D3AD5" w:rsidRPr="002C224A" w:rsidRDefault="006D3AD5" w:rsidP="00443B8F">
            <w:pPr>
              <w:overflowPunct/>
              <w:autoSpaceDE/>
              <w:autoSpaceDN/>
              <w:adjustRightInd/>
              <w:jc w:val="right"/>
              <w:textAlignment w:val="auto"/>
              <w:rPr>
                <w:b/>
                <w:color w:val="366092"/>
                <w:szCs w:val="22"/>
              </w:rPr>
            </w:pPr>
            <w:r>
              <w:rPr>
                <w:b/>
                <w:color w:val="366092"/>
              </w:rPr>
              <w:t>5.0</w:t>
            </w:r>
          </w:p>
        </w:tc>
      </w:tr>
      <w:tr w:rsidR="006D3AD5" w:rsidRPr="002C224A" w14:paraId="20419EE1" w14:textId="77777777" w:rsidTr="00443B8F">
        <w:trPr>
          <w:trHeight w:val="300"/>
        </w:trPr>
        <w:tc>
          <w:tcPr>
            <w:tcW w:w="1776" w:type="dxa"/>
            <w:vMerge/>
            <w:tcBorders>
              <w:left w:val="nil"/>
              <w:right w:val="nil"/>
            </w:tcBorders>
            <w:vAlign w:val="center"/>
            <w:hideMark/>
          </w:tcPr>
          <w:p w14:paraId="1352370A"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hideMark/>
          </w:tcPr>
          <w:p w14:paraId="54163394" w14:textId="77777777" w:rsidR="006D3AD5" w:rsidRPr="002C224A" w:rsidRDefault="006D3AD5" w:rsidP="00443B8F">
            <w:pPr>
              <w:overflowPunct/>
              <w:autoSpaceDE/>
              <w:autoSpaceDN/>
              <w:adjustRightInd/>
              <w:jc w:val="left"/>
              <w:textAlignment w:val="auto"/>
              <w:rPr>
                <w:color w:val="366092"/>
                <w:szCs w:val="22"/>
              </w:rPr>
            </w:pPr>
            <w:r>
              <w:rPr>
                <w:color w:val="366092"/>
              </w:rPr>
              <w:t>Total recoverable sources for final recipient projects</w:t>
            </w:r>
          </w:p>
        </w:tc>
        <w:tc>
          <w:tcPr>
            <w:tcW w:w="781" w:type="dxa"/>
            <w:tcBorders>
              <w:top w:val="nil"/>
              <w:left w:val="nil"/>
              <w:bottom w:val="nil"/>
              <w:right w:val="nil"/>
            </w:tcBorders>
            <w:shd w:val="clear" w:color="auto" w:fill="auto"/>
            <w:noWrap/>
            <w:vAlign w:val="bottom"/>
            <w:hideMark/>
          </w:tcPr>
          <w:p w14:paraId="72C59066" w14:textId="77777777" w:rsidR="006D3AD5" w:rsidRPr="002C224A" w:rsidRDefault="006D3AD5" w:rsidP="00443B8F">
            <w:pPr>
              <w:overflowPunct/>
              <w:autoSpaceDE/>
              <w:autoSpaceDN/>
              <w:adjustRightInd/>
              <w:jc w:val="right"/>
              <w:textAlignment w:val="auto"/>
              <w:rPr>
                <w:color w:val="366092"/>
                <w:szCs w:val="22"/>
              </w:rPr>
            </w:pPr>
            <w:r>
              <w:rPr>
                <w:color w:val="366092"/>
              </w:rPr>
              <w:t>6,440</w:t>
            </w:r>
          </w:p>
        </w:tc>
      </w:tr>
      <w:tr w:rsidR="006D3AD5" w:rsidRPr="002C224A" w14:paraId="4B83B4A9" w14:textId="77777777" w:rsidTr="00443B8F">
        <w:trPr>
          <w:trHeight w:val="300"/>
        </w:trPr>
        <w:tc>
          <w:tcPr>
            <w:tcW w:w="1776" w:type="dxa"/>
            <w:vMerge/>
            <w:tcBorders>
              <w:left w:val="nil"/>
              <w:right w:val="nil"/>
            </w:tcBorders>
            <w:shd w:val="clear" w:color="auto" w:fill="auto"/>
            <w:vAlign w:val="center"/>
            <w:hideMark/>
          </w:tcPr>
          <w:p w14:paraId="1078E11A"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0860613D" w14:textId="77777777" w:rsidR="006D3AD5" w:rsidRPr="002C224A" w:rsidRDefault="006D3AD5" w:rsidP="00443B8F">
            <w:pPr>
              <w:overflowPunct/>
              <w:autoSpaceDE/>
              <w:autoSpaceDN/>
              <w:adjustRightInd/>
              <w:jc w:val="left"/>
              <w:textAlignment w:val="auto"/>
              <w:rPr>
                <w:color w:val="366092"/>
                <w:szCs w:val="22"/>
              </w:rPr>
            </w:pPr>
            <w:r>
              <w:rPr>
                <w:color w:val="366092"/>
              </w:rPr>
              <w:t>Recoverable part of the support</w:t>
            </w:r>
          </w:p>
        </w:tc>
        <w:tc>
          <w:tcPr>
            <w:tcW w:w="781" w:type="dxa"/>
            <w:tcBorders>
              <w:top w:val="nil"/>
              <w:left w:val="nil"/>
              <w:bottom w:val="nil"/>
              <w:right w:val="nil"/>
            </w:tcBorders>
            <w:shd w:val="clear" w:color="DCE6F1" w:fill="DCE6F1"/>
            <w:noWrap/>
            <w:vAlign w:val="bottom"/>
            <w:hideMark/>
          </w:tcPr>
          <w:p w14:paraId="747F1CE0" w14:textId="77777777" w:rsidR="006D3AD5" w:rsidRPr="002C224A" w:rsidRDefault="006D3AD5" w:rsidP="00443B8F">
            <w:pPr>
              <w:overflowPunct/>
              <w:autoSpaceDE/>
              <w:autoSpaceDN/>
              <w:adjustRightInd/>
              <w:jc w:val="right"/>
              <w:textAlignment w:val="auto"/>
              <w:rPr>
                <w:color w:val="366092"/>
                <w:szCs w:val="22"/>
              </w:rPr>
            </w:pPr>
            <w:r>
              <w:rPr>
                <w:color w:val="366092"/>
              </w:rPr>
              <w:t>100</w:t>
            </w:r>
          </w:p>
        </w:tc>
      </w:tr>
      <w:tr w:rsidR="006D3AD5" w:rsidRPr="002C224A" w14:paraId="0FE483B2" w14:textId="77777777" w:rsidTr="00443B8F">
        <w:trPr>
          <w:trHeight w:val="300"/>
        </w:trPr>
        <w:tc>
          <w:tcPr>
            <w:tcW w:w="1776" w:type="dxa"/>
            <w:vMerge/>
            <w:tcBorders>
              <w:left w:val="nil"/>
              <w:right w:val="nil"/>
            </w:tcBorders>
            <w:vAlign w:val="center"/>
            <w:hideMark/>
          </w:tcPr>
          <w:p w14:paraId="16B697D5"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tcPr>
          <w:p w14:paraId="75EB7116" w14:textId="77777777" w:rsidR="006D3AD5" w:rsidRPr="002C224A" w:rsidRDefault="006D3AD5" w:rsidP="00443B8F">
            <w:pPr>
              <w:overflowPunct/>
              <w:autoSpaceDE/>
              <w:autoSpaceDN/>
              <w:adjustRightInd/>
              <w:jc w:val="left"/>
              <w:textAlignment w:val="auto"/>
              <w:rPr>
                <w:color w:val="366092"/>
                <w:szCs w:val="22"/>
              </w:rPr>
            </w:pPr>
          </w:p>
        </w:tc>
        <w:tc>
          <w:tcPr>
            <w:tcW w:w="781" w:type="dxa"/>
            <w:tcBorders>
              <w:top w:val="nil"/>
              <w:left w:val="nil"/>
              <w:bottom w:val="nil"/>
              <w:right w:val="nil"/>
            </w:tcBorders>
            <w:shd w:val="clear" w:color="auto" w:fill="auto"/>
            <w:noWrap/>
            <w:vAlign w:val="bottom"/>
          </w:tcPr>
          <w:p w14:paraId="645E475C" w14:textId="77777777" w:rsidR="006D3AD5" w:rsidRPr="002C224A" w:rsidRDefault="006D3AD5" w:rsidP="00443B8F">
            <w:pPr>
              <w:overflowPunct/>
              <w:autoSpaceDE/>
              <w:autoSpaceDN/>
              <w:adjustRightInd/>
              <w:jc w:val="right"/>
              <w:textAlignment w:val="auto"/>
              <w:rPr>
                <w:color w:val="366092"/>
                <w:szCs w:val="22"/>
              </w:rPr>
            </w:pPr>
          </w:p>
        </w:tc>
      </w:tr>
      <w:tr w:rsidR="006D3AD5" w:rsidRPr="002C224A" w14:paraId="1BBFE3EF" w14:textId="77777777" w:rsidTr="00443B8F">
        <w:trPr>
          <w:trHeight w:val="300"/>
        </w:trPr>
        <w:tc>
          <w:tcPr>
            <w:tcW w:w="1776" w:type="dxa"/>
            <w:vMerge/>
            <w:tcBorders>
              <w:left w:val="nil"/>
              <w:right w:val="nil"/>
            </w:tcBorders>
            <w:vAlign w:val="center"/>
            <w:hideMark/>
          </w:tcPr>
          <w:p w14:paraId="4C9CED06"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3B3DE336" w14:textId="77777777" w:rsidR="006D3AD5" w:rsidRPr="002C224A" w:rsidRDefault="006D3AD5" w:rsidP="00443B8F">
            <w:pPr>
              <w:overflowPunct/>
              <w:autoSpaceDE/>
              <w:autoSpaceDN/>
              <w:adjustRightInd/>
              <w:jc w:val="left"/>
              <w:textAlignment w:val="auto"/>
              <w:rPr>
                <w:color w:val="366092"/>
                <w:szCs w:val="22"/>
              </w:rPr>
            </w:pPr>
            <w:r>
              <w:rPr>
                <w:color w:val="366092"/>
              </w:rPr>
              <w:t>Number of final recipient projects</w:t>
            </w:r>
          </w:p>
        </w:tc>
        <w:tc>
          <w:tcPr>
            <w:tcW w:w="781" w:type="dxa"/>
            <w:tcBorders>
              <w:top w:val="nil"/>
              <w:left w:val="nil"/>
              <w:bottom w:val="nil"/>
              <w:right w:val="nil"/>
            </w:tcBorders>
            <w:shd w:val="clear" w:color="DCE6F1" w:fill="DCE6F1"/>
            <w:noWrap/>
            <w:vAlign w:val="bottom"/>
            <w:hideMark/>
          </w:tcPr>
          <w:p w14:paraId="504254E6" w14:textId="77777777" w:rsidR="006D3AD5" w:rsidRPr="002C224A" w:rsidRDefault="006D3AD5" w:rsidP="00443B8F">
            <w:pPr>
              <w:overflowPunct/>
              <w:autoSpaceDE/>
              <w:autoSpaceDN/>
              <w:adjustRightInd/>
              <w:jc w:val="right"/>
              <w:textAlignment w:val="auto"/>
              <w:rPr>
                <w:color w:val="366092"/>
                <w:szCs w:val="22"/>
              </w:rPr>
            </w:pPr>
            <w:r>
              <w:rPr>
                <w:color w:val="366092"/>
              </w:rPr>
              <w:t>248</w:t>
            </w:r>
          </w:p>
        </w:tc>
      </w:tr>
      <w:tr w:rsidR="006D3AD5" w:rsidRPr="002C224A" w14:paraId="53D05EBE" w14:textId="77777777" w:rsidTr="00443B8F">
        <w:trPr>
          <w:trHeight w:val="300"/>
        </w:trPr>
        <w:tc>
          <w:tcPr>
            <w:tcW w:w="1776" w:type="dxa"/>
            <w:vMerge/>
            <w:tcBorders>
              <w:left w:val="nil"/>
              <w:right w:val="nil"/>
            </w:tcBorders>
            <w:shd w:val="clear" w:color="auto" w:fill="auto"/>
            <w:vAlign w:val="center"/>
            <w:hideMark/>
          </w:tcPr>
          <w:p w14:paraId="2B97FC47"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hideMark/>
          </w:tcPr>
          <w:p w14:paraId="00B5E8F8" w14:textId="77777777" w:rsidR="006D3AD5" w:rsidRPr="002C224A" w:rsidRDefault="006D3AD5" w:rsidP="00443B8F">
            <w:pPr>
              <w:overflowPunct/>
              <w:autoSpaceDE/>
              <w:autoSpaceDN/>
              <w:adjustRightInd/>
              <w:jc w:val="left"/>
              <w:textAlignment w:val="auto"/>
              <w:rPr>
                <w:color w:val="366092"/>
                <w:szCs w:val="22"/>
              </w:rPr>
            </w:pPr>
            <w:r>
              <w:rPr>
                <w:color w:val="366092"/>
              </w:rPr>
              <w:t>Total number of supported final recipient investments</w:t>
            </w:r>
          </w:p>
        </w:tc>
        <w:tc>
          <w:tcPr>
            <w:tcW w:w="781" w:type="dxa"/>
            <w:tcBorders>
              <w:top w:val="nil"/>
              <w:left w:val="nil"/>
              <w:bottom w:val="nil"/>
              <w:right w:val="nil"/>
            </w:tcBorders>
            <w:shd w:val="clear" w:color="auto" w:fill="auto"/>
            <w:noWrap/>
            <w:vAlign w:val="bottom"/>
            <w:hideMark/>
          </w:tcPr>
          <w:p w14:paraId="5DB715E8" w14:textId="77777777" w:rsidR="006D3AD5" w:rsidRPr="002C224A" w:rsidRDefault="006D3AD5" w:rsidP="00443B8F">
            <w:pPr>
              <w:overflowPunct/>
              <w:autoSpaceDE/>
              <w:autoSpaceDN/>
              <w:adjustRightInd/>
              <w:jc w:val="right"/>
              <w:textAlignment w:val="auto"/>
              <w:rPr>
                <w:b/>
                <w:color w:val="366092"/>
                <w:szCs w:val="22"/>
              </w:rPr>
            </w:pPr>
            <w:r>
              <w:rPr>
                <w:b/>
                <w:color w:val="366092"/>
              </w:rPr>
              <w:t>7,728</w:t>
            </w:r>
          </w:p>
        </w:tc>
      </w:tr>
      <w:tr w:rsidR="006D3AD5" w:rsidRPr="002C224A" w14:paraId="17DC44C0" w14:textId="77777777" w:rsidTr="00443B8F">
        <w:trPr>
          <w:trHeight w:val="300"/>
        </w:trPr>
        <w:tc>
          <w:tcPr>
            <w:tcW w:w="1776" w:type="dxa"/>
            <w:vMerge/>
            <w:tcBorders>
              <w:left w:val="nil"/>
              <w:bottom w:val="single" w:sz="4" w:space="0" w:color="4F81BD"/>
              <w:right w:val="nil"/>
            </w:tcBorders>
            <w:shd w:val="clear" w:color="auto" w:fill="auto"/>
            <w:vAlign w:val="center"/>
            <w:hideMark/>
          </w:tcPr>
          <w:p w14:paraId="7BCF6ED2"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single" w:sz="4" w:space="0" w:color="4F81BD"/>
              <w:right w:val="nil"/>
            </w:tcBorders>
            <w:shd w:val="clear" w:color="auto" w:fill="auto"/>
            <w:noWrap/>
            <w:vAlign w:val="bottom"/>
            <w:hideMark/>
          </w:tcPr>
          <w:p w14:paraId="5FDB5949" w14:textId="77777777" w:rsidR="006D3AD5" w:rsidRPr="002C224A" w:rsidRDefault="006D3AD5" w:rsidP="00443B8F">
            <w:pPr>
              <w:overflowPunct/>
              <w:autoSpaceDE/>
              <w:autoSpaceDN/>
              <w:adjustRightInd/>
              <w:jc w:val="left"/>
              <w:textAlignment w:val="auto"/>
              <w:rPr>
                <w:color w:val="366092"/>
                <w:szCs w:val="22"/>
              </w:rPr>
            </w:pPr>
            <w:r>
              <w:rPr>
                <w:color w:val="366092"/>
              </w:rPr>
              <w:t>Value added</w:t>
            </w:r>
          </w:p>
        </w:tc>
        <w:tc>
          <w:tcPr>
            <w:tcW w:w="781" w:type="dxa"/>
            <w:tcBorders>
              <w:top w:val="nil"/>
              <w:left w:val="nil"/>
              <w:bottom w:val="single" w:sz="4" w:space="0" w:color="4F81BD"/>
              <w:right w:val="nil"/>
            </w:tcBorders>
            <w:shd w:val="clear" w:color="auto" w:fill="auto"/>
            <w:noWrap/>
            <w:vAlign w:val="bottom"/>
            <w:hideMark/>
          </w:tcPr>
          <w:p w14:paraId="7CFD2E0B" w14:textId="77777777" w:rsidR="006D3AD5" w:rsidRPr="002C224A" w:rsidRDefault="006D3AD5" w:rsidP="00443B8F">
            <w:pPr>
              <w:overflowPunct/>
              <w:autoSpaceDE/>
              <w:autoSpaceDN/>
              <w:adjustRightInd/>
              <w:jc w:val="right"/>
              <w:textAlignment w:val="auto"/>
              <w:rPr>
                <w:b/>
                <w:color w:val="366092"/>
                <w:szCs w:val="22"/>
              </w:rPr>
            </w:pPr>
            <w:r>
              <w:rPr>
                <w:b/>
                <w:color w:val="366092"/>
              </w:rPr>
              <w:t>5.5</w:t>
            </w:r>
          </w:p>
        </w:tc>
      </w:tr>
    </w:tbl>
    <w:p w14:paraId="78462AD3" w14:textId="77777777" w:rsidR="006D3AD5" w:rsidRPr="00A50943" w:rsidRDefault="006D3AD5" w:rsidP="006D3AD5">
      <w:pPr>
        <w:rPr>
          <w:b/>
          <w:vanish/>
          <w:color w:val="18B462"/>
        </w:rPr>
      </w:pPr>
    </w:p>
    <w:p w14:paraId="36E5DFE2" w14:textId="77777777" w:rsidR="006D3AD5" w:rsidRPr="002C224A" w:rsidRDefault="006D3AD5" w:rsidP="006D3AD5"/>
    <w:p w14:paraId="2BCAA510" w14:textId="77777777" w:rsidR="006D3AD5" w:rsidRPr="002C224A" w:rsidRDefault="006D3AD5" w:rsidP="006D3AD5">
      <w:bookmarkStart w:id="1049" w:name="_Toc416383933"/>
      <w:bookmarkStart w:id="1050" w:name="_Toc416447919"/>
      <w:bookmarkEnd w:id="1049"/>
      <w:bookmarkEnd w:id="1050"/>
      <w:r>
        <w:t>The eventual revolving effect from collected debts and unused guarantees will only show itself in next programme periods. Given the instrument specifics (with effective risk policy the vast majority of the fund will be used on the guarantee payments) it is possible to expect the revolving of CZK tens of millions at most.</w:t>
      </w:r>
    </w:p>
    <w:p w14:paraId="182B26FD" w14:textId="77777777" w:rsidR="006D3AD5" w:rsidRPr="002C224A" w:rsidRDefault="006D3AD5" w:rsidP="006D3AD5"/>
    <w:p w14:paraId="4A837906" w14:textId="77777777" w:rsidR="006D3AD5" w:rsidRPr="002C224A" w:rsidRDefault="006D3AD5" w:rsidP="006D3AD5">
      <w:pPr>
        <w:pStyle w:val="Nadpis4"/>
        <w:rPr>
          <w:rFonts w:ascii="Calibri" w:hAnsi="Calibri"/>
        </w:rPr>
      </w:pPr>
      <w:bookmarkStart w:id="1051" w:name="_Toc414464602"/>
      <w:bookmarkStart w:id="1052" w:name="_Toc416800482"/>
      <w:r>
        <w:rPr>
          <w:rFonts w:ascii="Calibri" w:hAnsi="Calibri"/>
        </w:rPr>
        <w:t xml:space="preserve">Expected results </w:t>
      </w:r>
      <w:bookmarkEnd w:id="1051"/>
      <w:bookmarkEnd w:id="1052"/>
    </w:p>
    <w:p w14:paraId="30C6AF1A" w14:textId="77777777" w:rsidR="006D3AD5" w:rsidRPr="00A50943" w:rsidRDefault="006D3AD5" w:rsidP="006D3AD5">
      <w:pPr>
        <w:pStyle w:val="Odstavecseseznamem2"/>
        <w:overflowPunct w:val="0"/>
        <w:autoSpaceDE w:val="0"/>
        <w:autoSpaceDN w:val="0"/>
        <w:adjustRightInd w:val="0"/>
        <w:spacing w:after="160"/>
        <w:ind w:left="0"/>
        <w:jc w:val="both"/>
        <w:textAlignment w:val="baseline"/>
      </w:pPr>
      <w:r>
        <w:t>The next table shows the main objective indicators of the SO 1.1 defined in the operational programme.</w:t>
      </w:r>
    </w:p>
    <w:p w14:paraId="51383CB4" w14:textId="11E92F09" w:rsidR="006D3AD5" w:rsidRDefault="006D3AD5" w:rsidP="006D3AD5">
      <w:pPr>
        <w:pStyle w:val="Titulek"/>
        <w:keepNext/>
      </w:pPr>
      <w:r>
        <w:t xml:space="preserve">Table </w:t>
      </w:r>
      <w:r w:rsidR="00396AB4">
        <w:t>9</w:t>
      </w:r>
      <w:r w:rsidR="00B90ACD">
        <w:t>8</w:t>
      </w:r>
      <w:r>
        <w:t>: SO 1.1 result indicators</w:t>
      </w:r>
    </w:p>
    <w:tbl>
      <w:tblPr>
        <w:tblW w:w="9186" w:type="dxa"/>
        <w:tblCellMar>
          <w:left w:w="57" w:type="dxa"/>
          <w:right w:w="57" w:type="dxa"/>
        </w:tblCellMar>
        <w:tblLook w:val="01E0" w:firstRow="1" w:lastRow="1" w:firstColumn="1" w:lastColumn="1" w:noHBand="0" w:noVBand="0"/>
      </w:tblPr>
      <w:tblGrid>
        <w:gridCol w:w="1856"/>
        <w:gridCol w:w="1392"/>
        <w:gridCol w:w="1157"/>
        <w:gridCol w:w="966"/>
        <w:gridCol w:w="788"/>
        <w:gridCol w:w="834"/>
        <w:gridCol w:w="1159"/>
        <w:gridCol w:w="1034"/>
      </w:tblGrid>
      <w:tr w:rsidR="006D3AD5" w:rsidRPr="00360BA1" w14:paraId="3B32ABD5"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57DB16F"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20CECAD"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4E0A4B4"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91B70F8"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CC9C35E"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358CEDB"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1047C01"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4160109"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3FCEDA28"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21F6E3FF" w14:textId="77777777" w:rsidR="006D3AD5" w:rsidRPr="00360BA1" w:rsidRDefault="006D3AD5" w:rsidP="00443B8F">
            <w:pPr>
              <w:pStyle w:val="Tabulka"/>
              <w:rPr>
                <w:rFonts w:ascii="Calibri" w:hAnsi="Calibri" w:cs="Calibri"/>
              </w:rPr>
            </w:pPr>
            <w:r>
              <w:rPr>
                <w:rFonts w:ascii="Calibri" w:hAnsi="Calibri"/>
              </w:rPr>
              <w:t xml:space="preserve">Enterprise expenses on RD in the business sector as a % of the GDP - CR regions </w:t>
            </w:r>
            <w:r>
              <w:rPr>
                <w:rFonts w:ascii="Calibri" w:hAnsi="Calibri"/>
              </w:rPr>
              <w:lastRenderedPageBreak/>
              <w:t>(excluding the City of Prague)</w:t>
            </w:r>
          </w:p>
        </w:tc>
        <w:tc>
          <w:tcPr>
            <w:tcW w:w="1033" w:type="dxa"/>
            <w:tcBorders>
              <w:top w:val="single" w:sz="4" w:space="0" w:color="000000"/>
              <w:left w:val="single" w:sz="4" w:space="0" w:color="000000"/>
              <w:bottom w:val="single" w:sz="4" w:space="0" w:color="000000"/>
              <w:right w:val="single" w:sz="4" w:space="0" w:color="000000"/>
            </w:tcBorders>
            <w:vAlign w:val="center"/>
          </w:tcPr>
          <w:p w14:paraId="17956A68" w14:textId="77777777" w:rsidR="006D3AD5" w:rsidRPr="00360BA1" w:rsidRDefault="006D3AD5" w:rsidP="00443B8F">
            <w:pPr>
              <w:pStyle w:val="Tabulka"/>
              <w:rPr>
                <w:rFonts w:ascii="Calibri" w:hAnsi="Calibri" w:cs="Calibri"/>
              </w:rPr>
            </w:pPr>
            <w:r>
              <w:rPr>
                <w:rFonts w:ascii="Calibri" w:hAnsi="Calibri"/>
              </w:rPr>
              <w:lastRenderedPageBreak/>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5A1FD72B"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128E8017" w14:textId="77777777" w:rsidR="006D3AD5" w:rsidRPr="00360BA1" w:rsidRDefault="006D3AD5" w:rsidP="00443B8F">
            <w:pPr>
              <w:pStyle w:val="Tabulka"/>
              <w:rPr>
                <w:rFonts w:ascii="Calibri" w:hAnsi="Calibri" w:cs="Calibri"/>
              </w:rPr>
            </w:pPr>
            <w:r>
              <w:rPr>
                <w:rFonts w:ascii="Calibri" w:hAnsi="Calibri"/>
              </w:rPr>
              <w:t>0.58</w:t>
            </w:r>
          </w:p>
        </w:tc>
        <w:tc>
          <w:tcPr>
            <w:tcW w:w="819" w:type="dxa"/>
            <w:tcBorders>
              <w:top w:val="single" w:sz="4" w:space="0" w:color="000000"/>
              <w:left w:val="single" w:sz="4" w:space="0" w:color="000000"/>
              <w:bottom w:val="single" w:sz="4" w:space="0" w:color="000000"/>
              <w:right w:val="single" w:sz="4" w:space="0" w:color="000000"/>
            </w:tcBorders>
            <w:vAlign w:val="center"/>
          </w:tcPr>
          <w:p w14:paraId="7FD4A24E"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1B639422" w14:textId="77777777" w:rsidR="006D3AD5" w:rsidRPr="00360BA1" w:rsidRDefault="006D3AD5" w:rsidP="00443B8F">
            <w:pPr>
              <w:pStyle w:val="Tabulka"/>
              <w:rPr>
                <w:rFonts w:ascii="Calibri" w:hAnsi="Calibri" w:cs="Calibri"/>
              </w:rPr>
            </w:pPr>
            <w:r>
              <w:rPr>
                <w:rFonts w:ascii="Calibri" w:hAnsi="Calibri"/>
              </w:rPr>
              <w:t>0.62/-0.8:</w:t>
            </w:r>
          </w:p>
        </w:tc>
        <w:tc>
          <w:tcPr>
            <w:tcW w:w="1008" w:type="dxa"/>
            <w:tcBorders>
              <w:top w:val="single" w:sz="4" w:space="0" w:color="000000"/>
              <w:left w:val="single" w:sz="4" w:space="0" w:color="000000"/>
              <w:bottom w:val="single" w:sz="4" w:space="0" w:color="000000"/>
              <w:right w:val="single" w:sz="4" w:space="0" w:color="000000"/>
            </w:tcBorders>
            <w:vAlign w:val="center"/>
          </w:tcPr>
          <w:p w14:paraId="56369153" w14:textId="77777777" w:rsidR="006D3AD5" w:rsidRPr="00A52D1B" w:rsidRDefault="006D3AD5" w:rsidP="00443B8F">
            <w:pPr>
              <w:pStyle w:val="Tabulka"/>
              <w:rPr>
                <w:rFonts w:ascii="Calibri" w:hAnsi="Calibri" w:cs="Calibri"/>
              </w:rPr>
            </w:pPr>
            <w:r>
              <w:rPr>
                <w:rFonts w:ascii="Calibri" w:hAnsi="Calibri"/>
              </w:rPr>
              <w:t>MA based</w:t>
            </w:r>
          </w:p>
          <w:p w14:paraId="0672071B" w14:textId="77777777" w:rsidR="006D3AD5" w:rsidRPr="00A52D1B" w:rsidRDefault="006D3AD5" w:rsidP="00443B8F">
            <w:pPr>
              <w:pStyle w:val="Tabulka"/>
              <w:rPr>
                <w:rFonts w:ascii="Calibri" w:hAnsi="Calibri" w:cs="Calibri"/>
              </w:rPr>
            </w:pPr>
            <w:r>
              <w:rPr>
                <w:rFonts w:ascii="Calibri" w:hAnsi="Calibri"/>
              </w:rPr>
              <w:t>on the</w:t>
            </w:r>
          </w:p>
          <w:p w14:paraId="5F874423" w14:textId="77777777" w:rsidR="006D3AD5" w:rsidRPr="00360BA1" w:rsidRDefault="006D3AD5" w:rsidP="00443B8F">
            <w:pPr>
              <w:pStyle w:val="Tabulka"/>
              <w:rPr>
                <w:rFonts w:ascii="Calibri" w:hAnsi="Calibri" w:cs="Calibri"/>
              </w:rPr>
            </w:pPr>
            <w:r>
              <w:rPr>
                <w:rFonts w:ascii="Calibri" w:hAnsi="Calibri"/>
              </w:rPr>
              <w:t>CSO data</w:t>
            </w:r>
          </w:p>
        </w:tc>
        <w:tc>
          <w:tcPr>
            <w:tcW w:w="962" w:type="dxa"/>
            <w:tcBorders>
              <w:top w:val="single" w:sz="4" w:space="0" w:color="000000"/>
              <w:left w:val="single" w:sz="4" w:space="0" w:color="000000"/>
              <w:bottom w:val="single" w:sz="4" w:space="0" w:color="000000"/>
              <w:right w:val="single" w:sz="4" w:space="0" w:color="000000"/>
            </w:tcBorders>
            <w:vAlign w:val="center"/>
          </w:tcPr>
          <w:p w14:paraId="634DEECB" w14:textId="77777777" w:rsidR="006D3AD5" w:rsidRPr="00A52D1B" w:rsidRDefault="006D3AD5" w:rsidP="00443B8F">
            <w:pPr>
              <w:pStyle w:val="Tabulka"/>
              <w:rPr>
                <w:rFonts w:ascii="Calibri" w:hAnsi="Calibri" w:cs="Calibri"/>
              </w:rPr>
            </w:pPr>
            <w:r>
              <w:rPr>
                <w:rFonts w:ascii="Calibri" w:hAnsi="Calibri"/>
              </w:rPr>
              <w:t>per year</w:t>
            </w:r>
          </w:p>
        </w:tc>
      </w:tr>
      <w:tr w:rsidR="006D3AD5" w:rsidRPr="00360BA1" w14:paraId="0FC968C0"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7D940665" w14:textId="77777777" w:rsidR="006D3AD5" w:rsidRPr="00A52D1B" w:rsidRDefault="006D3AD5" w:rsidP="00443B8F">
            <w:pPr>
              <w:pStyle w:val="Tabulka"/>
              <w:rPr>
                <w:rFonts w:ascii="Calibri" w:hAnsi="Calibri" w:cs="Calibri"/>
              </w:rPr>
            </w:pPr>
            <w:r>
              <w:rPr>
                <w:rFonts w:ascii="Calibri" w:hAnsi="Calibri"/>
              </w:rPr>
              <w:lastRenderedPageBreak/>
              <w:t>Revenues from the innovated production as a % on total revenues of companies with</w:t>
            </w:r>
          </w:p>
          <w:p w14:paraId="32C6570A" w14:textId="77777777" w:rsidR="006D3AD5" w:rsidRPr="00360BA1" w:rsidRDefault="006D3AD5" w:rsidP="00443B8F">
            <w:pPr>
              <w:pStyle w:val="Tabulka"/>
              <w:rPr>
                <w:rFonts w:ascii="Calibri" w:hAnsi="Calibri" w:cs="Calibri"/>
              </w:rPr>
            </w:pPr>
            <w:r>
              <w:rPr>
                <w:rFonts w:ascii="Calibri" w:hAnsi="Calibri"/>
              </w:rPr>
              <w:t>product innovation</w:t>
            </w:r>
          </w:p>
        </w:tc>
        <w:tc>
          <w:tcPr>
            <w:tcW w:w="1033" w:type="dxa"/>
            <w:tcBorders>
              <w:top w:val="single" w:sz="4" w:space="0" w:color="000000"/>
              <w:left w:val="single" w:sz="4" w:space="0" w:color="000000"/>
              <w:bottom w:val="single" w:sz="4" w:space="0" w:color="000000"/>
              <w:right w:val="single" w:sz="4" w:space="0" w:color="000000"/>
            </w:tcBorders>
            <w:vAlign w:val="center"/>
          </w:tcPr>
          <w:p w14:paraId="7E05E854" w14:textId="77777777" w:rsidR="006D3AD5" w:rsidRPr="00360BA1" w:rsidRDefault="006D3AD5" w:rsidP="00443B8F">
            <w:pPr>
              <w:pStyle w:val="Tabulka"/>
              <w:rPr>
                <w:rFonts w:ascii="Calibri" w:hAnsi="Calibri" w:cs="Calibri"/>
              </w:rPr>
            </w:pPr>
            <w:r>
              <w:rPr>
                <w:rFonts w:ascii="Calibri" w:hAnsi="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43AEEC94"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28B6D298" w14:textId="77777777" w:rsidR="006D3AD5" w:rsidRPr="00360BA1" w:rsidRDefault="006D3AD5" w:rsidP="00443B8F">
            <w:pPr>
              <w:pStyle w:val="Tabulka"/>
              <w:rPr>
                <w:rFonts w:ascii="Calibri" w:hAnsi="Calibri" w:cs="Calibri"/>
              </w:rPr>
            </w:pPr>
            <w:r>
              <w:rPr>
                <w:rFonts w:ascii="Calibri" w:hAnsi="Calibri"/>
              </w:rPr>
              <w:t>29.2</w:t>
            </w:r>
          </w:p>
        </w:tc>
        <w:tc>
          <w:tcPr>
            <w:tcW w:w="819" w:type="dxa"/>
            <w:tcBorders>
              <w:top w:val="single" w:sz="4" w:space="0" w:color="000000"/>
              <w:left w:val="single" w:sz="4" w:space="0" w:color="000000"/>
              <w:bottom w:val="single" w:sz="4" w:space="0" w:color="000000"/>
              <w:right w:val="single" w:sz="4" w:space="0" w:color="000000"/>
            </w:tcBorders>
            <w:vAlign w:val="center"/>
          </w:tcPr>
          <w:p w14:paraId="08B9C91E" w14:textId="77777777" w:rsidR="006D3AD5" w:rsidRPr="00360BA1" w:rsidRDefault="006D3AD5" w:rsidP="00443B8F">
            <w:pPr>
              <w:pStyle w:val="Tabulka"/>
              <w:rPr>
                <w:rFonts w:ascii="Calibri" w:hAnsi="Calibri" w:cs="Calibri"/>
              </w:rPr>
            </w:pPr>
            <w:r>
              <w:rPr>
                <w:rFonts w:ascii="Calibri" w:hAnsi="Calibri"/>
              </w:rPr>
              <w:t>2010/-2012: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5A654AB4" w14:textId="77777777" w:rsidR="006D3AD5" w:rsidRPr="00360BA1" w:rsidRDefault="006D3AD5" w:rsidP="00443B8F">
            <w:pPr>
              <w:pStyle w:val="Tabulka"/>
              <w:rPr>
                <w:rFonts w:ascii="Calibri" w:hAnsi="Calibri" w:cs="Calibri"/>
              </w:rPr>
            </w:pPr>
            <w:r>
              <w:rPr>
                <w:rFonts w:ascii="Calibri" w:hAnsi="Calibri"/>
              </w:rPr>
              <w:t>29.8/-31:</w:t>
            </w:r>
          </w:p>
        </w:tc>
        <w:tc>
          <w:tcPr>
            <w:tcW w:w="1008" w:type="dxa"/>
            <w:tcBorders>
              <w:top w:val="single" w:sz="4" w:space="0" w:color="000000"/>
              <w:left w:val="single" w:sz="4" w:space="0" w:color="000000"/>
              <w:bottom w:val="single" w:sz="4" w:space="0" w:color="000000"/>
              <w:right w:val="single" w:sz="4" w:space="0" w:color="000000"/>
            </w:tcBorders>
            <w:vAlign w:val="center"/>
          </w:tcPr>
          <w:p w14:paraId="7AEFCE2D" w14:textId="77777777" w:rsidR="006D3AD5" w:rsidRPr="00A52D1B" w:rsidRDefault="006D3AD5" w:rsidP="00443B8F">
            <w:pPr>
              <w:pStyle w:val="Tabulka"/>
              <w:rPr>
                <w:rFonts w:ascii="Calibri" w:hAnsi="Calibri" w:cs="Calibri"/>
              </w:rPr>
            </w:pPr>
            <w:r>
              <w:rPr>
                <w:rFonts w:ascii="Calibri" w:hAnsi="Calibri"/>
              </w:rPr>
              <w:t>CSO</w:t>
            </w:r>
          </w:p>
          <w:p w14:paraId="5CC59F0A" w14:textId="77777777" w:rsidR="006D3AD5" w:rsidRPr="00A52D1B" w:rsidRDefault="006D3AD5" w:rsidP="00443B8F">
            <w:pPr>
              <w:pStyle w:val="Tabulka"/>
              <w:rPr>
                <w:rFonts w:ascii="Calibri" w:hAnsi="Calibri" w:cs="Calibri"/>
              </w:rPr>
            </w:pPr>
            <w:r>
              <w:rPr>
                <w:rFonts w:ascii="Calibri" w:hAnsi="Calibri"/>
              </w:rPr>
              <w:t>(analysis</w:t>
            </w:r>
          </w:p>
          <w:p w14:paraId="247324DE" w14:textId="77777777" w:rsidR="006D3AD5" w:rsidRPr="00A52D1B" w:rsidRDefault="006D3AD5" w:rsidP="00443B8F">
            <w:pPr>
              <w:pStyle w:val="Tabulka"/>
              <w:rPr>
                <w:rFonts w:ascii="Calibri" w:hAnsi="Calibri" w:cs="Calibri"/>
              </w:rPr>
            </w:pPr>
            <w:r>
              <w:rPr>
                <w:rFonts w:ascii="Calibri" w:hAnsi="Calibri"/>
              </w:rPr>
              <w:t>of innovations</w:t>
            </w:r>
          </w:p>
          <w:p w14:paraId="705A1124" w14:textId="77777777" w:rsidR="006D3AD5" w:rsidRPr="00360BA1" w:rsidRDefault="006D3AD5" w:rsidP="00443B8F">
            <w:pPr>
              <w:pStyle w:val="Tabulka"/>
              <w:rPr>
                <w:rFonts w:ascii="Calibri" w:hAnsi="Calibri" w:cs="Calibri"/>
              </w:rPr>
            </w:pPr>
            <w:r>
              <w:rPr>
                <w:rFonts w:ascii="Calibri" w:hAnsi="Calibri"/>
              </w:rPr>
              <w:t>CIS)</w:t>
            </w:r>
          </w:p>
        </w:tc>
        <w:tc>
          <w:tcPr>
            <w:tcW w:w="962" w:type="dxa"/>
            <w:tcBorders>
              <w:top w:val="single" w:sz="4" w:space="0" w:color="000000"/>
              <w:left w:val="single" w:sz="4" w:space="0" w:color="000000"/>
              <w:bottom w:val="single" w:sz="4" w:space="0" w:color="000000"/>
              <w:right w:val="single" w:sz="4" w:space="0" w:color="000000"/>
            </w:tcBorders>
            <w:vAlign w:val="center"/>
          </w:tcPr>
          <w:p w14:paraId="4A5090A2" w14:textId="77777777" w:rsidR="006D3AD5" w:rsidRPr="00A52D1B" w:rsidRDefault="006D3AD5" w:rsidP="00443B8F">
            <w:pPr>
              <w:pStyle w:val="Tabulka"/>
              <w:rPr>
                <w:rFonts w:ascii="Calibri" w:hAnsi="Calibri" w:cs="Calibri"/>
              </w:rPr>
            </w:pPr>
            <w:r>
              <w:rPr>
                <w:rFonts w:ascii="Calibri" w:hAnsi="Calibri"/>
              </w:rPr>
              <w:t>2 years</w:t>
            </w:r>
          </w:p>
        </w:tc>
      </w:tr>
    </w:tbl>
    <w:p w14:paraId="3CC455AF"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5317DC6F"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55708190"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58275916" w14:textId="77777777" w:rsidR="006D3AD5" w:rsidRDefault="006D3AD5" w:rsidP="006D3AD5">
      <w:pPr>
        <w:pStyle w:val="Odstavecseseznamem2"/>
        <w:overflowPunct w:val="0"/>
        <w:autoSpaceDE w:val="0"/>
        <w:autoSpaceDN w:val="0"/>
        <w:adjustRightInd w:val="0"/>
        <w:spacing w:after="160"/>
        <w:ind w:left="0"/>
        <w:jc w:val="both"/>
        <w:textAlignment w:val="baseline"/>
      </w:pPr>
      <w:r>
        <w:t>Financial instruments should participate in fulfilling these target values by reaching the target values of the following indicators general quantification of which was based on the model scenarios described above.</w:t>
      </w:r>
    </w:p>
    <w:p w14:paraId="789190C8" w14:textId="39BE383F" w:rsidR="006D3AD5" w:rsidRDefault="006D3AD5" w:rsidP="006D3AD5">
      <w:pPr>
        <w:pStyle w:val="Titulek"/>
        <w:keepNext/>
      </w:pPr>
      <w:r>
        <w:t xml:space="preserve">Table </w:t>
      </w:r>
      <w:r w:rsidR="00396AB4">
        <w:t>9</w:t>
      </w:r>
      <w:r w:rsidR="00B90ACD">
        <w:t>9</w:t>
      </w:r>
      <w:r>
        <w:t>: FI target values</w:t>
      </w:r>
    </w:p>
    <w:tbl>
      <w:tblPr>
        <w:tblW w:w="0" w:type="auto"/>
        <w:tblCellMar>
          <w:left w:w="57" w:type="dxa"/>
          <w:right w:w="57" w:type="dxa"/>
        </w:tblCellMar>
        <w:tblLook w:val="01E0" w:firstRow="1" w:lastRow="1" w:firstColumn="1" w:lastColumn="1" w:noHBand="0" w:noVBand="0"/>
      </w:tblPr>
      <w:tblGrid>
        <w:gridCol w:w="4127"/>
        <w:gridCol w:w="1773"/>
        <w:gridCol w:w="1691"/>
        <w:gridCol w:w="1471"/>
      </w:tblGrid>
      <w:tr w:rsidR="006D3AD5" w:rsidRPr="002C224A" w14:paraId="4461BBBA" w14:textId="77777777" w:rsidTr="00443B8F">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6C492A"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C3F7126"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E4B50A"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90232BF"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05AA2043"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46BAF73" w14:textId="77777777" w:rsidR="006D3AD5" w:rsidRPr="002C224A" w:rsidRDefault="006D3AD5" w:rsidP="00443B8F">
            <w:pPr>
              <w:pStyle w:val="Tabulka"/>
              <w:jc w:val="left"/>
              <w:rPr>
                <w:rFonts w:ascii="Calibri" w:hAnsi="Calibri" w:cs="Calibri"/>
              </w:rPr>
            </w:pPr>
            <w:r>
              <w:rPr>
                <w:rFonts w:ascii="Calibri" w:hAnsi="Calibri"/>
              </w:rPr>
              <w:t>Number of companies drawing financial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6236C9A8" w14:textId="77777777" w:rsidR="006D3AD5" w:rsidRPr="002C224A" w:rsidRDefault="006D3AD5" w:rsidP="00443B8F">
            <w:pPr>
              <w:pStyle w:val="Tabulka"/>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6AE32E09"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286A00B6" w14:textId="77777777" w:rsidR="006D3AD5" w:rsidRPr="002C224A" w:rsidRDefault="006D3AD5" w:rsidP="00443B8F">
            <w:pPr>
              <w:pStyle w:val="Tabulka"/>
              <w:rPr>
                <w:rFonts w:ascii="Calibri" w:hAnsi="Calibri" w:cs="Calibri"/>
              </w:rPr>
            </w:pPr>
            <w:r>
              <w:rPr>
                <w:rFonts w:ascii="Calibri" w:hAnsi="Calibri"/>
              </w:rPr>
              <w:t>180/-235:</w:t>
            </w:r>
          </w:p>
        </w:tc>
      </w:tr>
      <w:tr w:rsidR="006D3AD5" w:rsidRPr="002C224A" w14:paraId="1A728273"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AA44B28" w14:textId="77777777" w:rsidR="006D3AD5" w:rsidRPr="002C224A" w:rsidRDefault="006D3AD5" w:rsidP="00443B8F">
            <w:pPr>
              <w:pStyle w:val="Tabulka"/>
              <w:jc w:val="left"/>
              <w:rPr>
                <w:rFonts w:ascii="Calibri" w:hAnsi="Calibri" w:cs="Calibri"/>
              </w:rPr>
            </w:pPr>
            <w:r>
              <w:rPr>
                <w:rFonts w:ascii="Calibri" w:hAnsi="Calibri"/>
              </w:rPr>
              <w:t>Private investments in projects with public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3BE42CCD" w14:textId="77777777" w:rsidR="006D3AD5" w:rsidRPr="002C224A" w:rsidRDefault="006D3AD5" w:rsidP="00443B8F">
            <w:pPr>
              <w:pStyle w:val="Tabulka"/>
              <w:rPr>
                <w:rFonts w:ascii="Calibri" w:hAnsi="Calibri" w:cs="Calibri"/>
              </w:rPr>
            </w:pPr>
            <w:r>
              <w:rPr>
                <w:rFonts w:ascii="Calibri" w:hAnsi="Calibri"/>
              </w:rPr>
              <w:t>CZK millions</w:t>
            </w:r>
          </w:p>
        </w:tc>
        <w:tc>
          <w:tcPr>
            <w:tcW w:w="0" w:type="auto"/>
            <w:tcBorders>
              <w:top w:val="single" w:sz="4" w:space="0" w:color="000000"/>
              <w:left w:val="single" w:sz="4" w:space="0" w:color="000000"/>
              <w:bottom w:val="single" w:sz="4" w:space="0" w:color="000000"/>
              <w:right w:val="single" w:sz="4" w:space="0" w:color="000000"/>
            </w:tcBorders>
            <w:vAlign w:val="center"/>
          </w:tcPr>
          <w:p w14:paraId="3B978432"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3EB75632" w14:textId="77777777" w:rsidR="006D3AD5" w:rsidRPr="002C224A" w:rsidRDefault="006D3AD5" w:rsidP="00443B8F">
            <w:pPr>
              <w:pStyle w:val="Tabulka"/>
              <w:rPr>
                <w:rFonts w:ascii="Calibri" w:hAnsi="Calibri" w:cs="Calibri"/>
              </w:rPr>
            </w:pPr>
            <w:r>
              <w:rPr>
                <w:rFonts w:ascii="Calibri" w:hAnsi="Calibri"/>
              </w:rPr>
              <w:t>6,500-8,000</w:t>
            </w:r>
          </w:p>
        </w:tc>
      </w:tr>
    </w:tbl>
    <w:p w14:paraId="360337CA"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34801B32" w14:textId="77777777" w:rsidR="006D3AD5"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31A02CB3" w14:textId="77777777" w:rsidR="006D3AD5" w:rsidRDefault="006D3AD5" w:rsidP="006D3AD5">
      <w:pPr>
        <w:pStyle w:val="Odstavecseseznamem2"/>
        <w:numPr>
          <w:ilvl w:val="0"/>
          <w:numId w:val="54"/>
        </w:numPr>
        <w:overflowPunct w:val="0"/>
        <w:autoSpaceDE w:val="0"/>
        <w:autoSpaceDN w:val="0"/>
        <w:adjustRightInd w:val="0"/>
        <w:spacing w:after="160"/>
        <w:jc w:val="both"/>
        <w:textAlignment w:val="baseline"/>
      </w:pPr>
      <w:r>
        <w:tab/>
        <w:t>21410 The revenues of supported companies as a consequence of the established innovation*</w:t>
      </w:r>
    </w:p>
    <w:p w14:paraId="68DF9934" w14:textId="77777777" w:rsidR="006D3AD5" w:rsidRDefault="006D3AD5" w:rsidP="006D3AD5">
      <w:pPr>
        <w:pStyle w:val="Odstavecseseznamem2"/>
        <w:numPr>
          <w:ilvl w:val="0"/>
          <w:numId w:val="54"/>
        </w:numPr>
        <w:spacing w:after="160"/>
      </w:pPr>
      <w:r>
        <w:tab/>
        <w:t>20400 The number of new research workers in supported subjects*</w:t>
      </w:r>
    </w:p>
    <w:p w14:paraId="65055959" w14:textId="77777777" w:rsidR="006D3AD5" w:rsidRDefault="006D3AD5" w:rsidP="006D3AD5">
      <w:pPr>
        <w:pStyle w:val="Odstavecseseznamem2"/>
        <w:numPr>
          <w:ilvl w:val="0"/>
          <w:numId w:val="54"/>
        </w:numPr>
        <w:spacing w:after="160"/>
      </w:pPr>
      <w:r>
        <w:tab/>
        <w:t>20702 The number of new jobs, R&amp;D employees – women*</w:t>
      </w:r>
    </w:p>
    <w:p w14:paraId="19419608" w14:textId="77777777" w:rsidR="006D3AD5" w:rsidRDefault="006D3AD5" w:rsidP="006D3AD5">
      <w:pPr>
        <w:pStyle w:val="Odstavecseseznamem2"/>
        <w:numPr>
          <w:ilvl w:val="0"/>
          <w:numId w:val="54"/>
        </w:numPr>
        <w:spacing w:after="160"/>
      </w:pPr>
      <w:r>
        <w:tab/>
        <w:t>20000 The number of companies cooperating with research institutions*</w:t>
      </w:r>
    </w:p>
    <w:p w14:paraId="04257D90" w14:textId="77777777" w:rsidR="006D3AD5" w:rsidRDefault="006D3AD5" w:rsidP="006D3AD5">
      <w:pPr>
        <w:pStyle w:val="Odstavecseseznamem2"/>
        <w:numPr>
          <w:ilvl w:val="0"/>
          <w:numId w:val="54"/>
        </w:numPr>
        <w:spacing w:after="160"/>
      </w:pPr>
      <w:r>
        <w:tab/>
        <w:t>21200 The number of companies receiving support for the purpose of introduction of new products on the market*</w:t>
      </w:r>
    </w:p>
    <w:p w14:paraId="2D4EA9D2" w14:textId="77777777" w:rsidR="006D3AD5" w:rsidRDefault="006D3AD5" w:rsidP="006D3AD5">
      <w:pPr>
        <w:pStyle w:val="Odstavecseseznamem2"/>
        <w:numPr>
          <w:ilvl w:val="0"/>
          <w:numId w:val="54"/>
        </w:numPr>
        <w:spacing w:after="160"/>
      </w:pPr>
      <w:r>
        <w:tab/>
        <w:t>21301 The number of companies receiving support for the purpose of introduction of new products in the company*</w:t>
      </w:r>
    </w:p>
    <w:p w14:paraId="3DD5B315" w14:textId="77777777" w:rsidR="006D3AD5" w:rsidRDefault="006D3AD5" w:rsidP="006D3AD5">
      <w:pPr>
        <w:pStyle w:val="Odstavecseseznamem2"/>
        <w:numPr>
          <w:ilvl w:val="0"/>
          <w:numId w:val="54"/>
        </w:numPr>
        <w:spacing w:after="160"/>
      </w:pPr>
      <w:r>
        <w:tab/>
        <w:t>22501 The number of established innovations*</w:t>
      </w:r>
    </w:p>
    <w:p w14:paraId="4A4405A5" w14:textId="77777777" w:rsidR="006D3AD5" w:rsidRDefault="006D3AD5" w:rsidP="006D3AD5">
      <w:pPr>
        <w:pStyle w:val="Odstavecseseznamem2"/>
        <w:numPr>
          <w:ilvl w:val="0"/>
          <w:numId w:val="54"/>
        </w:numPr>
        <w:spacing w:after="160"/>
      </w:pPr>
      <w:r>
        <w:tab/>
        <w:t>10000 Number of companies drawing financial support other than grants</w:t>
      </w:r>
    </w:p>
    <w:p w14:paraId="2E995CB1" w14:textId="77777777" w:rsidR="006D3AD5" w:rsidRDefault="006D3AD5" w:rsidP="006D3AD5">
      <w:pPr>
        <w:pStyle w:val="Odstavecseseznamem2"/>
        <w:numPr>
          <w:ilvl w:val="0"/>
          <w:numId w:val="54"/>
        </w:numPr>
        <w:spacing w:after="160"/>
      </w:pPr>
      <w:r>
        <w:tab/>
        <w:t>10300 Private investments corresponding to the public support of companies (other than grants)</w:t>
      </w:r>
    </w:p>
    <w:p w14:paraId="4C85AC4B" w14:textId="77777777" w:rsidR="006D3AD5" w:rsidRDefault="006D3AD5" w:rsidP="006D3AD5">
      <w:pPr>
        <w:pStyle w:val="Odstavecseseznamem2"/>
        <w:numPr>
          <w:ilvl w:val="0"/>
          <w:numId w:val="54"/>
        </w:numPr>
        <w:spacing w:after="160"/>
      </w:pPr>
      <w:r>
        <w:tab/>
        <w:t>20900 Private investments in projects with public support in the area of innovations or research and development</w:t>
      </w:r>
    </w:p>
    <w:p w14:paraId="3F2FA9B7" w14:textId="77777777" w:rsidR="006D3AD5" w:rsidRDefault="006D3AD5" w:rsidP="006D3AD5">
      <w:pPr>
        <w:pStyle w:val="Odstavecseseznamem2"/>
        <w:numPr>
          <w:ilvl w:val="0"/>
          <w:numId w:val="54"/>
        </w:numPr>
        <w:spacing w:after="160"/>
      </w:pPr>
      <w:r>
        <w:tab/>
        <w:t>21411 The revenues from the innovated production as a % on total revenues of companies with product innovation</w:t>
      </w:r>
    </w:p>
    <w:p w14:paraId="228E9D9C" w14:textId="77777777" w:rsidR="006D3AD5" w:rsidRPr="001D237C" w:rsidRDefault="006D3AD5" w:rsidP="006D3AD5">
      <w:pPr>
        <w:pStyle w:val="Odstavecseseznamem2"/>
        <w:numPr>
          <w:ilvl w:val="0"/>
          <w:numId w:val="54"/>
        </w:numPr>
        <w:spacing w:after="160"/>
      </w:pPr>
      <w:r>
        <w:lastRenderedPageBreak/>
        <w:tab/>
        <w:t>21010 Enterprise expenses on RD in the business sector as a % of the GDP - CR regions (excluding the City of Prague)</w:t>
      </w:r>
    </w:p>
    <w:p w14:paraId="54413220" w14:textId="77777777" w:rsidR="006D3AD5" w:rsidRPr="001D237C" w:rsidRDefault="006D3AD5" w:rsidP="006D3AD5">
      <w:pPr>
        <w:pStyle w:val="Odstavecseseznamem2"/>
        <w:numPr>
          <w:ilvl w:val="0"/>
          <w:numId w:val="54"/>
        </w:numPr>
        <w:spacing w:after="160"/>
      </w:pPr>
      <w:r>
        <w:tab/>
        <w:t>21002 Expenses on RD in the business sector</w:t>
      </w:r>
    </w:p>
    <w:p w14:paraId="642CE843" w14:textId="77777777" w:rsidR="006D3AD5" w:rsidRPr="002C224A" w:rsidRDefault="006D3AD5" w:rsidP="006D3AD5">
      <w:pPr>
        <w:pStyle w:val="Odstavecseseznamem2"/>
        <w:numPr>
          <w:ilvl w:val="0"/>
          <w:numId w:val="54"/>
        </w:numPr>
        <w:overflowPunct w:val="0"/>
        <w:autoSpaceDE w:val="0"/>
        <w:autoSpaceDN w:val="0"/>
        <w:adjustRightInd w:val="0"/>
        <w:spacing w:after="160"/>
        <w:jc w:val="both"/>
        <w:textAlignment w:val="baseline"/>
      </w:pPr>
      <w:r>
        <w:tab/>
        <w:t>21100 Summary Innovation Index (SII)</w:t>
      </w:r>
    </w:p>
    <w:p w14:paraId="29D74F19" w14:textId="77777777" w:rsidR="006D3AD5" w:rsidRPr="002C224A" w:rsidRDefault="006D3AD5" w:rsidP="006D3AD5"/>
    <w:p w14:paraId="4402361E" w14:textId="77777777" w:rsidR="006D3AD5" w:rsidRPr="002C224A" w:rsidRDefault="006D3AD5" w:rsidP="006D3AD5">
      <w:pPr>
        <w:pStyle w:val="Nadpis4"/>
        <w:rPr>
          <w:rFonts w:ascii="Calibri" w:hAnsi="Calibri"/>
        </w:rPr>
      </w:pPr>
      <w:r>
        <w:rPr>
          <w:rFonts w:ascii="Calibri" w:hAnsi="Calibri"/>
        </w:rPr>
        <w:t>Partial summary</w:t>
      </w:r>
    </w:p>
    <w:p w14:paraId="23E2F40B" w14:textId="77777777" w:rsidR="006D3AD5" w:rsidRPr="002C224A" w:rsidRDefault="006D3AD5" w:rsidP="006D3AD5">
      <w:pPr>
        <w:pStyle w:val="CaptionIntroductionparagraph"/>
        <w:rPr>
          <w:rFonts w:ascii="Calibri" w:hAnsi="Calibri"/>
        </w:rPr>
      </w:pPr>
    </w:p>
    <w:p w14:paraId="54B906FD" w14:textId="77777777" w:rsidR="006D3AD5" w:rsidRPr="002C224A" w:rsidRDefault="006D3AD5" w:rsidP="006D3AD5">
      <w:pPr>
        <w:pStyle w:val="CaptionIntroductionparagraph"/>
        <w:rPr>
          <w:rFonts w:ascii="Calibri" w:hAnsi="Calibri"/>
        </w:rPr>
      </w:pPr>
      <w:r>
        <w:rPr>
          <w:rFonts w:ascii="Calibri" w:hAnsi="Calibri"/>
        </w:rPr>
        <w:t>Individual or portfolio guarantee (SO 1.1)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3D6780B7" w14:textId="77777777" w:rsidTr="00443B8F">
        <w:tc>
          <w:tcPr>
            <w:tcW w:w="2282" w:type="dxa"/>
            <w:shd w:val="clear" w:color="auto" w:fill="ECFFC3"/>
          </w:tcPr>
          <w:p w14:paraId="594DEC34" w14:textId="77777777" w:rsidR="006D3AD5" w:rsidRPr="00A50943" w:rsidRDefault="006D3AD5" w:rsidP="00443B8F">
            <w:pPr>
              <w:rPr>
                <w:b/>
              </w:rPr>
            </w:pPr>
          </w:p>
        </w:tc>
        <w:tc>
          <w:tcPr>
            <w:tcW w:w="6788" w:type="dxa"/>
            <w:shd w:val="clear" w:color="auto" w:fill="ECFFC3"/>
          </w:tcPr>
          <w:p w14:paraId="1D6B6DFF" w14:textId="77777777" w:rsidR="006D3AD5" w:rsidRPr="002C224A" w:rsidRDefault="006D3AD5" w:rsidP="00443B8F">
            <w:pPr>
              <w:ind w:left="38"/>
              <w:rPr>
                <w:b/>
              </w:rPr>
            </w:pPr>
          </w:p>
        </w:tc>
      </w:tr>
      <w:tr w:rsidR="006D3AD5" w:rsidRPr="002C224A" w14:paraId="6AFE6CAD" w14:textId="77777777" w:rsidTr="00443B8F">
        <w:tc>
          <w:tcPr>
            <w:tcW w:w="2282" w:type="dxa"/>
            <w:shd w:val="clear" w:color="auto" w:fill="92D400"/>
            <w:noWrap/>
          </w:tcPr>
          <w:p w14:paraId="46C1C558" w14:textId="77777777" w:rsidR="006D3AD5" w:rsidRPr="002C224A" w:rsidRDefault="006D3AD5" w:rsidP="00443B8F">
            <w:pPr>
              <w:jc w:val="left"/>
              <w:rPr>
                <w:b/>
                <w:color w:val="FFFFFF"/>
              </w:rPr>
            </w:pPr>
            <w:r>
              <w:rPr>
                <w:b/>
                <w:color w:val="FFFFFF"/>
              </w:rPr>
              <w:t>Objectives and financial instrument substantiation</w:t>
            </w:r>
          </w:p>
        </w:tc>
        <w:tc>
          <w:tcPr>
            <w:tcW w:w="6788" w:type="dxa"/>
            <w:shd w:val="clear" w:color="auto" w:fill="FFFFFF"/>
            <w:noWrap/>
          </w:tcPr>
          <w:p w14:paraId="12BCAB25" w14:textId="77777777" w:rsidR="006D3AD5" w:rsidRPr="002C224A" w:rsidRDefault="006D3AD5" w:rsidP="00443B8F">
            <w:r>
              <w:t>The objective of the guarantee instrument is to enable access to financing advances business innovations for subjects with worse access to bank credit.</w:t>
            </w:r>
          </w:p>
        </w:tc>
      </w:tr>
      <w:tr w:rsidR="006D3AD5" w:rsidRPr="002C224A" w14:paraId="14B4AE24" w14:textId="77777777" w:rsidTr="00443B8F">
        <w:tc>
          <w:tcPr>
            <w:tcW w:w="2282" w:type="dxa"/>
            <w:shd w:val="clear" w:color="auto" w:fill="92D400"/>
            <w:noWrap/>
          </w:tcPr>
          <w:p w14:paraId="3D9C1891"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286745EC" w14:textId="5F8DC182" w:rsidR="006D3AD5" w:rsidRPr="002C224A" w:rsidRDefault="006D3AD5" w:rsidP="00443B8F">
            <w:r>
              <w:t xml:space="preserve">The support is intended for innovation financing of at least the 5th level with </w:t>
            </w:r>
            <w:r w:rsidR="0042403A">
              <w:t>SME</w:t>
            </w:r>
            <w:r>
              <w:t>s and 6th level with large enterprises (The Valenta Scale) in products, services, processes and marketing sectors.</w:t>
            </w:r>
          </w:p>
          <w:p w14:paraId="1CF24102" w14:textId="77777777" w:rsidR="006D3AD5" w:rsidRPr="002C224A" w:rsidRDefault="006D3AD5" w:rsidP="00443B8F">
            <w:r>
              <w:t>By eligible expenses we mean all expenses on innovations that must be spent in order to achieve the project goal of the final recipient.</w:t>
            </w:r>
          </w:p>
        </w:tc>
      </w:tr>
      <w:tr w:rsidR="006D3AD5" w:rsidRPr="002C224A" w14:paraId="11E928E5" w14:textId="77777777" w:rsidTr="00443B8F">
        <w:tc>
          <w:tcPr>
            <w:tcW w:w="2282" w:type="dxa"/>
            <w:shd w:val="clear" w:color="auto" w:fill="92D400"/>
            <w:noWrap/>
          </w:tcPr>
          <w:p w14:paraId="72894855" w14:textId="77777777" w:rsidR="006D3AD5" w:rsidRPr="002C224A" w:rsidRDefault="006D3AD5" w:rsidP="00443B8F">
            <w:pPr>
              <w:jc w:val="left"/>
              <w:rPr>
                <w:b/>
                <w:color w:val="FFFFFF"/>
              </w:rPr>
            </w:pPr>
            <w:r>
              <w:rPr>
                <w:b/>
                <w:color w:val="FFFFFF"/>
              </w:rPr>
              <w:t>Support form</w:t>
            </w:r>
          </w:p>
        </w:tc>
        <w:tc>
          <w:tcPr>
            <w:tcW w:w="6788" w:type="dxa"/>
            <w:shd w:val="clear" w:color="auto" w:fill="FFFFFF"/>
            <w:noWrap/>
          </w:tcPr>
          <w:p w14:paraId="17A8D9FF" w14:textId="77777777" w:rsidR="006D3AD5" w:rsidRPr="002C224A" w:rsidRDefault="006D3AD5" w:rsidP="00443B8F">
            <w:r>
              <w:t>The financial instrument will provide a purpose support in the form of a bank credit guarantee. The credit institution is going to be the credit distributor to final recipients.</w:t>
            </w:r>
          </w:p>
          <w:p w14:paraId="43BFBB84" w14:textId="77777777" w:rsidR="006D3AD5" w:rsidRPr="002C224A" w:rsidRDefault="006D3AD5" w:rsidP="00443B8F"/>
          <w:p w14:paraId="2D89936B" w14:textId="77777777" w:rsidR="006D3AD5" w:rsidRPr="002C224A" w:rsidRDefault="006D3AD5" w:rsidP="00443B8F">
            <w:r>
              <w:t>The guarantee will be supplemented by conditional subsidy for interest costs reimbursement.</w:t>
            </w:r>
          </w:p>
        </w:tc>
      </w:tr>
      <w:tr w:rsidR="006D3AD5" w:rsidRPr="002C224A" w14:paraId="67013AAA" w14:textId="77777777" w:rsidTr="00443B8F">
        <w:tc>
          <w:tcPr>
            <w:tcW w:w="2282" w:type="dxa"/>
            <w:shd w:val="clear" w:color="auto" w:fill="92D400"/>
            <w:noWrap/>
          </w:tcPr>
          <w:p w14:paraId="38D2956F"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01BB9EAA" w14:textId="77777777" w:rsidR="006D3AD5" w:rsidRPr="002C224A" w:rsidRDefault="006D3AD5" w:rsidP="00443B8F">
            <w:r>
              <w:t>The credit guarantee will be provided for bank credits of up to 80% of the guaranteed loan principal, the maximum limit is CZK 100 million. The expected amount of secured loans is CZK 19-33 millions (in accordance with experience from the OP EI).</w:t>
            </w:r>
          </w:p>
          <w:p w14:paraId="15C2A359" w14:textId="77777777" w:rsidR="006D3AD5" w:rsidRPr="002C224A" w:rsidRDefault="006D3AD5" w:rsidP="00443B8F"/>
        </w:tc>
      </w:tr>
      <w:tr w:rsidR="006D3AD5" w:rsidRPr="002C224A" w14:paraId="22718374" w14:textId="77777777" w:rsidTr="00443B8F">
        <w:tc>
          <w:tcPr>
            <w:tcW w:w="2282" w:type="dxa"/>
            <w:shd w:val="clear" w:color="auto" w:fill="92D400"/>
            <w:noWrap/>
          </w:tcPr>
          <w:p w14:paraId="3534787B" w14:textId="77777777" w:rsidR="006D3AD5" w:rsidRPr="002C224A" w:rsidRDefault="006D3AD5" w:rsidP="00443B8F">
            <w:pPr>
              <w:jc w:val="left"/>
              <w:rPr>
                <w:b/>
                <w:color w:val="FFFFFF"/>
              </w:rPr>
            </w:pPr>
            <w:r>
              <w:rPr>
                <w:b/>
                <w:color w:val="FFFFFF"/>
              </w:rPr>
              <w:t>Steps for activation of private financial sources</w:t>
            </w:r>
          </w:p>
        </w:tc>
        <w:tc>
          <w:tcPr>
            <w:tcW w:w="6788" w:type="dxa"/>
            <w:shd w:val="clear" w:color="auto" w:fill="FFFFFF"/>
            <w:noWrap/>
          </w:tcPr>
          <w:p w14:paraId="38FECFAA" w14:textId="77777777" w:rsidR="006D3AD5" w:rsidRPr="002C224A" w:rsidRDefault="006D3AD5" w:rsidP="00443B8F">
            <w:pPr>
              <w:contextualSpacing/>
            </w:pPr>
            <w:r>
              <w:t xml:space="preserve">Bank subjects are interested in providing credit to clients but are not willing to do so given the risk connected with some business cases. The partial risk elimination will enable the banks to loan more financial instruments. </w:t>
            </w:r>
          </w:p>
        </w:tc>
      </w:tr>
      <w:tr w:rsidR="006D3AD5" w:rsidRPr="002C224A" w14:paraId="4D6A4AFC" w14:textId="77777777" w:rsidTr="00443B8F">
        <w:tc>
          <w:tcPr>
            <w:tcW w:w="2282" w:type="dxa"/>
            <w:shd w:val="clear" w:color="auto" w:fill="92D400"/>
            <w:noWrap/>
          </w:tcPr>
          <w:p w14:paraId="77CCB2AF" w14:textId="77777777" w:rsidR="006D3AD5" w:rsidRPr="002C224A" w:rsidRDefault="006D3AD5" w:rsidP="00443B8F">
            <w:pPr>
              <w:jc w:val="left"/>
              <w:rPr>
                <w:b/>
                <w:color w:val="FFFFFF"/>
              </w:rPr>
            </w:pPr>
            <w:r>
              <w:rPr>
                <w:b/>
                <w:color w:val="FFFFFF"/>
              </w:rPr>
              <w:t>Expected allocation</w:t>
            </w:r>
          </w:p>
        </w:tc>
        <w:tc>
          <w:tcPr>
            <w:tcW w:w="6788" w:type="dxa"/>
            <w:shd w:val="clear" w:color="auto" w:fill="FFFFFF"/>
            <w:noWrap/>
          </w:tcPr>
          <w:p w14:paraId="02EFD099" w14:textId="77777777" w:rsidR="006D3AD5" w:rsidRPr="002C224A" w:rsidRDefault="006D3AD5" w:rsidP="00443B8F">
            <w:r>
              <w:t>We recommend to use the guarantee financial instrument in the range of CZK 1,400 - 1,800 million.</w:t>
            </w:r>
          </w:p>
          <w:p w14:paraId="45223C26" w14:textId="77777777" w:rsidR="006D3AD5" w:rsidRPr="002C224A" w:rsidRDefault="006D3AD5" w:rsidP="00443B8F"/>
        </w:tc>
      </w:tr>
    </w:tbl>
    <w:p w14:paraId="01CB737A" w14:textId="4FFDBF16" w:rsidR="006D3AD5" w:rsidRPr="002C224A" w:rsidRDefault="006D3AD5" w:rsidP="006D3AD5">
      <w:pPr>
        <w:pStyle w:val="Titulek"/>
      </w:pPr>
      <w:r>
        <w:t xml:space="preserve">Table </w:t>
      </w:r>
      <w:r w:rsidR="00B90ACD">
        <w:t>100</w:t>
      </w:r>
      <w:r>
        <w:t>: Individual or portfolio guarantee (SO 1.1)</w:t>
      </w:r>
    </w:p>
    <w:p w14:paraId="7519BF32" w14:textId="77777777" w:rsidR="006D3AD5" w:rsidRPr="002C224A" w:rsidRDefault="006D3AD5" w:rsidP="006D3AD5">
      <w:pPr>
        <w:pStyle w:val="Nadpis3"/>
        <w:rPr>
          <w:rFonts w:ascii="Calibri" w:hAnsi="Calibri"/>
        </w:rPr>
      </w:pPr>
      <w:bookmarkStart w:id="1053" w:name="_Toc416800483"/>
      <w:bookmarkStart w:id="1054" w:name="_Toc419183281"/>
      <w:bookmarkStart w:id="1055" w:name="_Toc422312147"/>
      <w:r>
        <w:rPr>
          <w:rFonts w:ascii="Calibri" w:hAnsi="Calibri"/>
        </w:rPr>
        <w:t>Specific objective 1.2</w:t>
      </w:r>
      <w:bookmarkEnd w:id="1053"/>
      <w:bookmarkEnd w:id="1054"/>
      <w:bookmarkEnd w:id="1055"/>
    </w:p>
    <w:p w14:paraId="77C8E3FD" w14:textId="77777777" w:rsidR="006D3AD5" w:rsidRPr="002C224A" w:rsidRDefault="006D3AD5" w:rsidP="006D3AD5">
      <w:pPr>
        <w:pStyle w:val="Nadpis4"/>
        <w:rPr>
          <w:rFonts w:ascii="Calibri" w:hAnsi="Calibri"/>
        </w:rPr>
      </w:pPr>
      <w:bookmarkStart w:id="1056" w:name="_Toc416800484"/>
      <w:r>
        <w:rPr>
          <w:rFonts w:ascii="Calibri" w:hAnsi="Calibri"/>
        </w:rPr>
        <w:t>Forms of financial instruments and allocation amount</w:t>
      </w:r>
    </w:p>
    <w:bookmarkEnd w:id="1056"/>
    <w:p w14:paraId="70DF575E" w14:textId="77777777" w:rsidR="006D3AD5" w:rsidRPr="002C224A" w:rsidRDefault="006D3AD5" w:rsidP="006D3AD5">
      <w:r>
        <w:t xml:space="preserve">The financing of the Proof-of-concept stage is practically impossible without the use of public funds given the fact that such projects or the structure behind them are hard to grasp and therefore the related risk is high. Despite a large number of positive changes (e.g. the support of pre-seed activities from the OP RDI, the GAMA TACR programme, new centres for transfer of technologies) in the Czech Republic there is still a huge gap between public research organizations and application sector. The RD results have huge but uncertain profit potential. A large number of projects do not reach the stage where it would be viable to continue to commercialization, other projects are unsuccessful and only a small part of such projects is successful and profitable. The observed proof-of-concept stage is the critical stage for transferring a scientific project from academic or research institution into commercial </w:t>
      </w:r>
      <w:r>
        <w:lastRenderedPageBreak/>
        <w:t>environment. In a lot of industries (e.g. biochemistry and others) this stage is too long and therefore too risky for common investors. Given the best practice examples from abroad we propose to abandon the subsidy support model and create a new instrument based on the venture capital basis that would be able to better evaluate the real value of the RD results. We propose using a pre-seed OP EIC fund for this purpose.</w:t>
      </w:r>
    </w:p>
    <w:p w14:paraId="4327B818" w14:textId="77777777" w:rsidR="006D3AD5" w:rsidRPr="002C224A" w:rsidRDefault="006D3AD5" w:rsidP="006D3AD5"/>
    <w:p w14:paraId="65CE4FCD" w14:textId="77777777" w:rsidR="006D3AD5" w:rsidRPr="002C224A" w:rsidRDefault="006D3AD5" w:rsidP="006D3AD5">
      <w:r>
        <w:rPr>
          <w:b/>
        </w:rPr>
        <w:t xml:space="preserve">Public equity investment could be defined as the most suitable financial instrument type given the immaturity of projects and uncertainty related to their future results. </w:t>
      </w:r>
      <w:r>
        <w:t xml:space="preserve">By using a non-financial deposit the perspective research projects will be separated from the public research organization (RO) into a legal person belonging to it or </w:t>
      </w:r>
      <w:r>
        <w:rPr>
          <w:b/>
        </w:rPr>
        <w:t>into an industry specialized fund managed by or within the OP EIC Fund and this new subject will then receive investments from the FI.</w:t>
      </w:r>
    </w:p>
    <w:p w14:paraId="36D85892" w14:textId="77777777" w:rsidR="006D3AD5" w:rsidRPr="002C224A" w:rsidRDefault="006D3AD5" w:rsidP="006D3AD5"/>
    <w:p w14:paraId="24CA9E80" w14:textId="77777777" w:rsidR="006D3AD5" w:rsidRPr="002C224A" w:rsidRDefault="006D3AD5" w:rsidP="006D3AD5">
      <w:r>
        <w:rPr>
          <w:b/>
        </w:rPr>
        <w:t>By using a minority stake in this entity the FI will have an ownership of each project included in the entity</w:t>
      </w:r>
      <w:r>
        <w:t>. Given this fact the FI will be eligible to receive part of profits in case of a profitable exit of any project into the next market application stage (</w:t>
      </w:r>
      <w:r>
        <w:rPr>
          <w:b/>
        </w:rPr>
        <w:t xml:space="preserve">e.g. a spin-off bought by investors, licenses sold to strategic investor from the production industry </w:t>
      </w:r>
      <w:r>
        <w:t>etc.). As a motivational element the decisive part of the profit must remain with the project holders and not belong to the state. Thanks to the minority stake the state fund will profit from the profitable projects and receive funds that could be used by a revolving principle for support of new projects in the next round.</w:t>
      </w:r>
    </w:p>
    <w:p w14:paraId="0C2F5697" w14:textId="77777777" w:rsidR="006D3AD5" w:rsidRPr="002C224A" w:rsidRDefault="006D3AD5" w:rsidP="006D3AD5"/>
    <w:p w14:paraId="0F199A47" w14:textId="77777777" w:rsidR="006D3AD5" w:rsidRPr="002C224A" w:rsidRDefault="006D3AD5" w:rsidP="006D3AD5">
      <w:r>
        <w:t xml:space="preserve">The proposed structure presumes </w:t>
      </w:r>
      <w:r>
        <w:rPr>
          <w:b/>
        </w:rPr>
        <w:t>the shareholding of public RO primarily in the form of non-financial deposits into registered capitals in the form of intellectual property.</w:t>
      </w:r>
      <w:r>
        <w:t xml:space="preserve"> Based on further analyses it is also </w:t>
      </w:r>
      <w:r>
        <w:rPr>
          <w:b/>
        </w:rPr>
        <w:t xml:space="preserve">desirable to consider a mandatory level of participation of final recipients </w:t>
      </w:r>
      <w:r>
        <w:t>in the financial form that would not pose a significant barrier for the interest of public RO to get involved but at the same time would be a motivational element that would reduce the moral hazard from the side of final recipients and stimulate good selection and management of projects.</w:t>
      </w:r>
    </w:p>
    <w:p w14:paraId="64404AD7" w14:textId="77777777" w:rsidR="006D3AD5" w:rsidRPr="002C224A" w:rsidRDefault="006D3AD5" w:rsidP="006D3AD5"/>
    <w:p w14:paraId="11840B07" w14:textId="77777777" w:rsidR="006D3AD5" w:rsidRPr="002C224A" w:rsidRDefault="006D3AD5" w:rsidP="006D3AD5">
      <w:r>
        <w:t xml:space="preserve">With advancement of projects into the next stage it is also necessary not to focus on the Czech market only but it is necessary to also be open to foreign investors as results of research and development can often be used globally. </w:t>
      </w:r>
      <w:r>
        <w:rPr>
          <w:b/>
        </w:rPr>
        <w:t>MIT FI will always have only a minority stake that will enable to receive share of profits and also partially control the way the entity and projects are managed.</w:t>
      </w:r>
      <w:r>
        <w:t xml:space="preserve"> The project selection must be made by the institution that makes them, i.e. the final recipient (university, RD institution etc.) but an independent evaluation must be made to approve its eligibility for the fund support. This evaluation must be ensured on the OP EIC fund level.</w:t>
      </w:r>
    </w:p>
    <w:p w14:paraId="11A7B4C2" w14:textId="77777777" w:rsidR="006D3AD5" w:rsidRPr="002C224A" w:rsidRDefault="006D3AD5" w:rsidP="006D3AD5"/>
    <w:p w14:paraId="69CE2634" w14:textId="77777777" w:rsidR="006D3AD5" w:rsidRPr="002C224A" w:rsidRDefault="006D3AD5" w:rsidP="006D3AD5">
      <w:r>
        <w:t xml:space="preserve">The OP EIC pre-seed financial instrument in the first pilot stage is presented as a support for priority projects of excellent research and development facilities in the Czech Republic with the aim to simplify and accelerate financing of projects with the highest chance for market success. The fund financing will help to overcome current barriers such as for example non-flexible planning, prolonged preparation and payment of grant for commercialization. Separation of public RO projects into the fund entity will simplify their subsequent commercial operation. In the OP EIC pre-seed fund the funds will be available continuously according to the project needs but they will be conditioned by achieving results and further commerce potential. </w:t>
      </w:r>
    </w:p>
    <w:p w14:paraId="249C8DC8" w14:textId="77777777" w:rsidR="006D3AD5" w:rsidRPr="002C224A" w:rsidRDefault="006D3AD5" w:rsidP="006D3AD5"/>
    <w:p w14:paraId="24F7F2EC" w14:textId="77777777" w:rsidR="006D3AD5" w:rsidRPr="002C224A" w:rsidRDefault="006D3AD5" w:rsidP="006D3AD5">
      <w:r>
        <w:t>The fund financing can also simplify involvement of investors and therefore accelerate the commercialization itself. Among the possibilities for the investment exit is also the support of projects in the next phase within the venture capital instrument of the OP EIC in the SO 2.1. If the project is successful, in the next stage the pre-seed financial instrument could be extended to other facilities.</w:t>
      </w:r>
    </w:p>
    <w:p w14:paraId="572F033A" w14:textId="77777777" w:rsidR="006D3AD5" w:rsidRPr="002C224A" w:rsidRDefault="006D3AD5" w:rsidP="006D3AD5"/>
    <w:p w14:paraId="419BAA74" w14:textId="4CCA0473" w:rsidR="006D3AD5" w:rsidRPr="002C224A" w:rsidRDefault="006D3AD5" w:rsidP="006D3AD5">
      <w:r>
        <w:t xml:space="preserve">Among the expected important side results of this support belongs the increase of quality and clearance of commercialization system at public ROs. The instrument will provide sufficient equity but the necessary requirement for its success will be an expert leadership of projects that will be the main </w:t>
      </w:r>
      <w:r>
        <w:lastRenderedPageBreak/>
        <w:t xml:space="preserve">responsibility of final recipients. The FI must therefore function in synergy with the </w:t>
      </w:r>
      <w:r w:rsidR="00352D5B">
        <w:t xml:space="preserve">TTO </w:t>
      </w:r>
      <w:r>
        <w:t>and CzechInvest</w:t>
      </w:r>
      <w:r w:rsidR="00524A9F">
        <w:t>/ABI</w:t>
      </w:r>
      <w:r>
        <w:t xml:space="preserve"> consulting services whose further improvement is necessary for the support to succeed.</w:t>
      </w:r>
    </w:p>
    <w:p w14:paraId="0BE6EA94" w14:textId="77777777" w:rsidR="006D3AD5" w:rsidRPr="002C224A" w:rsidRDefault="006D3AD5" w:rsidP="006D3AD5"/>
    <w:p w14:paraId="34C1D95A" w14:textId="77777777" w:rsidR="006D3AD5" w:rsidRPr="002C224A" w:rsidRDefault="006D3AD5" w:rsidP="006D3AD5">
      <w:r>
        <w:t xml:space="preserve">The problematic part of the implementation will mainly be the selection and evaluation of suitable projects and intellectual property put into the fund. These risks must be adequately resolved in the next draft of the implementation. </w:t>
      </w:r>
      <w:r>
        <w:rPr>
          <w:b/>
        </w:rPr>
        <w:t>The connection to the grant support for the first Proof-of-concept stage</w:t>
      </w:r>
      <w:r>
        <w:t xml:space="preserve"> with the result of market potential analysis and project evaluation seems appropriate.</w:t>
      </w:r>
    </w:p>
    <w:p w14:paraId="0BBC2445" w14:textId="77777777" w:rsidR="006D3AD5" w:rsidRPr="002C224A" w:rsidRDefault="006D3AD5" w:rsidP="006D3AD5"/>
    <w:p w14:paraId="4BC824FC" w14:textId="77777777" w:rsidR="006D3AD5" w:rsidRPr="002C224A" w:rsidRDefault="006D3AD5" w:rsidP="006D3AD5">
      <w:r>
        <w:t>The end implementation will have to respect given legislation frame of public RO operation. The scheme will be subsequently adjusted to convene with the new act on RD support and universities.</w:t>
      </w:r>
    </w:p>
    <w:p w14:paraId="583FC10B" w14:textId="77777777" w:rsidR="006D3AD5" w:rsidRPr="002C224A" w:rsidRDefault="006D3AD5" w:rsidP="006D3AD5"/>
    <w:p w14:paraId="20DDB99C" w14:textId="77777777" w:rsidR="006D3AD5" w:rsidRPr="002C224A" w:rsidRDefault="006D3AD5" w:rsidP="006D3AD5">
      <w:pPr>
        <w:rPr>
          <w:b/>
        </w:rPr>
      </w:pPr>
      <w:r>
        <w:rPr>
          <w:b/>
        </w:rPr>
        <w:t>Allocation</w:t>
      </w:r>
    </w:p>
    <w:p w14:paraId="75265DC0" w14:textId="77777777" w:rsidR="006D3AD5" w:rsidRPr="002C224A" w:rsidRDefault="006D3AD5" w:rsidP="006D3AD5">
      <w:r>
        <w:t xml:space="preserve">The demand for commercialization sources will increase in this programming period. Nevertheless, the functionality of the proposed instrument should be validated on a pilot version. </w:t>
      </w:r>
      <w:r>
        <w:rPr>
          <w:b/>
        </w:rPr>
        <w:t>To realize the pilot fund the minimal allocation limit is CZK 550 million. Further funds should be left in the grant regimen to support the initial POC and project selection stages – the programme allocation should therefore be adequately divided</w:t>
      </w:r>
      <w:r>
        <w:t>. After proof of the instrument concept it is recommended to significantly extend the RD commercialization support allocation so that it could cover the absorption capacity in this sector.</w:t>
      </w:r>
    </w:p>
    <w:p w14:paraId="5BE784E9" w14:textId="77777777" w:rsidR="006D3AD5" w:rsidRPr="00A50943" w:rsidRDefault="006D3AD5" w:rsidP="006D3AD5">
      <w:pPr>
        <w:rPr>
          <w:bCs/>
        </w:rPr>
      </w:pPr>
    </w:p>
    <w:p w14:paraId="5BE2C9B7" w14:textId="77777777" w:rsidR="006D3AD5" w:rsidRPr="002C224A" w:rsidRDefault="006D3AD5" w:rsidP="006D3AD5">
      <w:pPr>
        <w:pStyle w:val="Nadpis4"/>
        <w:rPr>
          <w:rFonts w:ascii="Calibri" w:hAnsi="Calibri"/>
        </w:rPr>
      </w:pPr>
      <w:bookmarkStart w:id="1057" w:name="_Toc416800485"/>
      <w:r>
        <w:rPr>
          <w:rFonts w:ascii="Calibri" w:hAnsi="Calibri"/>
        </w:rPr>
        <w:t>Most suitable implementation possibilities</w:t>
      </w:r>
    </w:p>
    <w:p w14:paraId="266160FA" w14:textId="300BB04D" w:rsidR="006D3AD5" w:rsidRDefault="005F24B5" w:rsidP="006D3AD5">
      <w:r>
        <w:t>Implementation of FI in SC 1.2 is supposed in the framework of newly established structure of the National investment fund.</w:t>
      </w:r>
    </w:p>
    <w:p w14:paraId="0FA3F261" w14:textId="77777777" w:rsidR="00A551BA" w:rsidRDefault="00A551BA" w:rsidP="006D3AD5"/>
    <w:p w14:paraId="232713FA" w14:textId="4CFB769A" w:rsidR="00A551BA" w:rsidRDefault="00913C1F" w:rsidP="00A551BA">
      <w:pPr>
        <w:pStyle w:val="Titulek"/>
      </w:pPr>
      <w:r w:rsidRPr="005F24B5">
        <w:rPr>
          <w:noProof/>
          <w:lang w:eastAsia="cs-CZ"/>
        </w:rPr>
        <w:drawing>
          <wp:anchor distT="0" distB="0" distL="114300" distR="114300" simplePos="0" relativeHeight="251694592" behindDoc="0" locked="0" layoutInCell="1" allowOverlap="1" wp14:anchorId="2B51B9EC" wp14:editId="346AE3E3">
            <wp:simplePos x="0" y="0"/>
            <wp:positionH relativeFrom="column">
              <wp:posOffset>-5080</wp:posOffset>
            </wp:positionH>
            <wp:positionV relativeFrom="paragraph">
              <wp:posOffset>176530</wp:posOffset>
            </wp:positionV>
            <wp:extent cx="5761990" cy="4010025"/>
            <wp:effectExtent l="0" t="0" r="0" b="952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894" r="8853" b="12538"/>
                    <a:stretch/>
                  </pic:blipFill>
                  <pic:spPr bwMode="auto">
                    <a:xfrm>
                      <a:off x="0" y="0"/>
                      <a:ext cx="5761990" cy="401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1BA">
        <w:t>Figure: Equity instrument – the National innovation fund</w:t>
      </w:r>
    </w:p>
    <w:p w14:paraId="3A7273E5" w14:textId="3E653DAA" w:rsidR="005F24B5" w:rsidRPr="00A50943" w:rsidRDefault="005F24B5" w:rsidP="006D3AD5"/>
    <w:bookmarkEnd w:id="1057"/>
    <w:p w14:paraId="167FC4A9" w14:textId="549884A2" w:rsidR="006D3AD5" w:rsidRPr="002C224A" w:rsidRDefault="006D3AD5" w:rsidP="006D3AD5">
      <w:r>
        <w:lastRenderedPageBreak/>
        <w:t>Two basic financial instrument equity investment models were proposed for the observed area. One is based centrally and the other one is decentralized. Based on the preliminary analysis of the OP EIC managing authority both variants are viable.</w:t>
      </w:r>
      <w:r w:rsidR="00516F33">
        <w:t xml:space="preserve"> Nevertheless, the bellow stated schemes are only indikative.</w:t>
      </w:r>
      <w:r>
        <w:t xml:space="preserve"> The selection of the specific implementation variant will be made based on a detailed analysis of related processes that goes beyond the requirements of the FI preliminary analysis.</w:t>
      </w:r>
    </w:p>
    <w:p w14:paraId="3EA84ECE" w14:textId="7A252C4A" w:rsidR="006D3AD5" w:rsidRPr="002C224A" w:rsidRDefault="006D3AD5" w:rsidP="006D3AD5">
      <w:pPr>
        <w:jc w:val="center"/>
      </w:pPr>
    </w:p>
    <w:p w14:paraId="19A5ABFE" w14:textId="2F811D64" w:rsidR="006D3AD5" w:rsidRDefault="00515256" w:rsidP="006D3AD5">
      <w:pPr>
        <w:pStyle w:val="Titulek"/>
      </w:pPr>
      <w:r w:rsidRPr="00515256">
        <w:rPr>
          <w:noProof/>
          <w:lang w:eastAsia="cs-CZ"/>
        </w:rPr>
        <w:drawing>
          <wp:anchor distT="0" distB="0" distL="114300" distR="114300" simplePos="0" relativeHeight="251692544" behindDoc="0" locked="0" layoutInCell="1" allowOverlap="1" wp14:anchorId="3CE59F73" wp14:editId="04804607">
            <wp:simplePos x="0" y="0"/>
            <wp:positionH relativeFrom="margin">
              <wp:align>left</wp:align>
            </wp:positionH>
            <wp:positionV relativeFrom="paragraph">
              <wp:posOffset>292099</wp:posOffset>
            </wp:positionV>
            <wp:extent cx="4914900" cy="3686176"/>
            <wp:effectExtent l="0" t="0" r="0" b="9525"/>
            <wp:wrapTopAndBottom/>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14900" cy="3686176"/>
                    </a:xfrm>
                    <a:prstGeom prst="rect">
                      <a:avLst/>
                    </a:prstGeom>
                  </pic:spPr>
                </pic:pic>
              </a:graphicData>
            </a:graphic>
            <wp14:sizeRelH relativeFrom="margin">
              <wp14:pctWidth>0</wp14:pctWidth>
            </wp14:sizeRelH>
            <wp14:sizeRelV relativeFrom="margin">
              <wp14:pctHeight>0</wp14:pctHeight>
            </wp14:sizeRelV>
          </wp:anchor>
        </w:drawing>
      </w:r>
      <w:r w:rsidR="006D3AD5">
        <w:t xml:space="preserve">Figure </w:t>
      </w:r>
      <w:r w:rsidR="00B8502D">
        <w:t>38</w:t>
      </w:r>
      <w:r w:rsidR="006D3AD5">
        <w:t>: General scheme of the decentralized Pre-seed fund model</w:t>
      </w:r>
    </w:p>
    <w:p w14:paraId="7EF4B99A" w14:textId="27F20C2B" w:rsidR="006D3AD5" w:rsidRPr="002C224A" w:rsidRDefault="00913C1F" w:rsidP="006D3AD5">
      <w:pPr>
        <w:pStyle w:val="Titulek"/>
      </w:pPr>
      <w:r w:rsidRPr="009E67D1">
        <w:rPr>
          <w:noProof/>
          <w:lang w:eastAsia="cs-CZ"/>
        </w:rPr>
        <w:drawing>
          <wp:anchor distT="0" distB="0" distL="114300" distR="114300" simplePos="0" relativeHeight="251688448" behindDoc="0" locked="0" layoutInCell="1" allowOverlap="1" wp14:anchorId="55D705BB" wp14:editId="3F4EA985">
            <wp:simplePos x="0" y="0"/>
            <wp:positionH relativeFrom="margin">
              <wp:posOffset>-156845</wp:posOffset>
            </wp:positionH>
            <wp:positionV relativeFrom="paragraph">
              <wp:posOffset>4044950</wp:posOffset>
            </wp:positionV>
            <wp:extent cx="5205730" cy="3666490"/>
            <wp:effectExtent l="0" t="0" r="0" b="0"/>
            <wp:wrapTopAndBottom/>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6107"/>
                    <a:stretch/>
                  </pic:blipFill>
                  <pic:spPr bwMode="auto">
                    <a:xfrm>
                      <a:off x="0" y="0"/>
                      <a:ext cx="5205730" cy="366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AD5">
        <w:t xml:space="preserve">Figure </w:t>
      </w:r>
      <w:r w:rsidR="00B8502D">
        <w:t>39</w:t>
      </w:r>
      <w:r w:rsidR="006D3AD5">
        <w:t>: General scheme of the centralized Pre-seed OP EIC fund model</w:t>
      </w:r>
    </w:p>
    <w:p w14:paraId="356F96A7" w14:textId="494541C6" w:rsidR="006D3AD5" w:rsidRPr="002C224A" w:rsidRDefault="006D3AD5" w:rsidP="006D3AD5">
      <w:pPr>
        <w:pStyle w:val="Nadpis4"/>
        <w:rPr>
          <w:rFonts w:ascii="Calibri" w:hAnsi="Calibri"/>
        </w:rPr>
      </w:pPr>
      <w:bookmarkStart w:id="1058" w:name="_Toc416800486"/>
      <w:r>
        <w:rPr>
          <w:rFonts w:ascii="Calibri" w:hAnsi="Calibri"/>
        </w:rPr>
        <w:lastRenderedPageBreak/>
        <w:t>Model scenarios of portfolio development, number of investments and the revolving effect</w:t>
      </w:r>
    </w:p>
    <w:p w14:paraId="14F34842" w14:textId="37D1B3D3" w:rsidR="006D3AD5" w:rsidRPr="002C224A" w:rsidRDefault="006D3AD5" w:rsidP="006D3AD5">
      <w:pPr>
        <w:rPr>
          <w:b/>
        </w:rPr>
      </w:pPr>
      <w:r>
        <w:t>The Proof-of-concept instrument result modelling is hard to elaborate given the uniqueness and yet uncertain investment strategy.</w:t>
      </w:r>
      <w:r w:rsidR="00516F33">
        <w:t xml:space="preserve"> A rough estimate was carried out based upon the assumption</w:t>
      </w:r>
      <w:r w:rsidR="00516F33" w:rsidRPr="007A178F">
        <w:t xml:space="preserve"> that private investors will not </w:t>
      </w:r>
      <w:r w:rsidR="00516F33">
        <w:t xml:space="preserve">directly </w:t>
      </w:r>
      <w:r w:rsidR="00516F33" w:rsidRPr="007A178F">
        <w:t xml:space="preserve">get involved in the first phase and </w:t>
      </w:r>
      <w:r w:rsidR="00516F33">
        <w:t xml:space="preserve">the </w:t>
      </w:r>
      <w:r w:rsidR="00516F33" w:rsidRPr="007A178F">
        <w:t xml:space="preserve">co-financing of the final recipients will be </w:t>
      </w:r>
      <w:r w:rsidR="00516F33">
        <w:t>on</w:t>
      </w:r>
      <w:r w:rsidR="00516F33" w:rsidRPr="007A178F">
        <w:t xml:space="preserve"> the level of 20 %</w:t>
      </w:r>
      <w:r w:rsidR="00516F33">
        <w:t xml:space="preserve"> (the real results will depend on more detailed settings of the instrument).</w:t>
      </w:r>
      <w:r>
        <w:t xml:space="preserve"> </w:t>
      </w:r>
      <w:r>
        <w:rPr>
          <w:b/>
        </w:rPr>
        <w:t xml:space="preserve">With the expected average project value of CZK </w:t>
      </w:r>
      <w:r w:rsidR="00516F33">
        <w:rPr>
          <w:b/>
        </w:rPr>
        <w:t xml:space="preserve">25 </w:t>
      </w:r>
      <w:r>
        <w:rPr>
          <w:b/>
        </w:rPr>
        <w:t>million</w:t>
      </w:r>
      <w:r w:rsidR="001B5BB1">
        <w:rPr>
          <w:rStyle w:val="Znakapoznpodarou"/>
          <w:b/>
        </w:rPr>
        <w:footnoteReference w:id="58"/>
      </w:r>
      <w:r>
        <w:rPr>
          <w:b/>
        </w:rPr>
        <w:t xml:space="preserve"> and the proposed minimum FI allocation (in combination with grant support) from 30 to 35 projects will be supported.</w:t>
      </w:r>
    </w:p>
    <w:p w14:paraId="5427B94F" w14:textId="77777777" w:rsidR="006D3AD5" w:rsidRDefault="006D3AD5" w:rsidP="006D3AD5"/>
    <w:p w14:paraId="6E645AA1" w14:textId="11A4BD6C" w:rsidR="00516F33" w:rsidRDefault="00516F33" w:rsidP="00516F33">
      <w:pPr>
        <w:pStyle w:val="Titulek"/>
        <w:keepNext/>
      </w:pPr>
      <w:r>
        <w:t xml:space="preserve">Table </w:t>
      </w:r>
      <w:r w:rsidR="00396AB4">
        <w:t>10</w:t>
      </w:r>
      <w:r w:rsidR="00B90ACD">
        <w:t>1</w:t>
      </w:r>
      <w:r>
        <w:t>: SO 1.2 model results</w:t>
      </w:r>
    </w:p>
    <w:tbl>
      <w:tblPr>
        <w:tblW w:w="4360" w:type="dxa"/>
        <w:tblInd w:w="70" w:type="dxa"/>
        <w:tblCellMar>
          <w:left w:w="70" w:type="dxa"/>
          <w:right w:w="70" w:type="dxa"/>
        </w:tblCellMar>
        <w:tblLook w:val="04A0" w:firstRow="1" w:lastRow="0" w:firstColumn="1" w:lastColumn="0" w:noHBand="0" w:noVBand="1"/>
      </w:tblPr>
      <w:tblGrid>
        <w:gridCol w:w="3880"/>
        <w:gridCol w:w="480"/>
      </w:tblGrid>
      <w:tr w:rsidR="00516F33" w:rsidRPr="00623752" w14:paraId="5EEC3829" w14:textId="77777777" w:rsidTr="007A67F5">
        <w:trPr>
          <w:trHeight w:val="300"/>
        </w:trPr>
        <w:tc>
          <w:tcPr>
            <w:tcW w:w="4360" w:type="dxa"/>
            <w:gridSpan w:val="2"/>
            <w:tcBorders>
              <w:top w:val="single" w:sz="4" w:space="0" w:color="5B9BD5"/>
              <w:left w:val="single" w:sz="4" w:space="0" w:color="5B9BD5"/>
              <w:bottom w:val="single" w:sz="4" w:space="0" w:color="5B9BD5"/>
              <w:right w:val="single" w:sz="4" w:space="0" w:color="5B9BD5"/>
            </w:tcBorders>
            <w:shd w:val="clear" w:color="5B9BD5" w:fill="5B9BD5"/>
            <w:noWrap/>
            <w:vAlign w:val="bottom"/>
          </w:tcPr>
          <w:p w14:paraId="1AF5B34C" w14:textId="51B56B40" w:rsidR="00516F33" w:rsidRPr="00623752" w:rsidRDefault="00516F33" w:rsidP="007A67F5">
            <w:pPr>
              <w:overflowPunct/>
              <w:autoSpaceDE/>
              <w:autoSpaceDN/>
              <w:adjustRightInd/>
              <w:jc w:val="center"/>
              <w:textAlignment w:val="auto"/>
              <w:rPr>
                <w:b/>
                <w:bCs/>
                <w:color w:val="FFFFFF"/>
                <w:szCs w:val="22"/>
              </w:rPr>
            </w:pPr>
            <w:r>
              <w:rPr>
                <w:b/>
                <w:bCs/>
                <w:color w:val="FFFFFF"/>
                <w:szCs w:val="22"/>
              </w:rPr>
              <w:t>SO 1.2 model results</w:t>
            </w:r>
          </w:p>
        </w:tc>
      </w:tr>
      <w:tr w:rsidR="00516F33" w:rsidRPr="00623752" w14:paraId="782A0897" w14:textId="77777777" w:rsidTr="007A67F5">
        <w:trPr>
          <w:trHeight w:val="300"/>
        </w:trPr>
        <w:tc>
          <w:tcPr>
            <w:tcW w:w="3880" w:type="dxa"/>
            <w:tcBorders>
              <w:top w:val="nil"/>
              <w:left w:val="single" w:sz="4" w:space="0" w:color="5B9BD5"/>
              <w:bottom w:val="nil"/>
              <w:right w:val="nil"/>
            </w:tcBorders>
            <w:shd w:val="clear" w:color="auto" w:fill="auto"/>
            <w:noWrap/>
            <w:vAlign w:val="bottom"/>
          </w:tcPr>
          <w:p w14:paraId="273356A9" w14:textId="19978447" w:rsidR="00516F33" w:rsidRPr="00623752" w:rsidRDefault="0001529C" w:rsidP="00B225B7">
            <w:pPr>
              <w:overflowPunct/>
              <w:autoSpaceDE/>
              <w:autoSpaceDN/>
              <w:adjustRightInd/>
              <w:jc w:val="left"/>
              <w:textAlignment w:val="auto"/>
              <w:rPr>
                <w:color w:val="000000"/>
                <w:szCs w:val="22"/>
              </w:rPr>
            </w:pPr>
            <w:r>
              <w:rPr>
                <w:color w:val="000000"/>
                <w:szCs w:val="22"/>
              </w:rPr>
              <w:t>Allocation</w:t>
            </w:r>
            <w:r w:rsidR="00516F33">
              <w:rPr>
                <w:color w:val="000000"/>
                <w:szCs w:val="22"/>
              </w:rPr>
              <w:t xml:space="preserve"> (</w:t>
            </w:r>
            <w:r>
              <w:rPr>
                <w:color w:val="000000"/>
                <w:szCs w:val="22"/>
              </w:rPr>
              <w:t>CZK millions</w:t>
            </w:r>
            <w:r w:rsidR="00516F33">
              <w:rPr>
                <w:color w:val="000000"/>
                <w:szCs w:val="22"/>
              </w:rPr>
              <w:t>)</w:t>
            </w:r>
          </w:p>
        </w:tc>
        <w:tc>
          <w:tcPr>
            <w:tcW w:w="480" w:type="dxa"/>
            <w:tcBorders>
              <w:top w:val="nil"/>
              <w:left w:val="nil"/>
              <w:bottom w:val="nil"/>
              <w:right w:val="single" w:sz="4" w:space="0" w:color="5B9BD5"/>
            </w:tcBorders>
            <w:shd w:val="clear" w:color="auto" w:fill="auto"/>
            <w:noWrap/>
            <w:vAlign w:val="bottom"/>
          </w:tcPr>
          <w:p w14:paraId="77905C18" w14:textId="77777777" w:rsidR="00516F33" w:rsidRPr="00623752" w:rsidRDefault="00516F33" w:rsidP="007A67F5">
            <w:pPr>
              <w:overflowPunct/>
              <w:autoSpaceDE/>
              <w:autoSpaceDN/>
              <w:adjustRightInd/>
              <w:jc w:val="right"/>
              <w:textAlignment w:val="auto"/>
              <w:rPr>
                <w:color w:val="000000"/>
                <w:szCs w:val="22"/>
              </w:rPr>
            </w:pPr>
            <w:r w:rsidRPr="00623752">
              <w:rPr>
                <w:color w:val="000000"/>
                <w:szCs w:val="22"/>
              </w:rPr>
              <w:t>550</w:t>
            </w:r>
            <w:r>
              <w:rPr>
                <w:color w:val="000000"/>
                <w:szCs w:val="22"/>
              </w:rPr>
              <w:t xml:space="preserve"> </w:t>
            </w:r>
          </w:p>
        </w:tc>
      </w:tr>
      <w:tr w:rsidR="00516F33" w:rsidRPr="00623752" w14:paraId="42F9EE17" w14:textId="77777777" w:rsidTr="007A67F5">
        <w:trPr>
          <w:trHeight w:val="300"/>
        </w:trPr>
        <w:tc>
          <w:tcPr>
            <w:tcW w:w="3880" w:type="dxa"/>
            <w:tcBorders>
              <w:top w:val="single" w:sz="4" w:space="0" w:color="5B9BD5"/>
              <w:left w:val="single" w:sz="4" w:space="0" w:color="5B9BD5"/>
              <w:bottom w:val="nil"/>
              <w:right w:val="nil"/>
            </w:tcBorders>
            <w:shd w:val="clear" w:color="auto" w:fill="auto"/>
            <w:noWrap/>
            <w:vAlign w:val="bottom"/>
          </w:tcPr>
          <w:p w14:paraId="7F987D11" w14:textId="433A0D6C" w:rsidR="00516F33" w:rsidRPr="00623752" w:rsidRDefault="0001529C" w:rsidP="00B225B7">
            <w:pPr>
              <w:overflowPunct/>
              <w:autoSpaceDE/>
              <w:autoSpaceDN/>
              <w:adjustRightInd/>
              <w:jc w:val="left"/>
              <w:textAlignment w:val="auto"/>
              <w:rPr>
                <w:color w:val="000000"/>
                <w:szCs w:val="22"/>
              </w:rPr>
            </w:pPr>
            <w:r>
              <w:rPr>
                <w:color w:val="000000"/>
                <w:szCs w:val="22"/>
              </w:rPr>
              <w:t>Average costs for a project (CZK millions)</w:t>
            </w:r>
          </w:p>
        </w:tc>
        <w:tc>
          <w:tcPr>
            <w:tcW w:w="480" w:type="dxa"/>
            <w:tcBorders>
              <w:top w:val="single" w:sz="4" w:space="0" w:color="5B9BD5"/>
              <w:left w:val="nil"/>
              <w:bottom w:val="nil"/>
              <w:right w:val="single" w:sz="4" w:space="0" w:color="5B9BD5"/>
            </w:tcBorders>
            <w:shd w:val="clear" w:color="auto" w:fill="auto"/>
            <w:noWrap/>
            <w:vAlign w:val="bottom"/>
          </w:tcPr>
          <w:p w14:paraId="1802EAE4" w14:textId="77777777" w:rsidR="00516F33" w:rsidRPr="00623752" w:rsidRDefault="00516F33" w:rsidP="007A67F5">
            <w:pPr>
              <w:overflowPunct/>
              <w:autoSpaceDE/>
              <w:autoSpaceDN/>
              <w:adjustRightInd/>
              <w:jc w:val="right"/>
              <w:textAlignment w:val="auto"/>
              <w:rPr>
                <w:color w:val="000000"/>
                <w:szCs w:val="22"/>
              </w:rPr>
            </w:pPr>
            <w:r>
              <w:rPr>
                <w:color w:val="000000"/>
                <w:szCs w:val="22"/>
              </w:rPr>
              <w:t>25</w:t>
            </w:r>
          </w:p>
        </w:tc>
      </w:tr>
      <w:tr w:rsidR="00516F33" w:rsidRPr="00623752" w14:paraId="436F326F" w14:textId="77777777" w:rsidTr="007A67F5">
        <w:trPr>
          <w:trHeight w:val="300"/>
        </w:trPr>
        <w:tc>
          <w:tcPr>
            <w:tcW w:w="3880" w:type="dxa"/>
            <w:tcBorders>
              <w:top w:val="single" w:sz="4" w:space="0" w:color="5B9BD5"/>
              <w:left w:val="single" w:sz="4" w:space="0" w:color="5B9BD5"/>
              <w:bottom w:val="single" w:sz="4" w:space="0" w:color="5B9BD5"/>
              <w:right w:val="nil"/>
            </w:tcBorders>
            <w:shd w:val="clear" w:color="auto" w:fill="auto"/>
            <w:noWrap/>
            <w:vAlign w:val="bottom"/>
          </w:tcPr>
          <w:p w14:paraId="092FCA37" w14:textId="1C78150F" w:rsidR="00516F33" w:rsidRPr="00623752" w:rsidRDefault="0001529C" w:rsidP="007A67F5">
            <w:pPr>
              <w:overflowPunct/>
              <w:autoSpaceDE/>
              <w:autoSpaceDN/>
              <w:adjustRightInd/>
              <w:jc w:val="left"/>
              <w:textAlignment w:val="auto"/>
              <w:rPr>
                <w:color w:val="000000"/>
                <w:szCs w:val="22"/>
              </w:rPr>
            </w:pPr>
            <w:r>
              <w:rPr>
                <w:color w:val="000000"/>
                <w:szCs w:val="22"/>
              </w:rPr>
              <w:t>Expected number of projects</w:t>
            </w:r>
          </w:p>
        </w:tc>
        <w:tc>
          <w:tcPr>
            <w:tcW w:w="480" w:type="dxa"/>
            <w:tcBorders>
              <w:top w:val="single" w:sz="4" w:space="0" w:color="5B9BD5"/>
              <w:left w:val="nil"/>
              <w:bottom w:val="single" w:sz="4" w:space="0" w:color="5B9BD5"/>
              <w:right w:val="single" w:sz="4" w:space="0" w:color="5B9BD5"/>
            </w:tcBorders>
            <w:shd w:val="clear" w:color="auto" w:fill="auto"/>
            <w:noWrap/>
            <w:vAlign w:val="bottom"/>
          </w:tcPr>
          <w:p w14:paraId="096D5C00" w14:textId="77777777" w:rsidR="00516F33" w:rsidRPr="00623752" w:rsidRDefault="00516F33" w:rsidP="007A67F5">
            <w:pPr>
              <w:overflowPunct/>
              <w:autoSpaceDE/>
              <w:autoSpaceDN/>
              <w:adjustRightInd/>
              <w:jc w:val="right"/>
              <w:textAlignment w:val="auto"/>
              <w:rPr>
                <w:color w:val="000000"/>
                <w:szCs w:val="22"/>
              </w:rPr>
            </w:pPr>
            <w:r>
              <w:rPr>
                <w:color w:val="000000"/>
                <w:szCs w:val="22"/>
              </w:rPr>
              <w:t>22</w:t>
            </w:r>
          </w:p>
        </w:tc>
      </w:tr>
    </w:tbl>
    <w:p w14:paraId="3AB136C4" w14:textId="77777777" w:rsidR="00516F33" w:rsidRDefault="00516F33" w:rsidP="006D3AD5"/>
    <w:p w14:paraId="3B8EBFE4" w14:textId="77777777" w:rsidR="00516F33" w:rsidRPr="002C224A" w:rsidRDefault="00516F33" w:rsidP="006D3AD5"/>
    <w:p w14:paraId="12FCE16C" w14:textId="5C5B58A9" w:rsidR="006D3AD5" w:rsidRPr="002C224A" w:rsidRDefault="006D3AD5" w:rsidP="006D3AD5">
      <w:r>
        <w:t>Given the projects characteristics and high risk the fund will not be profitable in short-term in terms of invested funds. The revolving effect will therefore be very limited within one programming period</w:t>
      </w:r>
      <w:r w:rsidR="00625998">
        <w:t>, given the expected later launching of the fund</w:t>
      </w:r>
      <w:r>
        <w:t>. A significant role in the instrument success will be played by the implementation of the venture equity instrument in the SO 2.1.</w:t>
      </w:r>
    </w:p>
    <w:p w14:paraId="0A6097EC" w14:textId="77777777" w:rsidR="006D3AD5" w:rsidRPr="002C224A" w:rsidRDefault="006D3AD5" w:rsidP="006D3AD5"/>
    <w:p w14:paraId="36B0E83D" w14:textId="77777777" w:rsidR="006D3AD5" w:rsidRPr="002C224A" w:rsidRDefault="006D3AD5" w:rsidP="006D3AD5">
      <w:r>
        <w:t>It is expected that using the equity instrument in the Proof-of-concept programme will bring apart from direct quantifiable indicators the improvement of environment in public research organization with regard to commercial activities. The instrument should contribute to higher motivation of RD institutions to evaluate their results and support professionalization in this area. In the long term, the research organizations should profit not only financially by connection with private investors, increase in contractual research connected to the sold know-how and by prestige in case of success of any project.</w:t>
      </w:r>
    </w:p>
    <w:p w14:paraId="3BCA4C25" w14:textId="77777777" w:rsidR="006D3AD5" w:rsidRPr="002C224A" w:rsidRDefault="006D3AD5" w:rsidP="006D3AD5"/>
    <w:p w14:paraId="5AD7F511" w14:textId="77777777" w:rsidR="006D3AD5" w:rsidRPr="002C224A" w:rsidRDefault="006D3AD5" w:rsidP="006D3AD5">
      <w:pPr>
        <w:pStyle w:val="Nadpis4"/>
        <w:rPr>
          <w:rFonts w:ascii="Calibri" w:hAnsi="Calibri"/>
        </w:rPr>
      </w:pPr>
      <w:r>
        <w:rPr>
          <w:rFonts w:ascii="Calibri" w:hAnsi="Calibri"/>
        </w:rPr>
        <w:t xml:space="preserve">Expected results </w:t>
      </w:r>
    </w:p>
    <w:p w14:paraId="29E16DE9" w14:textId="77777777" w:rsidR="006D3AD5" w:rsidRPr="00A50943" w:rsidRDefault="006D3AD5" w:rsidP="006D3AD5">
      <w:pPr>
        <w:pStyle w:val="Odstavecseseznamem2"/>
        <w:overflowPunct w:val="0"/>
        <w:autoSpaceDE w:val="0"/>
        <w:autoSpaceDN w:val="0"/>
        <w:adjustRightInd w:val="0"/>
        <w:spacing w:after="160"/>
        <w:ind w:left="0"/>
        <w:jc w:val="both"/>
        <w:textAlignment w:val="baseline"/>
      </w:pPr>
    </w:p>
    <w:p w14:paraId="48424A3A"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t>The next table shows the main objective indicators of the SO 1.2 defined in the operational programme.</w:t>
      </w:r>
    </w:p>
    <w:p w14:paraId="322670F5" w14:textId="46D26BB6" w:rsidR="006D3AD5" w:rsidRDefault="006D3AD5" w:rsidP="006D3AD5">
      <w:pPr>
        <w:pStyle w:val="Titulek"/>
        <w:keepNext/>
      </w:pPr>
      <w:r>
        <w:t>Table</w:t>
      </w:r>
      <w:r w:rsidR="00396AB4">
        <w:t xml:space="preserve"> 10</w:t>
      </w:r>
      <w:r w:rsidR="00B90ACD">
        <w:t>2</w:t>
      </w:r>
      <w:r>
        <w:t>: SO 1.2 result indicators</w:t>
      </w:r>
    </w:p>
    <w:tbl>
      <w:tblPr>
        <w:tblW w:w="9186" w:type="dxa"/>
        <w:tblCellMar>
          <w:left w:w="57" w:type="dxa"/>
          <w:right w:w="57" w:type="dxa"/>
        </w:tblCellMar>
        <w:tblLook w:val="01E0" w:firstRow="1" w:lastRow="1" w:firstColumn="1" w:lastColumn="1" w:noHBand="0" w:noVBand="0"/>
      </w:tblPr>
      <w:tblGrid>
        <w:gridCol w:w="1984"/>
        <w:gridCol w:w="1392"/>
        <w:gridCol w:w="1172"/>
        <w:gridCol w:w="1014"/>
        <w:gridCol w:w="784"/>
        <w:gridCol w:w="854"/>
        <w:gridCol w:w="952"/>
        <w:gridCol w:w="1034"/>
      </w:tblGrid>
      <w:tr w:rsidR="006D3AD5" w:rsidRPr="00360BA1" w14:paraId="37F2718C"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7C83156"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6196AEA"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8274F1A"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1265D8"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7DA01A8"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17E8358"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D817D70"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B633EB"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5EF6480B"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6AFAE405" w14:textId="77777777" w:rsidR="006D3AD5" w:rsidRPr="00AA6FED" w:rsidRDefault="006D3AD5" w:rsidP="00443B8F">
            <w:pPr>
              <w:pStyle w:val="Tabulka"/>
              <w:rPr>
                <w:rFonts w:ascii="Calibri" w:hAnsi="Calibri" w:cs="Calibri"/>
              </w:rPr>
            </w:pPr>
            <w:r>
              <w:rPr>
                <w:rFonts w:ascii="Calibri" w:hAnsi="Calibri"/>
              </w:rPr>
              <w:t>Expenses of the business sector for RD in the government</w:t>
            </w:r>
          </w:p>
          <w:p w14:paraId="360A7DB1" w14:textId="77777777" w:rsidR="006D3AD5" w:rsidRPr="00AA6FED" w:rsidRDefault="006D3AD5" w:rsidP="00443B8F">
            <w:pPr>
              <w:pStyle w:val="Tabulka"/>
              <w:rPr>
                <w:rFonts w:ascii="Calibri" w:hAnsi="Calibri" w:cs="Calibri"/>
              </w:rPr>
            </w:pPr>
            <w:r>
              <w:rPr>
                <w:rFonts w:ascii="Calibri" w:hAnsi="Calibri"/>
              </w:rPr>
              <w:t xml:space="preserve">and university sector as a % </w:t>
            </w:r>
          </w:p>
          <w:p w14:paraId="4B84BC1A" w14:textId="77777777" w:rsidR="006D3AD5" w:rsidRPr="00360BA1" w:rsidRDefault="006D3AD5" w:rsidP="00443B8F">
            <w:pPr>
              <w:pStyle w:val="Tabulka"/>
              <w:rPr>
                <w:rFonts w:ascii="Calibri" w:hAnsi="Calibri" w:cs="Calibri"/>
              </w:rPr>
            </w:pPr>
            <w:r>
              <w:rPr>
                <w:rFonts w:ascii="Calibri" w:hAnsi="Calibri"/>
              </w:rPr>
              <w:t>from the total expenses on RD in these sectors</w:t>
            </w:r>
          </w:p>
        </w:tc>
        <w:tc>
          <w:tcPr>
            <w:tcW w:w="1033" w:type="dxa"/>
            <w:tcBorders>
              <w:top w:val="single" w:sz="4" w:space="0" w:color="000000"/>
              <w:left w:val="single" w:sz="4" w:space="0" w:color="000000"/>
              <w:bottom w:val="single" w:sz="4" w:space="0" w:color="000000"/>
              <w:right w:val="single" w:sz="4" w:space="0" w:color="000000"/>
            </w:tcBorders>
            <w:vAlign w:val="center"/>
          </w:tcPr>
          <w:p w14:paraId="3E311241" w14:textId="77777777" w:rsidR="006D3AD5" w:rsidRPr="00360BA1" w:rsidRDefault="006D3AD5" w:rsidP="00443B8F">
            <w:pPr>
              <w:pStyle w:val="Tabulka"/>
              <w:rPr>
                <w:rFonts w:ascii="Calibri" w:hAnsi="Calibri" w:cs="Calibri"/>
              </w:rPr>
            </w:pPr>
            <w:r>
              <w:rPr>
                <w:rFonts w:ascii="Calibri" w:hAnsi="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7B961529"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47B6C606" w14:textId="77777777" w:rsidR="006D3AD5" w:rsidRPr="00360BA1" w:rsidRDefault="006D3AD5" w:rsidP="00443B8F">
            <w:pPr>
              <w:pStyle w:val="Tabulka"/>
              <w:rPr>
                <w:rFonts w:ascii="Calibri" w:hAnsi="Calibri" w:cs="Calibri"/>
              </w:rPr>
            </w:pPr>
            <w:r>
              <w:rPr>
                <w:rFonts w:ascii="Calibri" w:hAnsi="Calibri"/>
              </w:rPr>
              <w:t>5.6</w:t>
            </w:r>
          </w:p>
        </w:tc>
        <w:tc>
          <w:tcPr>
            <w:tcW w:w="819" w:type="dxa"/>
            <w:tcBorders>
              <w:top w:val="single" w:sz="4" w:space="0" w:color="000000"/>
              <w:left w:val="single" w:sz="4" w:space="0" w:color="000000"/>
              <w:bottom w:val="single" w:sz="4" w:space="0" w:color="000000"/>
              <w:right w:val="single" w:sz="4" w:space="0" w:color="000000"/>
            </w:tcBorders>
            <w:vAlign w:val="center"/>
          </w:tcPr>
          <w:p w14:paraId="49D79F08"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6FFCE15A" w14:textId="77777777" w:rsidR="006D3AD5" w:rsidRPr="00360BA1" w:rsidRDefault="006D3AD5" w:rsidP="00443B8F">
            <w:pPr>
              <w:pStyle w:val="Tabulka"/>
              <w:rPr>
                <w:rFonts w:ascii="Calibri" w:hAnsi="Calibri" w:cs="Calibri"/>
              </w:rPr>
            </w:pPr>
            <w:r>
              <w:rPr>
                <w:rFonts w:ascii="Calibri" w:hAnsi="Calibri"/>
              </w:rPr>
              <w:t>6.5/-7.5:</w:t>
            </w:r>
          </w:p>
        </w:tc>
        <w:tc>
          <w:tcPr>
            <w:tcW w:w="1008" w:type="dxa"/>
            <w:tcBorders>
              <w:top w:val="single" w:sz="4" w:space="0" w:color="000000"/>
              <w:left w:val="single" w:sz="4" w:space="0" w:color="000000"/>
              <w:bottom w:val="single" w:sz="4" w:space="0" w:color="000000"/>
              <w:right w:val="single" w:sz="4" w:space="0" w:color="000000"/>
            </w:tcBorders>
            <w:vAlign w:val="center"/>
          </w:tcPr>
          <w:p w14:paraId="535E25AB" w14:textId="77777777" w:rsidR="006D3AD5" w:rsidRPr="00A52D1B" w:rsidRDefault="006D3AD5" w:rsidP="00443B8F">
            <w:pPr>
              <w:pStyle w:val="Tabulka"/>
              <w:rPr>
                <w:rFonts w:ascii="Calibri" w:hAnsi="Calibri" w:cs="Calibri"/>
              </w:rPr>
            </w:pPr>
            <w:r>
              <w:rPr>
                <w:rFonts w:ascii="Calibri" w:hAnsi="Calibri"/>
              </w:rPr>
              <w:t>MA based</w:t>
            </w:r>
          </w:p>
          <w:p w14:paraId="5DD7E138" w14:textId="77777777" w:rsidR="006D3AD5" w:rsidRPr="00A52D1B" w:rsidRDefault="006D3AD5" w:rsidP="00443B8F">
            <w:pPr>
              <w:pStyle w:val="Tabulka"/>
              <w:rPr>
                <w:rFonts w:ascii="Calibri" w:hAnsi="Calibri" w:cs="Calibri"/>
              </w:rPr>
            </w:pPr>
            <w:r>
              <w:rPr>
                <w:rFonts w:ascii="Calibri" w:hAnsi="Calibri"/>
              </w:rPr>
              <w:t>on the</w:t>
            </w:r>
          </w:p>
          <w:p w14:paraId="3DE801DA" w14:textId="77777777" w:rsidR="006D3AD5" w:rsidRPr="00360BA1" w:rsidRDefault="006D3AD5" w:rsidP="00443B8F">
            <w:pPr>
              <w:pStyle w:val="Tabulka"/>
              <w:rPr>
                <w:rFonts w:ascii="Calibri" w:hAnsi="Calibri" w:cs="Calibri"/>
              </w:rPr>
            </w:pPr>
            <w:r>
              <w:rPr>
                <w:rFonts w:ascii="Calibri" w:hAnsi="Calibri"/>
              </w:rPr>
              <w:t>CSO data</w:t>
            </w:r>
          </w:p>
        </w:tc>
        <w:tc>
          <w:tcPr>
            <w:tcW w:w="962" w:type="dxa"/>
            <w:tcBorders>
              <w:top w:val="single" w:sz="4" w:space="0" w:color="000000"/>
              <w:left w:val="single" w:sz="4" w:space="0" w:color="000000"/>
              <w:bottom w:val="single" w:sz="4" w:space="0" w:color="000000"/>
              <w:right w:val="single" w:sz="4" w:space="0" w:color="000000"/>
            </w:tcBorders>
            <w:vAlign w:val="center"/>
          </w:tcPr>
          <w:p w14:paraId="089BE03D" w14:textId="77777777" w:rsidR="006D3AD5" w:rsidRPr="00A52D1B" w:rsidRDefault="006D3AD5" w:rsidP="00443B8F">
            <w:pPr>
              <w:pStyle w:val="Tabulka"/>
              <w:rPr>
                <w:rFonts w:ascii="Calibri" w:hAnsi="Calibri" w:cs="Calibri"/>
              </w:rPr>
            </w:pPr>
            <w:r>
              <w:rPr>
                <w:rFonts w:ascii="Calibri" w:hAnsi="Calibri"/>
              </w:rPr>
              <w:t>per year</w:t>
            </w:r>
          </w:p>
        </w:tc>
      </w:tr>
    </w:tbl>
    <w:p w14:paraId="2936BD91"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341328E9" w14:textId="77777777" w:rsidR="006D3AD5" w:rsidRDefault="006D3AD5" w:rsidP="006D3AD5">
      <w:pPr>
        <w:pStyle w:val="Odstavecseseznamem2"/>
        <w:overflowPunct w:val="0"/>
        <w:autoSpaceDE w:val="0"/>
        <w:autoSpaceDN w:val="0"/>
        <w:adjustRightInd w:val="0"/>
        <w:spacing w:after="160"/>
        <w:ind w:left="0"/>
        <w:jc w:val="both"/>
        <w:textAlignment w:val="baseline"/>
      </w:pPr>
      <w:r>
        <w:lastRenderedPageBreak/>
        <w:t>Financial instruments should participate in fulfilling these target values by reaching the target values of the following indicators general quantification of which was based on the model scenarios described above.</w:t>
      </w:r>
    </w:p>
    <w:p w14:paraId="5E154630" w14:textId="36FE40E5" w:rsidR="006D3AD5" w:rsidRDefault="006D3AD5" w:rsidP="006D3AD5">
      <w:pPr>
        <w:pStyle w:val="Titulek"/>
        <w:keepNext/>
      </w:pPr>
      <w:r>
        <w:t>Table</w:t>
      </w:r>
      <w:r w:rsidR="00396AB4">
        <w:t xml:space="preserve"> 10</w:t>
      </w:r>
      <w:r w:rsidR="00B90ACD">
        <w:t>3</w:t>
      </w:r>
      <w:r>
        <w:t>: FI target values</w:t>
      </w:r>
    </w:p>
    <w:tbl>
      <w:tblPr>
        <w:tblW w:w="0" w:type="auto"/>
        <w:tblCellMar>
          <w:left w:w="57" w:type="dxa"/>
          <w:right w:w="57" w:type="dxa"/>
        </w:tblCellMar>
        <w:tblLook w:val="01E0" w:firstRow="1" w:lastRow="1" w:firstColumn="1" w:lastColumn="1" w:noHBand="0" w:noVBand="0"/>
      </w:tblPr>
      <w:tblGrid>
        <w:gridCol w:w="3751"/>
        <w:gridCol w:w="1914"/>
        <w:gridCol w:w="1926"/>
        <w:gridCol w:w="1471"/>
      </w:tblGrid>
      <w:tr w:rsidR="006D3AD5" w:rsidRPr="002C224A" w14:paraId="403F498D" w14:textId="77777777" w:rsidTr="00443B8F">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1328D94"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6E676B"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824911"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239D8CF"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26CFD62E"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6F58395" w14:textId="77777777" w:rsidR="006D3AD5" w:rsidRPr="002C224A" w:rsidRDefault="006D3AD5" w:rsidP="00443B8F">
            <w:pPr>
              <w:pStyle w:val="Odstavecseseznamem2"/>
              <w:overflowPunct w:val="0"/>
              <w:autoSpaceDE w:val="0"/>
              <w:autoSpaceDN w:val="0"/>
              <w:adjustRightInd w:val="0"/>
              <w:spacing w:after="160"/>
              <w:ind w:left="0"/>
              <w:jc w:val="both"/>
              <w:textAlignment w:val="baseline"/>
            </w:pPr>
            <w:r>
              <w:t>Number of validated activities / Proof-of-concepts</w:t>
            </w:r>
          </w:p>
        </w:tc>
        <w:tc>
          <w:tcPr>
            <w:tcW w:w="0" w:type="auto"/>
            <w:tcBorders>
              <w:top w:val="single" w:sz="4" w:space="0" w:color="000000"/>
              <w:left w:val="single" w:sz="4" w:space="0" w:color="000000"/>
              <w:bottom w:val="single" w:sz="4" w:space="0" w:color="000000"/>
              <w:right w:val="single" w:sz="4" w:space="0" w:color="000000"/>
            </w:tcBorders>
            <w:vAlign w:val="center"/>
          </w:tcPr>
          <w:p w14:paraId="23C5D168" w14:textId="77777777" w:rsidR="006D3AD5" w:rsidRPr="002C224A" w:rsidRDefault="006D3AD5" w:rsidP="00443B8F">
            <w:pPr>
              <w:pStyle w:val="Tabulka"/>
              <w:rPr>
                <w:rFonts w:ascii="Calibri" w:hAnsi="Calibri" w:cs="Calibri"/>
              </w:rPr>
            </w:pPr>
            <w:r>
              <w:rPr>
                <w:rFonts w:ascii="Calibri" w:hAnsi="Calibri"/>
              </w:rPr>
              <w:t>Projects</w:t>
            </w:r>
          </w:p>
        </w:tc>
        <w:tc>
          <w:tcPr>
            <w:tcW w:w="0" w:type="auto"/>
            <w:tcBorders>
              <w:top w:val="single" w:sz="4" w:space="0" w:color="000000"/>
              <w:left w:val="single" w:sz="4" w:space="0" w:color="000000"/>
              <w:bottom w:val="single" w:sz="4" w:space="0" w:color="000000"/>
              <w:right w:val="single" w:sz="4" w:space="0" w:color="000000"/>
            </w:tcBorders>
            <w:vAlign w:val="center"/>
          </w:tcPr>
          <w:p w14:paraId="76FF5A4B"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3D37F571" w14:textId="1D2B3253" w:rsidR="006D3AD5" w:rsidRPr="002C224A" w:rsidRDefault="006D3AD5" w:rsidP="00B225B7">
            <w:pPr>
              <w:pStyle w:val="Tabulka"/>
              <w:rPr>
                <w:rFonts w:ascii="Calibri" w:hAnsi="Calibri" w:cs="Calibri"/>
              </w:rPr>
            </w:pPr>
            <w:r>
              <w:rPr>
                <w:rFonts w:ascii="Calibri" w:hAnsi="Calibri"/>
              </w:rPr>
              <w:t>2</w:t>
            </w:r>
            <w:r w:rsidR="00617C08">
              <w:rPr>
                <w:rFonts w:ascii="Calibri" w:hAnsi="Calibri"/>
              </w:rPr>
              <w:t>0</w:t>
            </w:r>
            <w:r>
              <w:rPr>
                <w:rFonts w:ascii="Calibri" w:hAnsi="Calibri"/>
              </w:rPr>
              <w:t>/-</w:t>
            </w:r>
            <w:r w:rsidR="00617C08">
              <w:rPr>
                <w:rFonts w:ascii="Calibri" w:hAnsi="Calibri"/>
              </w:rPr>
              <w:t>2</w:t>
            </w:r>
            <w:r>
              <w:rPr>
                <w:rFonts w:ascii="Calibri" w:hAnsi="Calibri"/>
              </w:rPr>
              <w:t>5:</w:t>
            </w:r>
          </w:p>
        </w:tc>
      </w:tr>
    </w:tbl>
    <w:p w14:paraId="0E586C4B"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713F3AF5"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21C5AE4F"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37BCD65B" w14:textId="77777777" w:rsidR="006D3AD5" w:rsidRPr="00AA6FED" w:rsidRDefault="006D3AD5" w:rsidP="006D3AD5">
      <w:pPr>
        <w:pStyle w:val="Odstavecseseznamem2"/>
        <w:numPr>
          <w:ilvl w:val="0"/>
          <w:numId w:val="57"/>
        </w:numPr>
        <w:spacing w:after="160"/>
        <w:rPr>
          <w:rFonts w:cs="Times New Roman"/>
          <w:szCs w:val="20"/>
        </w:rPr>
      </w:pPr>
      <w:r>
        <w:t>20000 The number of companies cooperating with research institutions*</w:t>
      </w:r>
    </w:p>
    <w:p w14:paraId="627829BD" w14:textId="77777777" w:rsidR="006D3AD5" w:rsidRPr="00AA6FED" w:rsidRDefault="006D3AD5" w:rsidP="006D3AD5">
      <w:pPr>
        <w:pStyle w:val="Odstavecseseznamem2"/>
        <w:numPr>
          <w:ilvl w:val="0"/>
          <w:numId w:val="57"/>
        </w:numPr>
        <w:spacing w:after="160"/>
        <w:rPr>
          <w:rFonts w:cs="Times New Roman"/>
          <w:szCs w:val="20"/>
        </w:rPr>
      </w:pPr>
      <w:r>
        <w:t>20101 The number of research organizations working with companies*</w:t>
      </w:r>
    </w:p>
    <w:p w14:paraId="36E618D8" w14:textId="77777777" w:rsidR="006D3AD5" w:rsidRPr="00AA6FED" w:rsidRDefault="006D3AD5" w:rsidP="006D3AD5">
      <w:pPr>
        <w:pStyle w:val="Odstavecseseznamem2"/>
        <w:numPr>
          <w:ilvl w:val="0"/>
          <w:numId w:val="57"/>
        </w:numPr>
        <w:spacing w:after="160"/>
        <w:rPr>
          <w:rFonts w:cs="Times New Roman"/>
          <w:szCs w:val="20"/>
        </w:rPr>
      </w:pPr>
      <w:r>
        <w:t>20400 The number of new research workers in supported subjects*</w:t>
      </w:r>
    </w:p>
    <w:p w14:paraId="3453E080" w14:textId="77777777" w:rsidR="006D3AD5" w:rsidRPr="00AA6FED" w:rsidRDefault="006D3AD5" w:rsidP="006D3AD5">
      <w:pPr>
        <w:pStyle w:val="Odstavecseseznamem2"/>
        <w:numPr>
          <w:ilvl w:val="0"/>
          <w:numId w:val="57"/>
        </w:numPr>
        <w:spacing w:after="160"/>
        <w:rPr>
          <w:rFonts w:cs="Times New Roman"/>
          <w:szCs w:val="20"/>
        </w:rPr>
      </w:pPr>
      <w:r>
        <w:t>20702 The number of new jobs, R&amp;D employees – women*</w:t>
      </w:r>
    </w:p>
    <w:p w14:paraId="10D853A9" w14:textId="77777777" w:rsidR="006D3AD5" w:rsidRPr="00AA6FED" w:rsidRDefault="006D3AD5" w:rsidP="006D3AD5">
      <w:pPr>
        <w:pStyle w:val="Odstavecseseznamem2"/>
        <w:numPr>
          <w:ilvl w:val="0"/>
          <w:numId w:val="57"/>
        </w:numPr>
        <w:spacing w:after="160"/>
        <w:rPr>
          <w:rFonts w:cs="Times New Roman"/>
          <w:szCs w:val="20"/>
        </w:rPr>
      </w:pPr>
      <w:r>
        <w:t>22200 The number of activities / Proof-of-concepts in the process of intellectual property protection*</w:t>
      </w:r>
    </w:p>
    <w:p w14:paraId="560E46F8" w14:textId="77777777" w:rsidR="006D3AD5" w:rsidRPr="001D237C" w:rsidRDefault="006D3AD5" w:rsidP="006D3AD5">
      <w:pPr>
        <w:pStyle w:val="Odstavecseseznamem2"/>
        <w:numPr>
          <w:ilvl w:val="0"/>
          <w:numId w:val="57"/>
        </w:numPr>
        <w:spacing w:after="160"/>
        <w:rPr>
          <w:rFonts w:cs="Times New Roman"/>
          <w:szCs w:val="20"/>
        </w:rPr>
      </w:pPr>
      <w:r>
        <w:t>22201 Number of validated activities / Proof-of-concepts</w:t>
      </w:r>
    </w:p>
    <w:p w14:paraId="7CC58A5B" w14:textId="77777777" w:rsidR="006D3AD5" w:rsidRPr="001D237C" w:rsidRDefault="006D3AD5" w:rsidP="006D3AD5">
      <w:pPr>
        <w:pStyle w:val="Odstavecseseznamem2"/>
        <w:numPr>
          <w:ilvl w:val="0"/>
          <w:numId w:val="57"/>
        </w:numPr>
        <w:spacing w:after="160"/>
        <w:rPr>
          <w:rFonts w:cs="Times New Roman"/>
          <w:szCs w:val="20"/>
        </w:rPr>
      </w:pPr>
      <w:r>
        <w:t>10000 The number of companies drawing the support</w:t>
      </w:r>
    </w:p>
    <w:p w14:paraId="4159C556" w14:textId="77777777" w:rsidR="006D3AD5" w:rsidRPr="00AA6FED" w:rsidRDefault="006D3AD5" w:rsidP="006D3AD5">
      <w:pPr>
        <w:pStyle w:val="Odstavecseseznamem2"/>
        <w:numPr>
          <w:ilvl w:val="0"/>
          <w:numId w:val="57"/>
        </w:numPr>
        <w:spacing w:after="160"/>
        <w:rPr>
          <w:rFonts w:cs="Times New Roman"/>
          <w:szCs w:val="20"/>
        </w:rPr>
      </w:pPr>
      <w:r>
        <w:t>20900 Private investments in projects with public support in the area of innovations or research and development</w:t>
      </w:r>
    </w:p>
    <w:p w14:paraId="2BF44CE2" w14:textId="77777777" w:rsidR="006D3AD5" w:rsidRPr="00AA6FED" w:rsidRDefault="006D3AD5" w:rsidP="006D3AD5">
      <w:pPr>
        <w:pStyle w:val="Odstavecseseznamem2"/>
        <w:numPr>
          <w:ilvl w:val="0"/>
          <w:numId w:val="57"/>
        </w:numPr>
        <w:spacing w:after="160"/>
        <w:rPr>
          <w:rFonts w:cs="Times New Roman"/>
          <w:szCs w:val="20"/>
        </w:rPr>
      </w:pPr>
      <w:r>
        <w:t>21002 Expenses on RD in the business sector</w:t>
      </w:r>
    </w:p>
    <w:p w14:paraId="56364F5E" w14:textId="77777777" w:rsidR="006D3AD5" w:rsidRPr="00AA6FED" w:rsidRDefault="006D3AD5" w:rsidP="006D3AD5">
      <w:pPr>
        <w:pStyle w:val="Odstavecseseznamem2"/>
        <w:numPr>
          <w:ilvl w:val="0"/>
          <w:numId w:val="57"/>
        </w:numPr>
        <w:spacing w:after="160"/>
        <w:rPr>
          <w:rFonts w:cs="Times New Roman"/>
          <w:szCs w:val="20"/>
        </w:rPr>
      </w:pPr>
      <w:r>
        <w:t>21100 Summary Innovation Index (SII)</w:t>
      </w:r>
    </w:p>
    <w:p w14:paraId="7C8FBE1C" w14:textId="77777777" w:rsidR="006D3AD5" w:rsidRPr="00AA6FED" w:rsidRDefault="006D3AD5" w:rsidP="006D3AD5">
      <w:pPr>
        <w:pStyle w:val="Odstavecseseznamem2"/>
        <w:numPr>
          <w:ilvl w:val="0"/>
          <w:numId w:val="57"/>
        </w:numPr>
        <w:spacing w:after="160"/>
        <w:rPr>
          <w:rFonts w:cs="Times New Roman"/>
          <w:szCs w:val="20"/>
        </w:rPr>
      </w:pPr>
      <w:r>
        <w:t>21011 The expenses of the business sector on the RD in the governmental and university sectors as a % of total expenses on RD in these sectors</w:t>
      </w:r>
    </w:p>
    <w:p w14:paraId="317D26C4" w14:textId="77777777" w:rsidR="006D3AD5" w:rsidRPr="002C224A" w:rsidRDefault="006D3AD5" w:rsidP="006D3AD5">
      <w:pPr>
        <w:pStyle w:val="Odstavecseseznamem2"/>
        <w:spacing w:after="160"/>
        <w:rPr>
          <w:rFonts w:cs="Times New Roman"/>
          <w:szCs w:val="20"/>
        </w:rPr>
      </w:pPr>
    </w:p>
    <w:p w14:paraId="29450AF1" w14:textId="77777777" w:rsidR="006D3AD5" w:rsidRPr="002C224A" w:rsidRDefault="006D3AD5" w:rsidP="006D3AD5">
      <w:pPr>
        <w:pStyle w:val="Nadpis4"/>
        <w:rPr>
          <w:rFonts w:ascii="Calibri" w:hAnsi="Calibri"/>
        </w:rPr>
      </w:pPr>
      <w:r>
        <w:rPr>
          <w:rFonts w:ascii="Calibri" w:hAnsi="Calibri"/>
        </w:rPr>
        <w:t>Partial summary</w:t>
      </w:r>
    </w:p>
    <w:bookmarkEnd w:id="1058"/>
    <w:p w14:paraId="58C17BF1" w14:textId="667DC40E" w:rsidR="006D3AD5" w:rsidRPr="002C224A" w:rsidRDefault="006D3AD5" w:rsidP="006D3AD5">
      <w:pPr>
        <w:pStyle w:val="Titulek"/>
      </w:pPr>
      <w:r>
        <w:t xml:space="preserve">Table </w:t>
      </w:r>
      <w:r w:rsidR="00396AB4">
        <w:t>10</w:t>
      </w:r>
      <w:r w:rsidR="00B90ACD">
        <w:t>4</w:t>
      </w:r>
      <w:r>
        <w:t>: Summary of the FI SO 1.2 Proof-of-concept</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5F103ADD" w14:textId="77777777" w:rsidTr="00443B8F">
        <w:tc>
          <w:tcPr>
            <w:tcW w:w="2282" w:type="dxa"/>
            <w:shd w:val="clear" w:color="auto" w:fill="ECFFC3"/>
          </w:tcPr>
          <w:p w14:paraId="11BCB5D4" w14:textId="77777777" w:rsidR="006D3AD5" w:rsidRPr="00A50943" w:rsidRDefault="006D3AD5" w:rsidP="00443B8F">
            <w:pPr>
              <w:rPr>
                <w:b/>
              </w:rPr>
            </w:pPr>
          </w:p>
        </w:tc>
        <w:tc>
          <w:tcPr>
            <w:tcW w:w="6788" w:type="dxa"/>
            <w:shd w:val="clear" w:color="auto" w:fill="ECFFC3"/>
          </w:tcPr>
          <w:p w14:paraId="0F98415D" w14:textId="77777777" w:rsidR="006D3AD5" w:rsidRPr="002C224A" w:rsidRDefault="006D3AD5" w:rsidP="00443B8F">
            <w:pPr>
              <w:ind w:left="38"/>
              <w:rPr>
                <w:b/>
              </w:rPr>
            </w:pPr>
          </w:p>
        </w:tc>
      </w:tr>
      <w:tr w:rsidR="006D3AD5" w:rsidRPr="002C224A" w14:paraId="225FD5C5" w14:textId="77777777" w:rsidTr="00443B8F">
        <w:tc>
          <w:tcPr>
            <w:tcW w:w="2282" w:type="dxa"/>
            <w:shd w:val="clear" w:color="auto" w:fill="92D400"/>
            <w:noWrap/>
          </w:tcPr>
          <w:p w14:paraId="0CAF2554" w14:textId="77777777" w:rsidR="006D3AD5" w:rsidRPr="002C224A" w:rsidRDefault="006D3AD5" w:rsidP="00443B8F">
            <w:pPr>
              <w:jc w:val="left"/>
              <w:rPr>
                <w:b/>
                <w:color w:val="FFFFFF"/>
              </w:rPr>
            </w:pPr>
            <w:r>
              <w:rPr>
                <w:b/>
                <w:color w:val="FFFFFF"/>
              </w:rPr>
              <w:t>Objectives of the financial instrument</w:t>
            </w:r>
          </w:p>
        </w:tc>
        <w:tc>
          <w:tcPr>
            <w:tcW w:w="6788" w:type="dxa"/>
            <w:shd w:val="clear" w:color="auto" w:fill="FFFFFF"/>
            <w:noWrap/>
          </w:tcPr>
          <w:p w14:paraId="3637B05A" w14:textId="77777777" w:rsidR="006D3AD5" w:rsidRPr="002C224A" w:rsidRDefault="006D3AD5" w:rsidP="00443B8F">
            <w:pPr>
              <w:rPr>
                <w:b/>
              </w:rPr>
            </w:pPr>
            <w:r>
              <w:t xml:space="preserve">The objective of the FI is to support activities of commercialization of RD results. The equity invested will be used to finance the </w:t>
            </w:r>
            <w:r>
              <w:rPr>
                <w:b/>
              </w:rPr>
              <w:t>Proof-of-Concept/Pre-seed</w:t>
            </w:r>
            <w:r>
              <w:t xml:space="preserve"> stage.</w:t>
            </w:r>
          </w:p>
          <w:p w14:paraId="11754650" w14:textId="77777777" w:rsidR="006D3AD5" w:rsidRPr="002C224A" w:rsidRDefault="006D3AD5" w:rsidP="00443B8F">
            <w:pPr>
              <w:rPr>
                <w:b/>
              </w:rPr>
            </w:pPr>
          </w:p>
          <w:p w14:paraId="5B1727D4" w14:textId="77777777" w:rsidR="006D3AD5" w:rsidRPr="002C224A" w:rsidRDefault="006D3AD5" w:rsidP="00443B8F">
            <w:r>
              <w:t xml:space="preserve">The equity form of support will enable to finance perspective RD results and will simplify the transfer into commercial operation and search for a private investor. Part of the funds received from successful exits of successful projects will be given back into the fund in the form of a equity share. By using the minority stake the financial instrument will also control internal processes and further development of the project in the supported stage. </w:t>
            </w:r>
          </w:p>
        </w:tc>
      </w:tr>
      <w:tr w:rsidR="006D3AD5" w:rsidRPr="002C224A" w14:paraId="07A6151F" w14:textId="77777777" w:rsidTr="00443B8F">
        <w:tc>
          <w:tcPr>
            <w:tcW w:w="2282" w:type="dxa"/>
            <w:shd w:val="clear" w:color="auto" w:fill="92D400"/>
            <w:noWrap/>
          </w:tcPr>
          <w:p w14:paraId="5198B3AB"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6A317D70" w14:textId="77777777" w:rsidR="006D3AD5" w:rsidRPr="002C224A" w:rsidRDefault="006D3AD5" w:rsidP="00443B8F">
            <w:r>
              <w:t>The RD commercialization projects of public organization in the</w:t>
            </w:r>
            <w:r>
              <w:br/>
              <w:t>Proof-of-Concept/Pre-seed stage</w:t>
            </w:r>
          </w:p>
        </w:tc>
      </w:tr>
      <w:tr w:rsidR="006D3AD5" w:rsidRPr="002C224A" w14:paraId="5A52B825" w14:textId="77777777" w:rsidTr="00443B8F">
        <w:tc>
          <w:tcPr>
            <w:tcW w:w="2282" w:type="dxa"/>
            <w:shd w:val="clear" w:color="auto" w:fill="92D400"/>
            <w:noWrap/>
          </w:tcPr>
          <w:p w14:paraId="0984FB2A" w14:textId="77777777" w:rsidR="006D3AD5" w:rsidRPr="002C224A" w:rsidRDefault="006D3AD5" w:rsidP="00443B8F">
            <w:pPr>
              <w:jc w:val="left"/>
              <w:rPr>
                <w:b/>
                <w:color w:val="FFFFFF"/>
              </w:rPr>
            </w:pPr>
            <w:r>
              <w:rPr>
                <w:b/>
                <w:color w:val="FFFFFF"/>
              </w:rPr>
              <w:lastRenderedPageBreak/>
              <w:t>Support form</w:t>
            </w:r>
          </w:p>
        </w:tc>
        <w:tc>
          <w:tcPr>
            <w:tcW w:w="6788" w:type="dxa"/>
            <w:shd w:val="clear" w:color="auto" w:fill="FFFFFF"/>
            <w:noWrap/>
          </w:tcPr>
          <w:p w14:paraId="4DA436E0" w14:textId="77777777" w:rsidR="006D3AD5" w:rsidRPr="002C224A" w:rsidRDefault="006D3AD5" w:rsidP="00443B8F">
            <w:r>
              <w:t>Equity investment</w:t>
            </w:r>
          </w:p>
          <w:p w14:paraId="2FDA0731" w14:textId="77777777" w:rsidR="006D3AD5" w:rsidRPr="002C224A" w:rsidRDefault="006D3AD5" w:rsidP="00443B8F">
            <w:r>
              <w:t xml:space="preserve">Subsidy for costs related to project preparation and preparation of a market offer and investor entry. </w:t>
            </w:r>
          </w:p>
        </w:tc>
      </w:tr>
      <w:tr w:rsidR="006D3AD5" w:rsidRPr="002C224A" w14:paraId="43BFF405" w14:textId="77777777" w:rsidTr="00443B8F">
        <w:tc>
          <w:tcPr>
            <w:tcW w:w="2282" w:type="dxa"/>
            <w:shd w:val="clear" w:color="auto" w:fill="92D400"/>
            <w:noWrap/>
          </w:tcPr>
          <w:p w14:paraId="326F3903"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6FEAEC32" w14:textId="77777777" w:rsidR="006D3AD5" w:rsidRPr="002C224A" w:rsidRDefault="006D3AD5" w:rsidP="00443B8F">
            <w:r>
              <w:t>The provided equity investment into the entity will have these parameters:</w:t>
            </w:r>
          </w:p>
          <w:p w14:paraId="22743EA4"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The investment amount will be for up to 100% of eligible costs of the proposed project.</w:t>
            </w:r>
          </w:p>
          <w:p w14:paraId="6093D272"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The participation of the final recipient will be in the form of an evaluated intellectual property, alternatively in the form of a smaller financial investment.</w:t>
            </w:r>
          </w:p>
          <w:p w14:paraId="21FD5A73"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 xml:space="preserve">The Fund participation on the project in the form of share involvement is not time-bound. </w:t>
            </w:r>
          </w:p>
          <w:p w14:paraId="0F83AAFF"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FI as a minority stakeholder has the right to receive part of the income.</w:t>
            </w:r>
          </w:p>
          <w:p w14:paraId="4943BB79"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The provided funds are intended to reimburse eligible investment costs for the RD results commercialization listed above.</w:t>
            </w:r>
          </w:p>
          <w:p w14:paraId="467BEBB2"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Possible involvement of private investors all in the Fund and after the separation of the entity and on the project level.</w:t>
            </w:r>
          </w:p>
          <w:p w14:paraId="1B0DE43B"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 xml:space="preserve">The project realization is managed by the final recipient. </w:t>
            </w:r>
          </w:p>
          <w:p w14:paraId="7EF979BB" w14:textId="77777777" w:rsidR="006D3AD5" w:rsidRPr="002C224A" w:rsidRDefault="006D3AD5" w:rsidP="00443B8F">
            <w:pPr>
              <w:pStyle w:val="Odstavecseseznamem1"/>
              <w:numPr>
                <w:ilvl w:val="0"/>
                <w:numId w:val="26"/>
              </w:numPr>
              <w:overflowPunct/>
              <w:autoSpaceDE/>
              <w:autoSpaceDN/>
              <w:adjustRightInd/>
              <w:ind w:left="412" w:hanging="141"/>
              <w:textAlignment w:val="auto"/>
            </w:pPr>
            <w:r>
              <w:t>Method of selling the project separated from the entity: The equity investment of the Fund will be bought back by co-investors either preferentially in the shortened term by using for example an option right or it could be bought out continuously in accordance with agreed upon rules. The share sale could also be realized on a free market after the end of the preferential sale period.</w:t>
            </w:r>
          </w:p>
        </w:tc>
      </w:tr>
      <w:tr w:rsidR="006D3AD5" w:rsidRPr="002C224A" w14:paraId="0DA7B806" w14:textId="77777777" w:rsidTr="00443B8F">
        <w:tc>
          <w:tcPr>
            <w:tcW w:w="2282" w:type="dxa"/>
            <w:shd w:val="clear" w:color="auto" w:fill="92D400"/>
            <w:noWrap/>
          </w:tcPr>
          <w:p w14:paraId="36012BAC" w14:textId="77777777" w:rsidR="006D3AD5" w:rsidRPr="002C224A" w:rsidRDefault="006D3AD5" w:rsidP="00443B8F">
            <w:pPr>
              <w:jc w:val="left"/>
              <w:rPr>
                <w:b/>
                <w:color w:val="FFFFFF"/>
              </w:rPr>
            </w:pPr>
            <w:r>
              <w:rPr>
                <w:b/>
                <w:color w:val="FFFFFF"/>
              </w:rPr>
              <w:t>Support amount</w:t>
            </w:r>
          </w:p>
        </w:tc>
        <w:tc>
          <w:tcPr>
            <w:tcW w:w="6788" w:type="dxa"/>
            <w:shd w:val="clear" w:color="auto" w:fill="FFFFFF"/>
            <w:noWrap/>
          </w:tcPr>
          <w:p w14:paraId="65F546BD" w14:textId="77777777" w:rsidR="006D3AD5" w:rsidRPr="002C224A" w:rsidRDefault="006D3AD5" w:rsidP="00443B8F">
            <w:r>
              <w:t>We expect the average investment to be in the range of CZK 30-40 million with a significant difference between individual projects. The maximum limit is CZK 100 million.</w:t>
            </w:r>
          </w:p>
        </w:tc>
      </w:tr>
      <w:tr w:rsidR="006D3AD5" w:rsidRPr="002C224A" w14:paraId="647AEB9E" w14:textId="77777777" w:rsidTr="00443B8F">
        <w:tc>
          <w:tcPr>
            <w:tcW w:w="2282" w:type="dxa"/>
            <w:shd w:val="clear" w:color="auto" w:fill="92D400"/>
            <w:noWrap/>
          </w:tcPr>
          <w:p w14:paraId="764B7F37" w14:textId="77777777" w:rsidR="006D3AD5" w:rsidRPr="002C224A" w:rsidRDefault="006D3AD5" w:rsidP="00443B8F">
            <w:pPr>
              <w:jc w:val="left"/>
              <w:rPr>
                <w:b/>
                <w:color w:val="FFFFFF"/>
              </w:rPr>
            </w:pPr>
            <w:r>
              <w:rPr>
                <w:b/>
                <w:color w:val="FFFFFF"/>
              </w:rPr>
              <w:t>Steps to involve potential co-investors</w:t>
            </w:r>
          </w:p>
        </w:tc>
        <w:tc>
          <w:tcPr>
            <w:tcW w:w="6788" w:type="dxa"/>
            <w:shd w:val="clear" w:color="auto" w:fill="FFFFFF"/>
            <w:noWrap/>
          </w:tcPr>
          <w:p w14:paraId="495C544B" w14:textId="77777777" w:rsidR="006D3AD5" w:rsidRPr="002C224A" w:rsidRDefault="006D3AD5" w:rsidP="00443B8F">
            <w:pPr>
              <w:contextualSpacing/>
            </w:pPr>
            <w:r>
              <w:t>This is not primarily expected. It is suitable to offer preferential remuneration to potential private investors on the fund / project levels.</w:t>
            </w:r>
          </w:p>
          <w:p w14:paraId="761AB010" w14:textId="77777777" w:rsidR="006D3AD5" w:rsidRDefault="006D3AD5" w:rsidP="00443B8F">
            <w:pPr>
              <w:pStyle w:val="Odstavecseseznamem1"/>
              <w:numPr>
                <w:ilvl w:val="0"/>
                <w:numId w:val="53"/>
              </w:numPr>
            </w:pPr>
            <w:r>
              <w:t>Preferential income division in favour of the private investor in case the successful project income exceeds defined basic threshold.</w:t>
            </w:r>
          </w:p>
          <w:p w14:paraId="6322C584" w14:textId="4AFDFE5D" w:rsidR="006777E0" w:rsidRPr="002C224A" w:rsidRDefault="006777E0" w:rsidP="00443B8F">
            <w:pPr>
              <w:pStyle w:val="Odstavecseseznamem1"/>
              <w:numPr>
                <w:ilvl w:val="0"/>
                <w:numId w:val="53"/>
              </w:numPr>
            </w:pPr>
            <w:r>
              <w:t>Option for the private investor to buy the share of the FI for a fixed price</w:t>
            </w:r>
          </w:p>
          <w:p w14:paraId="75A560AE" w14:textId="77777777" w:rsidR="006D3AD5" w:rsidRPr="002C224A" w:rsidRDefault="006D3AD5" w:rsidP="00B225B7">
            <w:pPr>
              <w:contextualSpacing/>
            </w:pPr>
          </w:p>
        </w:tc>
      </w:tr>
      <w:tr w:rsidR="006D3AD5" w:rsidRPr="002C224A" w14:paraId="04D98011" w14:textId="77777777" w:rsidTr="00443B8F">
        <w:tc>
          <w:tcPr>
            <w:tcW w:w="2282" w:type="dxa"/>
            <w:shd w:val="clear" w:color="auto" w:fill="92D400"/>
            <w:noWrap/>
          </w:tcPr>
          <w:p w14:paraId="5AAE08B4" w14:textId="77777777" w:rsidR="006D3AD5" w:rsidRPr="002C224A" w:rsidRDefault="006D3AD5" w:rsidP="00443B8F">
            <w:pPr>
              <w:jc w:val="left"/>
              <w:rPr>
                <w:b/>
                <w:color w:val="FFFFFF"/>
              </w:rPr>
            </w:pPr>
            <w:r>
              <w:rPr>
                <w:b/>
                <w:color w:val="FFFFFF"/>
              </w:rPr>
              <w:t>Expected allocation</w:t>
            </w:r>
          </w:p>
        </w:tc>
        <w:tc>
          <w:tcPr>
            <w:tcW w:w="6788" w:type="dxa"/>
            <w:shd w:val="clear" w:color="auto" w:fill="FFFFFF"/>
            <w:noWrap/>
          </w:tcPr>
          <w:p w14:paraId="6190C857" w14:textId="77777777" w:rsidR="006D3AD5" w:rsidRPr="002C224A" w:rsidRDefault="006D3AD5" w:rsidP="00443B8F">
            <w:r>
              <w:t>We recommend using the equity instrument for the greater part of the Proof-of-concept programme allocation in the range of CZK 550-1100 million.</w:t>
            </w:r>
          </w:p>
          <w:p w14:paraId="0A62A17A" w14:textId="77777777" w:rsidR="006D3AD5" w:rsidRPr="002C224A" w:rsidRDefault="006D3AD5" w:rsidP="00443B8F">
            <w:pPr>
              <w:pStyle w:val="Titulek"/>
            </w:pPr>
          </w:p>
        </w:tc>
      </w:tr>
    </w:tbl>
    <w:p w14:paraId="2712CF3D" w14:textId="77433041" w:rsidR="006D3AD5" w:rsidRPr="002C224A" w:rsidRDefault="006D3AD5" w:rsidP="006D3AD5">
      <w:pPr>
        <w:pStyle w:val="Titulek"/>
      </w:pPr>
      <w:bookmarkStart w:id="1059" w:name="_Toc416909282"/>
      <w:bookmarkStart w:id="1060" w:name="_Toc417544665"/>
      <w:bookmarkStart w:id="1061" w:name="_Toc416909285"/>
      <w:bookmarkStart w:id="1062" w:name="_Toc417544668"/>
      <w:bookmarkStart w:id="1063" w:name="_Toc416909287"/>
      <w:bookmarkStart w:id="1064" w:name="_Toc417544670"/>
      <w:bookmarkStart w:id="1065" w:name="_Toc416909289"/>
      <w:bookmarkStart w:id="1066" w:name="_Toc417544672"/>
      <w:bookmarkStart w:id="1067" w:name="_Toc416909291"/>
      <w:bookmarkStart w:id="1068" w:name="_Toc417544674"/>
      <w:bookmarkStart w:id="1069" w:name="_Toc416909292"/>
      <w:bookmarkStart w:id="1070" w:name="_Toc417544675"/>
      <w:bookmarkStart w:id="1071" w:name="_Toc416909294"/>
      <w:bookmarkStart w:id="1072" w:name="_Toc417544677"/>
      <w:bookmarkStart w:id="1073" w:name="_Toc416909295"/>
      <w:bookmarkStart w:id="1074" w:name="_Toc417544678"/>
      <w:bookmarkStart w:id="1075" w:name="_Toc416909297"/>
      <w:bookmarkStart w:id="1076" w:name="_Toc417544680"/>
      <w:bookmarkStart w:id="1077" w:name="_Toc416909326"/>
      <w:bookmarkStart w:id="1078" w:name="_Toc417544709"/>
      <w:bookmarkStart w:id="1079" w:name="_Toc416909329"/>
      <w:bookmarkStart w:id="1080" w:name="_Toc417544712"/>
      <w:bookmarkStart w:id="1081" w:name="_Toc416909342"/>
      <w:bookmarkStart w:id="1082" w:name="_Toc417544725"/>
      <w:bookmarkStart w:id="1083" w:name="_Toc416909346"/>
      <w:bookmarkStart w:id="1084" w:name="_Toc417544729"/>
      <w:bookmarkStart w:id="1085" w:name="_Toc416909350"/>
      <w:bookmarkStart w:id="1086" w:name="_Toc417544733"/>
      <w:bookmarkStart w:id="1087" w:name="_Toc416909354"/>
      <w:bookmarkStart w:id="1088" w:name="_Toc417544737"/>
      <w:bookmarkStart w:id="1089" w:name="_Toc416909362"/>
      <w:bookmarkStart w:id="1090" w:name="_Toc417544745"/>
      <w:bookmarkStart w:id="1091" w:name="_Toc416909366"/>
      <w:bookmarkStart w:id="1092" w:name="_Toc417544749"/>
      <w:bookmarkStart w:id="1093" w:name="_Toc416909370"/>
      <w:bookmarkStart w:id="1094" w:name="_Toc417544753"/>
      <w:bookmarkStart w:id="1095" w:name="_Toc416909374"/>
      <w:bookmarkStart w:id="1096" w:name="_Toc417544757"/>
      <w:bookmarkStart w:id="1097" w:name="_Toc416909382"/>
      <w:bookmarkStart w:id="1098" w:name="_Toc417544765"/>
      <w:bookmarkStart w:id="1099" w:name="_Toc416909386"/>
      <w:bookmarkStart w:id="1100" w:name="_Toc417544769"/>
      <w:bookmarkStart w:id="1101" w:name="_Toc416909390"/>
      <w:bookmarkStart w:id="1102" w:name="_Toc417544773"/>
      <w:bookmarkStart w:id="1103" w:name="_Toc416909392"/>
      <w:bookmarkStart w:id="1104" w:name="_Toc417544775"/>
      <w:bookmarkStart w:id="1105" w:name="_Toc416909394"/>
      <w:bookmarkStart w:id="1106" w:name="_Toc417544777"/>
      <w:bookmarkStart w:id="1107" w:name="_Toc416800489"/>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17A52071" w14:textId="77777777" w:rsidR="006D3AD5" w:rsidRPr="002C224A" w:rsidRDefault="006D3AD5" w:rsidP="006D3AD5">
      <w:pPr>
        <w:pStyle w:val="Nadpis3"/>
        <w:rPr>
          <w:rFonts w:ascii="Calibri" w:hAnsi="Calibri"/>
        </w:rPr>
      </w:pPr>
      <w:bookmarkStart w:id="1108" w:name="_Toc419183282"/>
      <w:bookmarkStart w:id="1109" w:name="_Toc422312148"/>
      <w:r>
        <w:rPr>
          <w:rFonts w:ascii="Calibri" w:hAnsi="Calibri"/>
        </w:rPr>
        <w:t>Specific objective 2.1</w:t>
      </w:r>
      <w:bookmarkEnd w:id="1107"/>
      <w:bookmarkEnd w:id="1108"/>
      <w:bookmarkEnd w:id="1109"/>
    </w:p>
    <w:p w14:paraId="34DA5B41" w14:textId="77777777" w:rsidR="006D3AD5" w:rsidRPr="002C224A" w:rsidRDefault="006D3AD5" w:rsidP="006D3AD5">
      <w:pPr>
        <w:pStyle w:val="Nadpis4"/>
        <w:rPr>
          <w:rFonts w:ascii="Calibri" w:hAnsi="Calibri"/>
        </w:rPr>
      </w:pPr>
      <w:bookmarkStart w:id="1110" w:name="_Toc416800490"/>
      <w:r>
        <w:rPr>
          <w:rFonts w:ascii="Calibri" w:hAnsi="Calibri"/>
        </w:rPr>
        <w:t>Forms of financial instruments and allocation amount</w:t>
      </w:r>
    </w:p>
    <w:bookmarkEnd w:id="1110"/>
    <w:p w14:paraId="37EB9C0A" w14:textId="738E35CC" w:rsidR="006D3AD5" w:rsidRPr="002C224A" w:rsidRDefault="006D3AD5" w:rsidP="006D3AD5">
      <w:r>
        <w:t xml:space="preserve">Analysed development support areas of </w:t>
      </w:r>
      <w:r w:rsidR="0042403A">
        <w:t>SME</w:t>
      </w:r>
      <w:r>
        <w:t>s in the SO 2.1 have a broad potential for usage of financial instruments. Within the OP EIC this is the most suitable area for their application and therefore we recommend their full coverage by proposed FIs.</w:t>
      </w:r>
    </w:p>
    <w:p w14:paraId="64CDF3C9" w14:textId="77777777" w:rsidR="006D3AD5" w:rsidRPr="002C224A" w:rsidRDefault="006D3AD5" w:rsidP="006D3AD5"/>
    <w:p w14:paraId="4C0E6326" w14:textId="77777777" w:rsidR="006D3AD5" w:rsidRPr="002C224A" w:rsidRDefault="006D3AD5" w:rsidP="006D3AD5">
      <w:pPr>
        <w:pStyle w:val="Neslovannadpisy"/>
      </w:pPr>
      <w:r>
        <w:t>Credit and guarantee instrument</w:t>
      </w:r>
    </w:p>
    <w:p w14:paraId="5EFE8FAE" w14:textId="7D197D06" w:rsidR="006D3AD5" w:rsidRPr="002C224A" w:rsidRDefault="006D3AD5" w:rsidP="006D3AD5">
      <w:r>
        <w:lastRenderedPageBreak/>
        <w:t xml:space="preserve">Based on the analysis in the Block I we recommend the application of </w:t>
      </w:r>
      <w:r w:rsidR="000B553B">
        <w:t>soft loans</w:t>
      </w:r>
      <w:r>
        <w:t xml:space="preserve"> and guarantees for projects of well-established </w:t>
      </w:r>
      <w:r w:rsidR="0042403A">
        <w:t>SME</w:t>
      </w:r>
      <w:r>
        <w:t xml:space="preserve">s looking for financing sources for investments in their further development. </w:t>
      </w:r>
    </w:p>
    <w:p w14:paraId="66DAEF1C" w14:textId="77777777" w:rsidR="006D3AD5" w:rsidRPr="002C224A" w:rsidRDefault="006D3AD5" w:rsidP="006D3AD5"/>
    <w:p w14:paraId="7813EA66" w14:textId="55DE59CC" w:rsidR="006D3AD5" w:rsidRDefault="006D3AD5" w:rsidP="006D3AD5">
      <w:r>
        <w:t xml:space="preserve">Guarantees for bank loans should primarily resolve market failures in the area of higher-risk </w:t>
      </w:r>
      <w:r w:rsidR="0042403A">
        <w:t>SME</w:t>
      </w:r>
      <w:r>
        <w:t xml:space="preserve">s without sufficient security that have harder access to financing due to more conservative approach of banks. </w:t>
      </w:r>
      <w:r w:rsidR="000B553B">
        <w:t>Soft loans</w:t>
      </w:r>
      <w:r>
        <w:t xml:space="preserve"> are primarily intended to resolve the problem of increasing difference between loan rates for </w:t>
      </w:r>
      <w:r w:rsidR="0042403A">
        <w:t>SME</w:t>
      </w:r>
      <w:r>
        <w:t xml:space="preserve">s and large companies that negatively influences market environment and the </w:t>
      </w:r>
      <w:r w:rsidR="0042403A">
        <w:t>SME</w:t>
      </w:r>
      <w:r>
        <w:t>s expenses on external financing of their further development.</w:t>
      </w:r>
    </w:p>
    <w:p w14:paraId="2675A161" w14:textId="77777777" w:rsidR="0012136C" w:rsidRDefault="0012136C" w:rsidP="006D3AD5"/>
    <w:p w14:paraId="03C57D23" w14:textId="031E2058" w:rsidR="0012136C" w:rsidRPr="002C224A" w:rsidRDefault="0012136C" w:rsidP="006D3AD5">
      <w:r>
        <w:t xml:space="preserve">FI OP EIC should support also the social dimension of </w:t>
      </w:r>
      <w:r w:rsidRPr="0012136C">
        <w:t>entrepreneurship</w:t>
      </w:r>
      <w:r>
        <w:t xml:space="preserve"> in agreement with the text of the programme document of OP EIC and the </w:t>
      </w:r>
      <w:r w:rsidR="000B553B">
        <w:rPr>
          <w:rFonts w:cs="Calibri"/>
          <w:color w:val="222222"/>
          <w:szCs w:val="22"/>
        </w:rPr>
        <w:t>Small and medium enterprises support strategy 20</w:t>
      </w:r>
      <w:r w:rsidR="000B553B" w:rsidRPr="000B553B">
        <w:rPr>
          <w:rFonts w:cs="Calibri"/>
          <w:color w:val="222222"/>
          <w:szCs w:val="22"/>
        </w:rPr>
        <w:t>14–2020</w:t>
      </w:r>
      <w:r w:rsidR="000B553B">
        <w:rPr>
          <w:rFonts w:cs="Calibri"/>
          <w:color w:val="222222"/>
          <w:szCs w:val="22"/>
        </w:rPr>
        <w:t>, primarily the FI of bank loan guarantees and soft loans in SO 2.1.</w:t>
      </w:r>
    </w:p>
    <w:p w14:paraId="2F14341B" w14:textId="77777777" w:rsidR="006D3AD5" w:rsidRPr="002C224A" w:rsidRDefault="006D3AD5" w:rsidP="006D3AD5"/>
    <w:p w14:paraId="351FBCC3" w14:textId="77777777" w:rsidR="006D3AD5" w:rsidRPr="002C224A" w:rsidRDefault="006D3AD5" w:rsidP="006D3AD5">
      <w:r>
        <w:rPr>
          <w:b/>
        </w:rPr>
        <w:t xml:space="preserve">Bank loan guarantees </w:t>
      </w:r>
      <w:r>
        <w:t>will be awarded to eligible companies from the OP EIC fund by a selected FI manager (recipient). Guarantees will be awarded for 80 % of the credit principal at maximum. We propose using the instrument of both individual and portfolio guarantees. Portfolio guarantees will be applied in case of commercial banks that think they are able to create a sufficient portfolio of eligible projects. The total amount of reimbursements from guarantees will be restricted by the reimbursement limit for the portfolio of secured loans of between 10 and 15 % of losses.</w:t>
      </w:r>
    </w:p>
    <w:p w14:paraId="1D994D39" w14:textId="77777777" w:rsidR="006D3AD5" w:rsidRPr="002C224A" w:rsidRDefault="006D3AD5" w:rsidP="006D3AD5"/>
    <w:p w14:paraId="1D344905" w14:textId="5E4BB87B" w:rsidR="006D3AD5" w:rsidRPr="002C224A" w:rsidRDefault="000B553B" w:rsidP="006D3AD5">
      <w:r>
        <w:rPr>
          <w:b/>
        </w:rPr>
        <w:t>Soft loans</w:t>
      </w:r>
      <w:r w:rsidR="006D3AD5">
        <w:rPr>
          <w:b/>
        </w:rPr>
        <w:t xml:space="preserve"> </w:t>
      </w:r>
      <w:r w:rsidR="006D3AD5">
        <w:t xml:space="preserve">will be provided from the OP EIC loan fund by a selected FI manager (recipient) directly to the eligible </w:t>
      </w:r>
      <w:r w:rsidR="0042403A">
        <w:t>SME</w:t>
      </w:r>
      <w:r w:rsidR="006D3AD5">
        <w:t xml:space="preserve">s (final recipients) in the amount of eligible project costs. The requirement will be the eligibility of the project and a commercial bank credit agreement. In reality the final recipient will get a combined interest rate both commercial and soft but both loans will be separated. </w:t>
      </w:r>
      <w:r>
        <w:t>Soft loans</w:t>
      </w:r>
      <w:r w:rsidR="006D3AD5">
        <w:t xml:space="preserve"> should be applied with a longer due date and with secondary lien in regard to assets pledged to the private credit institution. This will strengthen the possibility for further credit involvement in the enterprise by other private subjects and the private equity will not be restricted. At the end both the leverage and investments into the </w:t>
      </w:r>
      <w:r w:rsidR="0042403A">
        <w:t>SME</w:t>
      </w:r>
      <w:r w:rsidR="006D3AD5">
        <w:t>s will be higher.</w:t>
      </w:r>
    </w:p>
    <w:p w14:paraId="79E1F8F7" w14:textId="77777777" w:rsidR="006D3AD5" w:rsidRPr="002C224A" w:rsidRDefault="006D3AD5" w:rsidP="006D3AD5"/>
    <w:p w14:paraId="6D1905C0" w14:textId="19F11C67" w:rsidR="006D3AD5" w:rsidRPr="002C224A" w:rsidRDefault="006D3AD5" w:rsidP="006D3AD5">
      <w:r>
        <w:t xml:space="preserve">Based on further evaluation and given requirements for eligible projects the guarantees and </w:t>
      </w:r>
      <w:r w:rsidR="000B553B">
        <w:t>soft loans</w:t>
      </w:r>
      <w:r>
        <w:t xml:space="preserve"> can be extended by the possibility of a conditional subsidy for reimbursement of a part of interest costs in case of completion of defined goals and proper payments. This subsidy should support proper payments and achievement of defined project goal.</w:t>
      </w:r>
    </w:p>
    <w:p w14:paraId="73FE97D9" w14:textId="77777777" w:rsidR="006D3AD5" w:rsidRPr="002C224A" w:rsidRDefault="006D3AD5" w:rsidP="006D3AD5"/>
    <w:p w14:paraId="09145ED7" w14:textId="77777777" w:rsidR="006D3AD5" w:rsidRPr="002C224A" w:rsidRDefault="006D3AD5" w:rsidP="006D3AD5">
      <w:pPr>
        <w:pStyle w:val="Neslovannadpisy"/>
      </w:pPr>
      <w:r>
        <w:t>Venture equity instrument</w:t>
      </w:r>
    </w:p>
    <w:p w14:paraId="6D870D15" w14:textId="1F175144" w:rsidR="006D3AD5" w:rsidRPr="00270CC8" w:rsidRDefault="006D3AD5" w:rsidP="006D3AD5">
      <w:pPr>
        <w:rPr>
          <w:b/>
        </w:rPr>
      </w:pPr>
      <w:r>
        <w:t>Initial and development stage</w:t>
      </w:r>
      <w:r w:rsidR="0042403A">
        <w:t xml:space="preserve"> of</w:t>
      </w:r>
      <w:r w:rsidR="0042403A" w:rsidRPr="0042403A">
        <w:t xml:space="preserve"> </w:t>
      </w:r>
      <w:r w:rsidR="0042403A">
        <w:t>SME</w:t>
      </w:r>
      <w:r>
        <w:t xml:space="preserve"> with high growth potential is not suitable for financing by debts. Too large debt share on the company sources makes the position of the company difficult in regard to future negotiation in subsequent rounds or financing and does not allow for fast growth. The most suitable form of public support for new business projects in the case of innovative startups is the investment into their registered capital realized </w:t>
      </w:r>
      <w:r w:rsidR="00270CC8">
        <w:t>thought the structure of</w:t>
      </w:r>
      <w:r>
        <w:t xml:space="preserve"> </w:t>
      </w:r>
      <w:r w:rsidRPr="00270CC8">
        <w:rPr>
          <w:b/>
        </w:rPr>
        <w:t>National Innovation Instutite (NIF).</w:t>
      </w:r>
    </w:p>
    <w:p w14:paraId="710DDA8F" w14:textId="77777777" w:rsidR="006D3AD5" w:rsidRDefault="006D3AD5" w:rsidP="006D3AD5"/>
    <w:p w14:paraId="3B868A93" w14:textId="77777777" w:rsidR="006D3AD5" w:rsidRDefault="006D3AD5" w:rsidP="006D3AD5">
      <w:r>
        <w:t>The NIF should be established on two basic investment principles. The first are investments into the target projects and the second are the investments into private venture equity funds. Both approaches are recommended for realization based on preliminary evaluation.</w:t>
      </w:r>
    </w:p>
    <w:p w14:paraId="786055D0" w14:textId="77777777" w:rsidR="005F3B2C" w:rsidRPr="002C224A" w:rsidRDefault="005F3B2C" w:rsidP="006D3AD5"/>
    <w:p w14:paraId="337EEF29" w14:textId="5759D9AE" w:rsidR="006D3AD5" w:rsidRPr="002C224A" w:rsidRDefault="006D3AD5" w:rsidP="006D3AD5">
      <w:r>
        <w:rPr>
          <w:b/>
        </w:rPr>
        <w:t>Investments into private venture equity funds</w:t>
      </w:r>
      <w:r w:rsidR="005F3B2C">
        <w:rPr>
          <w:b/>
        </w:rPr>
        <w:t xml:space="preserve"> - </w:t>
      </w:r>
      <w:r w:rsidR="005F3B2C">
        <w:t>t</w:t>
      </w:r>
      <w:r>
        <w:t xml:space="preserve">he NIF would invest by using preferential conditions into selected funds with required investment strategies that would be subsequently responsible for investments into target subjects and their evaluation. Managers of these funds have to fulfil specific requirements for experience and credibility in the area of venture equity investments and for securing obligations from private investors because the NIF will be providing the due diligence on the level of funds it invests in. The NIF will typically invest as a limited partner with specific requirements for investment strategies with regard to objectives of the operational programme. This way the commercial market growth with venture equity will be supported as well as the creation of new </w:t>
      </w:r>
      <w:r>
        <w:lastRenderedPageBreak/>
        <w:t>investment subject focused on the target areas of the OP EIC. The instrument should also enable the support of scouting costs that would make easy for the investors to explore new market segments.</w:t>
      </w:r>
    </w:p>
    <w:p w14:paraId="27A9D5DB" w14:textId="77777777" w:rsidR="006D3AD5" w:rsidRPr="002C224A" w:rsidRDefault="006D3AD5" w:rsidP="006D3AD5"/>
    <w:p w14:paraId="397E03DB" w14:textId="77777777" w:rsidR="006D3AD5" w:rsidRPr="002C224A" w:rsidRDefault="006D3AD5" w:rsidP="006D3AD5">
      <w:r>
        <w:rPr>
          <w:b/>
        </w:rPr>
        <w:t xml:space="preserve">The NIF should also be able to invest into specific projects </w:t>
      </w:r>
      <w:r>
        <w:t>in the seed and startup stages as well with the requirement for the co-investment of a private investor (using preferential conditions). These investments could follow-up on the pre-seed support of the SO 1.2. Co-investors must be subjected to due diligence by the NIF (for example the EIF uses this approach in case of European Angels Fund). The NIF could also help to develop for example a suitable programme for education of business angels. Direct co-investments in the seed and startup stages could be provided in the form of quasi-equity investment by using a subordinate loan based on the example of High-Tech Gründerfonds managed by German development bank KfW.</w:t>
      </w:r>
    </w:p>
    <w:p w14:paraId="3266C579" w14:textId="77777777" w:rsidR="006D3AD5" w:rsidRPr="002C224A" w:rsidRDefault="006D3AD5" w:rsidP="006D3AD5"/>
    <w:p w14:paraId="2BB26F6D" w14:textId="77777777" w:rsidR="006D3AD5" w:rsidRPr="002C224A" w:rsidRDefault="006D3AD5" w:rsidP="006D3AD5">
      <w:r>
        <w:t>For investments in the seed and startup stages it is also recommended to closely collaborate with business incubators and accelerators that could provide the necessary deal flow to private investors.</w:t>
      </w:r>
    </w:p>
    <w:p w14:paraId="77697279" w14:textId="77777777" w:rsidR="006D3AD5" w:rsidRPr="002C224A" w:rsidRDefault="006D3AD5" w:rsidP="006D3AD5"/>
    <w:p w14:paraId="23598FE8" w14:textId="77777777" w:rsidR="006D3AD5" w:rsidRPr="002C224A" w:rsidRDefault="006D3AD5" w:rsidP="006D3AD5">
      <w:r>
        <w:t xml:space="preserve">One of key risks of the fund success is the involvement of duly qualified private co-investors on one hand and sufficient number of quality projects interested in equity investments on the other. These risks should be addressed </w:t>
      </w:r>
    </w:p>
    <w:p w14:paraId="3DF28C2D" w14:textId="77777777" w:rsidR="006D3AD5" w:rsidRPr="002C224A" w:rsidRDefault="006D3AD5" w:rsidP="006D3AD5">
      <w:pPr>
        <w:numPr>
          <w:ilvl w:val="0"/>
          <w:numId w:val="40"/>
        </w:numPr>
        <w:overflowPunct/>
        <w:autoSpaceDE/>
        <w:autoSpaceDN/>
        <w:adjustRightInd/>
        <w:textAlignment w:val="auto"/>
      </w:pPr>
      <w:r>
        <w:t>with focus on transparent build-up of new structures and staffing key managing positions with respected professionals.</w:t>
      </w:r>
    </w:p>
    <w:p w14:paraId="1CF86C79" w14:textId="77777777" w:rsidR="006D3AD5" w:rsidRPr="002C224A" w:rsidRDefault="006D3AD5" w:rsidP="006D3AD5">
      <w:pPr>
        <w:pStyle w:val="Odstavecseseznamem1"/>
        <w:numPr>
          <w:ilvl w:val="0"/>
          <w:numId w:val="40"/>
        </w:numPr>
      </w:pPr>
      <w:r>
        <w:t>by suitably set-up support in the pre-seed area that would stimulate the deal-flow from the side of the RD results.</w:t>
      </w:r>
    </w:p>
    <w:p w14:paraId="0166146F" w14:textId="77777777" w:rsidR="006D3AD5" w:rsidRPr="002C224A" w:rsidRDefault="006D3AD5" w:rsidP="006D3AD5">
      <w:pPr>
        <w:pStyle w:val="Odstavecseseznamem1"/>
        <w:numPr>
          <w:ilvl w:val="0"/>
          <w:numId w:val="40"/>
        </w:numPr>
      </w:pPr>
      <w:r>
        <w:t>by increasing the investor readiness of businessmen especially by creating an effective consulting and coaching system.</w:t>
      </w:r>
    </w:p>
    <w:p w14:paraId="442A9BD3" w14:textId="77777777" w:rsidR="006D3AD5" w:rsidRPr="002C224A" w:rsidRDefault="006D3AD5" w:rsidP="006D3AD5">
      <w:pPr>
        <w:pStyle w:val="Odstavecseseznamem1"/>
        <w:numPr>
          <w:ilvl w:val="0"/>
          <w:numId w:val="40"/>
        </w:numPr>
      </w:pPr>
      <w:r>
        <w:t>by preferential set-up with regard to co-investors within the frame of project income division and their potential presence in control / consulting bodies of the public fund.</w:t>
      </w:r>
    </w:p>
    <w:p w14:paraId="31A8BBA8" w14:textId="77777777" w:rsidR="006D3AD5" w:rsidRPr="002C224A" w:rsidRDefault="006D3AD5" w:rsidP="006D3AD5"/>
    <w:p w14:paraId="3133DE58" w14:textId="4FD28589" w:rsidR="006D3AD5" w:rsidRPr="002C224A" w:rsidRDefault="006D3AD5" w:rsidP="006D3AD5">
      <w:r>
        <w:t xml:space="preserve">For the NIF project to succeed the management selection is crucial. It has to be professional and independent otherwise the fund will not get the necessary credibility which is also evidenced by foreign experience. To select the management it is possible to use an open competition </w:t>
      </w:r>
      <w:r w:rsidR="00CF788F">
        <w:t>and</w:t>
      </w:r>
      <w:r>
        <w:t xml:space="preserve"> a direct request to </w:t>
      </w:r>
      <w:r w:rsidR="00CF788F">
        <w:t>EIF</w:t>
      </w:r>
      <w:r>
        <w:t xml:space="preserve"> that has extensive expertise and experience from various countries in the venture equity area.</w:t>
      </w:r>
    </w:p>
    <w:p w14:paraId="2DE5A64B" w14:textId="77777777" w:rsidR="006D3AD5" w:rsidRPr="002C224A" w:rsidRDefault="006D3AD5" w:rsidP="006D3AD5"/>
    <w:p w14:paraId="5E295A4B" w14:textId="77777777" w:rsidR="006D3AD5" w:rsidRPr="002C224A" w:rsidRDefault="006D3AD5" w:rsidP="006D3AD5">
      <w:pPr>
        <w:rPr>
          <w:b/>
        </w:rPr>
      </w:pPr>
      <w:r>
        <w:t xml:space="preserve">One the key NIF investment strategy elements is the inclusion of startup projects sited in the City of Prague because if the fund was limited to regions the scheme would not be functional which was evidenced by discussions on proposals during the first stage of preliminary evaluation. It is therefore necessary to work on </w:t>
      </w:r>
      <w:r>
        <w:rPr>
          <w:b/>
        </w:rPr>
        <w:t xml:space="preserve">ensuring cooperation and complementarity with the OP PPR </w:t>
      </w:r>
      <w:r>
        <w:t>because regional restriction of the OP EIC would prohibit the direct support of the Prague region.</w:t>
      </w:r>
      <w:r>
        <w:rPr>
          <w:b/>
        </w:rPr>
        <w:t xml:space="preserve"> </w:t>
      </w:r>
      <w:r>
        <w:t>This conclusion was found out during preliminary evaluation based on the consistency check with further available support in accordance with the EC General Guidelines.</w:t>
      </w:r>
    </w:p>
    <w:p w14:paraId="7379E149" w14:textId="77777777" w:rsidR="006D3AD5" w:rsidRPr="002C224A" w:rsidRDefault="006D3AD5" w:rsidP="006D3AD5">
      <w:pPr>
        <w:rPr>
          <w:b/>
        </w:rPr>
      </w:pPr>
    </w:p>
    <w:p w14:paraId="25C498E5" w14:textId="77777777" w:rsidR="006D3AD5" w:rsidRPr="002C224A" w:rsidRDefault="006D3AD5" w:rsidP="006D3AD5">
      <w:r>
        <w:t>Releasing larger equity sources cannot resolve the identified market gap by itself. Without continual flow of high-potential companies ready for an investments further investments would end up in low quality companies which would lead to the support failure.</w:t>
      </w:r>
    </w:p>
    <w:p w14:paraId="022A47E9" w14:textId="77777777" w:rsidR="006D3AD5" w:rsidRPr="002C224A" w:rsidRDefault="006D3AD5" w:rsidP="006D3AD5"/>
    <w:p w14:paraId="2B156A65" w14:textId="77777777" w:rsidR="006D3AD5" w:rsidRPr="002C224A" w:rsidRDefault="006D3AD5" w:rsidP="006D3AD5">
      <w:r>
        <w:t>To ensure proper operation it is therefore necessary to further develop the support for the startup environment in CR in these areas:</w:t>
      </w:r>
    </w:p>
    <w:p w14:paraId="6F9F79BC" w14:textId="77777777" w:rsidR="006D3AD5" w:rsidRPr="002C224A" w:rsidRDefault="006D3AD5" w:rsidP="006D3AD5">
      <w:pPr>
        <w:pStyle w:val="Odstavecseseznamem1"/>
        <w:numPr>
          <w:ilvl w:val="0"/>
          <w:numId w:val="41"/>
        </w:numPr>
      </w:pPr>
      <w:r>
        <w:t>build-up of the startup community and networking</w:t>
      </w:r>
    </w:p>
    <w:p w14:paraId="540E185B" w14:textId="77777777" w:rsidR="006D3AD5" w:rsidRPr="002C224A" w:rsidRDefault="006D3AD5" w:rsidP="006D3AD5">
      <w:pPr>
        <w:numPr>
          <w:ilvl w:val="0"/>
          <w:numId w:val="30"/>
        </w:numPr>
        <w:overflowPunct/>
        <w:autoSpaceDE/>
        <w:autoSpaceDN/>
        <w:adjustRightInd/>
        <w:textAlignment w:val="auto"/>
      </w:pPr>
      <w:r>
        <w:t>technology incubators and startup accelerators</w:t>
      </w:r>
    </w:p>
    <w:p w14:paraId="3BC94D06" w14:textId="77777777" w:rsidR="006D3AD5" w:rsidRPr="002C224A" w:rsidRDefault="006D3AD5" w:rsidP="006D3AD5">
      <w:pPr>
        <w:numPr>
          <w:ilvl w:val="0"/>
          <w:numId w:val="30"/>
        </w:numPr>
        <w:overflowPunct/>
        <w:autoSpaceDE/>
        <w:autoSpaceDN/>
        <w:adjustRightInd/>
        <w:textAlignment w:val="auto"/>
      </w:pPr>
      <w:r>
        <w:t>business education</w:t>
      </w:r>
    </w:p>
    <w:p w14:paraId="349CC396" w14:textId="77777777" w:rsidR="006D3AD5" w:rsidRPr="002C224A" w:rsidRDefault="006D3AD5" w:rsidP="006D3AD5">
      <w:pPr>
        <w:numPr>
          <w:ilvl w:val="0"/>
          <w:numId w:val="30"/>
        </w:numPr>
        <w:overflowPunct/>
        <w:autoSpaceDE/>
        <w:autoSpaceDN/>
        <w:adjustRightInd/>
        <w:textAlignment w:val="auto"/>
      </w:pPr>
      <w:r>
        <w:t>professional communities: VC &amp; associations, BA clubs, networks</w:t>
      </w:r>
    </w:p>
    <w:p w14:paraId="7D081440" w14:textId="77777777" w:rsidR="006D3AD5" w:rsidRPr="002C224A" w:rsidRDefault="006D3AD5" w:rsidP="006D3AD5">
      <w:pPr>
        <w:numPr>
          <w:ilvl w:val="0"/>
          <w:numId w:val="30"/>
        </w:numPr>
        <w:overflowPunct/>
        <w:autoSpaceDE/>
        <w:autoSpaceDN/>
        <w:adjustRightInd/>
        <w:textAlignment w:val="auto"/>
      </w:pPr>
      <w:r>
        <w:lastRenderedPageBreak/>
        <w:t>favourable regulations and tax stimuli</w:t>
      </w:r>
    </w:p>
    <w:p w14:paraId="39FDD562" w14:textId="77777777" w:rsidR="006D3AD5" w:rsidRPr="002C224A" w:rsidRDefault="006D3AD5" w:rsidP="006D3AD5">
      <w:pPr>
        <w:numPr>
          <w:ilvl w:val="0"/>
          <w:numId w:val="30"/>
        </w:numPr>
        <w:overflowPunct/>
        <w:autoSpaceDE/>
        <w:autoSpaceDN/>
        <w:adjustRightInd/>
        <w:textAlignment w:val="auto"/>
      </w:pPr>
      <w:r>
        <w:t>connection between venture funds, educational and research nodes and companies development</w:t>
      </w:r>
    </w:p>
    <w:p w14:paraId="59EFED70" w14:textId="77777777" w:rsidR="006D3AD5" w:rsidRPr="002C224A" w:rsidRDefault="006D3AD5" w:rsidP="006D3AD5"/>
    <w:p w14:paraId="6474BD8C" w14:textId="77777777" w:rsidR="006D3AD5" w:rsidRPr="002C224A" w:rsidRDefault="006D3AD5" w:rsidP="006D3AD5">
      <w:r>
        <w:t>In this case the NIF should be connected with activities that were up to now conducted by the CzechInvest agency (CzechAccelerator, CzechEkoSystem). Projects supported by the NIF should have priority access to this support for example by using simplified applications for the supplementary support. It is also possible to support the exits for example in the form of IPO costs reimbursements on alternative investment platforms.</w:t>
      </w:r>
    </w:p>
    <w:p w14:paraId="6D989838" w14:textId="77777777" w:rsidR="006D3AD5" w:rsidRPr="002C224A" w:rsidRDefault="006D3AD5" w:rsidP="006D3AD5"/>
    <w:p w14:paraId="12149FEC" w14:textId="77777777" w:rsidR="006D3AD5" w:rsidRPr="00A50943" w:rsidRDefault="006D3AD5" w:rsidP="006D3AD5">
      <w:pPr>
        <w:rPr>
          <w:b/>
        </w:rPr>
      </w:pPr>
      <w:r>
        <w:rPr>
          <w:b/>
        </w:rPr>
        <w:t>Allocation</w:t>
      </w:r>
    </w:p>
    <w:p w14:paraId="3C47D2B6" w14:textId="70545799" w:rsidR="006D3AD5" w:rsidRPr="002C224A" w:rsidRDefault="006D3AD5" w:rsidP="006D3AD5">
      <w:r>
        <w:t xml:space="preserve">Soft loans and guarantees in the SO 2.1 are instruments with validated absorption capacity and significant macroeconomic effect of investments in the </w:t>
      </w:r>
      <w:r w:rsidR="0042403A">
        <w:t>SME</w:t>
      </w:r>
      <w:r>
        <w:t xml:space="preserve">s. </w:t>
      </w:r>
      <w:r>
        <w:rPr>
          <w:b/>
        </w:rPr>
        <w:t>Allocation in the range of CZK 8,850 - 12,000 million</w:t>
      </w:r>
      <w:r>
        <w:t xml:space="preserve"> should adequately cover expected market failure</w:t>
      </w:r>
      <w:r w:rsidR="00C44554">
        <w:t xml:space="preserve"> based on the result modelling.</w:t>
      </w:r>
    </w:p>
    <w:p w14:paraId="2A6B6FE1" w14:textId="77777777" w:rsidR="006D3AD5" w:rsidRPr="002C224A" w:rsidRDefault="006D3AD5" w:rsidP="006D3AD5"/>
    <w:p w14:paraId="76AFC375" w14:textId="77777777" w:rsidR="006D3AD5" w:rsidRPr="00A50943" w:rsidRDefault="006D3AD5" w:rsidP="006D3AD5">
      <w:r>
        <w:t xml:space="preserve">In case of venture equity we recommend using reasonable </w:t>
      </w:r>
      <w:r>
        <w:rPr>
          <w:b/>
        </w:rPr>
        <w:t>pilot fund allocation of CZK 800 - 1,100 million</w:t>
      </w:r>
      <w:r>
        <w:t xml:space="preserve"> that would enable the fund to create sufficient investment portfolio and cover the market gap. At the same time the current market will not be flooded. In case of successful completion of the pre-seed fund within the SO 1.2 it is possible to further extend this allocation.</w:t>
      </w:r>
    </w:p>
    <w:p w14:paraId="4FEA4C99" w14:textId="77777777" w:rsidR="006D3AD5" w:rsidRPr="002C224A" w:rsidRDefault="006D3AD5" w:rsidP="006D3AD5">
      <w:pPr>
        <w:pStyle w:val="Nadpis4"/>
        <w:rPr>
          <w:rFonts w:ascii="Calibri" w:hAnsi="Calibri"/>
        </w:rPr>
      </w:pPr>
      <w:bookmarkStart w:id="1111" w:name="_Toc416383975"/>
      <w:bookmarkStart w:id="1112" w:name="_Toc416447961"/>
      <w:bookmarkStart w:id="1113" w:name="_Toc416383976"/>
      <w:bookmarkStart w:id="1114" w:name="_Toc416447962"/>
      <w:bookmarkStart w:id="1115" w:name="_Toc416383977"/>
      <w:bookmarkStart w:id="1116" w:name="_Toc416447963"/>
      <w:bookmarkStart w:id="1117" w:name="_Toc416383978"/>
      <w:bookmarkStart w:id="1118" w:name="_Toc416447964"/>
      <w:bookmarkStart w:id="1119" w:name="_Toc416383979"/>
      <w:bookmarkStart w:id="1120" w:name="_Toc416447965"/>
      <w:bookmarkStart w:id="1121" w:name="_Toc416383980"/>
      <w:bookmarkStart w:id="1122" w:name="_Toc416447966"/>
      <w:bookmarkStart w:id="1123" w:name="_Toc416383981"/>
      <w:bookmarkStart w:id="1124" w:name="_Toc416447967"/>
      <w:bookmarkStart w:id="1125" w:name="_Toc414464605"/>
      <w:bookmarkStart w:id="1126" w:name="_Toc416800491"/>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Pr>
          <w:rFonts w:ascii="Calibri" w:hAnsi="Calibri"/>
        </w:rPr>
        <w:t>Most suitable implementation possibilities</w:t>
      </w:r>
    </w:p>
    <w:p w14:paraId="6A897567" w14:textId="77777777" w:rsidR="006D3AD5" w:rsidRPr="002C224A" w:rsidRDefault="006D3AD5" w:rsidP="006D3AD5">
      <w:pPr>
        <w:pStyle w:val="CaptionIntroductionparagraph"/>
        <w:rPr>
          <w:rFonts w:ascii="Calibri" w:hAnsi="Calibri"/>
        </w:rPr>
      </w:pPr>
    </w:p>
    <w:bookmarkEnd w:id="1125"/>
    <w:bookmarkEnd w:id="1126"/>
    <w:p w14:paraId="3669D8DE" w14:textId="77777777" w:rsidR="006D3AD5" w:rsidRPr="002C224A" w:rsidRDefault="006D3AD5" w:rsidP="006D3AD5">
      <w:pPr>
        <w:pStyle w:val="CaptionIntroductionparagraph"/>
        <w:rPr>
          <w:rFonts w:ascii="Calibri" w:hAnsi="Calibri"/>
        </w:rPr>
      </w:pPr>
    </w:p>
    <w:p w14:paraId="15B19E6F" w14:textId="3122F423" w:rsidR="006D3AD5" w:rsidRPr="002C224A" w:rsidRDefault="008E3610" w:rsidP="006D3AD5">
      <w:pPr>
        <w:pStyle w:val="CaptionIntroductionparagraph"/>
        <w:rPr>
          <w:rFonts w:ascii="Calibri" w:hAnsi="Calibri"/>
        </w:rPr>
      </w:pPr>
      <w:r>
        <w:rPr>
          <w:noProof/>
          <w:lang w:eastAsia="cs-CZ"/>
        </w:rPr>
        <w:drawing>
          <wp:inline distT="0" distB="0" distL="0" distR="0" wp14:anchorId="43A59BBA" wp14:editId="4F73B5EE">
            <wp:extent cx="5760720" cy="4246685"/>
            <wp:effectExtent l="0" t="0" r="0" b="1905"/>
            <wp:docPr id="4" name="Obrázek 4" descr="cid:image001.jpg@01D0A8F2.D6BEE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jpg@01D0A8F2.D6BEE0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4246685"/>
                    </a:xfrm>
                    <a:prstGeom prst="rect">
                      <a:avLst/>
                    </a:prstGeom>
                    <a:noFill/>
                    <a:ln>
                      <a:noFill/>
                    </a:ln>
                  </pic:spPr>
                </pic:pic>
              </a:graphicData>
            </a:graphic>
          </wp:inline>
        </w:drawing>
      </w:r>
    </w:p>
    <w:p w14:paraId="5A17BD5F" w14:textId="77777777" w:rsidR="006D3AD5" w:rsidRPr="002C224A" w:rsidRDefault="006D3AD5" w:rsidP="006D3AD5">
      <w:pPr>
        <w:pStyle w:val="CaptionIntroductionparagraph"/>
        <w:jc w:val="center"/>
        <w:rPr>
          <w:rFonts w:ascii="Calibri" w:hAnsi="Calibri"/>
        </w:rPr>
      </w:pPr>
    </w:p>
    <w:p w14:paraId="5BC8D66D" w14:textId="2D00C965" w:rsidR="006D3AD5" w:rsidRPr="002C224A" w:rsidRDefault="006D3AD5" w:rsidP="006D3AD5">
      <w:pPr>
        <w:pStyle w:val="Titulek"/>
      </w:pPr>
      <w:r>
        <w:t xml:space="preserve">Figure </w:t>
      </w:r>
      <w:r w:rsidR="00B8502D">
        <w:t>40</w:t>
      </w:r>
      <w:r>
        <w:t>: Equity instrument - National Innovation Fund (SO 2.1)</w:t>
      </w:r>
    </w:p>
    <w:p w14:paraId="42D70989" w14:textId="77777777" w:rsidR="006D3AD5" w:rsidRPr="002C224A" w:rsidRDefault="006D3AD5" w:rsidP="006D3AD5">
      <w:pPr>
        <w:pStyle w:val="CaptionIntroductionparagraph"/>
        <w:keepNext/>
        <w:rPr>
          <w:rFonts w:ascii="Calibri" w:hAnsi="Calibri"/>
        </w:rPr>
      </w:pPr>
    </w:p>
    <w:p w14:paraId="4E95A2DD" w14:textId="123AF1B9" w:rsidR="006D3AD5" w:rsidRPr="002C224A" w:rsidRDefault="003D62D4" w:rsidP="006D3AD5">
      <w:pPr>
        <w:pStyle w:val="CaptionIntroductionparagraph"/>
        <w:keepNext/>
        <w:rPr>
          <w:rFonts w:ascii="Calibri" w:hAnsi="Calibri"/>
        </w:rPr>
      </w:pPr>
      <w:r w:rsidRPr="008517EA">
        <w:rPr>
          <w:noProof/>
          <w:lang w:eastAsia="cs-CZ"/>
        </w:rPr>
        <w:drawing>
          <wp:anchor distT="0" distB="0" distL="114300" distR="114300" simplePos="0" relativeHeight="251663872" behindDoc="0" locked="0" layoutInCell="1" allowOverlap="1" wp14:anchorId="094448C9" wp14:editId="1BA8F88D">
            <wp:simplePos x="0" y="0"/>
            <wp:positionH relativeFrom="margin">
              <wp:posOffset>0</wp:posOffset>
            </wp:positionH>
            <wp:positionV relativeFrom="paragraph">
              <wp:posOffset>189230</wp:posOffset>
            </wp:positionV>
            <wp:extent cx="5353050" cy="3691890"/>
            <wp:effectExtent l="0" t="0" r="0" b="381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5C6CF" w14:textId="6B028585" w:rsidR="006D3AD5" w:rsidRPr="002C224A" w:rsidRDefault="006D3AD5" w:rsidP="006D3AD5">
      <w:pPr>
        <w:pStyle w:val="Titulek"/>
      </w:pPr>
      <w:r>
        <w:t xml:space="preserve">Figure </w:t>
      </w:r>
      <w:r w:rsidR="004929D6">
        <w:t>4</w:t>
      </w:r>
      <w:r w:rsidR="00B8502D">
        <w:t>1</w:t>
      </w:r>
      <w:r>
        <w:t>: Credit instrument (SO 2.1)</w:t>
      </w:r>
    </w:p>
    <w:p w14:paraId="55F8DAD3" w14:textId="77777777" w:rsidR="006D3AD5" w:rsidRPr="00A50943" w:rsidRDefault="006D3AD5" w:rsidP="006D3AD5"/>
    <w:p w14:paraId="46EFB282" w14:textId="77777777" w:rsidR="006D3AD5" w:rsidRPr="00A50943" w:rsidRDefault="006D3AD5" w:rsidP="006D3AD5">
      <w:pPr>
        <w:jc w:val="center"/>
        <w:rPr>
          <w:b/>
          <w:color w:val="3C8A2E"/>
          <w:kern w:val="32"/>
          <w:sz w:val="24"/>
          <w:szCs w:val="26"/>
        </w:rPr>
      </w:pPr>
    </w:p>
    <w:p w14:paraId="74A0079B" w14:textId="77777777" w:rsidR="006D3AD5" w:rsidRPr="002C224A" w:rsidRDefault="006D3AD5" w:rsidP="006D3AD5">
      <w:pPr>
        <w:pStyle w:val="Titulek"/>
      </w:pPr>
    </w:p>
    <w:p w14:paraId="3A50B21B" w14:textId="5AC925E4" w:rsidR="006D3AD5" w:rsidRDefault="00572535" w:rsidP="006D3AD5">
      <w:pPr>
        <w:pStyle w:val="Titulek"/>
      </w:pPr>
      <w:r w:rsidRPr="007456D1">
        <w:rPr>
          <w:noProof/>
          <w:szCs w:val="22"/>
          <w:lang w:eastAsia="cs-CZ"/>
        </w:rPr>
        <w:drawing>
          <wp:anchor distT="0" distB="0" distL="114300" distR="114300" simplePos="0" relativeHeight="251682304" behindDoc="0" locked="0" layoutInCell="1" allowOverlap="1" wp14:anchorId="103492EB" wp14:editId="4BF4E8A2">
            <wp:simplePos x="0" y="0"/>
            <wp:positionH relativeFrom="margin">
              <wp:posOffset>0</wp:posOffset>
            </wp:positionH>
            <wp:positionV relativeFrom="paragraph">
              <wp:posOffset>155575</wp:posOffset>
            </wp:positionV>
            <wp:extent cx="5651500" cy="3752215"/>
            <wp:effectExtent l="0" t="0" r="0" b="635"/>
            <wp:wrapTopAndBottom/>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1041" b="10556"/>
                    <a:stretch/>
                  </pic:blipFill>
                  <pic:spPr bwMode="auto">
                    <a:xfrm>
                      <a:off x="0" y="0"/>
                      <a:ext cx="5651500" cy="375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D85C2" w14:textId="247D4E18" w:rsidR="006D3AD5" w:rsidRPr="002C224A" w:rsidRDefault="006D3AD5" w:rsidP="006D3AD5">
      <w:pPr>
        <w:pStyle w:val="Titulek"/>
      </w:pPr>
      <w:r>
        <w:t xml:space="preserve">Figure </w:t>
      </w:r>
      <w:r w:rsidR="004929D6">
        <w:t>4</w:t>
      </w:r>
      <w:r w:rsidR="00B8502D">
        <w:t>2</w:t>
      </w:r>
      <w:r>
        <w:t>: Guarantee instrument (SO 2.1)</w:t>
      </w:r>
    </w:p>
    <w:p w14:paraId="1B91360D" w14:textId="77777777" w:rsidR="006D3AD5" w:rsidRPr="002C224A" w:rsidRDefault="006D3AD5" w:rsidP="006D3AD5">
      <w:pPr>
        <w:pStyle w:val="Titulek"/>
      </w:pPr>
      <w:bookmarkStart w:id="1127" w:name="_Toc414464606"/>
      <w:bookmarkStart w:id="1128" w:name="_Toc416800492"/>
    </w:p>
    <w:p w14:paraId="2CD34AA5" w14:textId="77777777" w:rsidR="006D3AD5" w:rsidRPr="002C224A" w:rsidRDefault="006D3AD5" w:rsidP="006D3AD5">
      <w:pPr>
        <w:pStyle w:val="Nadpis4"/>
        <w:rPr>
          <w:rFonts w:ascii="Calibri" w:hAnsi="Calibri"/>
        </w:rPr>
      </w:pPr>
      <w:r>
        <w:rPr>
          <w:rFonts w:ascii="Calibri" w:hAnsi="Calibri"/>
        </w:rPr>
        <w:t>Model scenarios of portfolio development, number of investments and the revolving effect</w:t>
      </w:r>
    </w:p>
    <w:p w14:paraId="40E35F14" w14:textId="77777777" w:rsidR="006D3AD5" w:rsidRPr="00A50943" w:rsidRDefault="006D3AD5" w:rsidP="006D3AD5"/>
    <w:p w14:paraId="6DC35283" w14:textId="77777777" w:rsidR="006D3AD5" w:rsidRPr="002C224A" w:rsidRDefault="006D3AD5" w:rsidP="006D3AD5">
      <w:r>
        <w:t>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respected in general during the FI implementation. Nevertheless they cannot be considered binding given the conditions presented further.</w:t>
      </w:r>
    </w:p>
    <w:p w14:paraId="79415A08" w14:textId="77777777" w:rsidR="006D3AD5" w:rsidRPr="002C224A" w:rsidRDefault="006D3AD5" w:rsidP="006D3AD5">
      <w:pPr>
        <w:pStyle w:val="Neslovannadpisy"/>
      </w:pPr>
    </w:p>
    <w:p w14:paraId="5B27DB37" w14:textId="77777777" w:rsidR="006D3AD5" w:rsidRPr="002C224A" w:rsidRDefault="006D3AD5" w:rsidP="006D3AD5">
      <w:pPr>
        <w:pStyle w:val="Neslovannadpisy"/>
        <w:rPr>
          <w:b w:val="0"/>
        </w:rPr>
      </w:pPr>
      <w:r>
        <w:t>Credit instrument</w:t>
      </w:r>
    </w:p>
    <w:p w14:paraId="2311C5FE" w14:textId="77777777" w:rsidR="006D3AD5" w:rsidRPr="002C224A" w:rsidRDefault="006D3AD5" w:rsidP="006D3AD5">
      <w:r>
        <w:t xml:space="preserve">For clarity reasons the credit model example does not take into account the interest income and costs for managing of the co-financing subject with regard to their expected mutual partial compensation. The model shows scenarios for different levels of expected losses and a scenario for subsidies on the interest payments and project preparation. </w:t>
      </w:r>
      <w:r>
        <w:rPr>
          <w:b/>
        </w:rPr>
        <w:t>The deferment of instalments is not taken into account in the model calculation</w:t>
      </w:r>
      <w:r>
        <w:t>. In case of its use it is necessary to expect partial restriction of revolving and therefore the number of provided loans for the programming period. The revolving effects will be postponed into the next period (in case of five-year deferment of instalments the repayments would start after 2020).</w:t>
      </w:r>
    </w:p>
    <w:p w14:paraId="7BE56228" w14:textId="77777777" w:rsidR="006D3AD5" w:rsidRPr="002C224A" w:rsidRDefault="006D3AD5" w:rsidP="006D3AD5">
      <w:pPr>
        <w:pStyle w:val="Titulek"/>
      </w:pPr>
    </w:p>
    <w:p w14:paraId="29F3A446" w14:textId="77777777" w:rsidR="006D3AD5" w:rsidRPr="002C224A" w:rsidRDefault="006D3AD5" w:rsidP="006D3AD5">
      <w:pPr>
        <w:pStyle w:val="Titulek"/>
      </w:pPr>
      <w:r>
        <w:rPr>
          <w:noProof/>
          <w:lang w:eastAsia="cs-CZ"/>
        </w:rPr>
        <w:drawing>
          <wp:inline distT="0" distB="0" distL="0" distR="0" wp14:anchorId="71389E08" wp14:editId="24139943">
            <wp:extent cx="4378960" cy="2942590"/>
            <wp:effectExtent l="0" t="0" r="21590" b="10160"/>
            <wp:docPr id="220" name="Graf 2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F1E222" w14:textId="38A46E4A" w:rsidR="006D3AD5" w:rsidRPr="002C224A" w:rsidRDefault="004929D6" w:rsidP="006D3AD5">
      <w:pPr>
        <w:pStyle w:val="Titulek"/>
      </w:pPr>
      <w:r>
        <w:t>Figure 4</w:t>
      </w:r>
      <w:r w:rsidR="00B8502D">
        <w:t>3</w:t>
      </w:r>
      <w:r w:rsidR="006D3AD5">
        <w:t xml:space="preserve">: Potential effects of using the FI (Scenario 1, losses 10%, no subsidy) </w:t>
      </w:r>
    </w:p>
    <w:p w14:paraId="26DD7DE1" w14:textId="77777777" w:rsidR="000A7849" w:rsidRDefault="000A7849" w:rsidP="000A7849">
      <w:pPr>
        <w:rPr>
          <w:lang w:eastAsia="en-US"/>
        </w:rPr>
      </w:pPr>
      <w:r>
        <w:rPr>
          <w:lang w:eastAsia="en-US"/>
        </w:rPr>
        <w:t>Proinvestované prostředky = Invested funds</w:t>
      </w:r>
    </w:p>
    <w:p w14:paraId="1A32EA52" w14:textId="77777777" w:rsidR="000A7849" w:rsidRPr="00850075" w:rsidRDefault="000A7849" w:rsidP="000A7849">
      <w:pPr>
        <w:rPr>
          <w:lang w:eastAsia="en-US"/>
        </w:rPr>
      </w:pPr>
      <w:r>
        <w:rPr>
          <w:lang w:eastAsia="en-US"/>
        </w:rPr>
        <w:t>Kumulované proinvestované prostředky = total accumulated invested funds</w:t>
      </w:r>
    </w:p>
    <w:p w14:paraId="1464C065" w14:textId="77777777" w:rsidR="006D3AD5" w:rsidRPr="002C224A" w:rsidRDefault="006D3AD5" w:rsidP="006D3AD5">
      <w:pPr>
        <w:pStyle w:val="CaptionIntroductionparagraph"/>
        <w:rPr>
          <w:rFonts w:ascii="Calibri" w:hAnsi="Calibri"/>
        </w:rPr>
      </w:pPr>
    </w:p>
    <w:p w14:paraId="78359A36" w14:textId="77777777" w:rsidR="006D3AD5" w:rsidRPr="002C224A" w:rsidRDefault="006D3AD5" w:rsidP="006D3AD5">
      <w:r>
        <w:rPr>
          <w:noProof/>
        </w:rPr>
        <w:lastRenderedPageBreak/>
        <w:drawing>
          <wp:inline distT="0" distB="0" distL="0" distR="0" wp14:anchorId="1EEB58AA" wp14:editId="45B52383">
            <wp:extent cx="4378960" cy="2942590"/>
            <wp:effectExtent l="0" t="0" r="21590" b="10160"/>
            <wp:docPr id="219" name="Graf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69FA4F" w14:textId="77777777" w:rsidR="006D3AD5" w:rsidRPr="002C224A" w:rsidRDefault="006D3AD5" w:rsidP="006D3AD5">
      <w:pPr>
        <w:keepNext/>
        <w:jc w:val="center"/>
      </w:pPr>
    </w:p>
    <w:p w14:paraId="6BB489BB" w14:textId="716C11A2" w:rsidR="006D3AD5" w:rsidRPr="002C224A" w:rsidRDefault="004929D6" w:rsidP="006D3AD5">
      <w:pPr>
        <w:pStyle w:val="Titulek"/>
      </w:pPr>
      <w:r>
        <w:t>Figure 4</w:t>
      </w:r>
      <w:r w:rsidR="00B8502D">
        <w:t>4</w:t>
      </w:r>
      <w:r w:rsidR="006D3AD5">
        <w:t xml:space="preserve">: Potential effects of using the FI (Scenario 2, losses 20 %, no subsidy) </w:t>
      </w:r>
    </w:p>
    <w:p w14:paraId="0814AD65" w14:textId="77777777" w:rsidR="006D3AD5" w:rsidRPr="00A50943" w:rsidRDefault="006D3AD5" w:rsidP="006D3AD5"/>
    <w:p w14:paraId="1C4CA2E2" w14:textId="77777777" w:rsidR="006D3AD5" w:rsidRPr="00A50943" w:rsidRDefault="006D3AD5" w:rsidP="006D3AD5">
      <w:r>
        <w:rPr>
          <w:noProof/>
        </w:rPr>
        <w:drawing>
          <wp:inline distT="0" distB="0" distL="0" distR="0" wp14:anchorId="51202371" wp14:editId="58FC917F">
            <wp:extent cx="4378960" cy="2942590"/>
            <wp:effectExtent l="0" t="0" r="21590" b="10160"/>
            <wp:docPr id="218" name="Graf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116B81" w14:textId="0561D0A6" w:rsidR="006D3AD5" w:rsidRPr="002C224A" w:rsidRDefault="004929D6" w:rsidP="006D3AD5">
      <w:pPr>
        <w:pStyle w:val="Titulek"/>
      </w:pPr>
      <w:r>
        <w:t>Figure 4</w:t>
      </w:r>
      <w:r w:rsidR="00B8502D">
        <w:t>5</w:t>
      </w:r>
      <w:r w:rsidR="006D3AD5">
        <w:t xml:space="preserve">: Potential effects of using the FI (Scenario 3, losses 10%, with subsidy) </w:t>
      </w:r>
    </w:p>
    <w:p w14:paraId="0E55FE92" w14:textId="77777777" w:rsidR="006D3AD5" w:rsidRPr="00A50943" w:rsidRDefault="006D3AD5" w:rsidP="006D3AD5"/>
    <w:p w14:paraId="1413DE30" w14:textId="77777777" w:rsidR="006D3AD5" w:rsidRPr="002C224A" w:rsidRDefault="006D3AD5" w:rsidP="006D3AD5">
      <w:r>
        <w:t xml:space="preserve">Legend: </w:t>
      </w:r>
    </w:p>
    <w:p w14:paraId="593FA549"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Blue columns represent soft loans provided from the OP EIC in individual years</w:t>
      </w:r>
    </w:p>
    <w:p w14:paraId="79B4D727"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Green line is the cumulated total of these loans</w:t>
      </w:r>
    </w:p>
    <w:p w14:paraId="29AEFA1E" w14:textId="148E1745" w:rsidR="006D3AD5" w:rsidRPr="002C224A" w:rsidRDefault="006D3AD5" w:rsidP="006D3AD5">
      <w:pPr>
        <w:pStyle w:val="Titulek"/>
      </w:pPr>
      <w:r>
        <w:t xml:space="preserve">Table </w:t>
      </w:r>
      <w:r w:rsidR="00396AB4">
        <w:t>10</w:t>
      </w:r>
      <w:r w:rsidR="00B90ACD">
        <w:t>5</w:t>
      </w:r>
      <w:r>
        <w:t>: Model parameters</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6D3AD5" w:rsidRPr="002C224A" w14:paraId="7721D098" w14:textId="77777777" w:rsidTr="00443B8F">
        <w:trPr>
          <w:trHeight w:val="240"/>
          <w:jc w:val="center"/>
        </w:trPr>
        <w:tc>
          <w:tcPr>
            <w:tcW w:w="4252" w:type="dxa"/>
            <w:noWrap/>
            <w:vAlign w:val="center"/>
          </w:tcPr>
          <w:p w14:paraId="38BE099F" w14:textId="77777777" w:rsidR="006D3AD5" w:rsidRPr="00A50943" w:rsidRDefault="006D3AD5" w:rsidP="00443B8F">
            <w:pPr>
              <w:jc w:val="left"/>
              <w:rPr>
                <w:color w:val="000000"/>
                <w:sz w:val="18"/>
                <w:szCs w:val="18"/>
              </w:rPr>
            </w:pPr>
            <w:r>
              <w:rPr>
                <w:color w:val="000000"/>
                <w:sz w:val="18"/>
              </w:rPr>
              <w:t xml:space="preserve">OP EIC allocation </w:t>
            </w:r>
          </w:p>
        </w:tc>
        <w:tc>
          <w:tcPr>
            <w:tcW w:w="1417" w:type="dxa"/>
            <w:noWrap/>
            <w:vAlign w:val="center"/>
          </w:tcPr>
          <w:p w14:paraId="6D83DF7E" w14:textId="77777777" w:rsidR="006D3AD5" w:rsidRPr="002C224A" w:rsidRDefault="006D3AD5" w:rsidP="00443B8F">
            <w:pPr>
              <w:jc w:val="right"/>
              <w:rPr>
                <w:color w:val="000000"/>
                <w:sz w:val="18"/>
                <w:szCs w:val="18"/>
              </w:rPr>
            </w:pPr>
            <w:r>
              <w:rPr>
                <w:color w:val="000000"/>
                <w:sz w:val="18"/>
              </w:rPr>
              <w:t>CZK 4,825 million</w:t>
            </w:r>
          </w:p>
        </w:tc>
      </w:tr>
      <w:tr w:rsidR="006D3AD5" w:rsidRPr="002C224A" w14:paraId="03FC1719" w14:textId="77777777" w:rsidTr="00443B8F">
        <w:trPr>
          <w:trHeight w:val="240"/>
          <w:jc w:val="center"/>
        </w:trPr>
        <w:tc>
          <w:tcPr>
            <w:tcW w:w="4252" w:type="dxa"/>
            <w:noWrap/>
            <w:vAlign w:val="center"/>
          </w:tcPr>
          <w:p w14:paraId="674C3FBE" w14:textId="77777777" w:rsidR="006D3AD5" w:rsidRPr="002C224A" w:rsidRDefault="006D3AD5" w:rsidP="00443B8F">
            <w:pPr>
              <w:jc w:val="left"/>
              <w:rPr>
                <w:color w:val="000000"/>
                <w:sz w:val="18"/>
                <w:szCs w:val="18"/>
              </w:rPr>
            </w:pPr>
            <w:r>
              <w:rPr>
                <w:color w:val="000000"/>
                <w:sz w:val="18"/>
              </w:rPr>
              <w:t>Interest of sources provided from the OP EIC</w:t>
            </w:r>
          </w:p>
        </w:tc>
        <w:tc>
          <w:tcPr>
            <w:tcW w:w="1417" w:type="dxa"/>
            <w:noWrap/>
            <w:vAlign w:val="center"/>
          </w:tcPr>
          <w:p w14:paraId="733644D8" w14:textId="77777777" w:rsidR="006D3AD5" w:rsidRPr="002C224A" w:rsidRDefault="006D3AD5" w:rsidP="00443B8F">
            <w:pPr>
              <w:jc w:val="right"/>
              <w:rPr>
                <w:color w:val="000000"/>
                <w:sz w:val="18"/>
                <w:szCs w:val="18"/>
              </w:rPr>
            </w:pPr>
            <w:r>
              <w:rPr>
                <w:color w:val="000000"/>
                <w:sz w:val="18"/>
              </w:rPr>
              <w:t>0.50 %</w:t>
            </w:r>
          </w:p>
        </w:tc>
      </w:tr>
      <w:tr w:rsidR="006D3AD5" w:rsidRPr="002C224A" w14:paraId="6B9748DA" w14:textId="77777777" w:rsidTr="00443B8F">
        <w:trPr>
          <w:trHeight w:val="240"/>
          <w:jc w:val="center"/>
        </w:trPr>
        <w:tc>
          <w:tcPr>
            <w:tcW w:w="4252" w:type="dxa"/>
            <w:noWrap/>
            <w:vAlign w:val="center"/>
          </w:tcPr>
          <w:p w14:paraId="790EBAAC" w14:textId="77777777" w:rsidR="006D3AD5" w:rsidRPr="002C224A" w:rsidRDefault="006D3AD5" w:rsidP="00443B8F">
            <w:pPr>
              <w:jc w:val="left"/>
              <w:rPr>
                <w:color w:val="000000"/>
                <w:sz w:val="18"/>
                <w:szCs w:val="18"/>
              </w:rPr>
            </w:pPr>
            <w:r>
              <w:rPr>
                <w:color w:val="000000"/>
                <w:sz w:val="18"/>
              </w:rPr>
              <w:t>Required interest of the co-financing subject</w:t>
            </w:r>
          </w:p>
        </w:tc>
        <w:tc>
          <w:tcPr>
            <w:tcW w:w="1417" w:type="dxa"/>
            <w:noWrap/>
            <w:vAlign w:val="center"/>
          </w:tcPr>
          <w:p w14:paraId="451C5936" w14:textId="77777777" w:rsidR="006D3AD5" w:rsidRPr="002C224A" w:rsidRDefault="006D3AD5" w:rsidP="00443B8F">
            <w:pPr>
              <w:jc w:val="right"/>
              <w:rPr>
                <w:color w:val="000000"/>
                <w:sz w:val="18"/>
                <w:szCs w:val="18"/>
              </w:rPr>
            </w:pPr>
            <w:r>
              <w:rPr>
                <w:color w:val="000000"/>
                <w:sz w:val="18"/>
              </w:rPr>
              <w:t>3.50 %</w:t>
            </w:r>
          </w:p>
        </w:tc>
      </w:tr>
      <w:tr w:rsidR="006D3AD5" w:rsidRPr="002C224A" w14:paraId="172BCA1E" w14:textId="77777777" w:rsidTr="00443B8F">
        <w:trPr>
          <w:trHeight w:val="240"/>
          <w:jc w:val="center"/>
        </w:trPr>
        <w:tc>
          <w:tcPr>
            <w:tcW w:w="4252" w:type="dxa"/>
            <w:noWrap/>
            <w:vAlign w:val="center"/>
          </w:tcPr>
          <w:p w14:paraId="25D2C40A" w14:textId="77777777" w:rsidR="006D3AD5" w:rsidRPr="002C224A" w:rsidRDefault="006D3AD5" w:rsidP="00443B8F">
            <w:pPr>
              <w:jc w:val="left"/>
              <w:rPr>
                <w:color w:val="000000"/>
                <w:sz w:val="18"/>
                <w:szCs w:val="18"/>
              </w:rPr>
            </w:pPr>
            <w:r>
              <w:rPr>
                <w:color w:val="000000"/>
                <w:sz w:val="18"/>
              </w:rPr>
              <w:t>Limit of the amount of the result interest rate on the loan for the recipient</w:t>
            </w:r>
          </w:p>
        </w:tc>
        <w:tc>
          <w:tcPr>
            <w:tcW w:w="1417" w:type="dxa"/>
            <w:noWrap/>
            <w:vAlign w:val="center"/>
          </w:tcPr>
          <w:p w14:paraId="21B77C64" w14:textId="77777777" w:rsidR="006D3AD5" w:rsidRPr="002C224A" w:rsidRDefault="006D3AD5" w:rsidP="00443B8F">
            <w:pPr>
              <w:jc w:val="right"/>
              <w:rPr>
                <w:color w:val="000000"/>
                <w:sz w:val="18"/>
                <w:szCs w:val="18"/>
              </w:rPr>
            </w:pPr>
            <w:r>
              <w:rPr>
                <w:color w:val="000000"/>
                <w:sz w:val="18"/>
              </w:rPr>
              <w:t>2.00 %</w:t>
            </w:r>
          </w:p>
        </w:tc>
      </w:tr>
      <w:tr w:rsidR="006D3AD5" w:rsidRPr="002C224A" w14:paraId="5D7AAD5A" w14:textId="77777777" w:rsidTr="00443B8F">
        <w:trPr>
          <w:trHeight w:val="240"/>
          <w:jc w:val="center"/>
        </w:trPr>
        <w:tc>
          <w:tcPr>
            <w:tcW w:w="4252" w:type="dxa"/>
            <w:noWrap/>
            <w:vAlign w:val="center"/>
          </w:tcPr>
          <w:p w14:paraId="05F5A6CF" w14:textId="77777777" w:rsidR="006D3AD5" w:rsidRPr="002C224A" w:rsidRDefault="006D3AD5" w:rsidP="00443B8F">
            <w:pPr>
              <w:jc w:val="left"/>
              <w:rPr>
                <w:color w:val="000000"/>
                <w:sz w:val="18"/>
                <w:szCs w:val="18"/>
              </w:rPr>
            </w:pPr>
            <w:r>
              <w:rPr>
                <w:color w:val="000000"/>
                <w:sz w:val="18"/>
              </w:rPr>
              <w:t>Own sources of applicants</w:t>
            </w:r>
          </w:p>
        </w:tc>
        <w:tc>
          <w:tcPr>
            <w:tcW w:w="1417" w:type="dxa"/>
            <w:noWrap/>
            <w:vAlign w:val="center"/>
          </w:tcPr>
          <w:p w14:paraId="3C0D18BC" w14:textId="77777777" w:rsidR="006D3AD5" w:rsidRPr="002C224A" w:rsidRDefault="006D3AD5" w:rsidP="00443B8F">
            <w:pPr>
              <w:jc w:val="right"/>
              <w:rPr>
                <w:color w:val="000000"/>
                <w:sz w:val="18"/>
                <w:szCs w:val="18"/>
              </w:rPr>
            </w:pPr>
            <w:r>
              <w:rPr>
                <w:color w:val="000000"/>
                <w:sz w:val="18"/>
              </w:rPr>
              <w:t>20.00 %</w:t>
            </w:r>
          </w:p>
        </w:tc>
      </w:tr>
      <w:tr w:rsidR="006D3AD5" w:rsidRPr="002C224A" w14:paraId="06311CDE" w14:textId="77777777" w:rsidTr="00443B8F">
        <w:trPr>
          <w:trHeight w:val="240"/>
          <w:jc w:val="center"/>
        </w:trPr>
        <w:tc>
          <w:tcPr>
            <w:tcW w:w="4252" w:type="dxa"/>
            <w:noWrap/>
            <w:vAlign w:val="center"/>
          </w:tcPr>
          <w:p w14:paraId="4659335B" w14:textId="77777777" w:rsidR="006D3AD5" w:rsidRPr="002C224A" w:rsidRDefault="006D3AD5" w:rsidP="00443B8F">
            <w:pPr>
              <w:jc w:val="left"/>
              <w:rPr>
                <w:color w:val="000000"/>
                <w:sz w:val="18"/>
                <w:szCs w:val="18"/>
              </w:rPr>
            </w:pPr>
            <w:r>
              <w:rPr>
                <w:color w:val="000000"/>
                <w:sz w:val="18"/>
              </w:rPr>
              <w:t>Percentage of involvement of the co-financing subject</w:t>
            </w:r>
          </w:p>
        </w:tc>
        <w:tc>
          <w:tcPr>
            <w:tcW w:w="1417" w:type="dxa"/>
            <w:noWrap/>
            <w:vAlign w:val="center"/>
          </w:tcPr>
          <w:p w14:paraId="671405D8" w14:textId="77777777" w:rsidR="006D3AD5" w:rsidRPr="002C224A" w:rsidRDefault="006D3AD5" w:rsidP="00443B8F">
            <w:pPr>
              <w:jc w:val="right"/>
              <w:rPr>
                <w:color w:val="000000"/>
                <w:sz w:val="18"/>
                <w:szCs w:val="18"/>
              </w:rPr>
            </w:pPr>
            <w:r>
              <w:rPr>
                <w:color w:val="000000"/>
                <w:sz w:val="18"/>
              </w:rPr>
              <w:t>40.00 %</w:t>
            </w:r>
          </w:p>
        </w:tc>
      </w:tr>
      <w:tr w:rsidR="006D3AD5" w:rsidRPr="002C224A" w14:paraId="0152E712" w14:textId="77777777" w:rsidTr="00443B8F">
        <w:trPr>
          <w:trHeight w:val="240"/>
          <w:jc w:val="center"/>
        </w:trPr>
        <w:tc>
          <w:tcPr>
            <w:tcW w:w="4252" w:type="dxa"/>
            <w:noWrap/>
            <w:vAlign w:val="center"/>
          </w:tcPr>
          <w:p w14:paraId="252D2B9E" w14:textId="77777777" w:rsidR="006D3AD5" w:rsidRPr="002C224A" w:rsidRDefault="006D3AD5" w:rsidP="00443B8F">
            <w:pPr>
              <w:jc w:val="left"/>
              <w:rPr>
                <w:color w:val="000000"/>
                <w:sz w:val="18"/>
                <w:szCs w:val="18"/>
              </w:rPr>
            </w:pPr>
            <w:r>
              <w:rPr>
                <w:color w:val="000000"/>
                <w:sz w:val="18"/>
              </w:rPr>
              <w:t>Loan maturity</w:t>
            </w:r>
          </w:p>
        </w:tc>
        <w:tc>
          <w:tcPr>
            <w:tcW w:w="1417" w:type="dxa"/>
            <w:noWrap/>
            <w:vAlign w:val="center"/>
          </w:tcPr>
          <w:p w14:paraId="50EF245D" w14:textId="77777777" w:rsidR="006D3AD5" w:rsidRPr="002C224A" w:rsidRDefault="006D3AD5" w:rsidP="00443B8F">
            <w:pPr>
              <w:jc w:val="right"/>
              <w:rPr>
                <w:color w:val="000000"/>
                <w:sz w:val="18"/>
                <w:szCs w:val="18"/>
              </w:rPr>
            </w:pPr>
            <w:r>
              <w:rPr>
                <w:color w:val="000000"/>
                <w:sz w:val="18"/>
              </w:rPr>
              <w:t>8</w:t>
            </w:r>
          </w:p>
        </w:tc>
      </w:tr>
    </w:tbl>
    <w:p w14:paraId="64774480" w14:textId="77777777" w:rsidR="006D3AD5" w:rsidRPr="002C224A" w:rsidRDefault="006D3AD5" w:rsidP="006D3AD5">
      <w:pPr>
        <w:pStyle w:val="Titulek"/>
      </w:pPr>
    </w:p>
    <w:p w14:paraId="4E8BCDB9" w14:textId="2A1F76ED" w:rsidR="006D3AD5" w:rsidRPr="002C224A" w:rsidRDefault="006D3AD5" w:rsidP="006D3AD5">
      <w:pPr>
        <w:pStyle w:val="Titulek"/>
      </w:pPr>
      <w:r>
        <w:t xml:space="preserve">Table </w:t>
      </w:r>
      <w:r w:rsidR="00396AB4">
        <w:t>10</w:t>
      </w:r>
      <w:r w:rsidR="00B90ACD">
        <w:t>6</w:t>
      </w:r>
      <w:r>
        <w:t>: Model results</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58"/>
        <w:gridCol w:w="1200"/>
        <w:gridCol w:w="1075"/>
      </w:tblGrid>
      <w:tr w:rsidR="006D3AD5" w:rsidRPr="002C224A" w14:paraId="5D9E3D42" w14:textId="77777777" w:rsidTr="00443B8F">
        <w:trPr>
          <w:trHeight w:val="240"/>
          <w:jc w:val="center"/>
        </w:trPr>
        <w:tc>
          <w:tcPr>
            <w:tcW w:w="4821" w:type="dxa"/>
            <w:noWrap/>
            <w:vAlign w:val="center"/>
          </w:tcPr>
          <w:p w14:paraId="646014BC" w14:textId="77777777" w:rsidR="006D3AD5" w:rsidRPr="00A50943" w:rsidRDefault="006D3AD5" w:rsidP="00443B8F">
            <w:pPr>
              <w:jc w:val="left"/>
              <w:rPr>
                <w:color w:val="000000"/>
                <w:sz w:val="18"/>
                <w:szCs w:val="18"/>
              </w:rPr>
            </w:pPr>
          </w:p>
        </w:tc>
        <w:tc>
          <w:tcPr>
            <w:tcW w:w="1134" w:type="dxa"/>
            <w:noWrap/>
            <w:vAlign w:val="center"/>
          </w:tcPr>
          <w:p w14:paraId="55086B07" w14:textId="77777777" w:rsidR="006D3AD5" w:rsidRPr="002C224A" w:rsidRDefault="006D3AD5" w:rsidP="00443B8F">
            <w:pPr>
              <w:jc w:val="right"/>
              <w:rPr>
                <w:color w:val="000000"/>
                <w:sz w:val="18"/>
                <w:szCs w:val="18"/>
              </w:rPr>
            </w:pPr>
            <w:r>
              <w:rPr>
                <w:color w:val="000000"/>
                <w:sz w:val="18"/>
              </w:rPr>
              <w:t>Scenario 1</w:t>
            </w:r>
          </w:p>
        </w:tc>
        <w:tc>
          <w:tcPr>
            <w:tcW w:w="1058" w:type="dxa"/>
          </w:tcPr>
          <w:p w14:paraId="3EFED99D" w14:textId="77777777" w:rsidR="006D3AD5" w:rsidRPr="002C224A" w:rsidRDefault="006D3AD5" w:rsidP="00443B8F">
            <w:pPr>
              <w:jc w:val="right"/>
              <w:rPr>
                <w:color w:val="000000"/>
                <w:sz w:val="18"/>
                <w:szCs w:val="18"/>
              </w:rPr>
            </w:pPr>
            <w:r>
              <w:rPr>
                <w:color w:val="000000"/>
                <w:sz w:val="18"/>
              </w:rPr>
              <w:t>Scenario 2</w:t>
            </w:r>
          </w:p>
        </w:tc>
        <w:tc>
          <w:tcPr>
            <w:tcW w:w="1200" w:type="dxa"/>
          </w:tcPr>
          <w:p w14:paraId="51EF2F5B" w14:textId="77777777" w:rsidR="006D3AD5" w:rsidRPr="002C224A" w:rsidRDefault="006D3AD5" w:rsidP="00443B8F">
            <w:pPr>
              <w:jc w:val="right"/>
              <w:rPr>
                <w:color w:val="000000"/>
                <w:sz w:val="18"/>
                <w:szCs w:val="18"/>
              </w:rPr>
            </w:pPr>
            <w:r>
              <w:rPr>
                <w:color w:val="000000"/>
                <w:sz w:val="18"/>
              </w:rPr>
              <w:t>Scenario 3</w:t>
            </w:r>
          </w:p>
        </w:tc>
        <w:tc>
          <w:tcPr>
            <w:tcW w:w="1075" w:type="dxa"/>
          </w:tcPr>
          <w:p w14:paraId="5FF88F4C" w14:textId="77777777" w:rsidR="006D3AD5" w:rsidRPr="002C224A" w:rsidRDefault="006D3AD5" w:rsidP="00443B8F">
            <w:pPr>
              <w:jc w:val="right"/>
              <w:rPr>
                <w:color w:val="000000"/>
                <w:sz w:val="18"/>
                <w:szCs w:val="18"/>
              </w:rPr>
            </w:pPr>
            <w:r>
              <w:rPr>
                <w:color w:val="000000"/>
                <w:sz w:val="18"/>
              </w:rPr>
              <w:t>Scenario 4</w:t>
            </w:r>
            <w:r>
              <w:rPr>
                <w:rStyle w:val="Znakapoznpodarou"/>
                <w:color w:val="000000"/>
              </w:rPr>
              <w:footnoteReference w:id="59"/>
            </w:r>
          </w:p>
        </w:tc>
      </w:tr>
      <w:tr w:rsidR="006D3AD5" w:rsidRPr="002C224A" w14:paraId="5E3E8DE3" w14:textId="77777777" w:rsidTr="00443B8F">
        <w:trPr>
          <w:trHeight w:val="240"/>
          <w:jc w:val="center"/>
        </w:trPr>
        <w:tc>
          <w:tcPr>
            <w:tcW w:w="4821" w:type="dxa"/>
            <w:noWrap/>
            <w:vAlign w:val="center"/>
          </w:tcPr>
          <w:p w14:paraId="1AA10756" w14:textId="77777777" w:rsidR="006D3AD5" w:rsidRPr="002C224A" w:rsidRDefault="006D3AD5" w:rsidP="00443B8F">
            <w:pPr>
              <w:jc w:val="left"/>
              <w:rPr>
                <w:color w:val="000000"/>
                <w:sz w:val="18"/>
                <w:szCs w:val="18"/>
              </w:rPr>
            </w:pPr>
            <w:r>
              <w:rPr>
                <w:color w:val="000000"/>
                <w:sz w:val="18"/>
              </w:rPr>
              <w:t>Invested in total - milestone for 2018 (CZK millions)</w:t>
            </w:r>
          </w:p>
        </w:tc>
        <w:tc>
          <w:tcPr>
            <w:tcW w:w="1134" w:type="dxa"/>
            <w:noWrap/>
            <w:vAlign w:val="center"/>
          </w:tcPr>
          <w:p w14:paraId="2EA33979" w14:textId="77777777" w:rsidR="006D3AD5" w:rsidRPr="002C224A" w:rsidRDefault="006D3AD5" w:rsidP="00443B8F">
            <w:pPr>
              <w:jc w:val="right"/>
              <w:rPr>
                <w:color w:val="000000"/>
                <w:sz w:val="18"/>
                <w:szCs w:val="18"/>
              </w:rPr>
            </w:pPr>
            <w:r>
              <w:rPr>
                <w:sz w:val="18"/>
              </w:rPr>
              <w:t>9,047</w:t>
            </w:r>
          </w:p>
        </w:tc>
        <w:tc>
          <w:tcPr>
            <w:tcW w:w="1058" w:type="dxa"/>
            <w:vAlign w:val="center"/>
          </w:tcPr>
          <w:p w14:paraId="46E09885" w14:textId="77777777" w:rsidR="006D3AD5" w:rsidRPr="002C224A" w:rsidRDefault="006D3AD5" w:rsidP="00443B8F">
            <w:pPr>
              <w:jc w:val="right"/>
              <w:rPr>
                <w:color w:val="000000"/>
                <w:sz w:val="18"/>
                <w:szCs w:val="18"/>
              </w:rPr>
            </w:pPr>
            <w:r>
              <w:rPr>
                <w:sz w:val="18"/>
              </w:rPr>
              <w:t>9,047</w:t>
            </w:r>
          </w:p>
        </w:tc>
        <w:tc>
          <w:tcPr>
            <w:tcW w:w="1200" w:type="dxa"/>
            <w:vAlign w:val="center"/>
          </w:tcPr>
          <w:p w14:paraId="3147FDAF" w14:textId="77777777" w:rsidR="006D3AD5" w:rsidRPr="002C224A" w:rsidRDefault="006D3AD5" w:rsidP="00443B8F">
            <w:pPr>
              <w:jc w:val="right"/>
              <w:rPr>
                <w:color w:val="000000"/>
                <w:sz w:val="18"/>
                <w:szCs w:val="18"/>
              </w:rPr>
            </w:pPr>
            <w:r>
              <w:rPr>
                <w:color w:val="000000"/>
                <w:sz w:val="18"/>
              </w:rPr>
              <w:t>8,595</w:t>
            </w:r>
          </w:p>
        </w:tc>
        <w:tc>
          <w:tcPr>
            <w:tcW w:w="1075" w:type="dxa"/>
            <w:vAlign w:val="center"/>
          </w:tcPr>
          <w:p w14:paraId="31DBF479" w14:textId="77777777" w:rsidR="006D3AD5" w:rsidRPr="002C224A" w:rsidRDefault="006D3AD5" w:rsidP="00443B8F">
            <w:pPr>
              <w:jc w:val="right"/>
              <w:rPr>
                <w:color w:val="000000"/>
                <w:sz w:val="18"/>
                <w:szCs w:val="18"/>
              </w:rPr>
            </w:pPr>
            <w:r>
              <w:rPr>
                <w:color w:val="000000"/>
                <w:sz w:val="18"/>
              </w:rPr>
              <w:t>8,595</w:t>
            </w:r>
          </w:p>
        </w:tc>
      </w:tr>
      <w:tr w:rsidR="006D3AD5" w:rsidRPr="002C224A" w14:paraId="6E62FE40" w14:textId="77777777" w:rsidTr="00443B8F">
        <w:trPr>
          <w:trHeight w:val="240"/>
          <w:jc w:val="center"/>
        </w:trPr>
        <w:tc>
          <w:tcPr>
            <w:tcW w:w="4821" w:type="dxa"/>
            <w:noWrap/>
            <w:vAlign w:val="center"/>
          </w:tcPr>
          <w:p w14:paraId="20D625B1" w14:textId="77777777" w:rsidR="006D3AD5" w:rsidRPr="002C224A" w:rsidRDefault="006D3AD5" w:rsidP="00443B8F">
            <w:pPr>
              <w:jc w:val="left"/>
              <w:rPr>
                <w:b/>
                <w:color w:val="000000"/>
                <w:sz w:val="18"/>
                <w:szCs w:val="18"/>
              </w:rPr>
            </w:pPr>
            <w:r>
              <w:rPr>
                <w:b/>
                <w:color w:val="000000"/>
                <w:sz w:val="18"/>
              </w:rPr>
              <w:t>Invested in total - end of the period in 2023 (CZK millions)</w:t>
            </w:r>
          </w:p>
        </w:tc>
        <w:tc>
          <w:tcPr>
            <w:tcW w:w="1134" w:type="dxa"/>
            <w:noWrap/>
            <w:vAlign w:val="center"/>
          </w:tcPr>
          <w:p w14:paraId="5270C42D" w14:textId="77777777" w:rsidR="006D3AD5" w:rsidRPr="002C224A" w:rsidRDefault="006D3AD5" w:rsidP="00443B8F">
            <w:pPr>
              <w:jc w:val="right"/>
              <w:rPr>
                <w:b/>
                <w:color w:val="000000"/>
                <w:sz w:val="18"/>
                <w:szCs w:val="18"/>
              </w:rPr>
            </w:pPr>
            <w:r>
              <w:rPr>
                <w:b/>
                <w:sz w:val="18"/>
              </w:rPr>
              <w:t>20,914</w:t>
            </w:r>
          </w:p>
        </w:tc>
        <w:tc>
          <w:tcPr>
            <w:tcW w:w="1058" w:type="dxa"/>
            <w:vAlign w:val="center"/>
          </w:tcPr>
          <w:p w14:paraId="4B22DA1F" w14:textId="77777777" w:rsidR="006D3AD5" w:rsidRPr="002C224A" w:rsidRDefault="006D3AD5" w:rsidP="00443B8F">
            <w:pPr>
              <w:jc w:val="right"/>
              <w:rPr>
                <w:b/>
                <w:color w:val="000000"/>
                <w:sz w:val="18"/>
                <w:szCs w:val="18"/>
              </w:rPr>
            </w:pPr>
            <w:r>
              <w:rPr>
                <w:b/>
                <w:sz w:val="18"/>
              </w:rPr>
              <w:t>19,788</w:t>
            </w:r>
          </w:p>
        </w:tc>
        <w:tc>
          <w:tcPr>
            <w:tcW w:w="1200" w:type="dxa"/>
            <w:vAlign w:val="center"/>
          </w:tcPr>
          <w:p w14:paraId="1316C70F" w14:textId="77777777" w:rsidR="006D3AD5" w:rsidRPr="002C224A" w:rsidRDefault="006D3AD5" w:rsidP="00443B8F">
            <w:pPr>
              <w:jc w:val="right"/>
              <w:rPr>
                <w:b/>
                <w:color w:val="000000"/>
                <w:sz w:val="18"/>
                <w:szCs w:val="18"/>
              </w:rPr>
            </w:pPr>
            <w:r>
              <w:rPr>
                <w:b/>
                <w:color w:val="000000"/>
                <w:sz w:val="18"/>
              </w:rPr>
              <w:t>19,274</w:t>
            </w:r>
          </w:p>
        </w:tc>
        <w:tc>
          <w:tcPr>
            <w:tcW w:w="1075" w:type="dxa"/>
            <w:vAlign w:val="center"/>
          </w:tcPr>
          <w:p w14:paraId="6BDF3E39" w14:textId="77777777" w:rsidR="006D3AD5" w:rsidRPr="002C224A" w:rsidRDefault="006D3AD5" w:rsidP="00443B8F">
            <w:pPr>
              <w:jc w:val="right"/>
              <w:rPr>
                <w:b/>
                <w:color w:val="000000"/>
                <w:sz w:val="18"/>
                <w:szCs w:val="18"/>
              </w:rPr>
            </w:pPr>
            <w:r>
              <w:rPr>
                <w:b/>
                <w:color w:val="000000"/>
                <w:sz w:val="18"/>
              </w:rPr>
              <w:t>11,218</w:t>
            </w:r>
          </w:p>
        </w:tc>
      </w:tr>
      <w:tr w:rsidR="006D3AD5" w:rsidRPr="002C224A" w14:paraId="468875B9" w14:textId="77777777" w:rsidTr="00443B8F">
        <w:trPr>
          <w:trHeight w:val="240"/>
          <w:jc w:val="center"/>
        </w:trPr>
        <w:tc>
          <w:tcPr>
            <w:tcW w:w="4821" w:type="dxa"/>
            <w:noWrap/>
            <w:vAlign w:val="center"/>
          </w:tcPr>
          <w:p w14:paraId="66C0CCAB" w14:textId="77777777" w:rsidR="006D3AD5" w:rsidRPr="002C224A" w:rsidRDefault="006D3AD5" w:rsidP="00443B8F">
            <w:pPr>
              <w:jc w:val="left"/>
              <w:rPr>
                <w:b/>
                <w:color w:val="000000"/>
                <w:sz w:val="18"/>
                <w:szCs w:val="18"/>
              </w:rPr>
            </w:pPr>
            <w:r>
              <w:rPr>
                <w:b/>
                <w:color w:val="000000"/>
                <w:sz w:val="18"/>
              </w:rPr>
              <w:t>Value added</w:t>
            </w:r>
          </w:p>
        </w:tc>
        <w:tc>
          <w:tcPr>
            <w:tcW w:w="1134" w:type="dxa"/>
            <w:noWrap/>
            <w:vAlign w:val="center"/>
          </w:tcPr>
          <w:p w14:paraId="0D7899DC" w14:textId="77777777" w:rsidR="006D3AD5" w:rsidRPr="002C224A" w:rsidRDefault="006D3AD5" w:rsidP="00443B8F">
            <w:pPr>
              <w:jc w:val="right"/>
              <w:rPr>
                <w:b/>
                <w:color w:val="000000"/>
                <w:sz w:val="18"/>
                <w:szCs w:val="18"/>
              </w:rPr>
            </w:pPr>
            <w:r>
              <w:rPr>
                <w:b/>
                <w:sz w:val="18"/>
              </w:rPr>
              <w:t>4.33</w:t>
            </w:r>
          </w:p>
        </w:tc>
        <w:tc>
          <w:tcPr>
            <w:tcW w:w="1058" w:type="dxa"/>
            <w:vAlign w:val="center"/>
          </w:tcPr>
          <w:p w14:paraId="66B34950" w14:textId="77777777" w:rsidR="006D3AD5" w:rsidRPr="002C224A" w:rsidRDefault="006D3AD5" w:rsidP="00443B8F">
            <w:pPr>
              <w:jc w:val="right"/>
              <w:rPr>
                <w:b/>
                <w:color w:val="000000"/>
                <w:sz w:val="18"/>
                <w:szCs w:val="18"/>
              </w:rPr>
            </w:pPr>
            <w:r>
              <w:rPr>
                <w:b/>
                <w:sz w:val="18"/>
              </w:rPr>
              <w:t>4.10</w:t>
            </w:r>
          </w:p>
        </w:tc>
        <w:tc>
          <w:tcPr>
            <w:tcW w:w="1200" w:type="dxa"/>
            <w:vAlign w:val="center"/>
          </w:tcPr>
          <w:p w14:paraId="07106B57" w14:textId="77777777" w:rsidR="006D3AD5" w:rsidRPr="002C224A" w:rsidRDefault="006D3AD5" w:rsidP="00443B8F">
            <w:pPr>
              <w:jc w:val="right"/>
              <w:rPr>
                <w:b/>
                <w:color w:val="000000"/>
                <w:sz w:val="18"/>
                <w:szCs w:val="18"/>
              </w:rPr>
            </w:pPr>
            <w:r>
              <w:rPr>
                <w:b/>
                <w:color w:val="000000"/>
                <w:sz w:val="18"/>
              </w:rPr>
              <w:t>4.44</w:t>
            </w:r>
          </w:p>
        </w:tc>
        <w:tc>
          <w:tcPr>
            <w:tcW w:w="1075" w:type="dxa"/>
            <w:vAlign w:val="center"/>
          </w:tcPr>
          <w:p w14:paraId="1BF2A3F4" w14:textId="77777777" w:rsidR="006D3AD5" w:rsidRPr="002C224A" w:rsidRDefault="006D3AD5" w:rsidP="00443B8F">
            <w:pPr>
              <w:jc w:val="right"/>
              <w:rPr>
                <w:b/>
                <w:color w:val="000000"/>
                <w:sz w:val="18"/>
                <w:szCs w:val="18"/>
              </w:rPr>
            </w:pPr>
            <w:r>
              <w:rPr>
                <w:b/>
                <w:color w:val="000000"/>
                <w:sz w:val="18"/>
              </w:rPr>
              <w:t>2.58</w:t>
            </w:r>
          </w:p>
        </w:tc>
      </w:tr>
      <w:tr w:rsidR="006D3AD5" w:rsidRPr="002C224A" w14:paraId="373BB342" w14:textId="77777777" w:rsidTr="00443B8F">
        <w:trPr>
          <w:trHeight w:val="240"/>
          <w:jc w:val="center"/>
        </w:trPr>
        <w:tc>
          <w:tcPr>
            <w:tcW w:w="4821" w:type="dxa"/>
            <w:noWrap/>
            <w:vAlign w:val="center"/>
          </w:tcPr>
          <w:p w14:paraId="7C1908E1" w14:textId="77777777" w:rsidR="006D3AD5" w:rsidRPr="002C224A" w:rsidRDefault="006D3AD5" w:rsidP="00443B8F">
            <w:pPr>
              <w:jc w:val="left"/>
              <w:rPr>
                <w:b/>
                <w:color w:val="000000"/>
                <w:sz w:val="18"/>
                <w:szCs w:val="18"/>
              </w:rPr>
            </w:pPr>
            <w:r>
              <w:rPr>
                <w:b/>
                <w:color w:val="000000"/>
                <w:sz w:val="18"/>
              </w:rPr>
              <w:t>Leverage</w:t>
            </w:r>
          </w:p>
        </w:tc>
        <w:tc>
          <w:tcPr>
            <w:tcW w:w="1134" w:type="dxa"/>
            <w:noWrap/>
            <w:vAlign w:val="center"/>
          </w:tcPr>
          <w:p w14:paraId="6776954C" w14:textId="77777777" w:rsidR="006D3AD5" w:rsidRPr="002C224A" w:rsidRDefault="006D3AD5" w:rsidP="00443B8F">
            <w:pPr>
              <w:jc w:val="right"/>
              <w:rPr>
                <w:b/>
                <w:color w:val="000000"/>
                <w:sz w:val="18"/>
                <w:szCs w:val="18"/>
              </w:rPr>
            </w:pPr>
            <w:r>
              <w:rPr>
                <w:b/>
                <w:sz w:val="18"/>
              </w:rPr>
              <w:t>2.00</w:t>
            </w:r>
          </w:p>
        </w:tc>
        <w:tc>
          <w:tcPr>
            <w:tcW w:w="1058" w:type="dxa"/>
            <w:vAlign w:val="center"/>
          </w:tcPr>
          <w:p w14:paraId="4B4A84A9" w14:textId="77777777" w:rsidR="006D3AD5" w:rsidRPr="002C224A" w:rsidRDefault="006D3AD5" w:rsidP="00443B8F">
            <w:pPr>
              <w:jc w:val="right"/>
              <w:rPr>
                <w:b/>
                <w:color w:val="000000"/>
                <w:sz w:val="18"/>
                <w:szCs w:val="18"/>
              </w:rPr>
            </w:pPr>
            <w:r>
              <w:rPr>
                <w:b/>
                <w:sz w:val="18"/>
              </w:rPr>
              <w:t>2.00</w:t>
            </w:r>
          </w:p>
        </w:tc>
        <w:tc>
          <w:tcPr>
            <w:tcW w:w="1200" w:type="dxa"/>
            <w:vAlign w:val="center"/>
          </w:tcPr>
          <w:p w14:paraId="04D0317F" w14:textId="77777777" w:rsidR="006D3AD5" w:rsidRPr="002C224A" w:rsidRDefault="006D3AD5" w:rsidP="00443B8F">
            <w:pPr>
              <w:jc w:val="right"/>
              <w:rPr>
                <w:b/>
                <w:color w:val="000000"/>
                <w:sz w:val="18"/>
                <w:szCs w:val="18"/>
              </w:rPr>
            </w:pPr>
            <w:r>
              <w:rPr>
                <w:b/>
                <w:color w:val="000000"/>
                <w:sz w:val="18"/>
              </w:rPr>
              <w:t>2.00</w:t>
            </w:r>
          </w:p>
        </w:tc>
        <w:tc>
          <w:tcPr>
            <w:tcW w:w="1075" w:type="dxa"/>
            <w:vAlign w:val="center"/>
          </w:tcPr>
          <w:p w14:paraId="42079068" w14:textId="77777777" w:rsidR="006D3AD5" w:rsidRPr="002C224A" w:rsidRDefault="006D3AD5" w:rsidP="00443B8F">
            <w:pPr>
              <w:jc w:val="right"/>
              <w:rPr>
                <w:b/>
                <w:color w:val="000000"/>
                <w:sz w:val="18"/>
                <w:szCs w:val="18"/>
              </w:rPr>
            </w:pPr>
            <w:r>
              <w:rPr>
                <w:b/>
                <w:color w:val="000000"/>
                <w:sz w:val="18"/>
              </w:rPr>
              <w:t>2.00</w:t>
            </w:r>
          </w:p>
        </w:tc>
      </w:tr>
      <w:tr w:rsidR="006D3AD5" w:rsidRPr="002C224A" w14:paraId="0995154B" w14:textId="77777777" w:rsidTr="00443B8F">
        <w:trPr>
          <w:trHeight w:val="240"/>
          <w:jc w:val="center"/>
        </w:trPr>
        <w:tc>
          <w:tcPr>
            <w:tcW w:w="4821" w:type="dxa"/>
            <w:noWrap/>
            <w:vAlign w:val="center"/>
          </w:tcPr>
          <w:p w14:paraId="0858BDC7" w14:textId="77777777" w:rsidR="006D3AD5" w:rsidRPr="002C224A" w:rsidRDefault="006D3AD5" w:rsidP="00443B8F">
            <w:pPr>
              <w:jc w:val="left"/>
              <w:rPr>
                <w:color w:val="000000"/>
                <w:sz w:val="18"/>
                <w:szCs w:val="18"/>
              </w:rPr>
            </w:pPr>
            <w:r>
              <w:rPr>
                <w:color w:val="000000"/>
                <w:sz w:val="18"/>
              </w:rPr>
              <w:t>Total reimbursed management fees (simple - CZK millions)</w:t>
            </w:r>
          </w:p>
        </w:tc>
        <w:tc>
          <w:tcPr>
            <w:tcW w:w="1134" w:type="dxa"/>
            <w:noWrap/>
            <w:vAlign w:val="center"/>
          </w:tcPr>
          <w:p w14:paraId="4F7523C1" w14:textId="77777777" w:rsidR="006D3AD5" w:rsidRPr="002C224A" w:rsidRDefault="006D3AD5" w:rsidP="00443B8F">
            <w:pPr>
              <w:jc w:val="right"/>
              <w:rPr>
                <w:color w:val="000000"/>
                <w:sz w:val="18"/>
                <w:szCs w:val="18"/>
              </w:rPr>
            </w:pPr>
            <w:r>
              <w:rPr>
                <w:color w:val="000000"/>
                <w:sz w:val="18"/>
              </w:rPr>
              <w:t>277</w:t>
            </w:r>
          </w:p>
        </w:tc>
        <w:tc>
          <w:tcPr>
            <w:tcW w:w="1058" w:type="dxa"/>
            <w:vAlign w:val="center"/>
          </w:tcPr>
          <w:p w14:paraId="5BE9803F" w14:textId="77777777" w:rsidR="006D3AD5" w:rsidRPr="002C224A" w:rsidRDefault="006D3AD5" w:rsidP="00443B8F">
            <w:pPr>
              <w:jc w:val="right"/>
              <w:rPr>
                <w:color w:val="000000"/>
                <w:sz w:val="18"/>
                <w:szCs w:val="18"/>
              </w:rPr>
            </w:pPr>
            <w:r>
              <w:rPr>
                <w:color w:val="000000"/>
                <w:sz w:val="18"/>
              </w:rPr>
              <w:t>273</w:t>
            </w:r>
          </w:p>
        </w:tc>
        <w:tc>
          <w:tcPr>
            <w:tcW w:w="1200" w:type="dxa"/>
            <w:vAlign w:val="center"/>
          </w:tcPr>
          <w:p w14:paraId="27E9E8A0" w14:textId="77777777" w:rsidR="006D3AD5" w:rsidRPr="002C224A" w:rsidRDefault="006D3AD5" w:rsidP="00443B8F">
            <w:pPr>
              <w:jc w:val="right"/>
              <w:rPr>
                <w:color w:val="000000"/>
                <w:sz w:val="18"/>
                <w:szCs w:val="18"/>
              </w:rPr>
            </w:pPr>
            <w:r>
              <w:rPr>
                <w:color w:val="000000"/>
                <w:sz w:val="18"/>
              </w:rPr>
              <w:t>271</w:t>
            </w:r>
          </w:p>
        </w:tc>
        <w:tc>
          <w:tcPr>
            <w:tcW w:w="1075" w:type="dxa"/>
            <w:vAlign w:val="center"/>
          </w:tcPr>
          <w:p w14:paraId="538DFFA4" w14:textId="77777777" w:rsidR="006D3AD5" w:rsidRPr="002C224A" w:rsidRDefault="006D3AD5" w:rsidP="00443B8F">
            <w:pPr>
              <w:jc w:val="right"/>
              <w:rPr>
                <w:color w:val="000000"/>
                <w:sz w:val="18"/>
                <w:szCs w:val="18"/>
              </w:rPr>
            </w:pPr>
            <w:r>
              <w:rPr>
                <w:color w:val="000000"/>
                <w:sz w:val="18"/>
              </w:rPr>
              <w:t>238</w:t>
            </w:r>
          </w:p>
        </w:tc>
      </w:tr>
      <w:tr w:rsidR="006D3AD5" w:rsidRPr="002C224A" w14:paraId="44945CBC" w14:textId="77777777" w:rsidTr="00443B8F">
        <w:trPr>
          <w:trHeight w:val="240"/>
          <w:jc w:val="center"/>
        </w:trPr>
        <w:tc>
          <w:tcPr>
            <w:tcW w:w="4821" w:type="dxa"/>
            <w:noWrap/>
            <w:vAlign w:val="center"/>
          </w:tcPr>
          <w:p w14:paraId="375E8223" w14:textId="77777777" w:rsidR="006D3AD5" w:rsidRPr="002C224A" w:rsidRDefault="006D3AD5" w:rsidP="00443B8F">
            <w:pPr>
              <w:jc w:val="left"/>
              <w:rPr>
                <w:color w:val="000000"/>
                <w:sz w:val="18"/>
                <w:szCs w:val="18"/>
              </w:rPr>
            </w:pPr>
            <w:r>
              <w:rPr>
                <w:color w:val="000000"/>
                <w:sz w:val="18"/>
              </w:rPr>
              <w:t>Share of reimbursed management fees on the fund allocation (%)</w:t>
            </w:r>
          </w:p>
        </w:tc>
        <w:tc>
          <w:tcPr>
            <w:tcW w:w="1134" w:type="dxa"/>
            <w:noWrap/>
            <w:vAlign w:val="center"/>
          </w:tcPr>
          <w:p w14:paraId="3FB352C7" w14:textId="77777777" w:rsidR="006D3AD5" w:rsidRPr="002C224A" w:rsidRDefault="006D3AD5" w:rsidP="00443B8F">
            <w:pPr>
              <w:jc w:val="right"/>
              <w:rPr>
                <w:color w:val="000000"/>
                <w:sz w:val="18"/>
                <w:szCs w:val="18"/>
              </w:rPr>
            </w:pPr>
            <w:r>
              <w:rPr>
                <w:color w:val="000000"/>
                <w:sz w:val="18"/>
              </w:rPr>
              <w:t>5.6</w:t>
            </w:r>
          </w:p>
        </w:tc>
        <w:tc>
          <w:tcPr>
            <w:tcW w:w="1058" w:type="dxa"/>
            <w:vAlign w:val="center"/>
          </w:tcPr>
          <w:p w14:paraId="5D7B82DE" w14:textId="77777777" w:rsidR="006D3AD5" w:rsidRPr="002C224A" w:rsidRDefault="006D3AD5" w:rsidP="00443B8F">
            <w:pPr>
              <w:jc w:val="right"/>
              <w:rPr>
                <w:color w:val="000000"/>
                <w:sz w:val="18"/>
                <w:szCs w:val="18"/>
              </w:rPr>
            </w:pPr>
            <w:r>
              <w:rPr>
                <w:color w:val="000000"/>
                <w:sz w:val="18"/>
              </w:rPr>
              <w:t>5.6</w:t>
            </w:r>
          </w:p>
        </w:tc>
        <w:tc>
          <w:tcPr>
            <w:tcW w:w="1200" w:type="dxa"/>
            <w:vAlign w:val="center"/>
          </w:tcPr>
          <w:p w14:paraId="66587209" w14:textId="77777777" w:rsidR="006D3AD5" w:rsidRPr="002C224A" w:rsidRDefault="006D3AD5" w:rsidP="00443B8F">
            <w:pPr>
              <w:jc w:val="right"/>
              <w:rPr>
                <w:color w:val="000000"/>
                <w:sz w:val="18"/>
                <w:szCs w:val="18"/>
              </w:rPr>
            </w:pPr>
            <w:r>
              <w:rPr>
                <w:color w:val="000000"/>
                <w:sz w:val="18"/>
              </w:rPr>
              <w:t>5.6</w:t>
            </w:r>
          </w:p>
        </w:tc>
        <w:tc>
          <w:tcPr>
            <w:tcW w:w="1075" w:type="dxa"/>
            <w:vAlign w:val="center"/>
          </w:tcPr>
          <w:p w14:paraId="6A1BB8FB" w14:textId="77777777" w:rsidR="006D3AD5" w:rsidRPr="002C224A" w:rsidRDefault="006D3AD5" w:rsidP="00443B8F">
            <w:pPr>
              <w:jc w:val="right"/>
              <w:rPr>
                <w:color w:val="000000"/>
                <w:sz w:val="18"/>
                <w:szCs w:val="18"/>
              </w:rPr>
            </w:pPr>
            <w:r>
              <w:rPr>
                <w:color w:val="000000"/>
                <w:sz w:val="18"/>
              </w:rPr>
              <w:t>4.9</w:t>
            </w:r>
          </w:p>
        </w:tc>
      </w:tr>
      <w:tr w:rsidR="006D3AD5" w:rsidRPr="002C224A" w14:paraId="3076FC2C" w14:textId="77777777" w:rsidTr="00443B8F">
        <w:trPr>
          <w:trHeight w:val="240"/>
          <w:jc w:val="center"/>
        </w:trPr>
        <w:tc>
          <w:tcPr>
            <w:tcW w:w="4821" w:type="dxa"/>
            <w:noWrap/>
            <w:vAlign w:val="center"/>
          </w:tcPr>
          <w:p w14:paraId="0AB67330" w14:textId="77777777" w:rsidR="006D3AD5" w:rsidRPr="002C224A" w:rsidRDefault="006D3AD5" w:rsidP="00443B8F">
            <w:pPr>
              <w:jc w:val="left"/>
              <w:rPr>
                <w:color w:val="000000"/>
                <w:sz w:val="18"/>
                <w:szCs w:val="18"/>
              </w:rPr>
            </w:pPr>
            <w:r>
              <w:rPr>
                <w:color w:val="000000"/>
                <w:sz w:val="18"/>
              </w:rPr>
              <w:t>Revolving effect - increase in available funds of the OP EIC (CZK millions)</w:t>
            </w:r>
          </w:p>
        </w:tc>
        <w:tc>
          <w:tcPr>
            <w:tcW w:w="1134" w:type="dxa"/>
            <w:noWrap/>
            <w:vAlign w:val="center"/>
          </w:tcPr>
          <w:p w14:paraId="146DB894" w14:textId="77777777" w:rsidR="006D3AD5" w:rsidRPr="002C224A" w:rsidRDefault="006D3AD5" w:rsidP="00443B8F">
            <w:pPr>
              <w:jc w:val="right"/>
              <w:rPr>
                <w:color w:val="000000"/>
                <w:sz w:val="18"/>
                <w:szCs w:val="18"/>
              </w:rPr>
            </w:pPr>
            <w:r>
              <w:rPr>
                <w:sz w:val="18"/>
              </w:rPr>
              <w:t>3,541</w:t>
            </w:r>
          </w:p>
        </w:tc>
        <w:tc>
          <w:tcPr>
            <w:tcW w:w="1058" w:type="dxa"/>
            <w:vAlign w:val="center"/>
          </w:tcPr>
          <w:p w14:paraId="504ECBD3" w14:textId="77777777" w:rsidR="006D3AD5" w:rsidRPr="002C224A" w:rsidRDefault="006D3AD5" w:rsidP="00443B8F">
            <w:pPr>
              <w:jc w:val="right"/>
              <w:rPr>
                <w:color w:val="000000"/>
                <w:sz w:val="18"/>
                <w:szCs w:val="18"/>
              </w:rPr>
            </w:pPr>
            <w:r>
              <w:rPr>
                <w:sz w:val="18"/>
              </w:rPr>
              <w:t>3,090</w:t>
            </w:r>
          </w:p>
        </w:tc>
        <w:tc>
          <w:tcPr>
            <w:tcW w:w="1200" w:type="dxa"/>
            <w:vAlign w:val="center"/>
          </w:tcPr>
          <w:p w14:paraId="79EE311F" w14:textId="77777777" w:rsidR="006D3AD5" w:rsidRPr="002C224A" w:rsidRDefault="006D3AD5" w:rsidP="00443B8F">
            <w:pPr>
              <w:jc w:val="right"/>
              <w:rPr>
                <w:color w:val="000000"/>
                <w:sz w:val="18"/>
                <w:szCs w:val="18"/>
              </w:rPr>
            </w:pPr>
            <w:r>
              <w:rPr>
                <w:sz w:val="18"/>
              </w:rPr>
              <w:t>3,161</w:t>
            </w:r>
          </w:p>
        </w:tc>
        <w:tc>
          <w:tcPr>
            <w:tcW w:w="1075" w:type="dxa"/>
            <w:vAlign w:val="center"/>
          </w:tcPr>
          <w:p w14:paraId="41DF5970" w14:textId="77777777" w:rsidR="006D3AD5" w:rsidRPr="002C224A" w:rsidRDefault="006D3AD5" w:rsidP="00443B8F">
            <w:pPr>
              <w:jc w:val="right"/>
              <w:rPr>
                <w:sz w:val="18"/>
                <w:szCs w:val="18"/>
              </w:rPr>
            </w:pPr>
            <w:r>
              <w:rPr>
                <w:sz w:val="18"/>
              </w:rPr>
              <w:t>-</w:t>
            </w:r>
          </w:p>
        </w:tc>
      </w:tr>
      <w:tr w:rsidR="006D3AD5" w:rsidRPr="002C224A" w14:paraId="0CB86E02" w14:textId="77777777" w:rsidTr="00443B8F">
        <w:trPr>
          <w:trHeight w:val="240"/>
          <w:jc w:val="center"/>
        </w:trPr>
        <w:tc>
          <w:tcPr>
            <w:tcW w:w="4821" w:type="dxa"/>
            <w:noWrap/>
            <w:vAlign w:val="center"/>
          </w:tcPr>
          <w:p w14:paraId="5FB4FFB2" w14:textId="77777777" w:rsidR="006D3AD5" w:rsidRPr="00A50943" w:rsidRDefault="006D3AD5" w:rsidP="00443B8F">
            <w:pPr>
              <w:jc w:val="left"/>
              <w:rPr>
                <w:color w:val="000000"/>
                <w:sz w:val="18"/>
                <w:szCs w:val="18"/>
              </w:rPr>
            </w:pPr>
            <w:r>
              <w:rPr>
                <w:color w:val="000000"/>
                <w:sz w:val="18"/>
              </w:rPr>
              <w:t>Supported projects</w:t>
            </w:r>
            <w:r>
              <w:rPr>
                <w:rStyle w:val="Znakapoznpodarou"/>
                <w:rFonts w:ascii="Calibri" w:hAnsi="Calibri"/>
                <w:color w:val="000000"/>
                <w:sz w:val="22"/>
              </w:rPr>
              <w:footnoteReference w:id="60"/>
            </w:r>
          </w:p>
        </w:tc>
        <w:tc>
          <w:tcPr>
            <w:tcW w:w="1134" w:type="dxa"/>
            <w:noWrap/>
            <w:vAlign w:val="center"/>
          </w:tcPr>
          <w:p w14:paraId="3DC23617" w14:textId="77777777" w:rsidR="006D3AD5" w:rsidRPr="002C224A" w:rsidRDefault="006D3AD5" w:rsidP="00443B8F">
            <w:pPr>
              <w:jc w:val="right"/>
              <w:rPr>
                <w:b/>
                <w:color w:val="000000"/>
                <w:sz w:val="18"/>
                <w:szCs w:val="18"/>
              </w:rPr>
            </w:pPr>
            <w:r>
              <w:rPr>
                <w:b/>
                <w:color w:val="000000"/>
                <w:sz w:val="18"/>
              </w:rPr>
              <w:t>2614</w:t>
            </w:r>
          </w:p>
        </w:tc>
        <w:tc>
          <w:tcPr>
            <w:tcW w:w="1058" w:type="dxa"/>
            <w:vAlign w:val="center"/>
          </w:tcPr>
          <w:p w14:paraId="5EA1F5CF" w14:textId="77777777" w:rsidR="006D3AD5" w:rsidRPr="002C224A" w:rsidRDefault="006D3AD5" w:rsidP="00443B8F">
            <w:pPr>
              <w:jc w:val="right"/>
              <w:rPr>
                <w:b/>
                <w:color w:val="000000"/>
                <w:sz w:val="18"/>
                <w:szCs w:val="18"/>
              </w:rPr>
            </w:pPr>
            <w:r>
              <w:rPr>
                <w:b/>
                <w:color w:val="000000"/>
                <w:sz w:val="18"/>
              </w:rPr>
              <w:t>2473</w:t>
            </w:r>
          </w:p>
        </w:tc>
        <w:tc>
          <w:tcPr>
            <w:tcW w:w="1200" w:type="dxa"/>
            <w:vAlign w:val="center"/>
          </w:tcPr>
          <w:p w14:paraId="065FDDCB" w14:textId="77777777" w:rsidR="006D3AD5" w:rsidRPr="002C224A" w:rsidRDefault="006D3AD5" w:rsidP="00443B8F">
            <w:pPr>
              <w:jc w:val="right"/>
              <w:rPr>
                <w:b/>
                <w:color w:val="000000"/>
                <w:sz w:val="18"/>
                <w:szCs w:val="18"/>
              </w:rPr>
            </w:pPr>
            <w:r>
              <w:rPr>
                <w:b/>
                <w:color w:val="000000"/>
                <w:sz w:val="18"/>
              </w:rPr>
              <w:t>2409</w:t>
            </w:r>
          </w:p>
        </w:tc>
        <w:tc>
          <w:tcPr>
            <w:tcW w:w="1075" w:type="dxa"/>
            <w:vAlign w:val="center"/>
          </w:tcPr>
          <w:p w14:paraId="26CC7530" w14:textId="77777777" w:rsidR="006D3AD5" w:rsidRPr="002C224A" w:rsidRDefault="006D3AD5" w:rsidP="00443B8F">
            <w:pPr>
              <w:jc w:val="right"/>
              <w:rPr>
                <w:b/>
                <w:color w:val="000000"/>
                <w:sz w:val="18"/>
                <w:szCs w:val="18"/>
              </w:rPr>
            </w:pPr>
            <w:r>
              <w:rPr>
                <w:b/>
                <w:color w:val="000000"/>
                <w:sz w:val="18"/>
              </w:rPr>
              <w:t>1402</w:t>
            </w:r>
          </w:p>
        </w:tc>
      </w:tr>
      <w:tr w:rsidR="006D3AD5" w:rsidRPr="002C224A" w14:paraId="13F63848" w14:textId="77777777" w:rsidTr="00443B8F">
        <w:trPr>
          <w:trHeight w:val="240"/>
          <w:jc w:val="center"/>
        </w:trPr>
        <w:tc>
          <w:tcPr>
            <w:tcW w:w="4821" w:type="dxa"/>
            <w:noWrap/>
            <w:vAlign w:val="center"/>
          </w:tcPr>
          <w:p w14:paraId="1A6105B7" w14:textId="77777777" w:rsidR="006D3AD5" w:rsidRPr="00A50943" w:rsidRDefault="006D3AD5" w:rsidP="00443B8F">
            <w:pPr>
              <w:jc w:val="left"/>
              <w:rPr>
                <w:color w:val="000000"/>
                <w:sz w:val="18"/>
                <w:szCs w:val="18"/>
              </w:rPr>
            </w:pPr>
            <w:r>
              <w:rPr>
                <w:color w:val="000000"/>
                <w:sz w:val="18"/>
              </w:rPr>
              <w:t>Created work places</w:t>
            </w:r>
            <w:r>
              <w:rPr>
                <w:rStyle w:val="Znakapoznpodarou"/>
                <w:rFonts w:ascii="Calibri" w:hAnsi="Calibri"/>
                <w:color w:val="000000"/>
                <w:sz w:val="22"/>
              </w:rPr>
              <w:footnoteReference w:id="61"/>
            </w:r>
          </w:p>
        </w:tc>
        <w:tc>
          <w:tcPr>
            <w:tcW w:w="1134" w:type="dxa"/>
            <w:noWrap/>
            <w:vAlign w:val="center"/>
          </w:tcPr>
          <w:p w14:paraId="1724FFCB" w14:textId="77777777" w:rsidR="006D3AD5" w:rsidRPr="002C224A" w:rsidRDefault="006D3AD5" w:rsidP="00443B8F">
            <w:pPr>
              <w:jc w:val="right"/>
              <w:rPr>
                <w:color w:val="000000"/>
                <w:sz w:val="18"/>
                <w:szCs w:val="18"/>
              </w:rPr>
            </w:pPr>
            <w:r>
              <w:rPr>
                <w:color w:val="000000"/>
                <w:sz w:val="18"/>
              </w:rPr>
              <w:t>5228</w:t>
            </w:r>
          </w:p>
        </w:tc>
        <w:tc>
          <w:tcPr>
            <w:tcW w:w="1058" w:type="dxa"/>
            <w:vAlign w:val="center"/>
          </w:tcPr>
          <w:p w14:paraId="0175DF13" w14:textId="77777777" w:rsidR="006D3AD5" w:rsidRPr="002C224A" w:rsidRDefault="006D3AD5" w:rsidP="00443B8F">
            <w:pPr>
              <w:jc w:val="right"/>
              <w:rPr>
                <w:color w:val="000000"/>
                <w:sz w:val="18"/>
                <w:szCs w:val="18"/>
              </w:rPr>
            </w:pPr>
            <w:r>
              <w:rPr>
                <w:color w:val="000000"/>
                <w:sz w:val="18"/>
              </w:rPr>
              <w:t>4947</w:t>
            </w:r>
          </w:p>
        </w:tc>
        <w:tc>
          <w:tcPr>
            <w:tcW w:w="1200" w:type="dxa"/>
            <w:vAlign w:val="center"/>
          </w:tcPr>
          <w:p w14:paraId="21FB8497" w14:textId="77777777" w:rsidR="006D3AD5" w:rsidRPr="002C224A" w:rsidRDefault="006D3AD5" w:rsidP="00443B8F">
            <w:pPr>
              <w:jc w:val="right"/>
              <w:rPr>
                <w:color w:val="000000"/>
                <w:sz w:val="18"/>
                <w:szCs w:val="18"/>
              </w:rPr>
            </w:pPr>
            <w:r>
              <w:rPr>
                <w:color w:val="000000"/>
                <w:sz w:val="18"/>
              </w:rPr>
              <w:t>4818</w:t>
            </w:r>
          </w:p>
        </w:tc>
        <w:tc>
          <w:tcPr>
            <w:tcW w:w="1075" w:type="dxa"/>
            <w:vAlign w:val="center"/>
          </w:tcPr>
          <w:p w14:paraId="491A6089" w14:textId="77777777" w:rsidR="006D3AD5" w:rsidRPr="002C224A" w:rsidRDefault="006D3AD5" w:rsidP="00443B8F">
            <w:pPr>
              <w:jc w:val="right"/>
              <w:rPr>
                <w:color w:val="000000"/>
                <w:sz w:val="18"/>
                <w:szCs w:val="18"/>
              </w:rPr>
            </w:pPr>
            <w:r>
              <w:rPr>
                <w:color w:val="000000"/>
                <w:sz w:val="18"/>
              </w:rPr>
              <w:t>2804</w:t>
            </w:r>
          </w:p>
        </w:tc>
      </w:tr>
    </w:tbl>
    <w:p w14:paraId="67D9EF7B" w14:textId="77777777" w:rsidR="006D3AD5" w:rsidRPr="002C224A" w:rsidRDefault="006D3AD5" w:rsidP="006D3AD5"/>
    <w:p w14:paraId="2EC52CE8" w14:textId="77777777" w:rsidR="006D3AD5" w:rsidRPr="002C224A" w:rsidRDefault="006D3AD5" w:rsidP="006D3AD5">
      <w:r>
        <w:t xml:space="preserve">In case of not using the revolved funds in this period (Scenario 4) the primary investment cycle with the proposed allocation would provoke 11 billion in investments with an added value of 2.58. </w:t>
      </w:r>
    </w:p>
    <w:p w14:paraId="5D589759" w14:textId="77777777" w:rsidR="006D3AD5" w:rsidRPr="002C224A" w:rsidRDefault="006D3AD5" w:rsidP="006D3AD5"/>
    <w:p w14:paraId="2AB30DB8" w14:textId="77777777" w:rsidR="006D3AD5" w:rsidRPr="002C224A" w:rsidRDefault="006D3AD5" w:rsidP="006D3AD5">
      <w:pPr>
        <w:pStyle w:val="Neslovannadpisy"/>
        <w:rPr>
          <w:b w:val="0"/>
        </w:rPr>
      </w:pPr>
      <w:r>
        <w:t>Guarantee instrument</w:t>
      </w:r>
    </w:p>
    <w:p w14:paraId="32222443" w14:textId="77777777" w:rsidR="006D3AD5" w:rsidRPr="002C224A" w:rsidRDefault="006D3AD5" w:rsidP="006D3AD5">
      <w:r>
        <w:t>The multiplication and revolving effect of the guarantee instrument is directly based on the risk and losses management strategy. The model is based on the proposed allocation, parameters defined in the chapter titled "Estimate of further sources and model parameters in accordance with previous OP EI experience".</w:t>
      </w:r>
    </w:p>
    <w:p w14:paraId="62D5DEB4" w14:textId="77777777" w:rsidR="006D3AD5" w:rsidRDefault="006D3AD5" w:rsidP="006D3AD5">
      <w:pPr>
        <w:pStyle w:val="Titulek"/>
      </w:pPr>
    </w:p>
    <w:p w14:paraId="41CD7A5B" w14:textId="7FF7DCA4" w:rsidR="006D3AD5" w:rsidRPr="002C224A" w:rsidRDefault="006D3AD5" w:rsidP="006D3AD5">
      <w:pPr>
        <w:pStyle w:val="Titulek"/>
      </w:pPr>
      <w:r>
        <w:t xml:space="preserve">Table </w:t>
      </w:r>
      <w:r w:rsidR="00396AB4">
        <w:t>10</w:t>
      </w:r>
      <w:r w:rsidR="00B90ACD">
        <w:t>7</w:t>
      </w:r>
      <w:r>
        <w:t>: SO 2.1 guarantees, model parameters</w:t>
      </w:r>
    </w:p>
    <w:tbl>
      <w:tblPr>
        <w:tblW w:w="5560" w:type="dxa"/>
        <w:tblInd w:w="80" w:type="dxa"/>
        <w:tblCellMar>
          <w:left w:w="70" w:type="dxa"/>
          <w:right w:w="70" w:type="dxa"/>
        </w:tblCellMar>
        <w:tblLook w:val="04A0" w:firstRow="1" w:lastRow="0" w:firstColumn="1" w:lastColumn="0" w:noHBand="0" w:noVBand="1"/>
      </w:tblPr>
      <w:tblGrid>
        <w:gridCol w:w="3940"/>
        <w:gridCol w:w="1620"/>
      </w:tblGrid>
      <w:tr w:rsidR="006D3AD5" w:rsidRPr="002C224A" w14:paraId="070064CD" w14:textId="77777777" w:rsidTr="00443B8F">
        <w:trPr>
          <w:trHeight w:val="315"/>
        </w:trPr>
        <w:tc>
          <w:tcPr>
            <w:tcW w:w="3940" w:type="dxa"/>
            <w:tcBorders>
              <w:top w:val="single" w:sz="8" w:space="0" w:color="auto"/>
              <w:left w:val="single" w:sz="8" w:space="0" w:color="auto"/>
              <w:bottom w:val="nil"/>
              <w:right w:val="nil"/>
            </w:tcBorders>
            <w:shd w:val="clear" w:color="auto" w:fill="auto"/>
            <w:noWrap/>
            <w:vAlign w:val="bottom"/>
          </w:tcPr>
          <w:p w14:paraId="02DBBC2B" w14:textId="77777777" w:rsidR="006D3AD5" w:rsidRPr="00A50943" w:rsidRDefault="006D3AD5" w:rsidP="00443B8F">
            <w:pPr>
              <w:overflowPunct/>
              <w:autoSpaceDE/>
              <w:autoSpaceDN/>
              <w:adjustRightInd/>
              <w:jc w:val="left"/>
              <w:textAlignment w:val="auto"/>
              <w:rPr>
                <w:color w:val="000000"/>
                <w:szCs w:val="22"/>
              </w:rPr>
            </w:pPr>
            <w:r>
              <w:rPr>
                <w:color w:val="000000"/>
              </w:rPr>
              <w:t>Allocation (CZK millions)</w:t>
            </w:r>
          </w:p>
        </w:tc>
        <w:tc>
          <w:tcPr>
            <w:tcW w:w="1620" w:type="dxa"/>
            <w:tcBorders>
              <w:top w:val="single" w:sz="8" w:space="0" w:color="auto"/>
              <w:left w:val="single" w:sz="8" w:space="0" w:color="auto"/>
              <w:bottom w:val="nil"/>
              <w:right w:val="single" w:sz="8" w:space="0" w:color="auto"/>
            </w:tcBorders>
            <w:shd w:val="clear" w:color="auto" w:fill="auto"/>
            <w:noWrap/>
            <w:vAlign w:val="bottom"/>
          </w:tcPr>
          <w:p w14:paraId="42CE7F8F" w14:textId="77777777" w:rsidR="006D3AD5" w:rsidRPr="002C224A" w:rsidRDefault="006D3AD5" w:rsidP="00443B8F">
            <w:pPr>
              <w:overflowPunct/>
              <w:autoSpaceDE/>
              <w:autoSpaceDN/>
              <w:adjustRightInd/>
              <w:jc w:val="right"/>
              <w:textAlignment w:val="auto"/>
              <w:rPr>
                <w:color w:val="000000"/>
                <w:szCs w:val="22"/>
              </w:rPr>
            </w:pPr>
            <w:r>
              <w:rPr>
                <w:color w:val="000000"/>
              </w:rPr>
              <w:t>4,825</w:t>
            </w:r>
          </w:p>
        </w:tc>
      </w:tr>
      <w:tr w:rsidR="006D3AD5" w:rsidRPr="002C224A" w14:paraId="7FB30DC1" w14:textId="77777777" w:rsidTr="00443B8F">
        <w:trPr>
          <w:trHeight w:val="345"/>
        </w:trPr>
        <w:tc>
          <w:tcPr>
            <w:tcW w:w="3940" w:type="dxa"/>
            <w:tcBorders>
              <w:top w:val="nil"/>
              <w:left w:val="single" w:sz="8" w:space="0" w:color="auto"/>
              <w:bottom w:val="nil"/>
              <w:right w:val="nil"/>
            </w:tcBorders>
            <w:shd w:val="clear" w:color="auto" w:fill="auto"/>
            <w:noWrap/>
            <w:vAlign w:val="bottom"/>
          </w:tcPr>
          <w:p w14:paraId="3527BA68" w14:textId="77777777" w:rsidR="006D3AD5" w:rsidRPr="002C224A" w:rsidRDefault="006D3AD5" w:rsidP="00443B8F">
            <w:pPr>
              <w:overflowPunct/>
              <w:autoSpaceDE/>
              <w:autoSpaceDN/>
              <w:adjustRightInd/>
              <w:jc w:val="left"/>
              <w:textAlignment w:val="auto"/>
              <w:rPr>
                <w:color w:val="000000"/>
                <w:szCs w:val="22"/>
              </w:rPr>
            </w:pPr>
            <w:r>
              <w:rPr>
                <w:color w:val="000000"/>
              </w:rPr>
              <w:t>Loss reimbursement</w:t>
            </w:r>
          </w:p>
        </w:tc>
        <w:tc>
          <w:tcPr>
            <w:tcW w:w="1620" w:type="dxa"/>
            <w:tcBorders>
              <w:top w:val="nil"/>
              <w:left w:val="single" w:sz="8" w:space="0" w:color="auto"/>
              <w:bottom w:val="nil"/>
              <w:right w:val="single" w:sz="8" w:space="0" w:color="auto"/>
            </w:tcBorders>
            <w:shd w:val="clear" w:color="auto" w:fill="auto"/>
            <w:noWrap/>
            <w:vAlign w:val="bottom"/>
          </w:tcPr>
          <w:p w14:paraId="5026E885" w14:textId="77777777" w:rsidR="006D3AD5" w:rsidRPr="002C224A" w:rsidRDefault="006D3AD5" w:rsidP="00443B8F">
            <w:pPr>
              <w:overflowPunct/>
              <w:autoSpaceDE/>
              <w:autoSpaceDN/>
              <w:adjustRightInd/>
              <w:jc w:val="right"/>
              <w:textAlignment w:val="auto"/>
              <w:rPr>
                <w:color w:val="000000"/>
                <w:szCs w:val="22"/>
              </w:rPr>
            </w:pPr>
            <w:r>
              <w:rPr>
                <w:color w:val="000000"/>
              </w:rPr>
              <w:t>15%</w:t>
            </w:r>
          </w:p>
        </w:tc>
      </w:tr>
      <w:tr w:rsidR="006D3AD5" w:rsidRPr="002C224A" w14:paraId="00BF85A3" w14:textId="77777777" w:rsidTr="00443B8F">
        <w:trPr>
          <w:trHeight w:val="315"/>
        </w:trPr>
        <w:tc>
          <w:tcPr>
            <w:tcW w:w="3940" w:type="dxa"/>
            <w:tcBorders>
              <w:top w:val="nil"/>
              <w:left w:val="single" w:sz="8" w:space="0" w:color="auto"/>
              <w:bottom w:val="nil"/>
              <w:right w:val="nil"/>
            </w:tcBorders>
            <w:shd w:val="clear" w:color="auto" w:fill="auto"/>
            <w:noWrap/>
            <w:vAlign w:val="bottom"/>
          </w:tcPr>
          <w:p w14:paraId="1323A458" w14:textId="77777777" w:rsidR="006D3AD5" w:rsidRPr="00A50943" w:rsidRDefault="006D3AD5" w:rsidP="00443B8F">
            <w:pPr>
              <w:overflowPunct/>
              <w:autoSpaceDE/>
              <w:autoSpaceDN/>
              <w:adjustRightInd/>
              <w:jc w:val="left"/>
              <w:textAlignment w:val="auto"/>
              <w:rPr>
                <w:color w:val="000000"/>
                <w:szCs w:val="22"/>
              </w:rPr>
            </w:pPr>
            <w:r>
              <w:rPr>
                <w:color w:val="000000"/>
              </w:rPr>
              <w:t>Ratio of reimbursed fees for allocation</w:t>
            </w:r>
          </w:p>
        </w:tc>
        <w:tc>
          <w:tcPr>
            <w:tcW w:w="1620" w:type="dxa"/>
            <w:tcBorders>
              <w:top w:val="nil"/>
              <w:left w:val="single" w:sz="8" w:space="0" w:color="auto"/>
              <w:bottom w:val="nil"/>
              <w:right w:val="single" w:sz="8" w:space="0" w:color="auto"/>
            </w:tcBorders>
            <w:shd w:val="clear" w:color="auto" w:fill="auto"/>
            <w:noWrap/>
            <w:vAlign w:val="bottom"/>
          </w:tcPr>
          <w:p w14:paraId="596487ED" w14:textId="77777777" w:rsidR="006D3AD5" w:rsidRPr="002C224A" w:rsidRDefault="006D3AD5" w:rsidP="00443B8F">
            <w:pPr>
              <w:overflowPunct/>
              <w:autoSpaceDE/>
              <w:autoSpaceDN/>
              <w:adjustRightInd/>
              <w:jc w:val="right"/>
              <w:textAlignment w:val="auto"/>
              <w:rPr>
                <w:color w:val="000000"/>
                <w:szCs w:val="22"/>
              </w:rPr>
            </w:pPr>
            <w:r>
              <w:rPr>
                <w:color w:val="000000"/>
              </w:rPr>
              <w:t>8%</w:t>
            </w:r>
          </w:p>
        </w:tc>
      </w:tr>
      <w:tr w:rsidR="006D3AD5" w:rsidRPr="002C224A" w14:paraId="10E1D16A" w14:textId="77777777" w:rsidTr="00443B8F">
        <w:trPr>
          <w:trHeight w:val="315"/>
        </w:trPr>
        <w:tc>
          <w:tcPr>
            <w:tcW w:w="3940" w:type="dxa"/>
            <w:tcBorders>
              <w:top w:val="nil"/>
              <w:left w:val="single" w:sz="8" w:space="0" w:color="auto"/>
              <w:bottom w:val="nil"/>
              <w:right w:val="nil"/>
            </w:tcBorders>
            <w:shd w:val="clear" w:color="auto" w:fill="auto"/>
            <w:noWrap/>
            <w:vAlign w:val="bottom"/>
          </w:tcPr>
          <w:p w14:paraId="4E767F54" w14:textId="6CF11792" w:rsidR="006D3AD5" w:rsidRPr="00A50943" w:rsidRDefault="006D3AD5" w:rsidP="00443B8F">
            <w:pPr>
              <w:overflowPunct/>
              <w:autoSpaceDE/>
              <w:autoSpaceDN/>
              <w:adjustRightInd/>
              <w:jc w:val="left"/>
              <w:textAlignment w:val="auto"/>
              <w:rPr>
                <w:color w:val="000000"/>
                <w:szCs w:val="22"/>
              </w:rPr>
            </w:pPr>
            <w:r>
              <w:rPr>
                <w:color w:val="000000"/>
              </w:rPr>
              <w:t xml:space="preserve">Ratio of own sources of the </w:t>
            </w:r>
            <w:r w:rsidR="00CF3F95">
              <w:rPr>
                <w:color w:val="000000"/>
              </w:rPr>
              <w:t>final recipient</w:t>
            </w:r>
          </w:p>
        </w:tc>
        <w:tc>
          <w:tcPr>
            <w:tcW w:w="1620" w:type="dxa"/>
            <w:tcBorders>
              <w:top w:val="nil"/>
              <w:left w:val="single" w:sz="8" w:space="0" w:color="auto"/>
              <w:bottom w:val="nil"/>
              <w:right w:val="single" w:sz="8" w:space="0" w:color="auto"/>
            </w:tcBorders>
            <w:shd w:val="clear" w:color="auto" w:fill="auto"/>
            <w:noWrap/>
            <w:vAlign w:val="bottom"/>
          </w:tcPr>
          <w:p w14:paraId="32FF8D70" w14:textId="77777777" w:rsidR="006D3AD5" w:rsidRPr="002C224A" w:rsidRDefault="006D3AD5" w:rsidP="00443B8F">
            <w:pPr>
              <w:overflowPunct/>
              <w:autoSpaceDE/>
              <w:autoSpaceDN/>
              <w:adjustRightInd/>
              <w:jc w:val="right"/>
              <w:textAlignment w:val="auto"/>
              <w:rPr>
                <w:color w:val="000000"/>
                <w:szCs w:val="22"/>
              </w:rPr>
            </w:pPr>
            <w:r>
              <w:rPr>
                <w:color w:val="000000"/>
              </w:rPr>
              <w:t>20%</w:t>
            </w:r>
          </w:p>
        </w:tc>
      </w:tr>
      <w:tr w:rsidR="006D3AD5" w:rsidRPr="002C224A" w14:paraId="251EB1DE" w14:textId="77777777" w:rsidTr="00443B8F">
        <w:trPr>
          <w:trHeight w:val="315"/>
        </w:trPr>
        <w:tc>
          <w:tcPr>
            <w:tcW w:w="3940" w:type="dxa"/>
            <w:tcBorders>
              <w:top w:val="nil"/>
              <w:left w:val="single" w:sz="8" w:space="0" w:color="auto"/>
              <w:bottom w:val="single" w:sz="8" w:space="0" w:color="auto"/>
              <w:right w:val="nil"/>
            </w:tcBorders>
            <w:shd w:val="clear" w:color="auto" w:fill="auto"/>
            <w:noWrap/>
            <w:vAlign w:val="bottom"/>
          </w:tcPr>
          <w:p w14:paraId="422B8D2D" w14:textId="77777777" w:rsidR="006D3AD5" w:rsidRPr="002C224A" w:rsidRDefault="006D3AD5" w:rsidP="00443B8F">
            <w:pPr>
              <w:overflowPunct/>
              <w:autoSpaceDE/>
              <w:autoSpaceDN/>
              <w:adjustRightInd/>
              <w:jc w:val="left"/>
              <w:textAlignment w:val="auto"/>
              <w:rPr>
                <w:color w:val="000000"/>
                <w:szCs w:val="22"/>
              </w:rPr>
            </w:pPr>
            <w:r>
              <w:rPr>
                <w:color w:val="000000"/>
              </w:rPr>
              <w:t>Average credit amount (CZK millions)</w:t>
            </w:r>
          </w:p>
        </w:tc>
        <w:tc>
          <w:tcPr>
            <w:tcW w:w="1620" w:type="dxa"/>
            <w:tcBorders>
              <w:top w:val="nil"/>
              <w:left w:val="single" w:sz="8" w:space="0" w:color="auto"/>
              <w:bottom w:val="single" w:sz="8" w:space="0" w:color="auto"/>
              <w:right w:val="single" w:sz="8" w:space="0" w:color="auto"/>
            </w:tcBorders>
            <w:shd w:val="clear" w:color="auto" w:fill="auto"/>
            <w:noWrap/>
            <w:vAlign w:val="bottom"/>
          </w:tcPr>
          <w:p w14:paraId="1BD3BDA2" w14:textId="77777777" w:rsidR="006D3AD5" w:rsidRPr="002C224A" w:rsidRDefault="006D3AD5" w:rsidP="00443B8F">
            <w:pPr>
              <w:overflowPunct/>
              <w:autoSpaceDE/>
              <w:autoSpaceDN/>
              <w:adjustRightInd/>
              <w:jc w:val="right"/>
              <w:textAlignment w:val="auto"/>
              <w:rPr>
                <w:color w:val="000000"/>
                <w:szCs w:val="22"/>
              </w:rPr>
            </w:pPr>
            <w:r>
              <w:rPr>
                <w:color w:val="000000"/>
              </w:rPr>
              <w:t>7</w:t>
            </w:r>
          </w:p>
        </w:tc>
      </w:tr>
    </w:tbl>
    <w:p w14:paraId="259A461A" w14:textId="77777777" w:rsidR="006D3AD5" w:rsidRPr="002C224A" w:rsidRDefault="006D3AD5" w:rsidP="006D3AD5">
      <w:pPr>
        <w:pStyle w:val="BodyText1"/>
        <w:jc w:val="both"/>
        <w:rPr>
          <w:rFonts w:ascii="Calibri" w:hAnsi="Calibri"/>
        </w:rPr>
      </w:pPr>
    </w:p>
    <w:p w14:paraId="2A800C9E" w14:textId="77777777" w:rsidR="006D3AD5" w:rsidRPr="00A50943" w:rsidRDefault="006D3AD5" w:rsidP="006D3AD5">
      <w:pPr>
        <w:rPr>
          <w:vanish/>
        </w:rPr>
      </w:pPr>
    </w:p>
    <w:p w14:paraId="0D70D395" w14:textId="62D87E5B" w:rsidR="006D3AD5" w:rsidRPr="002C224A" w:rsidRDefault="006D3AD5" w:rsidP="006D3AD5">
      <w:pPr>
        <w:pStyle w:val="Titulek"/>
      </w:pPr>
      <w:r>
        <w:t xml:space="preserve">Table </w:t>
      </w:r>
      <w:r w:rsidR="00396AB4">
        <w:t>10</w:t>
      </w:r>
      <w:r w:rsidR="00B90ACD">
        <w:t>8</w:t>
      </w:r>
      <w:r>
        <w:t>: SO 2.1 guarantees, model results</w:t>
      </w:r>
    </w:p>
    <w:tbl>
      <w:tblPr>
        <w:tblW w:w="8800" w:type="dxa"/>
        <w:tblInd w:w="70" w:type="dxa"/>
        <w:tblCellMar>
          <w:left w:w="70" w:type="dxa"/>
          <w:right w:w="70" w:type="dxa"/>
        </w:tblCellMar>
        <w:tblLook w:val="04A0" w:firstRow="1" w:lastRow="0" w:firstColumn="1" w:lastColumn="0" w:noHBand="0" w:noVBand="1"/>
      </w:tblPr>
      <w:tblGrid>
        <w:gridCol w:w="1776"/>
        <w:gridCol w:w="6243"/>
        <w:gridCol w:w="781"/>
      </w:tblGrid>
      <w:tr w:rsidR="006D3AD5" w:rsidRPr="002C224A" w14:paraId="6F418D9E" w14:textId="77777777" w:rsidTr="00443B8F">
        <w:trPr>
          <w:trHeight w:val="300"/>
        </w:trPr>
        <w:tc>
          <w:tcPr>
            <w:tcW w:w="8800" w:type="dxa"/>
            <w:gridSpan w:val="3"/>
            <w:tcBorders>
              <w:top w:val="single" w:sz="4" w:space="0" w:color="4F81BD"/>
              <w:left w:val="nil"/>
              <w:bottom w:val="single" w:sz="4" w:space="0" w:color="4F81BD"/>
              <w:right w:val="nil"/>
            </w:tcBorders>
            <w:shd w:val="clear" w:color="auto" w:fill="auto"/>
            <w:noWrap/>
            <w:vAlign w:val="bottom"/>
            <w:hideMark/>
          </w:tcPr>
          <w:p w14:paraId="3C71A7DD" w14:textId="77777777" w:rsidR="006D3AD5" w:rsidRPr="00A50943" w:rsidRDefault="006D3AD5" w:rsidP="00443B8F">
            <w:pPr>
              <w:overflowPunct/>
              <w:autoSpaceDE/>
              <w:autoSpaceDN/>
              <w:adjustRightInd/>
              <w:jc w:val="center"/>
              <w:textAlignment w:val="auto"/>
              <w:rPr>
                <w:b/>
                <w:bCs/>
                <w:color w:val="366092"/>
                <w:szCs w:val="22"/>
              </w:rPr>
            </w:pPr>
            <w:r>
              <w:rPr>
                <w:b/>
                <w:color w:val="366092"/>
              </w:rPr>
              <w:t>SO 2.1 guarantee</w:t>
            </w:r>
          </w:p>
        </w:tc>
      </w:tr>
      <w:tr w:rsidR="006D3AD5" w:rsidRPr="002C224A" w14:paraId="0ABB60E8" w14:textId="77777777" w:rsidTr="00443B8F">
        <w:trPr>
          <w:trHeight w:val="300"/>
        </w:trPr>
        <w:tc>
          <w:tcPr>
            <w:tcW w:w="8019" w:type="dxa"/>
            <w:gridSpan w:val="2"/>
            <w:tcBorders>
              <w:top w:val="single" w:sz="4" w:space="0" w:color="4F81BD"/>
              <w:left w:val="nil"/>
              <w:bottom w:val="nil"/>
              <w:right w:val="nil"/>
            </w:tcBorders>
            <w:shd w:val="clear" w:color="DCE6F1" w:fill="DCE6F1"/>
            <w:noWrap/>
            <w:vAlign w:val="bottom"/>
            <w:hideMark/>
          </w:tcPr>
          <w:p w14:paraId="40E2D96A" w14:textId="77777777" w:rsidR="006D3AD5" w:rsidRPr="00A50943" w:rsidRDefault="006D3AD5" w:rsidP="00443B8F">
            <w:pPr>
              <w:overflowPunct/>
              <w:autoSpaceDE/>
              <w:autoSpaceDN/>
              <w:adjustRightInd/>
              <w:jc w:val="left"/>
              <w:textAlignment w:val="auto"/>
              <w:rPr>
                <w:color w:val="366092"/>
                <w:szCs w:val="22"/>
              </w:rPr>
            </w:pPr>
            <w:r>
              <w:rPr>
                <w:color w:val="366092"/>
              </w:rPr>
              <w:t>FI Allocation (CZK millions)</w:t>
            </w:r>
          </w:p>
        </w:tc>
        <w:tc>
          <w:tcPr>
            <w:tcW w:w="781" w:type="dxa"/>
            <w:tcBorders>
              <w:top w:val="nil"/>
              <w:left w:val="nil"/>
              <w:bottom w:val="nil"/>
              <w:right w:val="nil"/>
            </w:tcBorders>
            <w:shd w:val="clear" w:color="DCE6F1" w:fill="DCE6F1"/>
            <w:noWrap/>
            <w:vAlign w:val="bottom"/>
            <w:hideMark/>
          </w:tcPr>
          <w:p w14:paraId="59BB8A74" w14:textId="77777777" w:rsidR="006D3AD5" w:rsidRPr="002C224A" w:rsidRDefault="006D3AD5" w:rsidP="00443B8F">
            <w:pPr>
              <w:overflowPunct/>
              <w:autoSpaceDE/>
              <w:autoSpaceDN/>
              <w:adjustRightInd/>
              <w:jc w:val="right"/>
              <w:textAlignment w:val="auto"/>
              <w:rPr>
                <w:color w:val="366092"/>
                <w:szCs w:val="22"/>
              </w:rPr>
            </w:pPr>
            <w:r>
              <w:rPr>
                <w:color w:val="366092"/>
              </w:rPr>
              <w:t>4,825</w:t>
            </w:r>
          </w:p>
        </w:tc>
      </w:tr>
      <w:tr w:rsidR="006D3AD5" w:rsidRPr="002C224A" w14:paraId="0D7CD503" w14:textId="77777777" w:rsidTr="00443B8F">
        <w:trPr>
          <w:trHeight w:val="300"/>
        </w:trPr>
        <w:tc>
          <w:tcPr>
            <w:tcW w:w="1776" w:type="dxa"/>
            <w:vMerge w:val="restart"/>
            <w:tcBorders>
              <w:top w:val="nil"/>
              <w:left w:val="nil"/>
              <w:bottom w:val="single" w:sz="4" w:space="0" w:color="4F81BD"/>
              <w:right w:val="nil"/>
            </w:tcBorders>
            <w:shd w:val="clear" w:color="auto" w:fill="auto"/>
            <w:noWrap/>
            <w:vAlign w:val="center"/>
            <w:hideMark/>
          </w:tcPr>
          <w:p w14:paraId="518152D0" w14:textId="77777777" w:rsidR="006D3AD5" w:rsidRPr="00A50943" w:rsidRDefault="006D3AD5" w:rsidP="00443B8F">
            <w:pPr>
              <w:overflowPunct/>
              <w:autoSpaceDE/>
              <w:autoSpaceDN/>
              <w:adjustRightInd/>
              <w:jc w:val="center"/>
              <w:textAlignment w:val="auto"/>
              <w:rPr>
                <w:color w:val="366092"/>
                <w:szCs w:val="22"/>
              </w:rPr>
            </w:pPr>
            <w:r>
              <w:rPr>
                <w:color w:val="366092"/>
              </w:rPr>
              <w:t>Allocation drawing</w:t>
            </w:r>
          </w:p>
        </w:tc>
        <w:tc>
          <w:tcPr>
            <w:tcW w:w="6243" w:type="dxa"/>
            <w:tcBorders>
              <w:top w:val="nil"/>
              <w:left w:val="nil"/>
              <w:bottom w:val="nil"/>
              <w:right w:val="nil"/>
            </w:tcBorders>
            <w:shd w:val="clear" w:color="auto" w:fill="auto"/>
            <w:noWrap/>
            <w:vAlign w:val="bottom"/>
            <w:hideMark/>
          </w:tcPr>
          <w:p w14:paraId="6952C7AF" w14:textId="77777777" w:rsidR="006D3AD5" w:rsidRPr="002C224A" w:rsidRDefault="006D3AD5" w:rsidP="00443B8F">
            <w:pPr>
              <w:overflowPunct/>
              <w:autoSpaceDE/>
              <w:autoSpaceDN/>
              <w:adjustRightInd/>
              <w:jc w:val="left"/>
              <w:textAlignment w:val="auto"/>
              <w:rPr>
                <w:color w:val="366092"/>
                <w:szCs w:val="22"/>
              </w:rPr>
            </w:pPr>
            <w:r>
              <w:rPr>
                <w:color w:val="366092"/>
              </w:rPr>
              <w:t>FI public sources after deduction of MCF (CZK millions)</w:t>
            </w:r>
          </w:p>
        </w:tc>
        <w:tc>
          <w:tcPr>
            <w:tcW w:w="781" w:type="dxa"/>
            <w:tcBorders>
              <w:top w:val="nil"/>
              <w:left w:val="nil"/>
              <w:bottom w:val="nil"/>
              <w:right w:val="nil"/>
            </w:tcBorders>
            <w:shd w:val="clear" w:color="auto" w:fill="auto"/>
            <w:noWrap/>
            <w:vAlign w:val="bottom"/>
            <w:hideMark/>
          </w:tcPr>
          <w:p w14:paraId="27C3616A" w14:textId="77777777" w:rsidR="006D3AD5" w:rsidRPr="002C224A" w:rsidRDefault="006D3AD5" w:rsidP="00443B8F">
            <w:pPr>
              <w:overflowPunct/>
              <w:autoSpaceDE/>
              <w:autoSpaceDN/>
              <w:adjustRightInd/>
              <w:jc w:val="right"/>
              <w:textAlignment w:val="auto"/>
              <w:rPr>
                <w:color w:val="366092"/>
                <w:szCs w:val="22"/>
              </w:rPr>
            </w:pPr>
            <w:r>
              <w:rPr>
                <w:color w:val="366092"/>
              </w:rPr>
              <w:t>4,439</w:t>
            </w:r>
          </w:p>
        </w:tc>
      </w:tr>
      <w:tr w:rsidR="006D3AD5" w:rsidRPr="002C224A" w14:paraId="0C96A966" w14:textId="77777777" w:rsidTr="00443B8F">
        <w:trPr>
          <w:trHeight w:val="300"/>
        </w:trPr>
        <w:tc>
          <w:tcPr>
            <w:tcW w:w="1776" w:type="dxa"/>
            <w:vMerge/>
            <w:tcBorders>
              <w:top w:val="nil"/>
              <w:left w:val="nil"/>
              <w:bottom w:val="single" w:sz="4" w:space="0" w:color="4F81BD"/>
              <w:right w:val="nil"/>
            </w:tcBorders>
            <w:vAlign w:val="center"/>
            <w:hideMark/>
          </w:tcPr>
          <w:p w14:paraId="09047BBB"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0C0B6BC9" w14:textId="77777777" w:rsidR="006D3AD5" w:rsidRPr="002C224A" w:rsidRDefault="006D3AD5" w:rsidP="00443B8F">
            <w:pPr>
              <w:overflowPunct/>
              <w:autoSpaceDE/>
              <w:autoSpaceDN/>
              <w:adjustRightInd/>
              <w:jc w:val="left"/>
              <w:textAlignment w:val="auto"/>
              <w:rPr>
                <w:color w:val="366092"/>
                <w:szCs w:val="22"/>
              </w:rPr>
            </w:pPr>
            <w:r>
              <w:rPr>
                <w:color w:val="366092"/>
              </w:rPr>
              <w:t>Leverage for final recipient projects</w:t>
            </w:r>
          </w:p>
        </w:tc>
        <w:tc>
          <w:tcPr>
            <w:tcW w:w="781" w:type="dxa"/>
            <w:tcBorders>
              <w:top w:val="nil"/>
              <w:left w:val="nil"/>
              <w:bottom w:val="nil"/>
              <w:right w:val="nil"/>
            </w:tcBorders>
            <w:shd w:val="clear" w:color="DCE6F1" w:fill="DCE6F1"/>
            <w:noWrap/>
            <w:vAlign w:val="bottom"/>
            <w:hideMark/>
          </w:tcPr>
          <w:p w14:paraId="2D32B000" w14:textId="77777777" w:rsidR="006D3AD5" w:rsidRPr="002C224A" w:rsidRDefault="006D3AD5" w:rsidP="00443B8F">
            <w:pPr>
              <w:overflowPunct/>
              <w:autoSpaceDE/>
              <w:autoSpaceDN/>
              <w:adjustRightInd/>
              <w:jc w:val="right"/>
              <w:textAlignment w:val="auto"/>
              <w:rPr>
                <w:color w:val="366092"/>
                <w:szCs w:val="22"/>
              </w:rPr>
            </w:pPr>
            <w:r>
              <w:rPr>
                <w:color w:val="366092"/>
              </w:rPr>
              <w:t>6.7</w:t>
            </w:r>
          </w:p>
        </w:tc>
      </w:tr>
      <w:tr w:rsidR="006D3AD5" w:rsidRPr="002C224A" w14:paraId="2AF85174" w14:textId="77777777" w:rsidTr="00443B8F">
        <w:trPr>
          <w:trHeight w:val="300"/>
        </w:trPr>
        <w:tc>
          <w:tcPr>
            <w:tcW w:w="1776" w:type="dxa"/>
            <w:vMerge/>
            <w:tcBorders>
              <w:top w:val="nil"/>
              <w:left w:val="nil"/>
              <w:bottom w:val="single" w:sz="4" w:space="0" w:color="4F81BD"/>
              <w:right w:val="nil"/>
            </w:tcBorders>
            <w:vAlign w:val="center"/>
            <w:hideMark/>
          </w:tcPr>
          <w:p w14:paraId="0AED66C7"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hideMark/>
          </w:tcPr>
          <w:p w14:paraId="508CA706" w14:textId="77777777" w:rsidR="006D3AD5" w:rsidRPr="002C224A" w:rsidRDefault="006D3AD5" w:rsidP="00443B8F">
            <w:pPr>
              <w:overflowPunct/>
              <w:autoSpaceDE/>
              <w:autoSpaceDN/>
              <w:adjustRightInd/>
              <w:jc w:val="left"/>
              <w:textAlignment w:val="auto"/>
              <w:rPr>
                <w:color w:val="366092"/>
                <w:szCs w:val="22"/>
              </w:rPr>
            </w:pPr>
            <w:r>
              <w:rPr>
                <w:color w:val="366092"/>
              </w:rPr>
              <w:t>Total recoverable sources for final recipient projects (CZK millions)</w:t>
            </w:r>
          </w:p>
        </w:tc>
        <w:tc>
          <w:tcPr>
            <w:tcW w:w="781" w:type="dxa"/>
            <w:tcBorders>
              <w:top w:val="nil"/>
              <w:left w:val="nil"/>
              <w:bottom w:val="nil"/>
              <w:right w:val="nil"/>
            </w:tcBorders>
            <w:shd w:val="clear" w:color="auto" w:fill="auto"/>
            <w:noWrap/>
            <w:vAlign w:val="bottom"/>
            <w:hideMark/>
          </w:tcPr>
          <w:p w14:paraId="3EF07D00" w14:textId="77777777" w:rsidR="006D3AD5" w:rsidRPr="002C224A" w:rsidRDefault="006D3AD5" w:rsidP="00443B8F">
            <w:pPr>
              <w:overflowPunct/>
              <w:autoSpaceDE/>
              <w:autoSpaceDN/>
              <w:adjustRightInd/>
              <w:jc w:val="right"/>
              <w:textAlignment w:val="auto"/>
              <w:rPr>
                <w:color w:val="366092"/>
                <w:szCs w:val="22"/>
              </w:rPr>
            </w:pPr>
            <w:r>
              <w:rPr>
                <w:color w:val="366092"/>
              </w:rPr>
              <w:t>29,741</w:t>
            </w:r>
          </w:p>
        </w:tc>
      </w:tr>
      <w:tr w:rsidR="006D3AD5" w:rsidRPr="002C224A" w14:paraId="12CB6E42" w14:textId="77777777" w:rsidTr="00443B8F">
        <w:trPr>
          <w:trHeight w:val="300"/>
        </w:trPr>
        <w:tc>
          <w:tcPr>
            <w:tcW w:w="1776" w:type="dxa"/>
            <w:vMerge/>
            <w:tcBorders>
              <w:top w:val="nil"/>
              <w:left w:val="nil"/>
              <w:bottom w:val="single" w:sz="4" w:space="0" w:color="4F81BD"/>
              <w:right w:val="nil"/>
            </w:tcBorders>
            <w:vAlign w:val="center"/>
            <w:hideMark/>
          </w:tcPr>
          <w:p w14:paraId="13598A90"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6D256B5C" w14:textId="77777777" w:rsidR="006D3AD5" w:rsidRPr="002C224A" w:rsidRDefault="006D3AD5" w:rsidP="00443B8F">
            <w:pPr>
              <w:overflowPunct/>
              <w:autoSpaceDE/>
              <w:autoSpaceDN/>
              <w:adjustRightInd/>
              <w:jc w:val="left"/>
              <w:textAlignment w:val="auto"/>
              <w:rPr>
                <w:color w:val="366092"/>
                <w:szCs w:val="22"/>
              </w:rPr>
            </w:pPr>
            <w:r>
              <w:rPr>
                <w:color w:val="366092"/>
              </w:rPr>
              <w:t>Recoverable part of the support</w:t>
            </w:r>
          </w:p>
        </w:tc>
        <w:tc>
          <w:tcPr>
            <w:tcW w:w="781" w:type="dxa"/>
            <w:tcBorders>
              <w:top w:val="nil"/>
              <w:left w:val="nil"/>
              <w:bottom w:val="nil"/>
              <w:right w:val="nil"/>
            </w:tcBorders>
            <w:shd w:val="clear" w:color="DCE6F1" w:fill="DCE6F1"/>
            <w:noWrap/>
            <w:vAlign w:val="bottom"/>
            <w:hideMark/>
          </w:tcPr>
          <w:p w14:paraId="4F949957" w14:textId="77777777" w:rsidR="006D3AD5" w:rsidRPr="002C224A" w:rsidRDefault="006D3AD5" w:rsidP="00443B8F">
            <w:pPr>
              <w:overflowPunct/>
              <w:autoSpaceDE/>
              <w:autoSpaceDN/>
              <w:adjustRightInd/>
              <w:jc w:val="left"/>
              <w:textAlignment w:val="auto"/>
              <w:rPr>
                <w:color w:val="366092"/>
                <w:szCs w:val="22"/>
              </w:rPr>
            </w:pPr>
            <w:r>
              <w:rPr>
                <w:color w:val="366092"/>
              </w:rPr>
              <w:t>-</w:t>
            </w:r>
          </w:p>
        </w:tc>
      </w:tr>
      <w:tr w:rsidR="006D3AD5" w:rsidRPr="002C224A" w14:paraId="47B51796" w14:textId="77777777" w:rsidTr="00443B8F">
        <w:trPr>
          <w:trHeight w:val="300"/>
        </w:trPr>
        <w:tc>
          <w:tcPr>
            <w:tcW w:w="1776" w:type="dxa"/>
            <w:vMerge/>
            <w:tcBorders>
              <w:top w:val="nil"/>
              <w:left w:val="nil"/>
              <w:bottom w:val="single" w:sz="4" w:space="0" w:color="4F81BD"/>
              <w:right w:val="nil"/>
            </w:tcBorders>
            <w:vAlign w:val="center"/>
            <w:hideMark/>
          </w:tcPr>
          <w:p w14:paraId="215190AD"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hideMark/>
          </w:tcPr>
          <w:p w14:paraId="51280740" w14:textId="77777777" w:rsidR="006D3AD5" w:rsidRPr="002C224A" w:rsidRDefault="006D3AD5" w:rsidP="00443B8F">
            <w:pPr>
              <w:overflowPunct/>
              <w:autoSpaceDE/>
              <w:autoSpaceDN/>
              <w:adjustRightInd/>
              <w:jc w:val="left"/>
              <w:textAlignment w:val="auto"/>
              <w:rPr>
                <w:color w:val="366092"/>
                <w:szCs w:val="22"/>
              </w:rPr>
            </w:pPr>
            <w:r>
              <w:rPr>
                <w:color w:val="366092"/>
              </w:rPr>
              <w:t>Average amount of loan / investment of the final recipient (CZK millions)</w:t>
            </w:r>
          </w:p>
        </w:tc>
        <w:tc>
          <w:tcPr>
            <w:tcW w:w="781" w:type="dxa"/>
            <w:tcBorders>
              <w:top w:val="nil"/>
              <w:left w:val="nil"/>
              <w:bottom w:val="nil"/>
              <w:right w:val="nil"/>
            </w:tcBorders>
            <w:shd w:val="clear" w:color="auto" w:fill="auto"/>
            <w:noWrap/>
            <w:vAlign w:val="bottom"/>
            <w:hideMark/>
          </w:tcPr>
          <w:p w14:paraId="07AB0A41" w14:textId="77777777" w:rsidR="006D3AD5" w:rsidRPr="002C224A" w:rsidRDefault="006D3AD5" w:rsidP="00443B8F">
            <w:pPr>
              <w:overflowPunct/>
              <w:autoSpaceDE/>
              <w:autoSpaceDN/>
              <w:adjustRightInd/>
              <w:jc w:val="right"/>
              <w:textAlignment w:val="auto"/>
              <w:rPr>
                <w:color w:val="366092"/>
                <w:szCs w:val="22"/>
              </w:rPr>
            </w:pPr>
            <w:r>
              <w:rPr>
                <w:color w:val="366092"/>
              </w:rPr>
              <w:t>7</w:t>
            </w:r>
          </w:p>
        </w:tc>
      </w:tr>
      <w:tr w:rsidR="006D3AD5" w:rsidRPr="002C224A" w14:paraId="29E99F9E" w14:textId="77777777" w:rsidTr="00443B8F">
        <w:trPr>
          <w:trHeight w:val="300"/>
        </w:trPr>
        <w:tc>
          <w:tcPr>
            <w:tcW w:w="1776" w:type="dxa"/>
            <w:vMerge/>
            <w:tcBorders>
              <w:top w:val="nil"/>
              <w:left w:val="nil"/>
              <w:bottom w:val="single" w:sz="4" w:space="0" w:color="4F81BD"/>
              <w:right w:val="nil"/>
            </w:tcBorders>
            <w:vAlign w:val="center"/>
            <w:hideMark/>
          </w:tcPr>
          <w:p w14:paraId="0956A345"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5BC2565F" w14:textId="77777777" w:rsidR="006D3AD5" w:rsidRPr="002C224A" w:rsidRDefault="006D3AD5" w:rsidP="00443B8F">
            <w:pPr>
              <w:overflowPunct/>
              <w:autoSpaceDE/>
              <w:autoSpaceDN/>
              <w:adjustRightInd/>
              <w:jc w:val="left"/>
              <w:textAlignment w:val="auto"/>
              <w:rPr>
                <w:color w:val="366092"/>
                <w:szCs w:val="22"/>
              </w:rPr>
            </w:pPr>
            <w:r>
              <w:rPr>
                <w:color w:val="366092"/>
              </w:rPr>
              <w:t>Number of final recipient projects</w:t>
            </w:r>
          </w:p>
        </w:tc>
        <w:tc>
          <w:tcPr>
            <w:tcW w:w="781" w:type="dxa"/>
            <w:tcBorders>
              <w:top w:val="nil"/>
              <w:left w:val="nil"/>
              <w:bottom w:val="nil"/>
              <w:right w:val="nil"/>
            </w:tcBorders>
            <w:shd w:val="clear" w:color="DCE6F1" w:fill="DCE6F1"/>
            <w:noWrap/>
            <w:vAlign w:val="bottom"/>
            <w:hideMark/>
          </w:tcPr>
          <w:p w14:paraId="49785F37" w14:textId="77777777" w:rsidR="006D3AD5" w:rsidRPr="002C224A" w:rsidRDefault="006D3AD5" w:rsidP="00443B8F">
            <w:pPr>
              <w:overflowPunct/>
              <w:autoSpaceDE/>
              <w:autoSpaceDN/>
              <w:adjustRightInd/>
              <w:jc w:val="right"/>
              <w:textAlignment w:val="auto"/>
              <w:rPr>
                <w:color w:val="366092"/>
                <w:szCs w:val="22"/>
              </w:rPr>
            </w:pPr>
            <w:r>
              <w:rPr>
                <w:color w:val="366092"/>
              </w:rPr>
              <w:t>4,249</w:t>
            </w:r>
          </w:p>
        </w:tc>
      </w:tr>
      <w:tr w:rsidR="006D3AD5" w:rsidRPr="002C224A" w14:paraId="70CC20C2" w14:textId="77777777" w:rsidTr="00443B8F">
        <w:trPr>
          <w:trHeight w:val="300"/>
        </w:trPr>
        <w:tc>
          <w:tcPr>
            <w:tcW w:w="1776" w:type="dxa"/>
            <w:vMerge/>
            <w:tcBorders>
              <w:top w:val="nil"/>
              <w:left w:val="nil"/>
              <w:bottom w:val="single" w:sz="4" w:space="0" w:color="4F81BD"/>
              <w:right w:val="nil"/>
            </w:tcBorders>
            <w:vAlign w:val="center"/>
            <w:hideMark/>
          </w:tcPr>
          <w:p w14:paraId="029D33B0"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auto" w:fill="auto"/>
            <w:noWrap/>
            <w:vAlign w:val="bottom"/>
            <w:hideMark/>
          </w:tcPr>
          <w:p w14:paraId="63D49EC2" w14:textId="77777777" w:rsidR="006D3AD5" w:rsidRPr="002C224A" w:rsidRDefault="006D3AD5" w:rsidP="00443B8F">
            <w:pPr>
              <w:overflowPunct/>
              <w:autoSpaceDE/>
              <w:autoSpaceDN/>
              <w:adjustRightInd/>
              <w:jc w:val="left"/>
              <w:textAlignment w:val="auto"/>
              <w:rPr>
                <w:color w:val="366092"/>
                <w:szCs w:val="22"/>
              </w:rPr>
            </w:pPr>
            <w:r>
              <w:rPr>
                <w:color w:val="366092"/>
              </w:rPr>
              <w:t>Total number of supported final recipient investments (CZK millions)</w:t>
            </w:r>
          </w:p>
        </w:tc>
        <w:tc>
          <w:tcPr>
            <w:tcW w:w="781" w:type="dxa"/>
            <w:tcBorders>
              <w:top w:val="nil"/>
              <w:left w:val="nil"/>
              <w:bottom w:val="nil"/>
              <w:right w:val="nil"/>
            </w:tcBorders>
            <w:shd w:val="clear" w:color="auto" w:fill="auto"/>
            <w:noWrap/>
            <w:vAlign w:val="bottom"/>
            <w:hideMark/>
          </w:tcPr>
          <w:p w14:paraId="6EDB5EAE" w14:textId="77777777" w:rsidR="006D3AD5" w:rsidRPr="002C224A" w:rsidRDefault="006D3AD5" w:rsidP="00443B8F">
            <w:pPr>
              <w:overflowPunct/>
              <w:autoSpaceDE/>
              <w:autoSpaceDN/>
              <w:adjustRightInd/>
              <w:jc w:val="right"/>
              <w:textAlignment w:val="auto"/>
              <w:rPr>
                <w:color w:val="366092"/>
                <w:szCs w:val="22"/>
              </w:rPr>
            </w:pPr>
            <w:r>
              <w:rPr>
                <w:color w:val="366092"/>
              </w:rPr>
              <w:t>35,690</w:t>
            </w:r>
          </w:p>
        </w:tc>
      </w:tr>
      <w:tr w:rsidR="006D3AD5" w:rsidRPr="002C224A" w14:paraId="24931623" w14:textId="77777777" w:rsidTr="00443B8F">
        <w:trPr>
          <w:trHeight w:val="242"/>
        </w:trPr>
        <w:tc>
          <w:tcPr>
            <w:tcW w:w="1776" w:type="dxa"/>
            <w:vMerge/>
            <w:tcBorders>
              <w:top w:val="nil"/>
              <w:left w:val="nil"/>
              <w:bottom w:val="single" w:sz="4" w:space="0" w:color="4F81BD"/>
              <w:right w:val="nil"/>
            </w:tcBorders>
            <w:vAlign w:val="center"/>
            <w:hideMark/>
          </w:tcPr>
          <w:p w14:paraId="6211B3E0"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nil"/>
              <w:right w:val="nil"/>
            </w:tcBorders>
            <w:shd w:val="clear" w:color="DCE6F1" w:fill="DCE6F1"/>
            <w:noWrap/>
            <w:vAlign w:val="bottom"/>
            <w:hideMark/>
          </w:tcPr>
          <w:p w14:paraId="5C2E8CE3" w14:textId="77777777" w:rsidR="006D3AD5" w:rsidRPr="002C224A" w:rsidRDefault="006D3AD5" w:rsidP="00443B8F">
            <w:pPr>
              <w:overflowPunct/>
              <w:autoSpaceDE/>
              <w:autoSpaceDN/>
              <w:adjustRightInd/>
              <w:jc w:val="left"/>
              <w:textAlignment w:val="auto"/>
              <w:rPr>
                <w:color w:val="366092"/>
                <w:szCs w:val="22"/>
              </w:rPr>
            </w:pPr>
            <w:r>
              <w:rPr>
                <w:color w:val="366092"/>
              </w:rPr>
              <w:t>Number of jobs created</w:t>
            </w:r>
          </w:p>
        </w:tc>
        <w:tc>
          <w:tcPr>
            <w:tcW w:w="781" w:type="dxa"/>
            <w:tcBorders>
              <w:top w:val="nil"/>
              <w:left w:val="nil"/>
              <w:bottom w:val="nil"/>
              <w:right w:val="nil"/>
            </w:tcBorders>
            <w:shd w:val="clear" w:color="DCE6F1" w:fill="DCE6F1"/>
            <w:noWrap/>
            <w:vAlign w:val="bottom"/>
            <w:hideMark/>
          </w:tcPr>
          <w:p w14:paraId="00DFCB9E" w14:textId="77777777" w:rsidR="006D3AD5" w:rsidRPr="00A50943" w:rsidRDefault="006D3AD5" w:rsidP="00443B8F">
            <w:pPr>
              <w:overflowPunct/>
              <w:autoSpaceDE/>
              <w:autoSpaceDN/>
              <w:adjustRightInd/>
              <w:jc w:val="right"/>
              <w:textAlignment w:val="auto"/>
              <w:rPr>
                <w:color w:val="366092"/>
                <w:szCs w:val="22"/>
              </w:rPr>
            </w:pPr>
            <w:r>
              <w:rPr>
                <w:color w:val="000000"/>
              </w:rPr>
              <w:t>7,454</w:t>
            </w:r>
          </w:p>
        </w:tc>
      </w:tr>
      <w:tr w:rsidR="006D3AD5" w:rsidRPr="002C224A" w14:paraId="5BD104C1" w14:textId="77777777" w:rsidTr="00443B8F">
        <w:trPr>
          <w:trHeight w:val="300"/>
        </w:trPr>
        <w:tc>
          <w:tcPr>
            <w:tcW w:w="1776" w:type="dxa"/>
            <w:vMerge/>
            <w:tcBorders>
              <w:top w:val="nil"/>
              <w:left w:val="nil"/>
              <w:bottom w:val="single" w:sz="4" w:space="0" w:color="4F81BD"/>
              <w:right w:val="nil"/>
            </w:tcBorders>
            <w:vAlign w:val="center"/>
            <w:hideMark/>
          </w:tcPr>
          <w:p w14:paraId="39C4F6DC" w14:textId="77777777" w:rsidR="006D3AD5" w:rsidRPr="002C224A" w:rsidRDefault="006D3AD5" w:rsidP="00443B8F">
            <w:pPr>
              <w:overflowPunct/>
              <w:autoSpaceDE/>
              <w:autoSpaceDN/>
              <w:adjustRightInd/>
              <w:jc w:val="left"/>
              <w:textAlignment w:val="auto"/>
              <w:rPr>
                <w:color w:val="366092"/>
                <w:szCs w:val="22"/>
              </w:rPr>
            </w:pPr>
          </w:p>
        </w:tc>
        <w:tc>
          <w:tcPr>
            <w:tcW w:w="6243" w:type="dxa"/>
            <w:tcBorders>
              <w:top w:val="nil"/>
              <w:left w:val="nil"/>
              <w:bottom w:val="single" w:sz="4" w:space="0" w:color="4F81BD"/>
              <w:right w:val="nil"/>
            </w:tcBorders>
            <w:shd w:val="clear" w:color="auto" w:fill="auto"/>
            <w:noWrap/>
            <w:vAlign w:val="bottom"/>
            <w:hideMark/>
          </w:tcPr>
          <w:p w14:paraId="543F3977" w14:textId="77777777" w:rsidR="006D3AD5" w:rsidRPr="002C224A" w:rsidRDefault="006D3AD5" w:rsidP="00443B8F">
            <w:pPr>
              <w:overflowPunct/>
              <w:autoSpaceDE/>
              <w:autoSpaceDN/>
              <w:adjustRightInd/>
              <w:jc w:val="left"/>
              <w:textAlignment w:val="auto"/>
              <w:rPr>
                <w:color w:val="366092"/>
                <w:szCs w:val="22"/>
              </w:rPr>
            </w:pPr>
            <w:r>
              <w:rPr>
                <w:color w:val="366092"/>
              </w:rPr>
              <w:t>Value added</w:t>
            </w:r>
          </w:p>
        </w:tc>
        <w:tc>
          <w:tcPr>
            <w:tcW w:w="781" w:type="dxa"/>
            <w:tcBorders>
              <w:top w:val="nil"/>
              <w:left w:val="nil"/>
              <w:bottom w:val="single" w:sz="4" w:space="0" w:color="4F81BD"/>
              <w:right w:val="nil"/>
            </w:tcBorders>
            <w:shd w:val="clear" w:color="auto" w:fill="auto"/>
            <w:noWrap/>
            <w:vAlign w:val="bottom"/>
            <w:hideMark/>
          </w:tcPr>
          <w:p w14:paraId="188C5CCE" w14:textId="77777777" w:rsidR="006D3AD5" w:rsidRPr="002C224A" w:rsidRDefault="006D3AD5" w:rsidP="00443B8F">
            <w:pPr>
              <w:overflowPunct/>
              <w:autoSpaceDE/>
              <w:autoSpaceDN/>
              <w:adjustRightInd/>
              <w:jc w:val="right"/>
              <w:textAlignment w:val="auto"/>
              <w:rPr>
                <w:color w:val="366092"/>
                <w:szCs w:val="22"/>
              </w:rPr>
            </w:pPr>
            <w:r>
              <w:rPr>
                <w:color w:val="366092"/>
              </w:rPr>
              <w:t>7.4</w:t>
            </w:r>
          </w:p>
        </w:tc>
      </w:tr>
    </w:tbl>
    <w:p w14:paraId="7CB0499C" w14:textId="77777777" w:rsidR="006D3AD5" w:rsidRPr="00A50943" w:rsidRDefault="006D3AD5" w:rsidP="006D3AD5"/>
    <w:p w14:paraId="1204DC49" w14:textId="77777777" w:rsidR="006D3AD5" w:rsidRPr="002C224A" w:rsidRDefault="006D3AD5" w:rsidP="006D3AD5">
      <w:r>
        <w:lastRenderedPageBreak/>
        <w:t>The eventual revolving effect from collected debts and unused guarantees will only show itself in next programme periods. Given the instrument specifics (with effective risk policy the vast majority of the fund will be used on the guarantee payments) it is possible to expect the revolving in range of CZK tens of millions at most.</w:t>
      </w:r>
    </w:p>
    <w:p w14:paraId="5F83A4AD" w14:textId="77777777" w:rsidR="006D3AD5" w:rsidRPr="002C224A" w:rsidRDefault="006D3AD5" w:rsidP="006D3AD5">
      <w:pPr>
        <w:pStyle w:val="Neslovannadpisy"/>
      </w:pPr>
    </w:p>
    <w:p w14:paraId="5851579D" w14:textId="77777777" w:rsidR="006D3AD5" w:rsidRPr="002C224A" w:rsidRDefault="006D3AD5" w:rsidP="006D3AD5">
      <w:pPr>
        <w:pStyle w:val="Neslovannadpisy"/>
      </w:pPr>
      <w:r>
        <w:t>Venture capital</w:t>
      </w:r>
    </w:p>
    <w:p w14:paraId="439B08E9" w14:textId="0D8E1CF9" w:rsidR="006D3AD5" w:rsidRDefault="006D3AD5" w:rsidP="006D3AD5">
      <w:r>
        <w:t xml:space="preserve">According to </w:t>
      </w:r>
      <w:r w:rsidR="002A0C85">
        <w:t>rough estimates</w:t>
      </w:r>
      <w:r>
        <w:t xml:space="preserve">s, with CZK 825 million the fund can support </w:t>
      </w:r>
      <w:r w:rsidR="002A0C85">
        <w:t>up to 59</w:t>
      </w:r>
      <w:r>
        <w:t xml:space="preserve"> projects during the first investment cycle. With the modelled average leverage of 1.8 this could invoke investments of CZK 1,485 million into the capital of final recipients.</w:t>
      </w:r>
      <w:r w:rsidR="002A0C85">
        <w:t xml:space="preserve"> With the modelled rate of the co-financing of the final recipient it is estimated up to CZK 1634 million for the investments of the new businesses.</w:t>
      </w:r>
    </w:p>
    <w:p w14:paraId="2DB1BB8C" w14:textId="77777777" w:rsidR="006D3AD5" w:rsidRDefault="006D3AD5" w:rsidP="006D3AD5"/>
    <w:p w14:paraId="424B8AAE" w14:textId="021F0D53" w:rsidR="002A0C85" w:rsidRDefault="002A0C85" w:rsidP="00685AEF">
      <w:pPr>
        <w:pStyle w:val="Titulek"/>
      </w:pPr>
      <w:r>
        <w:t>Table 1</w:t>
      </w:r>
      <w:r w:rsidR="00396AB4">
        <w:t>0</w:t>
      </w:r>
      <w:r w:rsidR="00B90ACD">
        <w:t>9</w:t>
      </w:r>
      <w:r>
        <w:t>: Model results of NIF</w:t>
      </w:r>
    </w:p>
    <w:tbl>
      <w:tblPr>
        <w:tblW w:w="6387" w:type="dxa"/>
        <w:tblInd w:w="70" w:type="dxa"/>
        <w:tblCellMar>
          <w:left w:w="70" w:type="dxa"/>
          <w:right w:w="70" w:type="dxa"/>
        </w:tblCellMar>
        <w:tblLook w:val="04A0" w:firstRow="1" w:lastRow="0" w:firstColumn="1" w:lastColumn="0" w:noHBand="0" w:noVBand="1"/>
      </w:tblPr>
      <w:tblGrid>
        <w:gridCol w:w="5800"/>
        <w:gridCol w:w="587"/>
      </w:tblGrid>
      <w:tr w:rsidR="002A0C85" w:rsidRPr="00986DAE" w14:paraId="09A31F9A" w14:textId="77777777" w:rsidTr="007A67F5">
        <w:trPr>
          <w:trHeight w:val="300"/>
        </w:trPr>
        <w:tc>
          <w:tcPr>
            <w:tcW w:w="6387" w:type="dxa"/>
            <w:gridSpan w:val="2"/>
            <w:tcBorders>
              <w:top w:val="single" w:sz="4" w:space="0" w:color="auto"/>
              <w:left w:val="single" w:sz="4" w:space="0" w:color="auto"/>
              <w:bottom w:val="single" w:sz="4" w:space="0" w:color="5B9BD5"/>
              <w:right w:val="single" w:sz="4" w:space="0" w:color="auto"/>
            </w:tcBorders>
            <w:shd w:val="clear" w:color="5B9BD5" w:fill="5B9BD5"/>
            <w:noWrap/>
            <w:vAlign w:val="bottom"/>
          </w:tcPr>
          <w:p w14:paraId="67141CD6" w14:textId="77777777" w:rsidR="002A0C85" w:rsidRPr="00986DAE" w:rsidRDefault="002A0C85" w:rsidP="007A67F5">
            <w:pPr>
              <w:overflowPunct/>
              <w:autoSpaceDE/>
              <w:autoSpaceDN/>
              <w:adjustRightInd/>
              <w:jc w:val="center"/>
              <w:textAlignment w:val="auto"/>
              <w:rPr>
                <w:b/>
                <w:bCs/>
                <w:color w:val="FFFFFF"/>
                <w:szCs w:val="22"/>
              </w:rPr>
            </w:pPr>
            <w:r w:rsidRPr="008167C5">
              <w:rPr>
                <w:b/>
                <w:color w:val="FFFFFF" w:themeColor="background1"/>
              </w:rPr>
              <w:t xml:space="preserve">Model results of </w:t>
            </w:r>
            <w:r>
              <w:rPr>
                <w:b/>
                <w:color w:val="FFFFFF" w:themeColor="background1"/>
              </w:rPr>
              <w:t xml:space="preserve">SO 2.1 </w:t>
            </w:r>
            <w:r w:rsidRPr="008167C5">
              <w:rPr>
                <w:b/>
                <w:color w:val="FFFFFF" w:themeColor="background1"/>
              </w:rPr>
              <w:t>NIF</w:t>
            </w:r>
          </w:p>
        </w:tc>
      </w:tr>
      <w:tr w:rsidR="002A0C85" w:rsidRPr="00986DAE" w14:paraId="3D7D9F35" w14:textId="77777777" w:rsidTr="007A67F5">
        <w:trPr>
          <w:trHeight w:val="300"/>
        </w:trPr>
        <w:tc>
          <w:tcPr>
            <w:tcW w:w="5800" w:type="dxa"/>
            <w:tcBorders>
              <w:top w:val="nil"/>
              <w:left w:val="single" w:sz="4" w:space="0" w:color="auto"/>
              <w:bottom w:val="nil"/>
              <w:right w:val="nil"/>
            </w:tcBorders>
            <w:shd w:val="clear" w:color="auto" w:fill="auto"/>
            <w:noWrap/>
            <w:vAlign w:val="bottom"/>
          </w:tcPr>
          <w:p w14:paraId="520012F6"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Allocation</w:t>
            </w:r>
          </w:p>
        </w:tc>
        <w:tc>
          <w:tcPr>
            <w:tcW w:w="587" w:type="dxa"/>
            <w:tcBorders>
              <w:top w:val="nil"/>
              <w:left w:val="nil"/>
              <w:bottom w:val="nil"/>
              <w:right w:val="single" w:sz="4" w:space="0" w:color="auto"/>
            </w:tcBorders>
            <w:shd w:val="clear" w:color="auto" w:fill="auto"/>
            <w:noWrap/>
            <w:vAlign w:val="bottom"/>
          </w:tcPr>
          <w:p w14:paraId="67E45429"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825</w:t>
            </w:r>
          </w:p>
        </w:tc>
      </w:tr>
      <w:tr w:rsidR="002A0C85" w:rsidRPr="00986DAE" w14:paraId="0DFEB654" w14:textId="77777777" w:rsidTr="007A67F5">
        <w:trPr>
          <w:trHeight w:val="300"/>
        </w:trPr>
        <w:tc>
          <w:tcPr>
            <w:tcW w:w="5800" w:type="dxa"/>
            <w:tcBorders>
              <w:top w:val="single" w:sz="4" w:space="0" w:color="5B9BD5"/>
              <w:left w:val="single" w:sz="4" w:space="0" w:color="auto"/>
              <w:bottom w:val="nil"/>
              <w:right w:val="nil"/>
            </w:tcBorders>
            <w:shd w:val="clear" w:color="auto" w:fill="auto"/>
            <w:noWrap/>
            <w:vAlign w:val="bottom"/>
          </w:tcPr>
          <w:p w14:paraId="175186D4"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Average amount of the venture investment</w:t>
            </w:r>
          </w:p>
        </w:tc>
        <w:tc>
          <w:tcPr>
            <w:tcW w:w="587" w:type="dxa"/>
            <w:tcBorders>
              <w:top w:val="single" w:sz="4" w:space="0" w:color="5B9BD5"/>
              <w:left w:val="nil"/>
              <w:bottom w:val="nil"/>
              <w:right w:val="single" w:sz="4" w:space="0" w:color="auto"/>
            </w:tcBorders>
            <w:shd w:val="clear" w:color="auto" w:fill="auto"/>
            <w:noWrap/>
            <w:vAlign w:val="bottom"/>
          </w:tcPr>
          <w:p w14:paraId="2DAE2CF0"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25</w:t>
            </w:r>
          </w:p>
        </w:tc>
      </w:tr>
      <w:tr w:rsidR="002A0C85" w:rsidRPr="00986DAE" w14:paraId="15C6C774" w14:textId="77777777" w:rsidTr="007A67F5">
        <w:trPr>
          <w:trHeight w:val="300"/>
        </w:trPr>
        <w:tc>
          <w:tcPr>
            <w:tcW w:w="5800" w:type="dxa"/>
            <w:tcBorders>
              <w:top w:val="single" w:sz="4" w:space="0" w:color="5B9BD5"/>
              <w:left w:val="single" w:sz="4" w:space="0" w:color="auto"/>
              <w:bottom w:val="nil"/>
              <w:right w:val="nil"/>
            </w:tcBorders>
            <w:shd w:val="clear" w:color="auto" w:fill="auto"/>
            <w:noWrap/>
            <w:vAlign w:val="bottom"/>
          </w:tcPr>
          <w:p w14:paraId="7FA55E66" w14:textId="77777777" w:rsidR="002A0C85" w:rsidRPr="00A30BFC" w:rsidRDefault="002A0C85" w:rsidP="007A67F5">
            <w:pPr>
              <w:overflowPunct/>
              <w:autoSpaceDE/>
              <w:autoSpaceDN/>
              <w:adjustRightInd/>
              <w:textAlignment w:val="auto"/>
              <w:rPr>
                <w:color w:val="000000"/>
                <w:szCs w:val="22"/>
                <w:lang w:val="en-US"/>
              </w:rPr>
            </w:pPr>
            <w:r>
              <w:rPr>
                <w:color w:val="000000"/>
                <w:szCs w:val="22"/>
                <w:lang w:val="en-US"/>
              </w:rPr>
              <w:t>Leverage</w:t>
            </w:r>
          </w:p>
        </w:tc>
        <w:tc>
          <w:tcPr>
            <w:tcW w:w="587" w:type="dxa"/>
            <w:tcBorders>
              <w:top w:val="single" w:sz="4" w:space="0" w:color="5B9BD5"/>
              <w:left w:val="nil"/>
              <w:bottom w:val="nil"/>
              <w:right w:val="single" w:sz="4" w:space="0" w:color="auto"/>
            </w:tcBorders>
            <w:shd w:val="clear" w:color="auto" w:fill="auto"/>
            <w:noWrap/>
            <w:vAlign w:val="bottom"/>
          </w:tcPr>
          <w:p w14:paraId="06235D81"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1,8</w:t>
            </w:r>
          </w:p>
        </w:tc>
      </w:tr>
      <w:tr w:rsidR="002A0C85" w:rsidRPr="00986DAE" w14:paraId="01F6EF8A" w14:textId="77777777" w:rsidTr="007A67F5">
        <w:trPr>
          <w:trHeight w:val="300"/>
        </w:trPr>
        <w:tc>
          <w:tcPr>
            <w:tcW w:w="5800" w:type="dxa"/>
            <w:tcBorders>
              <w:top w:val="single" w:sz="4" w:space="0" w:color="5B9BD5"/>
              <w:left w:val="single" w:sz="4" w:space="0" w:color="auto"/>
              <w:bottom w:val="nil"/>
              <w:right w:val="nil"/>
            </w:tcBorders>
            <w:shd w:val="clear" w:color="auto" w:fill="auto"/>
            <w:noWrap/>
            <w:vAlign w:val="bottom"/>
          </w:tcPr>
          <w:p w14:paraId="05DE595A"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Co-financing of f.r.</w:t>
            </w:r>
          </w:p>
        </w:tc>
        <w:tc>
          <w:tcPr>
            <w:tcW w:w="587" w:type="dxa"/>
            <w:tcBorders>
              <w:top w:val="single" w:sz="4" w:space="0" w:color="5B9BD5"/>
              <w:left w:val="nil"/>
              <w:bottom w:val="nil"/>
              <w:right w:val="single" w:sz="4" w:space="0" w:color="auto"/>
            </w:tcBorders>
            <w:shd w:val="clear" w:color="auto" w:fill="auto"/>
            <w:noWrap/>
            <w:vAlign w:val="bottom"/>
          </w:tcPr>
          <w:p w14:paraId="3E168B9E"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10%</w:t>
            </w:r>
          </w:p>
        </w:tc>
      </w:tr>
      <w:tr w:rsidR="002A0C85" w:rsidRPr="00986DAE" w14:paraId="75D42C6E" w14:textId="77777777" w:rsidTr="007A67F5">
        <w:trPr>
          <w:trHeight w:val="300"/>
        </w:trPr>
        <w:tc>
          <w:tcPr>
            <w:tcW w:w="5800" w:type="dxa"/>
            <w:tcBorders>
              <w:top w:val="single" w:sz="4" w:space="0" w:color="5B9BD5"/>
              <w:left w:val="single" w:sz="4" w:space="0" w:color="auto"/>
              <w:bottom w:val="nil"/>
              <w:right w:val="nil"/>
            </w:tcBorders>
            <w:shd w:val="clear" w:color="auto" w:fill="auto"/>
            <w:noWrap/>
            <w:vAlign w:val="bottom"/>
          </w:tcPr>
          <w:p w14:paraId="79502B04"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Total activated investments of the final recipients</w:t>
            </w:r>
          </w:p>
        </w:tc>
        <w:tc>
          <w:tcPr>
            <w:tcW w:w="587" w:type="dxa"/>
            <w:tcBorders>
              <w:top w:val="single" w:sz="4" w:space="0" w:color="5B9BD5"/>
              <w:left w:val="nil"/>
              <w:bottom w:val="nil"/>
              <w:right w:val="single" w:sz="4" w:space="0" w:color="auto"/>
            </w:tcBorders>
            <w:shd w:val="clear" w:color="auto" w:fill="auto"/>
            <w:noWrap/>
            <w:vAlign w:val="bottom"/>
          </w:tcPr>
          <w:p w14:paraId="138F26E7"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1634</w:t>
            </w:r>
          </w:p>
        </w:tc>
      </w:tr>
      <w:tr w:rsidR="002A0C85" w:rsidRPr="00986DAE" w14:paraId="35F643DB" w14:textId="77777777" w:rsidTr="007A67F5">
        <w:trPr>
          <w:trHeight w:val="300"/>
        </w:trPr>
        <w:tc>
          <w:tcPr>
            <w:tcW w:w="5800" w:type="dxa"/>
            <w:tcBorders>
              <w:top w:val="single" w:sz="4" w:space="0" w:color="5B9BD5"/>
              <w:left w:val="single" w:sz="4" w:space="0" w:color="auto"/>
              <w:bottom w:val="single" w:sz="4" w:space="0" w:color="5B9BD5"/>
              <w:right w:val="nil"/>
            </w:tcBorders>
            <w:shd w:val="clear" w:color="auto" w:fill="auto"/>
            <w:noWrap/>
            <w:vAlign w:val="bottom"/>
          </w:tcPr>
          <w:p w14:paraId="67B960DC"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Number of supported projects</w:t>
            </w:r>
          </w:p>
        </w:tc>
        <w:tc>
          <w:tcPr>
            <w:tcW w:w="587" w:type="dxa"/>
            <w:tcBorders>
              <w:top w:val="single" w:sz="4" w:space="0" w:color="5B9BD5"/>
              <w:left w:val="nil"/>
              <w:bottom w:val="single" w:sz="4" w:space="0" w:color="5B9BD5"/>
              <w:right w:val="single" w:sz="4" w:space="0" w:color="auto"/>
            </w:tcBorders>
            <w:shd w:val="clear" w:color="auto" w:fill="auto"/>
            <w:noWrap/>
            <w:vAlign w:val="bottom"/>
          </w:tcPr>
          <w:p w14:paraId="4DC5BD26"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59</w:t>
            </w:r>
          </w:p>
        </w:tc>
      </w:tr>
      <w:tr w:rsidR="002A0C85" w:rsidRPr="00986DAE" w14:paraId="7A9FC3FB" w14:textId="77777777" w:rsidTr="007A67F5">
        <w:trPr>
          <w:trHeight w:val="300"/>
        </w:trPr>
        <w:tc>
          <w:tcPr>
            <w:tcW w:w="5800" w:type="dxa"/>
            <w:tcBorders>
              <w:top w:val="nil"/>
              <w:left w:val="single" w:sz="4" w:space="0" w:color="auto"/>
              <w:bottom w:val="single" w:sz="4" w:space="0" w:color="auto"/>
              <w:right w:val="nil"/>
            </w:tcBorders>
            <w:shd w:val="clear" w:color="auto" w:fill="auto"/>
            <w:noWrap/>
            <w:vAlign w:val="bottom"/>
          </w:tcPr>
          <w:p w14:paraId="4395F55C" w14:textId="77777777" w:rsidR="002A0C85" w:rsidRPr="00A30BFC" w:rsidRDefault="002A0C85" w:rsidP="007A67F5">
            <w:pPr>
              <w:overflowPunct/>
              <w:autoSpaceDE/>
              <w:autoSpaceDN/>
              <w:adjustRightInd/>
              <w:textAlignment w:val="auto"/>
              <w:rPr>
                <w:color w:val="000000"/>
                <w:szCs w:val="22"/>
                <w:lang w:val="en-US"/>
              </w:rPr>
            </w:pPr>
            <w:r w:rsidRPr="00A30BFC">
              <w:rPr>
                <w:color w:val="000000"/>
                <w:szCs w:val="22"/>
                <w:lang w:val="en-US"/>
              </w:rPr>
              <w:t>Added value</w:t>
            </w:r>
          </w:p>
        </w:tc>
        <w:tc>
          <w:tcPr>
            <w:tcW w:w="587" w:type="dxa"/>
            <w:tcBorders>
              <w:top w:val="nil"/>
              <w:left w:val="nil"/>
              <w:bottom w:val="single" w:sz="4" w:space="0" w:color="auto"/>
              <w:right w:val="single" w:sz="4" w:space="0" w:color="auto"/>
            </w:tcBorders>
            <w:shd w:val="clear" w:color="auto" w:fill="auto"/>
            <w:noWrap/>
            <w:vAlign w:val="bottom"/>
          </w:tcPr>
          <w:p w14:paraId="6AF2AB3A" w14:textId="77777777" w:rsidR="002A0C85" w:rsidRPr="00986DAE" w:rsidRDefault="002A0C85" w:rsidP="007A67F5">
            <w:pPr>
              <w:overflowPunct/>
              <w:autoSpaceDE/>
              <w:autoSpaceDN/>
              <w:adjustRightInd/>
              <w:jc w:val="right"/>
              <w:textAlignment w:val="auto"/>
              <w:rPr>
                <w:color w:val="000000"/>
                <w:szCs w:val="22"/>
              </w:rPr>
            </w:pPr>
            <w:r w:rsidRPr="00986DAE">
              <w:rPr>
                <w:color w:val="000000"/>
                <w:szCs w:val="22"/>
              </w:rPr>
              <w:t>2,0</w:t>
            </w:r>
          </w:p>
        </w:tc>
      </w:tr>
    </w:tbl>
    <w:p w14:paraId="6F6AB38A" w14:textId="77777777" w:rsidR="002A0C85" w:rsidRDefault="002A0C85" w:rsidP="006D3AD5"/>
    <w:p w14:paraId="6B76A958" w14:textId="77777777" w:rsidR="002A0C85" w:rsidRPr="002C224A" w:rsidRDefault="002A0C85" w:rsidP="006D3AD5"/>
    <w:p w14:paraId="1674A8BA" w14:textId="77777777" w:rsidR="006D3AD5" w:rsidRPr="002C224A" w:rsidRDefault="006D3AD5" w:rsidP="006D3AD5">
      <w:r>
        <w:t>Given the expected investment length of about 5 years and the necessary time of 1-2 years to prepare the fund and select first suitable project no significant revolving rate can be expected in this programming period. But this should change significantly in the next programming period. The revolving rate cannot be accurately predicted and will be dependent on the selected investment strategy and its success.</w:t>
      </w:r>
    </w:p>
    <w:p w14:paraId="1479AA42" w14:textId="77777777" w:rsidR="006D3AD5" w:rsidRPr="002C224A" w:rsidRDefault="006D3AD5" w:rsidP="006D3AD5"/>
    <w:p w14:paraId="1A8572C8" w14:textId="77777777" w:rsidR="006D3AD5" w:rsidRPr="002C224A" w:rsidRDefault="006D3AD5" w:rsidP="006D3AD5">
      <w:pPr>
        <w:pStyle w:val="Nadpis4"/>
        <w:rPr>
          <w:rFonts w:ascii="Calibri" w:hAnsi="Calibri"/>
        </w:rPr>
      </w:pPr>
      <w:r>
        <w:rPr>
          <w:rFonts w:ascii="Calibri" w:hAnsi="Calibri"/>
        </w:rPr>
        <w:t xml:space="preserve">Expected results </w:t>
      </w:r>
    </w:p>
    <w:p w14:paraId="0C911D1B" w14:textId="77777777" w:rsidR="006D3AD5" w:rsidRPr="00A50943" w:rsidRDefault="006D3AD5" w:rsidP="006D3AD5"/>
    <w:p w14:paraId="36163BFF"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t>The next table shows the main objective indicators of the SO 2.1 defined in the operational programme.</w:t>
      </w:r>
    </w:p>
    <w:p w14:paraId="0E087F67" w14:textId="5B27BFD7" w:rsidR="006D3AD5" w:rsidRDefault="006D3AD5" w:rsidP="006D3AD5">
      <w:pPr>
        <w:pStyle w:val="Titulek"/>
        <w:keepNext/>
      </w:pPr>
      <w:r>
        <w:t>Table</w:t>
      </w:r>
      <w:r w:rsidR="00396AB4">
        <w:t xml:space="preserve"> 1</w:t>
      </w:r>
      <w:r w:rsidR="00B90ACD">
        <w:t>10</w:t>
      </w:r>
      <w:r>
        <w:t>: SO 2.1 result indicators</w:t>
      </w:r>
    </w:p>
    <w:tbl>
      <w:tblPr>
        <w:tblW w:w="9186" w:type="dxa"/>
        <w:tblCellMar>
          <w:left w:w="57" w:type="dxa"/>
          <w:right w:w="57" w:type="dxa"/>
        </w:tblCellMar>
        <w:tblLook w:val="01E0" w:firstRow="1" w:lastRow="1" w:firstColumn="1" w:lastColumn="1" w:noHBand="0" w:noVBand="0"/>
      </w:tblPr>
      <w:tblGrid>
        <w:gridCol w:w="1957"/>
        <w:gridCol w:w="1392"/>
        <w:gridCol w:w="1172"/>
        <w:gridCol w:w="1013"/>
        <w:gridCol w:w="784"/>
        <w:gridCol w:w="853"/>
        <w:gridCol w:w="981"/>
        <w:gridCol w:w="1034"/>
      </w:tblGrid>
      <w:tr w:rsidR="006D3AD5" w:rsidRPr="00360BA1" w14:paraId="2FD736C6"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70C5D1E"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05D4BC6"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630B8C9"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2D9FEF"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F5D4E0A"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987DB01"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E99B7E"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BFEFA5A"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464F0DF3"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6E5D08F1" w14:textId="5C021905" w:rsidR="006D3AD5" w:rsidRPr="00CC0C7A" w:rsidRDefault="0042403A" w:rsidP="00443B8F">
            <w:pPr>
              <w:pStyle w:val="Tabulka"/>
              <w:rPr>
                <w:rFonts w:ascii="Calibri" w:hAnsi="Calibri" w:cs="Calibri"/>
              </w:rPr>
            </w:pPr>
            <w:r>
              <w:rPr>
                <w:rFonts w:ascii="Calibri" w:hAnsi="Calibri"/>
              </w:rPr>
              <w:t>SME</w:t>
            </w:r>
            <w:r w:rsidR="006D3AD5">
              <w:rPr>
                <w:rFonts w:ascii="Calibri" w:hAnsi="Calibri"/>
              </w:rPr>
              <w:t>s value added</w:t>
            </w:r>
          </w:p>
          <w:p w14:paraId="022CFC8A" w14:textId="77777777" w:rsidR="006D3AD5" w:rsidRPr="00360BA1" w:rsidRDefault="006D3AD5" w:rsidP="00443B8F">
            <w:pPr>
              <w:pStyle w:val="Tabulka"/>
              <w:rPr>
                <w:rFonts w:ascii="Calibri" w:hAnsi="Calibri" w:cs="Calibri"/>
              </w:rPr>
            </w:pPr>
            <w:r>
              <w:rPr>
                <w:rFonts w:ascii="Calibri" w:hAnsi="Calibri"/>
              </w:rPr>
              <w:t>as a % of the CR added value</w:t>
            </w:r>
          </w:p>
        </w:tc>
        <w:tc>
          <w:tcPr>
            <w:tcW w:w="1033" w:type="dxa"/>
            <w:tcBorders>
              <w:top w:val="single" w:sz="4" w:space="0" w:color="000000"/>
              <w:left w:val="single" w:sz="4" w:space="0" w:color="000000"/>
              <w:bottom w:val="single" w:sz="4" w:space="0" w:color="000000"/>
              <w:right w:val="single" w:sz="4" w:space="0" w:color="000000"/>
            </w:tcBorders>
            <w:vAlign w:val="center"/>
          </w:tcPr>
          <w:p w14:paraId="12E0FEB2" w14:textId="77777777" w:rsidR="006D3AD5" w:rsidRPr="00360BA1" w:rsidRDefault="006D3AD5" w:rsidP="00443B8F">
            <w:pPr>
              <w:pStyle w:val="Tabulka"/>
              <w:rPr>
                <w:rFonts w:ascii="Calibri" w:hAnsi="Calibri" w:cs="Calibri"/>
              </w:rPr>
            </w:pPr>
            <w:r>
              <w:rPr>
                <w:rFonts w:ascii="Calibri" w:hAnsi="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5C97ADDC"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41F5AE6F" w14:textId="77777777" w:rsidR="006D3AD5" w:rsidRPr="00360BA1" w:rsidRDefault="006D3AD5" w:rsidP="00443B8F">
            <w:pPr>
              <w:pStyle w:val="Tabulka"/>
              <w:rPr>
                <w:rFonts w:ascii="Calibri" w:hAnsi="Calibri" w:cs="Calibri"/>
              </w:rPr>
            </w:pPr>
            <w:r>
              <w:rPr>
                <w:rFonts w:ascii="Calibri" w:hAnsi="Calibri"/>
              </w:rPr>
              <w:t>53.81</w:t>
            </w:r>
          </w:p>
        </w:tc>
        <w:tc>
          <w:tcPr>
            <w:tcW w:w="819" w:type="dxa"/>
            <w:tcBorders>
              <w:top w:val="single" w:sz="4" w:space="0" w:color="000000"/>
              <w:left w:val="single" w:sz="4" w:space="0" w:color="000000"/>
              <w:bottom w:val="single" w:sz="4" w:space="0" w:color="000000"/>
              <w:right w:val="single" w:sz="4" w:space="0" w:color="000000"/>
            </w:tcBorders>
            <w:vAlign w:val="center"/>
          </w:tcPr>
          <w:p w14:paraId="0931A62E"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50C0DB9F" w14:textId="77777777" w:rsidR="006D3AD5" w:rsidRPr="00360BA1" w:rsidRDefault="006D3AD5" w:rsidP="00443B8F">
            <w:pPr>
              <w:pStyle w:val="Tabulka"/>
              <w:rPr>
                <w:rFonts w:ascii="Calibri" w:hAnsi="Calibri" w:cs="Calibri"/>
              </w:rPr>
            </w:pPr>
            <w:r>
              <w:rPr>
                <w:rFonts w:ascii="Calibri" w:hAnsi="Calibri"/>
              </w:rPr>
              <w:t>55/-57:</w:t>
            </w:r>
          </w:p>
        </w:tc>
        <w:tc>
          <w:tcPr>
            <w:tcW w:w="1008" w:type="dxa"/>
            <w:tcBorders>
              <w:top w:val="single" w:sz="4" w:space="0" w:color="000000"/>
              <w:left w:val="single" w:sz="4" w:space="0" w:color="000000"/>
              <w:bottom w:val="single" w:sz="4" w:space="0" w:color="000000"/>
              <w:right w:val="single" w:sz="4" w:space="0" w:color="000000"/>
            </w:tcBorders>
            <w:vAlign w:val="center"/>
          </w:tcPr>
          <w:p w14:paraId="11B64359" w14:textId="77777777" w:rsidR="006D3AD5" w:rsidRPr="00360BA1" w:rsidRDefault="006D3AD5" w:rsidP="00443B8F">
            <w:pPr>
              <w:pStyle w:val="Tabulka"/>
              <w:rPr>
                <w:rFonts w:ascii="Calibri" w:hAnsi="Calibri" w:cs="Calibri"/>
              </w:rPr>
            </w:pPr>
            <w:r>
              <w:rPr>
                <w:rFonts w:ascii="Calibri" w:hAnsi="Calibri"/>
              </w:rPr>
              <w:t xml:space="preserve">MA, CSO </w:t>
            </w:r>
          </w:p>
        </w:tc>
        <w:tc>
          <w:tcPr>
            <w:tcW w:w="962" w:type="dxa"/>
            <w:tcBorders>
              <w:top w:val="single" w:sz="4" w:space="0" w:color="000000"/>
              <w:left w:val="single" w:sz="4" w:space="0" w:color="000000"/>
              <w:bottom w:val="single" w:sz="4" w:space="0" w:color="000000"/>
              <w:right w:val="single" w:sz="4" w:space="0" w:color="000000"/>
            </w:tcBorders>
            <w:vAlign w:val="center"/>
          </w:tcPr>
          <w:p w14:paraId="184265FB" w14:textId="77777777" w:rsidR="006D3AD5" w:rsidRPr="00A52D1B" w:rsidRDefault="006D3AD5" w:rsidP="00443B8F">
            <w:pPr>
              <w:pStyle w:val="Tabulka"/>
              <w:rPr>
                <w:rFonts w:ascii="Calibri" w:hAnsi="Calibri" w:cs="Calibri"/>
              </w:rPr>
            </w:pPr>
            <w:r>
              <w:rPr>
                <w:rFonts w:ascii="Calibri" w:hAnsi="Calibri"/>
              </w:rPr>
              <w:t>per year</w:t>
            </w:r>
          </w:p>
        </w:tc>
      </w:tr>
      <w:tr w:rsidR="006D3AD5" w:rsidRPr="00360BA1" w14:paraId="271FF7C5"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61D6ECDB" w14:textId="77777777" w:rsidR="006D3AD5" w:rsidRPr="00CC0C7A" w:rsidRDefault="006D3AD5" w:rsidP="00443B8F">
            <w:pPr>
              <w:pStyle w:val="Tabulka"/>
              <w:rPr>
                <w:rFonts w:ascii="Calibri" w:hAnsi="Calibri" w:cs="Calibri"/>
              </w:rPr>
            </w:pPr>
            <w:r>
              <w:rPr>
                <w:rFonts w:ascii="Calibri" w:hAnsi="Calibri"/>
              </w:rPr>
              <w:t>Rate of survival of created</w:t>
            </w:r>
          </w:p>
          <w:p w14:paraId="0D4975A3" w14:textId="77777777" w:rsidR="006D3AD5" w:rsidRPr="00360BA1" w:rsidRDefault="006D3AD5" w:rsidP="00443B8F">
            <w:pPr>
              <w:pStyle w:val="Tabulka"/>
              <w:rPr>
                <w:rFonts w:ascii="Calibri" w:hAnsi="Calibri" w:cs="Calibri"/>
              </w:rPr>
            </w:pPr>
            <w:r>
              <w:rPr>
                <w:rFonts w:ascii="Calibri" w:hAnsi="Calibri"/>
              </w:rPr>
              <w:t>companies</w:t>
            </w:r>
          </w:p>
        </w:tc>
        <w:tc>
          <w:tcPr>
            <w:tcW w:w="1033" w:type="dxa"/>
            <w:tcBorders>
              <w:top w:val="single" w:sz="4" w:space="0" w:color="000000"/>
              <w:left w:val="single" w:sz="4" w:space="0" w:color="000000"/>
              <w:bottom w:val="single" w:sz="4" w:space="0" w:color="000000"/>
              <w:right w:val="single" w:sz="4" w:space="0" w:color="000000"/>
            </w:tcBorders>
            <w:vAlign w:val="center"/>
          </w:tcPr>
          <w:p w14:paraId="5632AD27" w14:textId="77777777" w:rsidR="006D3AD5" w:rsidRPr="00360BA1" w:rsidRDefault="006D3AD5" w:rsidP="00443B8F">
            <w:pPr>
              <w:pStyle w:val="Tabulka"/>
              <w:rPr>
                <w:rFonts w:ascii="Calibri" w:hAnsi="Calibri" w:cs="Calibri"/>
              </w:rPr>
            </w:pPr>
            <w:r>
              <w:rPr>
                <w:rFonts w:ascii="Calibri" w:hAnsi="Calibri"/>
              </w:rPr>
              <w:t>%</w:t>
            </w:r>
          </w:p>
        </w:tc>
        <w:tc>
          <w:tcPr>
            <w:tcW w:w="1200" w:type="dxa"/>
            <w:tcBorders>
              <w:top w:val="single" w:sz="4" w:space="0" w:color="000000"/>
              <w:left w:val="single" w:sz="4" w:space="0" w:color="000000"/>
              <w:bottom w:val="single" w:sz="4" w:space="0" w:color="000000"/>
              <w:right w:val="single" w:sz="4" w:space="0" w:color="000000"/>
            </w:tcBorders>
            <w:vAlign w:val="center"/>
          </w:tcPr>
          <w:p w14:paraId="7129A12F"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6519771E" w14:textId="77777777" w:rsidR="006D3AD5" w:rsidRPr="00360BA1" w:rsidRDefault="006D3AD5" w:rsidP="00443B8F">
            <w:pPr>
              <w:pStyle w:val="Tabulka"/>
              <w:rPr>
                <w:rFonts w:ascii="Calibri" w:hAnsi="Calibri" w:cs="Calibri"/>
              </w:rPr>
            </w:pPr>
            <w:r>
              <w:rPr>
                <w:rFonts w:ascii="Calibri" w:hAnsi="Calibri"/>
              </w:rPr>
              <w:t>67.8</w:t>
            </w:r>
          </w:p>
        </w:tc>
        <w:tc>
          <w:tcPr>
            <w:tcW w:w="819" w:type="dxa"/>
            <w:tcBorders>
              <w:top w:val="single" w:sz="4" w:space="0" w:color="000000"/>
              <w:left w:val="single" w:sz="4" w:space="0" w:color="000000"/>
              <w:bottom w:val="single" w:sz="4" w:space="0" w:color="000000"/>
              <w:right w:val="single" w:sz="4" w:space="0" w:color="000000"/>
            </w:tcBorders>
            <w:vAlign w:val="center"/>
          </w:tcPr>
          <w:p w14:paraId="1CFB9B3C"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7B7EFE65" w14:textId="77777777" w:rsidR="006D3AD5" w:rsidRPr="00360BA1" w:rsidRDefault="006D3AD5" w:rsidP="00443B8F">
            <w:pPr>
              <w:pStyle w:val="Tabulka"/>
              <w:rPr>
                <w:rFonts w:ascii="Calibri" w:hAnsi="Calibri" w:cs="Calibri"/>
              </w:rPr>
            </w:pPr>
            <w:r>
              <w:rPr>
                <w:rFonts w:ascii="Calibri" w:hAnsi="Calibri"/>
              </w:rPr>
              <w:t>68/-69:</w:t>
            </w:r>
          </w:p>
        </w:tc>
        <w:tc>
          <w:tcPr>
            <w:tcW w:w="1008" w:type="dxa"/>
            <w:tcBorders>
              <w:top w:val="single" w:sz="4" w:space="0" w:color="000000"/>
              <w:left w:val="single" w:sz="4" w:space="0" w:color="000000"/>
              <w:bottom w:val="single" w:sz="4" w:space="0" w:color="000000"/>
              <w:right w:val="single" w:sz="4" w:space="0" w:color="000000"/>
            </w:tcBorders>
            <w:vAlign w:val="center"/>
          </w:tcPr>
          <w:p w14:paraId="51F27255" w14:textId="77777777" w:rsidR="006D3AD5" w:rsidRPr="00360BA1" w:rsidRDefault="006D3AD5" w:rsidP="00443B8F">
            <w:pPr>
              <w:pStyle w:val="Tabulka"/>
              <w:rPr>
                <w:rFonts w:ascii="Calibri" w:hAnsi="Calibri" w:cs="Calibri"/>
              </w:rPr>
            </w:pPr>
            <w:r>
              <w:rPr>
                <w:rFonts w:ascii="Calibri" w:hAnsi="Calibri"/>
              </w:rPr>
              <w:t>Eurostat</w:t>
            </w:r>
          </w:p>
        </w:tc>
        <w:tc>
          <w:tcPr>
            <w:tcW w:w="962" w:type="dxa"/>
            <w:tcBorders>
              <w:top w:val="single" w:sz="4" w:space="0" w:color="000000"/>
              <w:left w:val="single" w:sz="4" w:space="0" w:color="000000"/>
              <w:bottom w:val="single" w:sz="4" w:space="0" w:color="000000"/>
              <w:right w:val="single" w:sz="4" w:space="0" w:color="000000"/>
            </w:tcBorders>
            <w:vAlign w:val="center"/>
          </w:tcPr>
          <w:p w14:paraId="5D191AA4" w14:textId="77777777" w:rsidR="006D3AD5" w:rsidRPr="00A52D1B" w:rsidRDefault="006D3AD5" w:rsidP="00443B8F">
            <w:pPr>
              <w:pStyle w:val="Tabulka"/>
              <w:rPr>
                <w:rFonts w:ascii="Calibri" w:hAnsi="Calibri" w:cs="Calibri"/>
              </w:rPr>
            </w:pPr>
            <w:r>
              <w:rPr>
                <w:rFonts w:ascii="Calibri" w:hAnsi="Calibri"/>
              </w:rPr>
              <w:t>per year</w:t>
            </w:r>
          </w:p>
        </w:tc>
      </w:tr>
    </w:tbl>
    <w:p w14:paraId="10711384"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5D06655A" w14:textId="77777777" w:rsidR="006D3AD5" w:rsidRDefault="006D3AD5" w:rsidP="006D3AD5">
      <w:pPr>
        <w:pStyle w:val="Odstavecseseznamem2"/>
        <w:overflowPunct w:val="0"/>
        <w:autoSpaceDE w:val="0"/>
        <w:autoSpaceDN w:val="0"/>
        <w:adjustRightInd w:val="0"/>
        <w:spacing w:after="160"/>
        <w:ind w:left="0"/>
        <w:jc w:val="both"/>
        <w:textAlignment w:val="baseline"/>
      </w:pPr>
      <w:r>
        <w:lastRenderedPageBreak/>
        <w:t>Financial instruments should participate in fulfilling these target values by reaching the target values of the following indicators general quantification of which was based on the model scenarios described above.</w:t>
      </w:r>
    </w:p>
    <w:p w14:paraId="596B0296" w14:textId="77777777" w:rsidR="006D3AD5" w:rsidRPr="002C224A" w:rsidRDefault="006D3AD5" w:rsidP="006D3AD5"/>
    <w:p w14:paraId="794F2CF9" w14:textId="1EF78B47" w:rsidR="006D3AD5" w:rsidRPr="002C224A" w:rsidRDefault="006D3AD5" w:rsidP="006D3AD5">
      <w:pPr>
        <w:pStyle w:val="Titulek"/>
      </w:pPr>
      <w:r>
        <w:t xml:space="preserve">Table </w:t>
      </w:r>
      <w:r w:rsidR="00396AB4">
        <w:t>11</w:t>
      </w:r>
      <w:r w:rsidR="00B90ACD">
        <w:t>1</w:t>
      </w:r>
      <w:r>
        <w:t>: FI target values</w:t>
      </w:r>
    </w:p>
    <w:tbl>
      <w:tblPr>
        <w:tblW w:w="0" w:type="auto"/>
        <w:tblCellMar>
          <w:left w:w="57" w:type="dxa"/>
          <w:right w:w="57" w:type="dxa"/>
        </w:tblCellMar>
        <w:tblLook w:val="01E0" w:firstRow="1" w:lastRow="1" w:firstColumn="1" w:lastColumn="1" w:noHBand="0" w:noVBand="0"/>
      </w:tblPr>
      <w:tblGrid>
        <w:gridCol w:w="4133"/>
        <w:gridCol w:w="1771"/>
        <w:gridCol w:w="1687"/>
        <w:gridCol w:w="1471"/>
      </w:tblGrid>
      <w:tr w:rsidR="006D3AD5" w:rsidRPr="002C224A" w14:paraId="29CF2465" w14:textId="77777777" w:rsidTr="00443B8F">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D7D4FA7"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B65BBF7"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8E8EE24"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B0494D8"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7AEF0FD2"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AB40F56" w14:textId="77777777" w:rsidR="006D3AD5" w:rsidRPr="002C224A" w:rsidRDefault="006D3AD5" w:rsidP="00443B8F">
            <w:pPr>
              <w:pStyle w:val="Tabulka"/>
              <w:jc w:val="left"/>
              <w:rPr>
                <w:rFonts w:ascii="Calibri" w:hAnsi="Calibri" w:cs="Calibri"/>
              </w:rPr>
            </w:pPr>
            <w:r>
              <w:rPr>
                <w:rFonts w:ascii="Calibri" w:hAnsi="Calibri"/>
              </w:rPr>
              <w:t>Number of companies drawing financial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38BD0526" w14:textId="77777777" w:rsidR="006D3AD5" w:rsidRPr="002C224A" w:rsidRDefault="006D3AD5" w:rsidP="00443B8F">
            <w:pPr>
              <w:pStyle w:val="Tabulka"/>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467B5168"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03EECB04" w14:textId="19A6D30D" w:rsidR="006D3AD5" w:rsidRPr="002C224A" w:rsidRDefault="004841A7" w:rsidP="00443B8F">
            <w:pPr>
              <w:pStyle w:val="Tabulka"/>
              <w:rPr>
                <w:rFonts w:ascii="Calibri" w:hAnsi="Calibri" w:cs="Calibri"/>
              </w:rPr>
            </w:pPr>
            <w:r>
              <w:rPr>
                <w:rFonts w:ascii="Calibri" w:hAnsi="Calibri"/>
              </w:rPr>
              <w:t>4</w:t>
            </w:r>
            <w:r w:rsidR="006D3AD5">
              <w:rPr>
                <w:rFonts w:ascii="Calibri" w:hAnsi="Calibri"/>
              </w:rPr>
              <w:t>,000</w:t>
            </w:r>
            <w:r>
              <w:rPr>
                <w:rFonts w:ascii="Calibri" w:hAnsi="Calibri"/>
              </w:rPr>
              <w:t>-6,000</w:t>
            </w:r>
          </w:p>
        </w:tc>
      </w:tr>
      <w:tr w:rsidR="006D3AD5" w:rsidRPr="002C224A" w14:paraId="7E8EFFE1" w14:textId="77777777" w:rsidTr="00443B8F">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14:paraId="403EF468" w14:textId="77777777" w:rsidR="006D3AD5" w:rsidRPr="002C224A" w:rsidRDefault="006D3AD5" w:rsidP="00443B8F">
            <w:pPr>
              <w:pStyle w:val="Tabulka"/>
              <w:jc w:val="left"/>
              <w:rPr>
                <w:rFonts w:ascii="Calibri" w:hAnsi="Calibri" w:cs="Calibri"/>
              </w:rPr>
            </w:pPr>
            <w:r>
              <w:rPr>
                <w:rFonts w:ascii="Calibri" w:hAnsi="Calibri"/>
              </w:rPr>
              <w:t>Number of new companies receiving support</w:t>
            </w:r>
          </w:p>
        </w:tc>
        <w:tc>
          <w:tcPr>
            <w:tcW w:w="0" w:type="auto"/>
            <w:tcBorders>
              <w:top w:val="single" w:sz="4" w:space="0" w:color="000000"/>
              <w:left w:val="single" w:sz="4" w:space="0" w:color="000000"/>
              <w:bottom w:val="single" w:sz="4" w:space="0" w:color="000000"/>
              <w:right w:val="single" w:sz="4" w:space="0" w:color="000000"/>
            </w:tcBorders>
            <w:vAlign w:val="center"/>
          </w:tcPr>
          <w:p w14:paraId="4A332334" w14:textId="77777777" w:rsidR="006D3AD5" w:rsidRPr="002C224A" w:rsidRDefault="006D3AD5" w:rsidP="00443B8F">
            <w:pPr>
              <w:pStyle w:val="Tabulka"/>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26DA7189"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254260F9" w14:textId="2FFB4C4D" w:rsidR="006D3AD5" w:rsidRPr="002C224A" w:rsidRDefault="006D3AD5" w:rsidP="00443B8F">
            <w:pPr>
              <w:pStyle w:val="Tabulka"/>
              <w:rPr>
                <w:rFonts w:ascii="Calibri" w:hAnsi="Calibri" w:cs="Calibri"/>
              </w:rPr>
            </w:pPr>
            <w:r>
              <w:rPr>
                <w:rFonts w:ascii="Calibri" w:hAnsi="Calibri"/>
              </w:rPr>
              <w:t>40</w:t>
            </w:r>
            <w:r w:rsidR="004841A7">
              <w:rPr>
                <w:rFonts w:ascii="Calibri" w:hAnsi="Calibri"/>
              </w:rPr>
              <w:t>0-600</w:t>
            </w:r>
          </w:p>
        </w:tc>
      </w:tr>
      <w:tr w:rsidR="006D3AD5" w:rsidRPr="002C224A" w14:paraId="12C64993"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EFB4942" w14:textId="77777777" w:rsidR="006D3AD5" w:rsidRPr="002C224A" w:rsidRDefault="006D3AD5" w:rsidP="00443B8F">
            <w:pPr>
              <w:pStyle w:val="Tabulka"/>
              <w:jc w:val="left"/>
              <w:rPr>
                <w:rFonts w:ascii="Calibri" w:hAnsi="Calibri" w:cs="Calibri"/>
              </w:rPr>
            </w:pPr>
            <w:r>
              <w:rPr>
                <w:rFonts w:ascii="Calibri" w:hAnsi="Calibri"/>
              </w:rPr>
              <w:t>Private investments in projects with public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19363FD2" w14:textId="77777777" w:rsidR="006D3AD5" w:rsidRPr="002C224A" w:rsidRDefault="006D3AD5" w:rsidP="00443B8F">
            <w:pPr>
              <w:pStyle w:val="Tabulka"/>
              <w:rPr>
                <w:rFonts w:ascii="Calibri" w:hAnsi="Calibri" w:cs="Calibri"/>
              </w:rPr>
            </w:pPr>
            <w:r>
              <w:rPr>
                <w:rFonts w:ascii="Calibri" w:hAnsi="Calibri"/>
              </w:rPr>
              <w:t>CZK millions</w:t>
            </w:r>
          </w:p>
        </w:tc>
        <w:tc>
          <w:tcPr>
            <w:tcW w:w="0" w:type="auto"/>
            <w:tcBorders>
              <w:top w:val="single" w:sz="4" w:space="0" w:color="000000"/>
              <w:left w:val="single" w:sz="4" w:space="0" w:color="000000"/>
              <w:bottom w:val="single" w:sz="4" w:space="0" w:color="000000"/>
              <w:right w:val="single" w:sz="4" w:space="0" w:color="000000"/>
            </w:tcBorders>
            <w:vAlign w:val="center"/>
          </w:tcPr>
          <w:p w14:paraId="513B22C5"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64B1C458" w14:textId="76E2DA3A" w:rsidR="006D3AD5" w:rsidRPr="002C224A" w:rsidRDefault="006D3AD5" w:rsidP="00B225B7">
            <w:pPr>
              <w:pStyle w:val="Tabulka"/>
              <w:rPr>
                <w:rFonts w:ascii="Calibri" w:hAnsi="Calibri" w:cs="Calibri"/>
              </w:rPr>
            </w:pPr>
            <w:r>
              <w:rPr>
                <w:rFonts w:ascii="Calibri" w:hAnsi="Calibri"/>
              </w:rPr>
              <w:t>3</w:t>
            </w:r>
            <w:r w:rsidR="004841A7">
              <w:rPr>
                <w:rFonts w:ascii="Calibri" w:hAnsi="Calibri"/>
              </w:rPr>
              <w:t>8</w:t>
            </w:r>
            <w:r>
              <w:rPr>
                <w:rFonts w:ascii="Calibri" w:hAnsi="Calibri"/>
              </w:rPr>
              <w:t>,000-4</w:t>
            </w:r>
            <w:r w:rsidR="004841A7">
              <w:rPr>
                <w:rFonts w:ascii="Calibri" w:hAnsi="Calibri"/>
              </w:rPr>
              <w:t>8</w:t>
            </w:r>
            <w:r>
              <w:rPr>
                <w:rFonts w:ascii="Calibri" w:hAnsi="Calibri"/>
              </w:rPr>
              <w:t>,000</w:t>
            </w:r>
          </w:p>
        </w:tc>
      </w:tr>
      <w:tr w:rsidR="006D3AD5" w:rsidRPr="002C224A" w14:paraId="4CB039F4"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C014B91" w14:textId="77777777" w:rsidR="006D3AD5" w:rsidRPr="002C224A" w:rsidRDefault="006D3AD5" w:rsidP="00443B8F">
            <w:pPr>
              <w:pStyle w:val="Tabulka"/>
              <w:jc w:val="left"/>
              <w:rPr>
                <w:rFonts w:ascii="Calibri" w:hAnsi="Calibri" w:cs="Calibri"/>
              </w:rPr>
            </w:pPr>
            <w:r>
              <w:rPr>
                <w:rFonts w:ascii="Calibri" w:hAnsi="Calibri"/>
              </w:rPr>
              <w:t>Increase in employment in supported 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38BCD83C" w14:textId="77777777" w:rsidR="006D3AD5" w:rsidRPr="002C224A" w:rsidRDefault="006D3AD5" w:rsidP="00443B8F">
            <w:pPr>
              <w:pStyle w:val="Tabulka"/>
              <w:rPr>
                <w:rFonts w:ascii="Calibri" w:hAnsi="Calibri" w:cs="Calibri"/>
              </w:rPr>
            </w:pPr>
            <w:r>
              <w:rPr>
                <w:rFonts w:ascii="Calibri" w:hAnsi="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3FC0587A"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510F22A0" w14:textId="20E3C1E9" w:rsidR="006D3AD5" w:rsidRPr="002C224A" w:rsidRDefault="004841A7" w:rsidP="00443B8F">
            <w:pPr>
              <w:pStyle w:val="Tabulka"/>
              <w:rPr>
                <w:rFonts w:ascii="Calibri" w:hAnsi="Calibri" w:cs="Calibri"/>
              </w:rPr>
            </w:pPr>
            <w:r>
              <w:rPr>
                <w:rFonts w:ascii="Calibri" w:hAnsi="Calibri"/>
              </w:rPr>
              <w:t>8</w:t>
            </w:r>
            <w:r w:rsidR="006D3AD5">
              <w:rPr>
                <w:rFonts w:ascii="Calibri" w:hAnsi="Calibri"/>
              </w:rPr>
              <w:t>,000-1</w:t>
            </w:r>
            <w:r>
              <w:rPr>
                <w:rFonts w:ascii="Calibri" w:hAnsi="Calibri"/>
              </w:rPr>
              <w:t>2</w:t>
            </w:r>
            <w:r w:rsidR="006D3AD5">
              <w:rPr>
                <w:rFonts w:ascii="Calibri" w:hAnsi="Calibri"/>
              </w:rPr>
              <w:t>,000</w:t>
            </w:r>
          </w:p>
        </w:tc>
      </w:tr>
    </w:tbl>
    <w:p w14:paraId="1FAC19B6" w14:textId="77777777" w:rsidR="006D3AD5" w:rsidRPr="00A50943" w:rsidRDefault="006D3AD5" w:rsidP="006D3AD5"/>
    <w:p w14:paraId="28632D51" w14:textId="77777777" w:rsidR="006D3AD5" w:rsidRPr="00E46303"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7FCE39DD"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258ED164" w14:textId="64D035BC" w:rsidR="006D3AD5" w:rsidRPr="002C224A" w:rsidRDefault="006D3AD5" w:rsidP="006D3AD5">
      <w:pPr>
        <w:pStyle w:val="Odstavecseseznamem2"/>
        <w:numPr>
          <w:ilvl w:val="0"/>
          <w:numId w:val="54"/>
        </w:numPr>
        <w:overflowPunct w:val="0"/>
        <w:autoSpaceDE w:val="0"/>
        <w:autoSpaceDN w:val="0"/>
        <w:adjustRightInd w:val="0"/>
        <w:spacing w:after="160"/>
        <w:jc w:val="both"/>
        <w:textAlignment w:val="baseline"/>
      </w:pPr>
      <w:r>
        <w:t xml:space="preserve">10700 </w:t>
      </w:r>
      <w:r w:rsidR="0042403A">
        <w:t>SME</w:t>
      </w:r>
      <w:r>
        <w:t>s value added*</w:t>
      </w:r>
    </w:p>
    <w:p w14:paraId="7303B7C6" w14:textId="77777777" w:rsidR="006D3AD5" w:rsidRPr="00A50943" w:rsidRDefault="006D3AD5" w:rsidP="006D3AD5">
      <w:pPr>
        <w:pStyle w:val="Odstavecseseznamem2"/>
        <w:numPr>
          <w:ilvl w:val="0"/>
          <w:numId w:val="54"/>
        </w:numPr>
        <w:overflowPunct w:val="0"/>
        <w:autoSpaceDE w:val="0"/>
        <w:autoSpaceDN w:val="0"/>
        <w:adjustRightInd w:val="0"/>
        <w:spacing w:after="160"/>
        <w:jc w:val="both"/>
        <w:textAlignment w:val="baseline"/>
      </w:pPr>
      <w:r>
        <w:t>10103 Number of companies drawing financial support other than grants*</w:t>
      </w:r>
    </w:p>
    <w:p w14:paraId="70AE2DF3" w14:textId="77777777" w:rsidR="006D3AD5" w:rsidRPr="00A50943" w:rsidRDefault="006D3AD5" w:rsidP="006D3AD5">
      <w:pPr>
        <w:pStyle w:val="Odstavecseseznamem2"/>
        <w:numPr>
          <w:ilvl w:val="0"/>
          <w:numId w:val="54"/>
        </w:numPr>
        <w:overflowPunct w:val="0"/>
        <w:autoSpaceDE w:val="0"/>
        <w:autoSpaceDN w:val="0"/>
        <w:adjustRightInd w:val="0"/>
        <w:spacing w:after="160"/>
        <w:jc w:val="both"/>
        <w:textAlignment w:val="baseline"/>
      </w:pPr>
      <w:r>
        <w:t>10105 Number of new companies receiving support*</w:t>
      </w:r>
    </w:p>
    <w:p w14:paraId="6525A967" w14:textId="77777777" w:rsidR="006D3AD5" w:rsidRPr="002C224A" w:rsidRDefault="006D3AD5" w:rsidP="006D3AD5">
      <w:pPr>
        <w:pStyle w:val="Odstavecseseznamem2"/>
        <w:numPr>
          <w:ilvl w:val="0"/>
          <w:numId w:val="54"/>
        </w:numPr>
        <w:overflowPunct w:val="0"/>
        <w:autoSpaceDE w:val="0"/>
        <w:autoSpaceDN w:val="0"/>
        <w:adjustRightInd w:val="0"/>
        <w:spacing w:after="160"/>
        <w:jc w:val="both"/>
        <w:textAlignment w:val="baseline"/>
      </w:pPr>
      <w:r>
        <w:t>10301 Private investments corresponding to the public support of companies (other than grants)*</w:t>
      </w:r>
    </w:p>
    <w:p w14:paraId="70E0C46F" w14:textId="77777777" w:rsidR="006D3AD5" w:rsidRPr="002C224A" w:rsidRDefault="006D3AD5" w:rsidP="006D3AD5">
      <w:pPr>
        <w:pStyle w:val="Odstavecseseznamem2"/>
        <w:numPr>
          <w:ilvl w:val="0"/>
          <w:numId w:val="54"/>
        </w:numPr>
        <w:overflowPunct w:val="0"/>
        <w:autoSpaceDE w:val="0"/>
        <w:autoSpaceDN w:val="0"/>
        <w:adjustRightInd w:val="0"/>
        <w:spacing w:after="160"/>
        <w:jc w:val="both"/>
        <w:textAlignment w:val="baseline"/>
      </w:pPr>
      <w:r>
        <w:t>10400 Increase in employment in supported companies*</w:t>
      </w:r>
    </w:p>
    <w:p w14:paraId="79DCC55D" w14:textId="77777777" w:rsidR="006D3AD5" w:rsidRDefault="006D3AD5" w:rsidP="006D3AD5">
      <w:pPr>
        <w:pStyle w:val="Odstavecseseznamem2"/>
        <w:numPr>
          <w:ilvl w:val="0"/>
          <w:numId w:val="54"/>
        </w:numPr>
        <w:overflowPunct w:val="0"/>
        <w:autoSpaceDE w:val="0"/>
        <w:autoSpaceDN w:val="0"/>
        <w:adjustRightInd w:val="0"/>
        <w:jc w:val="both"/>
        <w:textAlignment w:val="baseline"/>
      </w:pPr>
      <w:r>
        <w:t>10402 The number of new jobs – women*</w:t>
      </w:r>
    </w:p>
    <w:p w14:paraId="258C887B" w14:textId="77777777" w:rsidR="006D3AD5" w:rsidRPr="002C224A" w:rsidRDefault="006D3AD5" w:rsidP="006D3AD5">
      <w:pPr>
        <w:pStyle w:val="Odstavecseseznamem2"/>
        <w:numPr>
          <w:ilvl w:val="0"/>
          <w:numId w:val="54"/>
        </w:numPr>
        <w:overflowPunct w:val="0"/>
        <w:autoSpaceDE w:val="0"/>
        <w:autoSpaceDN w:val="0"/>
        <w:adjustRightInd w:val="0"/>
        <w:jc w:val="both"/>
        <w:textAlignment w:val="baseline"/>
      </w:pPr>
      <w:r>
        <w:t>10000 The number of companies drawing the support</w:t>
      </w:r>
    </w:p>
    <w:p w14:paraId="1B5CAEBA" w14:textId="77777777" w:rsidR="006D3AD5" w:rsidRPr="00831219" w:rsidRDefault="006D3AD5" w:rsidP="006D3AD5">
      <w:pPr>
        <w:pStyle w:val="Default"/>
        <w:numPr>
          <w:ilvl w:val="0"/>
          <w:numId w:val="54"/>
        </w:numPr>
        <w:spacing w:after="120"/>
        <w:jc w:val="both"/>
        <w:rPr>
          <w:rFonts w:ascii="Calibri" w:hAnsi="Calibri" w:cs="Calibri"/>
          <w:sz w:val="22"/>
          <w:szCs w:val="22"/>
        </w:rPr>
      </w:pPr>
      <w:r>
        <w:rPr>
          <w:rFonts w:ascii="Calibri" w:hAnsi="Calibri"/>
          <w:sz w:val="22"/>
        </w:rPr>
        <w:t>21101 Competitiveness index</w:t>
      </w:r>
    </w:p>
    <w:p w14:paraId="4DA7D974" w14:textId="7E576341" w:rsidR="006D3AD5" w:rsidRPr="00831219" w:rsidRDefault="006D3AD5" w:rsidP="006D3AD5">
      <w:pPr>
        <w:pStyle w:val="Odstavecseseznamem1"/>
        <w:numPr>
          <w:ilvl w:val="0"/>
          <w:numId w:val="54"/>
        </w:numPr>
        <w:overflowPunct/>
        <w:autoSpaceDE/>
        <w:autoSpaceDN/>
        <w:adjustRightInd/>
        <w:spacing w:after="120" w:line="276" w:lineRule="auto"/>
        <w:jc w:val="left"/>
        <w:textAlignment w:val="auto"/>
        <w:rPr>
          <w:rFonts w:eastAsia="Calibri" w:cs="Calibri"/>
        </w:rPr>
      </w:pPr>
      <w:r>
        <w:t xml:space="preserve">10701 </w:t>
      </w:r>
      <w:r w:rsidR="0042403A">
        <w:t>SME</w:t>
      </w:r>
      <w:r>
        <w:t>s value added as a % of the CR added value</w:t>
      </w:r>
    </w:p>
    <w:p w14:paraId="3B4E26B6" w14:textId="77777777" w:rsidR="006D3AD5" w:rsidRPr="00831219" w:rsidRDefault="006D3AD5" w:rsidP="006D3AD5">
      <w:pPr>
        <w:pStyle w:val="Odstavecseseznamem1"/>
        <w:numPr>
          <w:ilvl w:val="0"/>
          <w:numId w:val="54"/>
        </w:numPr>
        <w:overflowPunct/>
        <w:autoSpaceDE/>
        <w:autoSpaceDN/>
        <w:adjustRightInd/>
        <w:spacing w:after="120" w:line="276" w:lineRule="auto"/>
        <w:jc w:val="left"/>
        <w:textAlignment w:val="auto"/>
        <w:rPr>
          <w:rFonts w:eastAsia="Calibri" w:cs="Calibri"/>
        </w:rPr>
      </w:pPr>
      <w:r>
        <w:t>10710 Rate of survival of newly created companies</w:t>
      </w:r>
    </w:p>
    <w:p w14:paraId="402FD95A" w14:textId="77777777" w:rsidR="006D3AD5" w:rsidRPr="002C224A" w:rsidRDefault="006D3AD5" w:rsidP="006D3AD5">
      <w:pPr>
        <w:pStyle w:val="Odstavecseseznamem2"/>
        <w:overflowPunct w:val="0"/>
        <w:autoSpaceDE w:val="0"/>
        <w:autoSpaceDN w:val="0"/>
        <w:adjustRightInd w:val="0"/>
        <w:spacing w:after="160"/>
        <w:jc w:val="both"/>
        <w:textAlignment w:val="baseline"/>
      </w:pPr>
    </w:p>
    <w:p w14:paraId="7B4B834D" w14:textId="77777777" w:rsidR="006D3AD5" w:rsidRPr="002C224A" w:rsidRDefault="006D3AD5" w:rsidP="006D3AD5">
      <w:pPr>
        <w:pStyle w:val="Nadpis4"/>
        <w:rPr>
          <w:rFonts w:ascii="Calibri" w:hAnsi="Calibri"/>
        </w:rPr>
      </w:pPr>
      <w:r>
        <w:rPr>
          <w:rFonts w:ascii="Calibri" w:hAnsi="Calibri"/>
        </w:rPr>
        <w:t>Partial summary</w:t>
      </w:r>
    </w:p>
    <w:bookmarkEnd w:id="1127"/>
    <w:bookmarkEnd w:id="1128"/>
    <w:p w14:paraId="1AF921A1" w14:textId="77777777" w:rsidR="006D3AD5" w:rsidRPr="002C224A" w:rsidRDefault="006D3AD5" w:rsidP="006D3AD5">
      <w:pPr>
        <w:pStyle w:val="CaptionIntroductionparagraph"/>
        <w:rPr>
          <w:rFonts w:ascii="Calibri" w:hAnsi="Calibri"/>
        </w:rPr>
      </w:pPr>
    </w:p>
    <w:p w14:paraId="628BCC51" w14:textId="77777777" w:rsidR="006D3AD5" w:rsidRPr="002C224A" w:rsidRDefault="006D3AD5" w:rsidP="006D3AD5">
      <w:pPr>
        <w:pStyle w:val="CaptionIntroductionparagraph"/>
        <w:rPr>
          <w:rFonts w:ascii="Calibri" w:hAnsi="Calibri"/>
        </w:rPr>
      </w:pPr>
      <w:r>
        <w:rPr>
          <w:rFonts w:ascii="Calibri" w:hAnsi="Calibri"/>
        </w:rPr>
        <w:t>Equity instrument (SO 2.1)</w:t>
      </w:r>
    </w:p>
    <w:p w14:paraId="282A2D6C" w14:textId="77777777" w:rsidR="006D3AD5" w:rsidRPr="00A50943" w:rsidRDefault="006D3AD5" w:rsidP="006D3AD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7CF9209E" w14:textId="77777777" w:rsidTr="00443B8F">
        <w:tc>
          <w:tcPr>
            <w:tcW w:w="2282" w:type="dxa"/>
            <w:shd w:val="clear" w:color="auto" w:fill="ECFFC3"/>
          </w:tcPr>
          <w:p w14:paraId="751D5495" w14:textId="77777777" w:rsidR="006D3AD5" w:rsidRPr="002C224A" w:rsidRDefault="006D3AD5" w:rsidP="00443B8F">
            <w:pPr>
              <w:rPr>
                <w:b/>
              </w:rPr>
            </w:pPr>
          </w:p>
        </w:tc>
        <w:tc>
          <w:tcPr>
            <w:tcW w:w="6788" w:type="dxa"/>
            <w:shd w:val="clear" w:color="auto" w:fill="ECFFC3"/>
          </w:tcPr>
          <w:p w14:paraId="0142DBDB" w14:textId="77777777" w:rsidR="006D3AD5" w:rsidRPr="002C224A" w:rsidRDefault="006D3AD5" w:rsidP="00443B8F">
            <w:pPr>
              <w:ind w:left="38"/>
              <w:rPr>
                <w:b/>
              </w:rPr>
            </w:pPr>
          </w:p>
        </w:tc>
      </w:tr>
      <w:tr w:rsidR="006D3AD5" w:rsidRPr="002C224A" w14:paraId="6C493211" w14:textId="77777777" w:rsidTr="00443B8F">
        <w:tc>
          <w:tcPr>
            <w:tcW w:w="2282" w:type="dxa"/>
            <w:shd w:val="clear" w:color="auto" w:fill="92D400"/>
            <w:noWrap/>
          </w:tcPr>
          <w:p w14:paraId="7C655936" w14:textId="77777777" w:rsidR="006D3AD5" w:rsidRPr="002C224A" w:rsidRDefault="006D3AD5" w:rsidP="00443B8F">
            <w:pPr>
              <w:jc w:val="left"/>
              <w:rPr>
                <w:b/>
                <w:color w:val="FFFFFF"/>
              </w:rPr>
            </w:pPr>
            <w:r>
              <w:rPr>
                <w:b/>
                <w:color w:val="FFFFFF"/>
              </w:rPr>
              <w:t>Objectives of the financial instrument</w:t>
            </w:r>
          </w:p>
        </w:tc>
        <w:tc>
          <w:tcPr>
            <w:tcW w:w="6788" w:type="dxa"/>
            <w:shd w:val="clear" w:color="auto" w:fill="FFFFFF"/>
            <w:noWrap/>
          </w:tcPr>
          <w:p w14:paraId="571C761C" w14:textId="684CEF5B" w:rsidR="006D3AD5" w:rsidRPr="002C224A" w:rsidRDefault="006D3AD5" w:rsidP="00443B8F">
            <w:r>
              <w:t xml:space="preserve">The objective of the financial instrument is to enable access to venture equity investments for innovative </w:t>
            </w:r>
            <w:r w:rsidR="0042403A">
              <w:t>SME</w:t>
            </w:r>
            <w:r>
              <w:t xml:space="preserve">s with high-growth potential. The cooperation with private investment sector should lead to the development </w:t>
            </w:r>
            <w:r>
              <w:lastRenderedPageBreak/>
              <w:t xml:space="preserve">of the whole market and of the number of subjects focused on investments into target </w:t>
            </w:r>
            <w:r w:rsidR="0042403A">
              <w:t>SME</w:t>
            </w:r>
            <w:r>
              <w:t>s.</w:t>
            </w:r>
          </w:p>
          <w:p w14:paraId="79EBF5FF" w14:textId="77777777" w:rsidR="006D3AD5" w:rsidRPr="002C224A" w:rsidRDefault="006D3AD5" w:rsidP="00443B8F"/>
        </w:tc>
      </w:tr>
      <w:tr w:rsidR="006D3AD5" w:rsidRPr="002C224A" w14:paraId="200BDED7" w14:textId="77777777" w:rsidTr="00443B8F">
        <w:tc>
          <w:tcPr>
            <w:tcW w:w="2282" w:type="dxa"/>
            <w:shd w:val="clear" w:color="auto" w:fill="92D400"/>
            <w:noWrap/>
          </w:tcPr>
          <w:p w14:paraId="4F12AEE2" w14:textId="77777777" w:rsidR="006D3AD5" w:rsidRPr="002C224A" w:rsidRDefault="006D3AD5" w:rsidP="00443B8F">
            <w:pPr>
              <w:jc w:val="left"/>
              <w:rPr>
                <w:b/>
                <w:color w:val="FFFFFF"/>
              </w:rPr>
            </w:pPr>
            <w:r>
              <w:rPr>
                <w:b/>
                <w:color w:val="FFFFFF"/>
              </w:rPr>
              <w:lastRenderedPageBreak/>
              <w:t>Definition and criteria of eligible projects</w:t>
            </w:r>
          </w:p>
        </w:tc>
        <w:tc>
          <w:tcPr>
            <w:tcW w:w="6788" w:type="dxa"/>
            <w:shd w:val="clear" w:color="auto" w:fill="FFFFFF"/>
            <w:noWrap/>
          </w:tcPr>
          <w:p w14:paraId="1ACC05EC" w14:textId="77777777" w:rsidR="006D3AD5" w:rsidRPr="002C224A" w:rsidRDefault="006D3AD5" w:rsidP="00443B8F">
            <w:r>
              <w:t>The final recipients can be small and medium-sized enterprises focused on innovations with the potential for capital investment appreciation. The financed companies must not be in difficult situation.</w:t>
            </w:r>
          </w:p>
        </w:tc>
      </w:tr>
      <w:tr w:rsidR="006D3AD5" w:rsidRPr="002C224A" w14:paraId="253ABD89" w14:textId="77777777" w:rsidTr="00443B8F">
        <w:tc>
          <w:tcPr>
            <w:tcW w:w="2282" w:type="dxa"/>
            <w:shd w:val="clear" w:color="auto" w:fill="92D400"/>
            <w:noWrap/>
          </w:tcPr>
          <w:p w14:paraId="0270A91D" w14:textId="77777777" w:rsidR="006D3AD5" w:rsidRPr="002C224A" w:rsidRDefault="006D3AD5" w:rsidP="00443B8F">
            <w:pPr>
              <w:jc w:val="left"/>
              <w:rPr>
                <w:b/>
                <w:color w:val="FFFFFF"/>
              </w:rPr>
            </w:pPr>
            <w:r>
              <w:rPr>
                <w:b/>
                <w:color w:val="FFFFFF"/>
              </w:rPr>
              <w:t>Support form</w:t>
            </w:r>
          </w:p>
        </w:tc>
        <w:tc>
          <w:tcPr>
            <w:tcW w:w="6788" w:type="dxa"/>
            <w:shd w:val="clear" w:color="auto" w:fill="FFFFFF"/>
            <w:noWrap/>
          </w:tcPr>
          <w:p w14:paraId="64DEA722" w14:textId="77777777" w:rsidR="006D3AD5" w:rsidRDefault="006D3AD5" w:rsidP="00443B8F">
            <w:r>
              <w:t>Equity investment</w:t>
            </w:r>
          </w:p>
          <w:p w14:paraId="4CBEC14E" w14:textId="77777777" w:rsidR="005078F9" w:rsidRDefault="005078F9" w:rsidP="00443B8F"/>
          <w:p w14:paraId="37146A31" w14:textId="4D0AB423" w:rsidR="005078F9" w:rsidRPr="002C224A" w:rsidRDefault="005078F9" w:rsidP="00443B8F">
            <w:r>
              <w:t>Subsidy of preparation of investment (scouting costs) and exit</w:t>
            </w:r>
          </w:p>
        </w:tc>
      </w:tr>
      <w:tr w:rsidR="006D3AD5" w:rsidRPr="002C224A" w14:paraId="75B590C4" w14:textId="77777777" w:rsidTr="00443B8F">
        <w:tc>
          <w:tcPr>
            <w:tcW w:w="2282" w:type="dxa"/>
            <w:shd w:val="clear" w:color="auto" w:fill="92D400"/>
            <w:noWrap/>
          </w:tcPr>
          <w:p w14:paraId="5985F22E" w14:textId="77777777" w:rsidR="006D3AD5" w:rsidRPr="002C224A" w:rsidRDefault="006D3AD5" w:rsidP="00443B8F">
            <w:pPr>
              <w:jc w:val="left"/>
              <w:rPr>
                <w:b/>
                <w:color w:val="FFFFFF"/>
              </w:rPr>
            </w:pPr>
            <w:r>
              <w:rPr>
                <w:b/>
                <w:color w:val="FFFFFF"/>
              </w:rPr>
              <w:t>Support amount</w:t>
            </w:r>
          </w:p>
        </w:tc>
        <w:tc>
          <w:tcPr>
            <w:tcW w:w="6788" w:type="dxa"/>
            <w:shd w:val="clear" w:color="auto" w:fill="FFFFFF"/>
            <w:noWrap/>
          </w:tcPr>
          <w:p w14:paraId="02A8BE82" w14:textId="77777777" w:rsidR="006D3AD5" w:rsidRPr="002C224A" w:rsidRDefault="006D3AD5" w:rsidP="00443B8F">
            <w:r>
              <w:t xml:space="preserve">In application of the Article 19 of the GBER – The venture equity </w:t>
            </w:r>
            <w:r>
              <w:rPr>
                <w:b/>
              </w:rPr>
              <w:t>can be provided in the amount of up to EUR 15 million of equity and quasi-equity project financing with regard to the development stage of the recipient</w:t>
            </w:r>
            <w:r>
              <w:t xml:space="preserve"> including subsequent financing rounds with the share of the new equity being 50% at most.</w:t>
            </w:r>
          </w:p>
          <w:p w14:paraId="1EA13501" w14:textId="77777777" w:rsidR="006D3AD5" w:rsidRPr="002C224A" w:rsidRDefault="006D3AD5" w:rsidP="00443B8F"/>
          <w:p w14:paraId="297B2E8D" w14:textId="77777777" w:rsidR="006D3AD5" w:rsidRPr="002C224A" w:rsidRDefault="006D3AD5" w:rsidP="00443B8F">
            <w:r>
              <w:t>The average investment amount is in the range of CZK 25 - 35 million with huge differences with the minimum limit being CZK 700,000.</w:t>
            </w:r>
          </w:p>
        </w:tc>
      </w:tr>
      <w:tr w:rsidR="006D3AD5" w:rsidRPr="002C224A" w14:paraId="566FA79B" w14:textId="77777777" w:rsidTr="00443B8F">
        <w:tc>
          <w:tcPr>
            <w:tcW w:w="2282" w:type="dxa"/>
            <w:shd w:val="clear" w:color="auto" w:fill="92D400"/>
            <w:noWrap/>
          </w:tcPr>
          <w:p w14:paraId="517F9C39"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27991BA3" w14:textId="77777777" w:rsidR="006D3AD5" w:rsidRPr="002C224A" w:rsidRDefault="006D3AD5" w:rsidP="00443B8F">
            <w:r>
              <w:t>The NIF investments into selected venture funds and direct co-investments into the final recipients capital. Exit in the 4-6 years horizon (IPO / buyout)</w:t>
            </w:r>
          </w:p>
          <w:p w14:paraId="37C60964" w14:textId="77777777" w:rsidR="006D3AD5" w:rsidRPr="002C224A" w:rsidRDefault="006D3AD5" w:rsidP="00443B8F">
            <w:r>
              <w:t>The funds provided will be specifically earmarked to cover eligible project costs.</w:t>
            </w:r>
          </w:p>
          <w:p w14:paraId="43631E9D" w14:textId="77777777" w:rsidR="006D3AD5" w:rsidRPr="002C224A" w:rsidRDefault="006D3AD5" w:rsidP="00443B8F">
            <w:pPr>
              <w:overflowPunct/>
              <w:autoSpaceDE/>
              <w:autoSpaceDN/>
              <w:adjustRightInd/>
              <w:textAlignment w:val="auto"/>
            </w:pPr>
          </w:p>
          <w:p w14:paraId="4C9A4C58" w14:textId="77777777" w:rsidR="006D3AD5" w:rsidRPr="002C224A" w:rsidRDefault="006D3AD5" w:rsidP="00443B8F">
            <w:pPr>
              <w:overflowPunct/>
              <w:autoSpaceDE/>
              <w:autoSpaceDN/>
              <w:adjustRightInd/>
              <w:textAlignment w:val="auto"/>
            </w:pPr>
            <w:r>
              <w:t>These minimum values of provided funds share in comparison with private sources shall apply: 10% for companies before the first commercial sale (seed) or 40% for companies with less than 5 years of business activity and 60% for subsequent financing rounds (startup), the maximum being at 90% at all times. Subsequent financing rounds can be realized by the instrument.</w:t>
            </w:r>
          </w:p>
        </w:tc>
      </w:tr>
      <w:tr w:rsidR="006D3AD5" w:rsidRPr="002C224A" w14:paraId="75F24D09" w14:textId="77777777" w:rsidTr="00443B8F">
        <w:tc>
          <w:tcPr>
            <w:tcW w:w="2282" w:type="dxa"/>
            <w:shd w:val="clear" w:color="auto" w:fill="92D400"/>
            <w:noWrap/>
          </w:tcPr>
          <w:p w14:paraId="147DC4C5" w14:textId="77777777" w:rsidR="006D3AD5" w:rsidRPr="002C224A" w:rsidRDefault="006D3AD5" w:rsidP="00443B8F">
            <w:pPr>
              <w:jc w:val="left"/>
              <w:rPr>
                <w:b/>
                <w:color w:val="FFFFFF"/>
              </w:rPr>
            </w:pPr>
            <w:r>
              <w:rPr>
                <w:b/>
                <w:color w:val="FFFFFF"/>
              </w:rPr>
              <w:t>Steps to involve potential co-investors</w:t>
            </w:r>
          </w:p>
        </w:tc>
        <w:tc>
          <w:tcPr>
            <w:tcW w:w="6788" w:type="dxa"/>
            <w:shd w:val="clear" w:color="auto" w:fill="FFFFFF"/>
            <w:noWrap/>
          </w:tcPr>
          <w:p w14:paraId="37F27CC7" w14:textId="77777777" w:rsidR="006D3AD5" w:rsidRPr="002C224A" w:rsidRDefault="006D3AD5" w:rsidP="00443B8F">
            <w:r>
              <w:t>It is necessary to involve co-investors on the level of co-investments or fund, the preferential set-up is suitable.</w:t>
            </w:r>
          </w:p>
          <w:p w14:paraId="6CA9B582" w14:textId="77777777" w:rsidR="006D3AD5" w:rsidRPr="002C224A" w:rsidRDefault="006D3AD5" w:rsidP="00443B8F">
            <w:pPr>
              <w:pStyle w:val="Odstavecseseznamem1"/>
              <w:numPr>
                <w:ilvl w:val="0"/>
                <w:numId w:val="53"/>
              </w:numPr>
            </w:pPr>
            <w:r>
              <w:t>Preferential income division in favour of the private investor in case the successful project income exceeds defined basic threshold.</w:t>
            </w:r>
          </w:p>
          <w:p w14:paraId="45A5268D" w14:textId="7070BCAF" w:rsidR="006D3AD5" w:rsidRPr="002C224A" w:rsidRDefault="006777E0" w:rsidP="00443B8F">
            <w:pPr>
              <w:pStyle w:val="Odstavecseseznamem1"/>
              <w:numPr>
                <w:ilvl w:val="0"/>
                <w:numId w:val="53"/>
              </w:numPr>
            </w:pPr>
            <w:r>
              <w:t>Option for the private investor to buy the share of the FI for a fixed price.</w:t>
            </w:r>
          </w:p>
          <w:p w14:paraId="6BC4BF78" w14:textId="77777777" w:rsidR="006D3AD5" w:rsidRPr="002C224A" w:rsidRDefault="006D3AD5" w:rsidP="00443B8F">
            <w:pPr>
              <w:pStyle w:val="Odstavecseseznamem1"/>
            </w:pPr>
          </w:p>
        </w:tc>
      </w:tr>
      <w:tr w:rsidR="006D3AD5" w:rsidRPr="002C224A" w14:paraId="7F05E941" w14:textId="77777777" w:rsidTr="00443B8F">
        <w:tc>
          <w:tcPr>
            <w:tcW w:w="2282" w:type="dxa"/>
            <w:shd w:val="clear" w:color="auto" w:fill="92D400"/>
            <w:noWrap/>
          </w:tcPr>
          <w:p w14:paraId="6B824894" w14:textId="77777777" w:rsidR="006D3AD5" w:rsidRPr="002C224A" w:rsidRDefault="006D3AD5" w:rsidP="00443B8F">
            <w:pPr>
              <w:jc w:val="left"/>
              <w:rPr>
                <w:b/>
                <w:color w:val="FFFFFF"/>
              </w:rPr>
            </w:pPr>
            <w:r>
              <w:rPr>
                <w:b/>
                <w:color w:val="FFFFFF"/>
              </w:rPr>
              <w:t>Expected allocation</w:t>
            </w:r>
          </w:p>
        </w:tc>
        <w:tc>
          <w:tcPr>
            <w:tcW w:w="6788" w:type="dxa"/>
            <w:shd w:val="clear" w:color="auto" w:fill="FFFFFF"/>
            <w:noWrap/>
          </w:tcPr>
          <w:p w14:paraId="00274EC7" w14:textId="77777777" w:rsidR="006D3AD5" w:rsidRPr="002C224A" w:rsidRDefault="006D3AD5" w:rsidP="00443B8F">
            <w:r>
              <w:t>We recommend to use the equity financial instrument in the range of CZK 800 - 1,600 million. We recommend extending the upper limit of the allocation only in case of validation of successful operation with the possibility to take part in subsequent investment rounds.</w:t>
            </w:r>
          </w:p>
        </w:tc>
      </w:tr>
    </w:tbl>
    <w:p w14:paraId="20D24EF7" w14:textId="30036BA1" w:rsidR="006D3AD5" w:rsidRPr="002C224A" w:rsidRDefault="006D3AD5" w:rsidP="006D3AD5">
      <w:pPr>
        <w:pStyle w:val="Titulek"/>
      </w:pPr>
      <w:r>
        <w:t xml:space="preserve">Table </w:t>
      </w:r>
      <w:r w:rsidR="00396AB4">
        <w:t>11</w:t>
      </w:r>
      <w:r w:rsidR="00B90ACD">
        <w:t>2</w:t>
      </w:r>
      <w:r>
        <w:t>: Summary of the FI SO 2.1 Equity investments</w:t>
      </w:r>
    </w:p>
    <w:p w14:paraId="3F2C0E41" w14:textId="77777777" w:rsidR="006D3AD5" w:rsidRPr="002C224A" w:rsidRDefault="006D3AD5" w:rsidP="006D3AD5">
      <w:pPr>
        <w:pStyle w:val="CaptionIntroductionparagraph"/>
        <w:rPr>
          <w:rFonts w:ascii="Calibri" w:hAnsi="Calibri"/>
        </w:rPr>
      </w:pPr>
    </w:p>
    <w:p w14:paraId="182BBA1E" w14:textId="77777777" w:rsidR="006D3AD5" w:rsidRPr="002C224A" w:rsidRDefault="006D3AD5" w:rsidP="006D3AD5">
      <w:pPr>
        <w:pStyle w:val="CaptionIntroductionparagraph"/>
        <w:rPr>
          <w:rFonts w:ascii="Calibri" w:hAnsi="Calibri"/>
        </w:rPr>
      </w:pPr>
      <w:r>
        <w:rPr>
          <w:rFonts w:ascii="Calibri" w:hAnsi="Calibri"/>
        </w:rPr>
        <w:t xml:space="preserve">Credit instrument </w:t>
      </w:r>
    </w:p>
    <w:p w14:paraId="608FD6F4" w14:textId="77777777" w:rsidR="006D3AD5" w:rsidRPr="00A50943" w:rsidRDefault="006D3AD5" w:rsidP="006D3AD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1774C3C4" w14:textId="77777777" w:rsidTr="00443B8F">
        <w:tc>
          <w:tcPr>
            <w:tcW w:w="2282" w:type="dxa"/>
            <w:shd w:val="clear" w:color="auto" w:fill="ECFFC3"/>
          </w:tcPr>
          <w:p w14:paraId="0936487A" w14:textId="77777777" w:rsidR="006D3AD5" w:rsidRPr="002C224A" w:rsidRDefault="006D3AD5" w:rsidP="00443B8F">
            <w:pPr>
              <w:rPr>
                <w:b/>
              </w:rPr>
            </w:pPr>
          </w:p>
        </w:tc>
        <w:tc>
          <w:tcPr>
            <w:tcW w:w="6788" w:type="dxa"/>
            <w:shd w:val="clear" w:color="auto" w:fill="ECFFC3"/>
          </w:tcPr>
          <w:p w14:paraId="02873123" w14:textId="77777777" w:rsidR="006D3AD5" w:rsidRPr="002C224A" w:rsidRDefault="006D3AD5" w:rsidP="00443B8F">
            <w:pPr>
              <w:ind w:left="38"/>
              <w:rPr>
                <w:b/>
              </w:rPr>
            </w:pPr>
          </w:p>
        </w:tc>
      </w:tr>
      <w:tr w:rsidR="006D3AD5" w:rsidRPr="002C224A" w14:paraId="2ED7D44D" w14:textId="77777777" w:rsidTr="00443B8F">
        <w:tc>
          <w:tcPr>
            <w:tcW w:w="2282" w:type="dxa"/>
            <w:shd w:val="clear" w:color="auto" w:fill="92D400"/>
            <w:noWrap/>
          </w:tcPr>
          <w:p w14:paraId="7586E495" w14:textId="77777777" w:rsidR="006D3AD5" w:rsidRPr="002C224A" w:rsidRDefault="006D3AD5" w:rsidP="00443B8F">
            <w:pPr>
              <w:jc w:val="left"/>
              <w:rPr>
                <w:b/>
                <w:color w:val="FFFFFF"/>
              </w:rPr>
            </w:pPr>
            <w:r>
              <w:rPr>
                <w:b/>
                <w:color w:val="FFFFFF"/>
              </w:rPr>
              <w:t>Objectives of the financial instrument</w:t>
            </w:r>
          </w:p>
        </w:tc>
        <w:tc>
          <w:tcPr>
            <w:tcW w:w="6788" w:type="dxa"/>
            <w:shd w:val="clear" w:color="auto" w:fill="FFFFFF"/>
            <w:noWrap/>
          </w:tcPr>
          <w:p w14:paraId="52FC29AE" w14:textId="51DB6D77" w:rsidR="006D3AD5" w:rsidRPr="001D237C" w:rsidRDefault="000B553B" w:rsidP="00443B8F">
            <w:r>
              <w:t>Soft loans</w:t>
            </w:r>
            <w:r w:rsidR="006D3AD5">
              <w:t xml:space="preserve"> are intended support investments into </w:t>
            </w:r>
            <w:r w:rsidR="0042403A">
              <w:t>SME</w:t>
            </w:r>
            <w:r w:rsidR="006D3AD5">
              <w:t xml:space="preserve">s development and to resolve the problem of increasing difference between loan rates for </w:t>
            </w:r>
            <w:r w:rsidR="0042403A">
              <w:t>SME</w:t>
            </w:r>
            <w:r w:rsidR="006D3AD5">
              <w:t xml:space="preserve">s and large companies that negatively influences market environment and the </w:t>
            </w:r>
            <w:r w:rsidR="0042403A">
              <w:t>SME</w:t>
            </w:r>
            <w:r w:rsidR="006D3AD5">
              <w:t>s expenses on external financing of their further development.</w:t>
            </w:r>
          </w:p>
        </w:tc>
      </w:tr>
      <w:tr w:rsidR="006D3AD5" w:rsidRPr="002C224A" w14:paraId="7B034361" w14:textId="77777777" w:rsidTr="00443B8F">
        <w:tc>
          <w:tcPr>
            <w:tcW w:w="2282" w:type="dxa"/>
            <w:shd w:val="clear" w:color="auto" w:fill="92D400"/>
            <w:noWrap/>
          </w:tcPr>
          <w:p w14:paraId="28F84A84" w14:textId="77777777" w:rsidR="006D3AD5" w:rsidRPr="002C224A" w:rsidRDefault="006D3AD5" w:rsidP="00443B8F">
            <w:pPr>
              <w:jc w:val="left"/>
              <w:rPr>
                <w:b/>
                <w:color w:val="FFFFFF"/>
              </w:rPr>
            </w:pPr>
            <w:r>
              <w:rPr>
                <w:b/>
                <w:color w:val="FFFFFF"/>
              </w:rPr>
              <w:lastRenderedPageBreak/>
              <w:t>Definition and criteria of eligible projects</w:t>
            </w:r>
          </w:p>
        </w:tc>
        <w:tc>
          <w:tcPr>
            <w:tcW w:w="6788" w:type="dxa"/>
            <w:shd w:val="clear" w:color="auto" w:fill="FFFFFF"/>
            <w:noWrap/>
          </w:tcPr>
          <w:p w14:paraId="584F7ACD" w14:textId="731057BE" w:rsidR="006D3AD5" w:rsidRPr="001D237C" w:rsidRDefault="006D3AD5" w:rsidP="00443B8F">
            <w:r>
              <w:t xml:space="preserve">The support is intended for financing the investment projects of </w:t>
            </w:r>
            <w:r w:rsidR="0042403A">
              <w:t>SME</w:t>
            </w:r>
            <w:r>
              <w:t>s development. The support is primarily intended for investments into technologies, into fixed both tangible and intangible assets.</w:t>
            </w:r>
          </w:p>
          <w:p w14:paraId="7C26E3EF" w14:textId="77777777" w:rsidR="006D3AD5" w:rsidRPr="001D237C" w:rsidRDefault="006D3AD5" w:rsidP="00443B8F">
            <w:pPr>
              <w:rPr>
                <w:b/>
              </w:rPr>
            </w:pPr>
          </w:p>
        </w:tc>
      </w:tr>
      <w:tr w:rsidR="006D3AD5" w:rsidRPr="002C224A" w14:paraId="6535D1DC" w14:textId="77777777" w:rsidTr="00443B8F">
        <w:tc>
          <w:tcPr>
            <w:tcW w:w="2282" w:type="dxa"/>
            <w:shd w:val="clear" w:color="auto" w:fill="92D400"/>
            <w:noWrap/>
          </w:tcPr>
          <w:p w14:paraId="473CCE4F" w14:textId="77777777" w:rsidR="006D3AD5" w:rsidRPr="002C224A" w:rsidRDefault="006D3AD5" w:rsidP="00443B8F">
            <w:pPr>
              <w:jc w:val="left"/>
              <w:rPr>
                <w:b/>
                <w:color w:val="FFFFFF"/>
              </w:rPr>
            </w:pPr>
            <w:r>
              <w:rPr>
                <w:b/>
                <w:color w:val="FFFFFF"/>
              </w:rPr>
              <w:t>Support form</w:t>
            </w:r>
          </w:p>
        </w:tc>
        <w:tc>
          <w:tcPr>
            <w:tcW w:w="6788" w:type="dxa"/>
            <w:shd w:val="clear" w:color="auto" w:fill="FFFFFF"/>
            <w:noWrap/>
          </w:tcPr>
          <w:p w14:paraId="02C38019" w14:textId="77777777" w:rsidR="006D3AD5" w:rsidRPr="002C224A" w:rsidRDefault="006D3AD5" w:rsidP="00443B8F">
            <w:pPr>
              <w:rPr>
                <w:rFonts w:cs="Calibri"/>
                <w:szCs w:val="22"/>
              </w:rPr>
            </w:pPr>
            <w:r>
              <w:t xml:space="preserve">The soft loan with lower interest rate and longer due period and longer principal repayment deferment. </w:t>
            </w:r>
          </w:p>
          <w:p w14:paraId="2115F8EE" w14:textId="77777777" w:rsidR="006D3AD5" w:rsidRPr="002C224A" w:rsidRDefault="006D3AD5" w:rsidP="00443B8F">
            <w:pPr>
              <w:rPr>
                <w:rFonts w:cs="Calibri"/>
                <w:b/>
                <w:bCs/>
                <w:color w:val="365F91"/>
                <w:sz w:val="26"/>
                <w:szCs w:val="22"/>
              </w:rPr>
            </w:pPr>
          </w:p>
          <w:p w14:paraId="62FB7EA1" w14:textId="77777777" w:rsidR="006D3AD5" w:rsidRPr="002C224A" w:rsidRDefault="006D3AD5" w:rsidP="00443B8F">
            <w:r>
              <w:t>Conditional subsidy for reimbursement of the interest rate from the parallel bank loan.</w:t>
            </w:r>
          </w:p>
        </w:tc>
      </w:tr>
      <w:tr w:rsidR="006D3AD5" w:rsidRPr="002C224A" w14:paraId="4778ECB0" w14:textId="77777777" w:rsidTr="00443B8F">
        <w:tc>
          <w:tcPr>
            <w:tcW w:w="2282" w:type="dxa"/>
            <w:shd w:val="clear" w:color="auto" w:fill="92D400"/>
            <w:noWrap/>
          </w:tcPr>
          <w:p w14:paraId="5CC0C9EC" w14:textId="77777777" w:rsidR="006D3AD5" w:rsidRPr="002C224A" w:rsidRDefault="006D3AD5" w:rsidP="00443B8F">
            <w:pPr>
              <w:jc w:val="left"/>
              <w:rPr>
                <w:b/>
                <w:color w:val="FFFFFF"/>
              </w:rPr>
            </w:pPr>
            <w:r>
              <w:rPr>
                <w:b/>
                <w:color w:val="FFFFFF"/>
              </w:rPr>
              <w:t>Support amount</w:t>
            </w:r>
          </w:p>
        </w:tc>
        <w:tc>
          <w:tcPr>
            <w:tcW w:w="6788" w:type="dxa"/>
            <w:shd w:val="clear" w:color="auto" w:fill="FFFFFF"/>
            <w:noWrap/>
          </w:tcPr>
          <w:p w14:paraId="6B0F5D3D" w14:textId="77777777" w:rsidR="006D3AD5" w:rsidRPr="002C224A" w:rsidRDefault="006D3AD5" w:rsidP="00443B8F">
            <w:r>
              <w:t>The soft loan is provided in the maximum amount of 80% of eligible project costs, the minimum amount being CZK 750 thousand, the maximum being CZK 100 million. The average amount per one supported project is estimated at CZK 7-9 million.</w:t>
            </w:r>
          </w:p>
        </w:tc>
      </w:tr>
      <w:tr w:rsidR="006D3AD5" w:rsidRPr="002C224A" w14:paraId="737F885F" w14:textId="77777777" w:rsidTr="00443B8F">
        <w:tc>
          <w:tcPr>
            <w:tcW w:w="2282" w:type="dxa"/>
            <w:shd w:val="clear" w:color="auto" w:fill="92D400"/>
            <w:noWrap/>
          </w:tcPr>
          <w:p w14:paraId="051CFBC6"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43F39A9E" w14:textId="3554FAFE" w:rsidR="006D3AD5" w:rsidRPr="001D237C" w:rsidRDefault="006D3AD5" w:rsidP="00AE65A1">
            <w:r>
              <w:t xml:space="preserve">The soft loan should be provided in parallel with commercial loan of a private credit institution and a co-financing of the final recipient. The share of commercial loan is recommended at 50-100% of the soft loan. </w:t>
            </w:r>
          </w:p>
        </w:tc>
      </w:tr>
      <w:tr w:rsidR="006D3AD5" w:rsidRPr="002C224A" w14:paraId="11E08AD4" w14:textId="77777777" w:rsidTr="00443B8F">
        <w:tc>
          <w:tcPr>
            <w:tcW w:w="2282" w:type="dxa"/>
            <w:shd w:val="clear" w:color="auto" w:fill="92D400"/>
            <w:noWrap/>
          </w:tcPr>
          <w:p w14:paraId="7E9F90B4" w14:textId="77777777" w:rsidR="006D3AD5" w:rsidRPr="002C224A" w:rsidRDefault="006D3AD5" w:rsidP="00443B8F">
            <w:pPr>
              <w:jc w:val="left"/>
              <w:rPr>
                <w:b/>
                <w:color w:val="FFFFFF"/>
              </w:rPr>
            </w:pPr>
            <w:r>
              <w:rPr>
                <w:b/>
                <w:color w:val="FFFFFF"/>
              </w:rPr>
              <w:t>Steps for activation of private financial sources</w:t>
            </w:r>
          </w:p>
        </w:tc>
        <w:tc>
          <w:tcPr>
            <w:tcW w:w="6788" w:type="dxa"/>
            <w:shd w:val="clear" w:color="auto" w:fill="FFFFFF"/>
            <w:noWrap/>
          </w:tcPr>
          <w:p w14:paraId="4A7F54AF" w14:textId="77777777" w:rsidR="006D3AD5" w:rsidRPr="002C224A" w:rsidRDefault="006D3AD5" w:rsidP="00443B8F">
            <w:r>
              <w:t>Preferential remuneration is not necessary. Private credit institutions will be involved in accordance with market conditions, the soft loan instrument will have a secondary lien and therefore it will enable for using further commercial loans.</w:t>
            </w:r>
          </w:p>
        </w:tc>
      </w:tr>
      <w:tr w:rsidR="006D3AD5" w:rsidRPr="002C224A" w14:paraId="40245EAE" w14:textId="77777777" w:rsidTr="00443B8F">
        <w:tc>
          <w:tcPr>
            <w:tcW w:w="2282" w:type="dxa"/>
            <w:shd w:val="clear" w:color="auto" w:fill="92D400"/>
            <w:noWrap/>
          </w:tcPr>
          <w:p w14:paraId="6E3AA4E7" w14:textId="77777777" w:rsidR="006D3AD5" w:rsidRPr="002C224A" w:rsidRDefault="006D3AD5" w:rsidP="00443B8F">
            <w:pPr>
              <w:jc w:val="left"/>
              <w:rPr>
                <w:b/>
                <w:color w:val="FFFFFF"/>
              </w:rPr>
            </w:pPr>
            <w:r>
              <w:rPr>
                <w:b/>
                <w:color w:val="FFFFFF"/>
              </w:rPr>
              <w:t>Expected allocation</w:t>
            </w:r>
          </w:p>
        </w:tc>
        <w:tc>
          <w:tcPr>
            <w:tcW w:w="6788" w:type="dxa"/>
            <w:shd w:val="clear" w:color="auto" w:fill="FFFFFF"/>
            <w:noWrap/>
          </w:tcPr>
          <w:p w14:paraId="5AD53378" w14:textId="1466A93A" w:rsidR="006D3AD5" w:rsidRPr="002C224A" w:rsidRDefault="006D3AD5" w:rsidP="00C44554">
            <w:r>
              <w:t>Debt instruments</w:t>
            </w:r>
            <w:r w:rsidR="000F02E1">
              <w:t xml:space="preserve"> (both loans and guarantees)</w:t>
            </w:r>
            <w:r>
              <w:t xml:space="preserve"> are recommended for use in the ran</w:t>
            </w:r>
            <w:r w:rsidR="000F02E1">
              <w:t xml:space="preserve">ge of CZK </w:t>
            </w:r>
            <w:r w:rsidR="00C44554" w:rsidRPr="00C44554">
              <w:t>8,850-12,000</w:t>
            </w:r>
            <w:r w:rsidR="000F02E1">
              <w:t xml:space="preserve"> million.</w:t>
            </w:r>
          </w:p>
        </w:tc>
      </w:tr>
    </w:tbl>
    <w:p w14:paraId="4E511C1E" w14:textId="0E44C241" w:rsidR="006D3AD5" w:rsidRPr="002C224A" w:rsidRDefault="006D3AD5" w:rsidP="006D3AD5">
      <w:pPr>
        <w:pStyle w:val="Titulek"/>
      </w:pPr>
      <w:r>
        <w:t>Table 1</w:t>
      </w:r>
      <w:r w:rsidR="00396AB4">
        <w:t>1</w:t>
      </w:r>
      <w:r w:rsidR="00B90ACD">
        <w:t>3</w:t>
      </w:r>
      <w:r>
        <w:t>: Summary of the FI SO 2.1 Soft loans</w:t>
      </w:r>
    </w:p>
    <w:p w14:paraId="18B07BC0" w14:textId="77777777" w:rsidR="006D3AD5" w:rsidRPr="00A50943" w:rsidRDefault="006D3AD5" w:rsidP="006D3AD5"/>
    <w:p w14:paraId="458827DA" w14:textId="77777777" w:rsidR="006D3AD5" w:rsidRPr="002C224A" w:rsidRDefault="006D3AD5" w:rsidP="006D3AD5">
      <w:pPr>
        <w:pStyle w:val="CaptionIntroductionparagraph"/>
        <w:rPr>
          <w:rFonts w:ascii="Calibri" w:hAnsi="Calibri"/>
        </w:rPr>
      </w:pPr>
      <w:r>
        <w:rPr>
          <w:rFonts w:ascii="Calibri" w:hAnsi="Calibri"/>
        </w:rPr>
        <w:t>Guarantee instrument</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6093C3B8" w14:textId="77777777" w:rsidTr="00443B8F">
        <w:tc>
          <w:tcPr>
            <w:tcW w:w="2282" w:type="dxa"/>
            <w:shd w:val="clear" w:color="auto" w:fill="ECFFC3"/>
          </w:tcPr>
          <w:p w14:paraId="136DAB64" w14:textId="77777777" w:rsidR="006D3AD5" w:rsidRPr="00A50943" w:rsidRDefault="006D3AD5" w:rsidP="00443B8F">
            <w:pPr>
              <w:rPr>
                <w:b/>
              </w:rPr>
            </w:pPr>
          </w:p>
        </w:tc>
        <w:tc>
          <w:tcPr>
            <w:tcW w:w="6788" w:type="dxa"/>
            <w:shd w:val="clear" w:color="auto" w:fill="ECFFC3"/>
          </w:tcPr>
          <w:p w14:paraId="7154E2F5" w14:textId="77777777" w:rsidR="006D3AD5" w:rsidRPr="002C224A" w:rsidRDefault="006D3AD5" w:rsidP="00443B8F">
            <w:pPr>
              <w:ind w:left="38"/>
              <w:rPr>
                <w:b/>
              </w:rPr>
            </w:pPr>
          </w:p>
        </w:tc>
      </w:tr>
      <w:tr w:rsidR="006D3AD5" w:rsidRPr="002C224A" w14:paraId="3BCEBF07" w14:textId="77777777" w:rsidTr="00443B8F">
        <w:tc>
          <w:tcPr>
            <w:tcW w:w="2282" w:type="dxa"/>
            <w:shd w:val="clear" w:color="auto" w:fill="92D400"/>
            <w:noWrap/>
          </w:tcPr>
          <w:p w14:paraId="1FC84748" w14:textId="77777777" w:rsidR="006D3AD5" w:rsidRPr="002C224A" w:rsidRDefault="006D3AD5" w:rsidP="00443B8F">
            <w:pPr>
              <w:jc w:val="left"/>
              <w:rPr>
                <w:b/>
                <w:color w:val="FFFFFF"/>
              </w:rPr>
            </w:pPr>
            <w:r>
              <w:rPr>
                <w:b/>
                <w:color w:val="FFFFFF"/>
              </w:rPr>
              <w:t>Objectives of the financial instrument</w:t>
            </w:r>
          </w:p>
        </w:tc>
        <w:tc>
          <w:tcPr>
            <w:tcW w:w="6788" w:type="dxa"/>
            <w:shd w:val="clear" w:color="auto" w:fill="FFFFFF"/>
            <w:noWrap/>
          </w:tcPr>
          <w:p w14:paraId="61635C09" w14:textId="017447AB" w:rsidR="006D3AD5" w:rsidRPr="002C224A" w:rsidRDefault="006D3AD5" w:rsidP="00443B8F">
            <w:r>
              <w:t xml:space="preserve">Guarantees for bank loans are aimed at supporting the investments into the </w:t>
            </w:r>
            <w:r w:rsidR="0042403A">
              <w:t>SME</w:t>
            </w:r>
            <w:r>
              <w:t xml:space="preserve">s development and resolving market failures in the area of access to financing in case of higher-risk </w:t>
            </w:r>
            <w:r w:rsidR="0042403A">
              <w:t>SME</w:t>
            </w:r>
            <w:r>
              <w:t>s without sufficient security.</w:t>
            </w:r>
          </w:p>
        </w:tc>
      </w:tr>
      <w:tr w:rsidR="006D3AD5" w:rsidRPr="002C224A" w14:paraId="2F2EDBC0" w14:textId="77777777" w:rsidTr="00443B8F">
        <w:tc>
          <w:tcPr>
            <w:tcW w:w="2282" w:type="dxa"/>
            <w:shd w:val="clear" w:color="auto" w:fill="92D400"/>
            <w:noWrap/>
          </w:tcPr>
          <w:p w14:paraId="05834FC1"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19975B49" w14:textId="20322D13" w:rsidR="006D3AD5" w:rsidRPr="002C224A" w:rsidRDefault="006D3AD5" w:rsidP="00443B8F">
            <w:r>
              <w:t xml:space="preserve">The support is intended for financing the investment projects of </w:t>
            </w:r>
            <w:r w:rsidR="0042403A">
              <w:t>SME</w:t>
            </w:r>
            <w:r>
              <w:t xml:space="preserve">s development. The support is primarily intended for investments into technologies, fixed intangible assets or alternatively into real estate. </w:t>
            </w:r>
          </w:p>
          <w:p w14:paraId="5E95AD86" w14:textId="77777777" w:rsidR="006D3AD5" w:rsidRPr="002C224A" w:rsidRDefault="006D3AD5" w:rsidP="00443B8F">
            <w:pPr>
              <w:rPr>
                <w:b/>
              </w:rPr>
            </w:pPr>
          </w:p>
        </w:tc>
      </w:tr>
      <w:tr w:rsidR="006D3AD5" w:rsidRPr="002C224A" w14:paraId="2370E7F3" w14:textId="77777777" w:rsidTr="00443B8F">
        <w:tc>
          <w:tcPr>
            <w:tcW w:w="2282" w:type="dxa"/>
            <w:shd w:val="clear" w:color="auto" w:fill="92D400"/>
            <w:noWrap/>
          </w:tcPr>
          <w:p w14:paraId="33B12812" w14:textId="77777777" w:rsidR="006D3AD5" w:rsidRPr="002C224A" w:rsidRDefault="006D3AD5" w:rsidP="00443B8F">
            <w:pPr>
              <w:jc w:val="left"/>
              <w:rPr>
                <w:b/>
                <w:color w:val="FFFFFF"/>
              </w:rPr>
            </w:pPr>
            <w:r>
              <w:rPr>
                <w:b/>
                <w:color w:val="FFFFFF"/>
              </w:rPr>
              <w:t>Support form</w:t>
            </w:r>
          </w:p>
        </w:tc>
        <w:tc>
          <w:tcPr>
            <w:tcW w:w="6788" w:type="dxa"/>
            <w:shd w:val="clear" w:color="auto" w:fill="FFFFFF"/>
            <w:noWrap/>
          </w:tcPr>
          <w:p w14:paraId="2E5B13C8" w14:textId="77777777" w:rsidR="006D3AD5" w:rsidRPr="002C224A" w:rsidRDefault="006D3AD5" w:rsidP="00443B8F">
            <w:r>
              <w:t>The financial instrument will provide support in the form of a guarantee for the credit institutions for the specific loan for the supported purpose. The credit institution will be the loan distributor for final recipients.</w:t>
            </w:r>
          </w:p>
          <w:p w14:paraId="77129FF1" w14:textId="77777777" w:rsidR="006D3AD5" w:rsidRPr="002C224A" w:rsidRDefault="006D3AD5" w:rsidP="00443B8F"/>
          <w:p w14:paraId="208EDAE9" w14:textId="77777777" w:rsidR="006D3AD5" w:rsidRPr="002C224A" w:rsidRDefault="006D3AD5" w:rsidP="00443B8F">
            <w:r>
              <w:t>Conditional subsidy for interest costs</w:t>
            </w:r>
          </w:p>
        </w:tc>
      </w:tr>
      <w:tr w:rsidR="006D3AD5" w:rsidRPr="002C224A" w14:paraId="405224B0" w14:textId="77777777" w:rsidTr="00443B8F">
        <w:tc>
          <w:tcPr>
            <w:tcW w:w="2282" w:type="dxa"/>
            <w:shd w:val="clear" w:color="auto" w:fill="92D400"/>
            <w:noWrap/>
          </w:tcPr>
          <w:p w14:paraId="3D7F1DCF" w14:textId="77777777" w:rsidR="006D3AD5" w:rsidRPr="002C224A" w:rsidRDefault="006D3AD5" w:rsidP="00443B8F">
            <w:pPr>
              <w:jc w:val="left"/>
              <w:rPr>
                <w:b/>
                <w:color w:val="FFFFFF"/>
              </w:rPr>
            </w:pPr>
            <w:r>
              <w:rPr>
                <w:b/>
                <w:color w:val="FFFFFF"/>
              </w:rPr>
              <w:t>Support amount</w:t>
            </w:r>
          </w:p>
        </w:tc>
        <w:tc>
          <w:tcPr>
            <w:tcW w:w="6788" w:type="dxa"/>
            <w:shd w:val="clear" w:color="auto" w:fill="FFFFFF"/>
            <w:noWrap/>
          </w:tcPr>
          <w:p w14:paraId="50A76172" w14:textId="77777777" w:rsidR="006D3AD5" w:rsidRPr="002C224A" w:rsidRDefault="006D3AD5" w:rsidP="00443B8F">
            <w:r>
              <w:t>Guarantees will be provided in the amount of up to 80% of the loan principal, CZK 100 million at most. The estimated average amount of the secured loan is CZK 6-8 million (in case of individual guarantees of up to four times more)</w:t>
            </w:r>
          </w:p>
        </w:tc>
      </w:tr>
      <w:tr w:rsidR="006D3AD5" w:rsidRPr="002C224A" w14:paraId="02D23C65" w14:textId="77777777" w:rsidTr="00443B8F">
        <w:tc>
          <w:tcPr>
            <w:tcW w:w="2282" w:type="dxa"/>
            <w:shd w:val="clear" w:color="auto" w:fill="92D400"/>
            <w:noWrap/>
          </w:tcPr>
          <w:p w14:paraId="2A563859"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48BC81F4" w14:textId="77777777" w:rsidR="006D3AD5" w:rsidRPr="002C224A" w:rsidRDefault="006D3AD5" w:rsidP="00443B8F">
            <w:r>
              <w:t xml:space="preserve">The support will be provided by the selected FI manager in the form of a guarantee for a commercial loan of the final recipient. </w:t>
            </w:r>
          </w:p>
        </w:tc>
      </w:tr>
      <w:tr w:rsidR="006D3AD5" w:rsidRPr="002C224A" w14:paraId="726371FE" w14:textId="77777777" w:rsidTr="00443B8F">
        <w:tc>
          <w:tcPr>
            <w:tcW w:w="2282" w:type="dxa"/>
            <w:shd w:val="clear" w:color="auto" w:fill="92D400"/>
            <w:noWrap/>
          </w:tcPr>
          <w:p w14:paraId="56639E7F" w14:textId="77777777" w:rsidR="006D3AD5" w:rsidRPr="002C224A" w:rsidRDefault="006D3AD5" w:rsidP="00443B8F">
            <w:pPr>
              <w:jc w:val="left"/>
              <w:rPr>
                <w:b/>
                <w:color w:val="FFFFFF"/>
              </w:rPr>
            </w:pPr>
            <w:r>
              <w:rPr>
                <w:b/>
                <w:color w:val="FFFFFF"/>
              </w:rPr>
              <w:t>Steps for activation of private financial sources</w:t>
            </w:r>
          </w:p>
        </w:tc>
        <w:tc>
          <w:tcPr>
            <w:tcW w:w="6788" w:type="dxa"/>
            <w:shd w:val="clear" w:color="auto" w:fill="FFFFFF"/>
            <w:noWrap/>
          </w:tcPr>
          <w:p w14:paraId="46C443A2" w14:textId="77777777" w:rsidR="006D3AD5" w:rsidRPr="002C224A" w:rsidRDefault="006D3AD5" w:rsidP="00443B8F">
            <w:pPr>
              <w:contextualSpacing/>
            </w:pPr>
            <w:r>
              <w:t>Partial risk elimination will enable banks to lend further financial resources without breaking current risk management policies.</w:t>
            </w:r>
          </w:p>
        </w:tc>
      </w:tr>
      <w:tr w:rsidR="006D3AD5" w:rsidRPr="002C224A" w14:paraId="3FE1CA77" w14:textId="77777777" w:rsidTr="00443B8F">
        <w:tc>
          <w:tcPr>
            <w:tcW w:w="2282" w:type="dxa"/>
            <w:shd w:val="clear" w:color="auto" w:fill="92D400"/>
            <w:noWrap/>
          </w:tcPr>
          <w:p w14:paraId="6C191CCD" w14:textId="77777777" w:rsidR="006D3AD5" w:rsidRPr="002C224A" w:rsidRDefault="006D3AD5" w:rsidP="00443B8F">
            <w:pPr>
              <w:jc w:val="left"/>
              <w:rPr>
                <w:b/>
                <w:color w:val="FFFFFF"/>
              </w:rPr>
            </w:pPr>
            <w:r>
              <w:rPr>
                <w:b/>
                <w:color w:val="FFFFFF"/>
              </w:rPr>
              <w:t>Expected allocation</w:t>
            </w:r>
          </w:p>
        </w:tc>
        <w:tc>
          <w:tcPr>
            <w:tcW w:w="6788" w:type="dxa"/>
            <w:shd w:val="clear" w:color="auto" w:fill="FFFFFF"/>
            <w:noWrap/>
          </w:tcPr>
          <w:p w14:paraId="1A72C44F" w14:textId="0A2BA878" w:rsidR="006D3AD5" w:rsidRPr="002C224A" w:rsidRDefault="006D3AD5" w:rsidP="00C44554">
            <w:r>
              <w:t>Debt instruments</w:t>
            </w:r>
            <w:r w:rsidR="000F02E1">
              <w:t xml:space="preserve"> (both loans and guarantees)</w:t>
            </w:r>
            <w:r>
              <w:t xml:space="preserve"> are recommended for use in the range of CZK</w:t>
            </w:r>
            <w:r w:rsidRPr="00C44554">
              <w:t xml:space="preserve"> </w:t>
            </w:r>
            <w:r w:rsidR="00C44554" w:rsidRPr="00C44554">
              <w:t>8,850-12,000</w:t>
            </w:r>
            <w:r w:rsidRPr="00C44554">
              <w:t xml:space="preserve"> </w:t>
            </w:r>
            <w:r>
              <w:t>million</w:t>
            </w:r>
            <w:r w:rsidR="000F02E1">
              <w:t>.</w:t>
            </w:r>
          </w:p>
        </w:tc>
      </w:tr>
    </w:tbl>
    <w:p w14:paraId="542100CF" w14:textId="7EDCE504" w:rsidR="006D3AD5" w:rsidRPr="002C224A" w:rsidRDefault="006D3AD5" w:rsidP="006D3AD5">
      <w:pPr>
        <w:pStyle w:val="Titulek"/>
      </w:pPr>
      <w:r>
        <w:lastRenderedPageBreak/>
        <w:t>Table 11</w:t>
      </w:r>
      <w:r w:rsidR="00B90ACD">
        <w:t>4</w:t>
      </w:r>
      <w:r>
        <w:t xml:space="preserve">: Summary of the guarantee instrument of the SO 2.1 </w:t>
      </w:r>
    </w:p>
    <w:p w14:paraId="1128ED47" w14:textId="77777777" w:rsidR="006D3AD5" w:rsidRPr="00A50943" w:rsidRDefault="006D3AD5" w:rsidP="006D3AD5"/>
    <w:p w14:paraId="6A237BBB" w14:textId="77777777" w:rsidR="006D3AD5" w:rsidRPr="002C224A" w:rsidRDefault="006D3AD5" w:rsidP="006D3AD5">
      <w:pPr>
        <w:pStyle w:val="Nadpis3"/>
        <w:rPr>
          <w:rFonts w:ascii="Calibri" w:hAnsi="Calibri"/>
        </w:rPr>
      </w:pPr>
      <w:bookmarkStart w:id="1129" w:name="_Toc416383985"/>
      <w:bookmarkStart w:id="1130" w:name="_Toc416447971"/>
      <w:bookmarkStart w:id="1131" w:name="_Toc416383986"/>
      <w:bookmarkStart w:id="1132" w:name="_Toc416447972"/>
      <w:bookmarkStart w:id="1133" w:name="_Toc416383987"/>
      <w:bookmarkStart w:id="1134" w:name="_Toc416447973"/>
      <w:bookmarkStart w:id="1135" w:name="_Toc416383988"/>
      <w:bookmarkStart w:id="1136" w:name="_Toc416447974"/>
      <w:bookmarkStart w:id="1137" w:name="_Toc416383989"/>
      <w:bookmarkStart w:id="1138" w:name="_Toc416447975"/>
      <w:bookmarkStart w:id="1139" w:name="_Toc416383990"/>
      <w:bookmarkStart w:id="1140" w:name="_Toc416447976"/>
      <w:bookmarkStart w:id="1141" w:name="_Toc416383991"/>
      <w:bookmarkStart w:id="1142" w:name="_Toc416447977"/>
      <w:bookmarkStart w:id="1143" w:name="_Toc416383992"/>
      <w:bookmarkStart w:id="1144" w:name="_Toc416447978"/>
      <w:bookmarkStart w:id="1145" w:name="_Toc416383993"/>
      <w:bookmarkStart w:id="1146" w:name="_Toc416447979"/>
      <w:bookmarkStart w:id="1147" w:name="_Toc416383994"/>
      <w:bookmarkStart w:id="1148" w:name="_Toc416447980"/>
      <w:bookmarkStart w:id="1149" w:name="_Toc416383995"/>
      <w:bookmarkStart w:id="1150" w:name="_Toc416447981"/>
      <w:bookmarkStart w:id="1151" w:name="_Toc416383996"/>
      <w:bookmarkStart w:id="1152" w:name="_Toc416447982"/>
      <w:bookmarkStart w:id="1153" w:name="_Toc416383997"/>
      <w:bookmarkStart w:id="1154" w:name="_Toc416447983"/>
      <w:bookmarkStart w:id="1155" w:name="_Toc416383998"/>
      <w:bookmarkStart w:id="1156" w:name="_Toc416447984"/>
      <w:bookmarkStart w:id="1157" w:name="_Toc416383999"/>
      <w:bookmarkStart w:id="1158" w:name="_Toc416447985"/>
      <w:bookmarkStart w:id="1159" w:name="_Toc416384000"/>
      <w:bookmarkStart w:id="1160" w:name="_Toc416447986"/>
      <w:bookmarkStart w:id="1161" w:name="_Toc416384001"/>
      <w:bookmarkStart w:id="1162" w:name="_Toc416447987"/>
      <w:bookmarkStart w:id="1163" w:name="_Toc416384002"/>
      <w:bookmarkStart w:id="1164" w:name="_Toc416447988"/>
      <w:bookmarkStart w:id="1165" w:name="_Toc416384003"/>
      <w:bookmarkStart w:id="1166" w:name="_Toc416447989"/>
      <w:bookmarkStart w:id="1167" w:name="_Toc416384004"/>
      <w:bookmarkStart w:id="1168" w:name="_Toc416447990"/>
      <w:bookmarkStart w:id="1169" w:name="_Toc416384005"/>
      <w:bookmarkStart w:id="1170" w:name="_Toc416447991"/>
      <w:bookmarkStart w:id="1171" w:name="_Toc416384006"/>
      <w:bookmarkStart w:id="1172" w:name="_Toc416447992"/>
      <w:bookmarkStart w:id="1173" w:name="_Toc416384007"/>
      <w:bookmarkStart w:id="1174" w:name="_Toc416447993"/>
      <w:bookmarkStart w:id="1175" w:name="_Toc416384008"/>
      <w:bookmarkStart w:id="1176" w:name="_Toc416447994"/>
      <w:bookmarkStart w:id="1177" w:name="_Toc416384009"/>
      <w:bookmarkStart w:id="1178" w:name="_Toc416447995"/>
      <w:bookmarkStart w:id="1179" w:name="_Toc416384010"/>
      <w:bookmarkStart w:id="1180" w:name="_Toc416447996"/>
      <w:bookmarkStart w:id="1181" w:name="_Toc416384011"/>
      <w:bookmarkStart w:id="1182" w:name="_Toc416447997"/>
      <w:bookmarkStart w:id="1183" w:name="_Toc416384012"/>
      <w:bookmarkStart w:id="1184" w:name="_Toc416447998"/>
      <w:bookmarkStart w:id="1185" w:name="_Toc416384013"/>
      <w:bookmarkStart w:id="1186" w:name="_Toc416447999"/>
      <w:bookmarkStart w:id="1187" w:name="_Toc416384014"/>
      <w:bookmarkStart w:id="1188" w:name="_Toc416448000"/>
      <w:bookmarkStart w:id="1189" w:name="_Toc416384015"/>
      <w:bookmarkStart w:id="1190" w:name="_Toc416448001"/>
      <w:bookmarkStart w:id="1191" w:name="_Toc416384016"/>
      <w:bookmarkStart w:id="1192" w:name="_Toc416448002"/>
      <w:bookmarkStart w:id="1193" w:name="_Toc416384017"/>
      <w:bookmarkStart w:id="1194" w:name="_Toc416448003"/>
      <w:bookmarkStart w:id="1195" w:name="_Toc416384018"/>
      <w:bookmarkStart w:id="1196" w:name="_Toc416448004"/>
      <w:bookmarkStart w:id="1197" w:name="_Toc416384019"/>
      <w:bookmarkStart w:id="1198" w:name="_Toc416448005"/>
      <w:bookmarkStart w:id="1199" w:name="_Toc416384020"/>
      <w:bookmarkStart w:id="1200" w:name="_Toc416448006"/>
      <w:bookmarkStart w:id="1201" w:name="_Toc416384021"/>
      <w:bookmarkStart w:id="1202" w:name="_Toc416448007"/>
      <w:bookmarkStart w:id="1203" w:name="_Toc416384022"/>
      <w:bookmarkStart w:id="1204" w:name="_Toc416448008"/>
      <w:bookmarkStart w:id="1205" w:name="_Toc416384023"/>
      <w:bookmarkStart w:id="1206" w:name="_Toc416448009"/>
      <w:bookmarkStart w:id="1207" w:name="_Toc416384024"/>
      <w:bookmarkStart w:id="1208" w:name="_Toc416448010"/>
      <w:bookmarkStart w:id="1209" w:name="_Toc416384025"/>
      <w:bookmarkStart w:id="1210" w:name="_Toc416448011"/>
      <w:bookmarkStart w:id="1211" w:name="_Toc416384026"/>
      <w:bookmarkStart w:id="1212" w:name="_Toc416448012"/>
      <w:bookmarkStart w:id="1213" w:name="_Toc416384027"/>
      <w:bookmarkStart w:id="1214" w:name="_Toc416448013"/>
      <w:bookmarkStart w:id="1215" w:name="_Toc416384028"/>
      <w:bookmarkStart w:id="1216" w:name="_Toc416448014"/>
      <w:bookmarkStart w:id="1217" w:name="_Toc416384029"/>
      <w:bookmarkStart w:id="1218" w:name="_Toc416448015"/>
      <w:bookmarkStart w:id="1219" w:name="_Toc416384030"/>
      <w:bookmarkStart w:id="1220" w:name="_Toc416448016"/>
      <w:bookmarkStart w:id="1221" w:name="_Toc416384031"/>
      <w:bookmarkStart w:id="1222" w:name="_Toc416448017"/>
      <w:bookmarkStart w:id="1223" w:name="_Toc416384032"/>
      <w:bookmarkStart w:id="1224" w:name="_Toc416448018"/>
      <w:bookmarkStart w:id="1225" w:name="_Toc416384033"/>
      <w:bookmarkStart w:id="1226" w:name="_Toc416448019"/>
      <w:bookmarkStart w:id="1227" w:name="_Toc416384034"/>
      <w:bookmarkStart w:id="1228" w:name="_Toc416448020"/>
      <w:bookmarkStart w:id="1229" w:name="_Toc416384035"/>
      <w:bookmarkStart w:id="1230" w:name="_Toc416448021"/>
      <w:bookmarkStart w:id="1231" w:name="_Toc416384036"/>
      <w:bookmarkStart w:id="1232" w:name="_Toc416448022"/>
      <w:bookmarkStart w:id="1233" w:name="_Toc416384037"/>
      <w:bookmarkStart w:id="1234" w:name="_Toc416448023"/>
      <w:bookmarkStart w:id="1235" w:name="_Toc416384038"/>
      <w:bookmarkStart w:id="1236" w:name="_Toc416448024"/>
      <w:bookmarkStart w:id="1237" w:name="_Toc416384039"/>
      <w:bookmarkStart w:id="1238" w:name="_Toc416448025"/>
      <w:bookmarkStart w:id="1239" w:name="_Toc416384040"/>
      <w:bookmarkStart w:id="1240" w:name="_Toc416448026"/>
      <w:bookmarkStart w:id="1241" w:name="_Toc416909399"/>
      <w:bookmarkStart w:id="1242" w:name="_Toc417544782"/>
      <w:bookmarkStart w:id="1243" w:name="_Toc416909401"/>
      <w:bookmarkStart w:id="1244" w:name="_Toc417544784"/>
      <w:bookmarkStart w:id="1245" w:name="_Toc416909402"/>
      <w:bookmarkStart w:id="1246" w:name="_Toc417544785"/>
      <w:bookmarkStart w:id="1247" w:name="_Toc416909403"/>
      <w:bookmarkStart w:id="1248" w:name="_Toc417544786"/>
      <w:bookmarkStart w:id="1249" w:name="_Toc416909408"/>
      <w:bookmarkStart w:id="1250" w:name="_Toc417544791"/>
      <w:bookmarkStart w:id="1251" w:name="_Toc416909427"/>
      <w:bookmarkStart w:id="1252" w:name="_Toc417544810"/>
      <w:bookmarkStart w:id="1253" w:name="_Toc416909449"/>
      <w:bookmarkStart w:id="1254" w:name="_Toc417544832"/>
      <w:bookmarkStart w:id="1255" w:name="_Toc416909451"/>
      <w:bookmarkStart w:id="1256" w:name="_Toc417544834"/>
      <w:bookmarkStart w:id="1257" w:name="_Toc416909453"/>
      <w:bookmarkStart w:id="1258" w:name="_Toc417544836"/>
      <w:bookmarkStart w:id="1259" w:name="_Toc416909475"/>
      <w:bookmarkStart w:id="1260" w:name="_Toc417544858"/>
      <w:bookmarkStart w:id="1261" w:name="_Toc416909497"/>
      <w:bookmarkStart w:id="1262" w:name="_Toc417544880"/>
      <w:bookmarkStart w:id="1263" w:name="_Toc416909498"/>
      <w:bookmarkStart w:id="1264" w:name="_Toc417544881"/>
      <w:bookmarkStart w:id="1265" w:name="_Toc416909499"/>
      <w:bookmarkStart w:id="1266" w:name="_Toc417544882"/>
      <w:bookmarkStart w:id="1267" w:name="_Toc416909502"/>
      <w:bookmarkStart w:id="1268" w:name="_Toc417544885"/>
      <w:bookmarkStart w:id="1269" w:name="_Toc416909515"/>
      <w:bookmarkStart w:id="1270" w:name="_Toc417544898"/>
      <w:bookmarkStart w:id="1271" w:name="_Toc416909519"/>
      <w:bookmarkStart w:id="1272" w:name="_Toc417544902"/>
      <w:bookmarkStart w:id="1273" w:name="_Toc416909523"/>
      <w:bookmarkStart w:id="1274" w:name="_Toc417544906"/>
      <w:bookmarkStart w:id="1275" w:name="_Toc416909527"/>
      <w:bookmarkStart w:id="1276" w:name="_Toc417544910"/>
      <w:bookmarkStart w:id="1277" w:name="_Toc416909535"/>
      <w:bookmarkStart w:id="1278" w:name="_Toc417544918"/>
      <w:bookmarkStart w:id="1279" w:name="_Toc416909539"/>
      <w:bookmarkStart w:id="1280" w:name="_Toc417544922"/>
      <w:bookmarkStart w:id="1281" w:name="_Toc416909543"/>
      <w:bookmarkStart w:id="1282" w:name="_Toc417544926"/>
      <w:bookmarkStart w:id="1283" w:name="_Toc416909547"/>
      <w:bookmarkStart w:id="1284" w:name="_Toc417544930"/>
      <w:bookmarkStart w:id="1285" w:name="_Toc416909555"/>
      <w:bookmarkStart w:id="1286" w:name="_Toc417544938"/>
      <w:bookmarkStart w:id="1287" w:name="_Toc416909559"/>
      <w:bookmarkStart w:id="1288" w:name="_Toc417544942"/>
      <w:bookmarkStart w:id="1289" w:name="_Toc416909563"/>
      <w:bookmarkStart w:id="1290" w:name="_Toc417544946"/>
      <w:bookmarkStart w:id="1291" w:name="_Toc416909567"/>
      <w:bookmarkStart w:id="1292" w:name="_Toc417544950"/>
      <w:bookmarkStart w:id="1293" w:name="_Toc416909568"/>
      <w:bookmarkStart w:id="1294" w:name="_Toc417544951"/>
      <w:bookmarkStart w:id="1295" w:name="_Toc416909571"/>
      <w:bookmarkStart w:id="1296" w:name="_Toc417544954"/>
      <w:bookmarkStart w:id="1297" w:name="_Toc416909587"/>
      <w:bookmarkStart w:id="1298" w:name="_Toc417544970"/>
      <w:bookmarkStart w:id="1299" w:name="_Toc416909592"/>
      <w:bookmarkStart w:id="1300" w:name="_Toc417544975"/>
      <w:bookmarkStart w:id="1301" w:name="_Toc416909597"/>
      <w:bookmarkStart w:id="1302" w:name="_Toc417544980"/>
      <w:bookmarkStart w:id="1303" w:name="_Toc416909602"/>
      <w:bookmarkStart w:id="1304" w:name="_Toc417544985"/>
      <w:bookmarkStart w:id="1305" w:name="_Toc416909612"/>
      <w:bookmarkStart w:id="1306" w:name="_Toc417544995"/>
      <w:bookmarkStart w:id="1307" w:name="_Toc416909617"/>
      <w:bookmarkStart w:id="1308" w:name="_Toc417545000"/>
      <w:bookmarkStart w:id="1309" w:name="_Toc416909622"/>
      <w:bookmarkStart w:id="1310" w:name="_Toc417545005"/>
      <w:bookmarkStart w:id="1311" w:name="_Toc416909627"/>
      <w:bookmarkStart w:id="1312" w:name="_Toc417545010"/>
      <w:bookmarkStart w:id="1313" w:name="_Toc416909637"/>
      <w:bookmarkStart w:id="1314" w:name="_Toc417545020"/>
      <w:bookmarkStart w:id="1315" w:name="_Toc416909642"/>
      <w:bookmarkStart w:id="1316" w:name="_Toc417545025"/>
      <w:bookmarkStart w:id="1317" w:name="_Toc416909647"/>
      <w:bookmarkStart w:id="1318" w:name="_Toc417545030"/>
      <w:bookmarkStart w:id="1319" w:name="_Toc416909649"/>
      <w:bookmarkStart w:id="1320" w:name="_Toc417545032"/>
      <w:bookmarkStart w:id="1321" w:name="_Toc416384042"/>
      <w:bookmarkStart w:id="1322" w:name="_Toc416448028"/>
      <w:bookmarkStart w:id="1323" w:name="_Toc416384043"/>
      <w:bookmarkStart w:id="1324" w:name="_Toc416448029"/>
      <w:bookmarkStart w:id="1325" w:name="_Toc416384044"/>
      <w:bookmarkStart w:id="1326" w:name="_Toc416448030"/>
      <w:bookmarkStart w:id="1327" w:name="_Toc416384045"/>
      <w:bookmarkStart w:id="1328" w:name="_Toc416448031"/>
      <w:bookmarkStart w:id="1329" w:name="_Toc416800495"/>
      <w:bookmarkStart w:id="1330" w:name="_Toc419183283"/>
      <w:bookmarkStart w:id="1331" w:name="_Toc422312149"/>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Pr>
          <w:rFonts w:ascii="Calibri" w:hAnsi="Calibri"/>
        </w:rPr>
        <w:t>Specific objective 2.3</w:t>
      </w:r>
      <w:bookmarkEnd w:id="1329"/>
      <w:bookmarkEnd w:id="1330"/>
      <w:bookmarkEnd w:id="1331"/>
    </w:p>
    <w:p w14:paraId="6E4EA4F3" w14:textId="77777777" w:rsidR="006D3AD5" w:rsidRPr="002C224A" w:rsidRDefault="006D3AD5" w:rsidP="006D3AD5">
      <w:pPr>
        <w:pStyle w:val="Nadpis4"/>
        <w:rPr>
          <w:rFonts w:ascii="Calibri" w:hAnsi="Calibri"/>
        </w:rPr>
      </w:pPr>
      <w:bookmarkStart w:id="1332" w:name="_Toc416800496"/>
      <w:r>
        <w:rPr>
          <w:rFonts w:ascii="Calibri" w:hAnsi="Calibri"/>
        </w:rPr>
        <w:t>Forms of financial instruments and allocation amount</w:t>
      </w:r>
    </w:p>
    <w:p w14:paraId="5A1AED52" w14:textId="77777777" w:rsidR="006D3AD5" w:rsidRPr="00A50943" w:rsidRDefault="006D3AD5" w:rsidP="006D3AD5"/>
    <w:bookmarkEnd w:id="1332"/>
    <w:p w14:paraId="560F441F" w14:textId="77777777" w:rsidR="006D3AD5" w:rsidRPr="002C224A" w:rsidRDefault="006D3AD5" w:rsidP="006D3AD5">
      <w:r>
        <w:rPr>
          <w:b/>
        </w:rPr>
        <w:t xml:space="preserve">In accordance with the Block I analysis the SO 2.3 shows partial potential for using financial instruments that has to be evaluated by the MA with regard to defined priorities of the specific objective. </w:t>
      </w:r>
      <w:r>
        <w:t>There are several usable variants of public support that differ in their focus and effect.</w:t>
      </w:r>
    </w:p>
    <w:p w14:paraId="22B5313B" w14:textId="77777777" w:rsidR="006D3AD5" w:rsidRPr="002C224A" w:rsidRDefault="006D3AD5" w:rsidP="006D3AD5"/>
    <w:p w14:paraId="1C2E615A" w14:textId="77777777" w:rsidR="006D3AD5" w:rsidRDefault="006D3AD5" w:rsidP="006D3AD5">
      <w:r>
        <w:t xml:space="preserve">Given the characteristics of the market failure we recommend maintaining larger part of the allocation for subsidy support but with a condition of more specific criteria for selection of supported BF so that only really necessary projects would be targeted. Among others the recoverability and cost gap, revitalization complexity and usefulness of the target project should be taken into account. </w:t>
      </w:r>
    </w:p>
    <w:p w14:paraId="3A598706" w14:textId="77777777" w:rsidR="006D3AD5" w:rsidRDefault="006D3AD5" w:rsidP="006D3AD5"/>
    <w:p w14:paraId="179DB60B" w14:textId="77777777" w:rsidR="006D3AD5" w:rsidRPr="002C224A" w:rsidRDefault="006D3AD5" w:rsidP="006D3AD5">
      <w:r>
        <w:t>If the MA decides to divide the allocation and focus the smaller part on the BF specific segments suitable for the FI, these forms and focuses can be considered:</w:t>
      </w:r>
    </w:p>
    <w:p w14:paraId="185D74B4" w14:textId="77777777" w:rsidR="006D3AD5" w:rsidRPr="002C224A" w:rsidRDefault="006D3AD5" w:rsidP="006D3AD5">
      <w:pPr>
        <w:pStyle w:val="BodyText1"/>
        <w:jc w:val="both"/>
        <w:rPr>
          <w:rFonts w:ascii="Calibri" w:hAnsi="Calibri"/>
        </w:rPr>
      </w:pPr>
    </w:p>
    <w:p w14:paraId="5452D36A" w14:textId="77777777" w:rsidR="006D3AD5" w:rsidRPr="002C224A" w:rsidRDefault="006D3AD5" w:rsidP="006D3AD5">
      <w:pPr>
        <w:pStyle w:val="Neslovannadpisy"/>
      </w:pPr>
      <w:r>
        <w:t>Credit instrument</w:t>
      </w:r>
    </w:p>
    <w:p w14:paraId="088561ED" w14:textId="77777777" w:rsidR="006D3AD5" w:rsidRPr="002C224A" w:rsidRDefault="006D3AD5" w:rsidP="006D3AD5">
      <w:r>
        <w:t xml:space="preserve">The credit instrument would be in the form of </w:t>
      </w:r>
      <w:r>
        <w:rPr>
          <w:b/>
        </w:rPr>
        <w:t xml:space="preserve">soft loans with lower interest rate and longer due period with a subsidy for the project technical preparation and conditional subsidy for reimbursement of interest rate in case of proper project completion and payments. </w:t>
      </w:r>
      <w:r>
        <w:t>Framework parameters and their implementation are proposed in accordance with the SO 2.1 loans. The subsidy for interest rate reimbursements and project preparation is recommended for more frequent provision.</w:t>
      </w:r>
    </w:p>
    <w:p w14:paraId="000A8177" w14:textId="77777777" w:rsidR="006D3AD5" w:rsidRPr="002C224A" w:rsidRDefault="006D3AD5" w:rsidP="006D3AD5"/>
    <w:p w14:paraId="2E1566D5" w14:textId="77777777" w:rsidR="006D3AD5" w:rsidRPr="002C224A" w:rsidRDefault="006D3AD5" w:rsidP="006D3AD5">
      <w:r>
        <w:t xml:space="preserve">Especially </w:t>
      </w:r>
      <w:r>
        <w:rPr>
          <w:b/>
        </w:rPr>
        <w:t>business projects for reconstructions of neglected real estates</w:t>
      </w:r>
      <w:r>
        <w:t xml:space="preserve"> with possible outcome of a complex renewal and creation of a modern business facility for new production activity are recommended for support. </w:t>
      </w:r>
      <w:r>
        <w:rPr>
          <w:b/>
        </w:rPr>
        <w:t>Preliminary evaluation of an instrument with this target group states that it is possible to use it but its added value in regard to SO 2.3 objectives is weaker</w:t>
      </w:r>
      <w:r>
        <w:t>.</w:t>
      </w:r>
    </w:p>
    <w:p w14:paraId="0616C07E" w14:textId="77777777" w:rsidR="006D3AD5" w:rsidRPr="002C224A" w:rsidRDefault="006D3AD5" w:rsidP="006D3AD5"/>
    <w:p w14:paraId="31E34AFC" w14:textId="254CBEB9" w:rsidR="006D3AD5" w:rsidRPr="002C224A" w:rsidRDefault="006D3AD5" w:rsidP="006D3AD5">
      <w:r>
        <w:rPr>
          <w:b/>
        </w:rPr>
        <w:t>Soft loans could also be used by municipalities</w:t>
      </w:r>
      <w:r>
        <w:t xml:space="preserve"> that wish to invest into BF revitalization to prepare business areas for </w:t>
      </w:r>
      <w:r w:rsidR="0042403A">
        <w:t>SME</w:t>
      </w:r>
      <w:r>
        <w:t>s but a very low absorption capacity of this kind has to be taken into account.</w:t>
      </w:r>
    </w:p>
    <w:p w14:paraId="77C07BA3" w14:textId="77777777" w:rsidR="006D3AD5" w:rsidRPr="002C224A" w:rsidRDefault="006D3AD5" w:rsidP="006D3AD5">
      <w:pPr>
        <w:rPr>
          <w:b/>
        </w:rPr>
      </w:pPr>
    </w:p>
    <w:p w14:paraId="2E54111B" w14:textId="77777777" w:rsidR="006D3AD5" w:rsidRPr="002C224A" w:rsidRDefault="006D3AD5" w:rsidP="006D3AD5">
      <w:pPr>
        <w:pStyle w:val="Neslovannadpisy"/>
      </w:pPr>
      <w:r>
        <w:t>Subordinated loans</w:t>
      </w:r>
    </w:p>
    <w:p w14:paraId="6A20FA12" w14:textId="77777777" w:rsidR="006D3AD5" w:rsidRPr="002C224A" w:rsidRDefault="006D3AD5" w:rsidP="006D3AD5">
      <w:pPr>
        <w:rPr>
          <w:b/>
        </w:rPr>
      </w:pPr>
      <w:r>
        <w:rPr>
          <w:b/>
        </w:rPr>
        <w:t>As a possible solution in the area of reconstructing the BF into larger scale business structure intended for further discussion are the FIs in the form of subordinated loans for a newly established development entity.</w:t>
      </w:r>
    </w:p>
    <w:p w14:paraId="0E266666" w14:textId="77777777" w:rsidR="006D3AD5" w:rsidRPr="002C224A" w:rsidRDefault="006D3AD5" w:rsidP="006D3AD5"/>
    <w:p w14:paraId="72331312" w14:textId="77777777" w:rsidR="006D3AD5" w:rsidRPr="002C224A" w:rsidRDefault="006D3AD5" w:rsidP="006D3AD5">
      <w:r>
        <w:t>This hypothetical FI is primarily intended for the segment of large BF exceeding 10 hectares with existing investment return potential. This strategy should be realized by using purpose-established entity that would operate in the public interest (i.e. it will fulfil objectives of the operating programme and will prefer socio-economic benefits to financial benefits) and on the account of the managing authority of the financing operating programme.</w:t>
      </w:r>
    </w:p>
    <w:p w14:paraId="2C6F8656" w14:textId="77777777" w:rsidR="006D3AD5" w:rsidRPr="002C224A" w:rsidRDefault="006D3AD5" w:rsidP="006D3AD5"/>
    <w:p w14:paraId="4D816131" w14:textId="77777777" w:rsidR="006D3AD5" w:rsidRPr="002C224A" w:rsidRDefault="006D3AD5" w:rsidP="006D3AD5">
      <w:r>
        <w:t xml:space="preserve">The FI strategy would then be to create balanced and long-term financially balanced portfolio of business zones. The manager would then be responsible for the whole initial project stage, i.e. for the purchase of brownfield type estates, removal of non-usable buildings, construction of backbone infrastructure or making necessary terrain adjustments. Zones prepared in this way would then be </w:t>
      </w:r>
      <w:r>
        <w:lastRenderedPageBreak/>
        <w:t xml:space="preserve">adjusted to the needs of small and medium-sized enterprises from the perspective of estate area and infrastructure accessibility or capacity. </w:t>
      </w:r>
    </w:p>
    <w:p w14:paraId="777A675E" w14:textId="77777777" w:rsidR="006D3AD5" w:rsidRPr="002C224A" w:rsidRDefault="006D3AD5" w:rsidP="006D3AD5"/>
    <w:p w14:paraId="2DDC87CC" w14:textId="2C93732E" w:rsidR="006D3AD5" w:rsidRPr="002C224A" w:rsidRDefault="006D3AD5" w:rsidP="006D3AD5">
      <w:r>
        <w:t xml:space="preserve">Subsequently, after the project completion, the whole areas or individual development areas would then be sold to small and medium-size enterprises that would build new business objects on them. As the proposed scheme should be market-neutral, the sale would be realized in the form of a tender offer and the price would be established by the market, i.e. by the highest bid. In the purchase contract there would be a </w:t>
      </w:r>
      <w:r w:rsidR="0042403A">
        <w:t>SME</w:t>
      </w:r>
      <w:r>
        <w:t xml:space="preserve"> business sustainability condition secured by a lien for the case of non-fulfilment.</w:t>
      </w:r>
    </w:p>
    <w:p w14:paraId="00526053" w14:textId="77777777" w:rsidR="006D3AD5" w:rsidRPr="002C224A" w:rsidRDefault="006D3AD5" w:rsidP="006D3AD5"/>
    <w:p w14:paraId="73460101" w14:textId="77777777" w:rsidR="006D3AD5" w:rsidRPr="002C224A" w:rsidRDefault="006D3AD5" w:rsidP="006D3AD5">
      <w:r>
        <w:t>The entity manager would be selected in a tender in case of a private subject or by a direct request in case of an establishment of a public subject.</w:t>
      </w:r>
    </w:p>
    <w:p w14:paraId="5FA16DB0" w14:textId="77777777" w:rsidR="006D3AD5" w:rsidRPr="002C224A" w:rsidRDefault="006D3AD5" w:rsidP="006D3AD5"/>
    <w:p w14:paraId="4EF9D792" w14:textId="77777777" w:rsidR="006D3AD5" w:rsidRPr="002C224A" w:rsidRDefault="006D3AD5" w:rsidP="006D3AD5">
      <w:pPr>
        <w:overflowPunct/>
        <w:autoSpaceDE/>
        <w:autoSpaceDN/>
        <w:adjustRightInd/>
        <w:spacing w:after="200" w:line="276" w:lineRule="auto"/>
        <w:textAlignment w:val="auto"/>
        <w:rPr>
          <w:b/>
        </w:rPr>
      </w:pPr>
      <w:r>
        <w:rPr>
          <w:b/>
        </w:rPr>
        <w:t>Significant risks in regard to proper investment management of entrusted investment on the managerial side could be resolved by several measures:</w:t>
      </w:r>
    </w:p>
    <w:p w14:paraId="61CFE5B0" w14:textId="77777777" w:rsidR="006D3AD5" w:rsidRPr="002C224A" w:rsidRDefault="006D3AD5" w:rsidP="006D3AD5">
      <w:pPr>
        <w:pStyle w:val="Odstavecseseznamem1"/>
        <w:numPr>
          <w:ilvl w:val="0"/>
          <w:numId w:val="50"/>
        </w:numPr>
        <w:overflowPunct/>
        <w:autoSpaceDE/>
        <w:autoSpaceDN/>
        <w:adjustRightInd/>
        <w:spacing w:after="200" w:line="276" w:lineRule="auto"/>
        <w:textAlignment w:val="auto"/>
      </w:pPr>
      <w:r>
        <w:t xml:space="preserve">Financial funds under the FI control could be held at a depository that would manage accounts created especially for this purpose. </w:t>
      </w:r>
    </w:p>
    <w:p w14:paraId="7FAB6F1E" w14:textId="77777777" w:rsidR="006D3AD5" w:rsidRPr="002C224A" w:rsidRDefault="006D3AD5" w:rsidP="006D3AD5">
      <w:pPr>
        <w:pStyle w:val="Odstavecseseznamem1"/>
        <w:numPr>
          <w:ilvl w:val="0"/>
          <w:numId w:val="50"/>
        </w:numPr>
        <w:overflowPunct/>
        <w:autoSpaceDE/>
        <w:autoSpaceDN/>
        <w:adjustRightInd/>
        <w:spacing w:after="200" w:line="276" w:lineRule="auto"/>
        <w:textAlignment w:val="auto"/>
      </w:pPr>
      <w:r>
        <w:t xml:space="preserve">For the purpose of making key investment decisions an Investment committee would be established that would evaluate individual business cases with power of veto with involvement of the MA representatives and independent experts. </w:t>
      </w:r>
    </w:p>
    <w:p w14:paraId="6ED2DE76" w14:textId="77777777" w:rsidR="006D3AD5" w:rsidRPr="002C224A" w:rsidRDefault="006D3AD5" w:rsidP="006D3AD5">
      <w:pPr>
        <w:pStyle w:val="Odstavecseseznamem1"/>
        <w:numPr>
          <w:ilvl w:val="0"/>
          <w:numId w:val="50"/>
        </w:numPr>
        <w:overflowPunct/>
        <w:autoSpaceDE/>
        <w:autoSpaceDN/>
        <w:adjustRightInd/>
        <w:spacing w:after="200" w:line="276" w:lineRule="auto"/>
        <w:textAlignment w:val="auto"/>
      </w:pPr>
      <w:r>
        <w:t>Bank accounts, business shares and all invested real estates would be pledged to MA or another subject (e.g. fund of funds). Invested funds would therefore be adequately secured.</w:t>
      </w:r>
    </w:p>
    <w:p w14:paraId="2AAD4BC8" w14:textId="03FB3444" w:rsidR="006D3AD5" w:rsidRPr="002C224A" w:rsidRDefault="006D3AD5" w:rsidP="006D3AD5">
      <w:r>
        <w:t xml:space="preserve">The problem of this proposal is its complicated applicability in the frame of common financial instrument categories as it is a unique solution. Nevertheless, this method seems effective in regard to the SO 2.3 BF revitalization and creation of a new and modern business infrastructure for </w:t>
      </w:r>
      <w:r w:rsidR="0042403A">
        <w:t>SME</w:t>
      </w:r>
      <w:r>
        <w:t>s. In case of further implementation development the applicability of this proposal within the FI of the OP EIC must be further consulted with the Commission.</w:t>
      </w:r>
    </w:p>
    <w:p w14:paraId="5540F552" w14:textId="77777777" w:rsidR="006D3AD5" w:rsidRPr="002C224A" w:rsidRDefault="006D3AD5" w:rsidP="006D3AD5"/>
    <w:p w14:paraId="38103770" w14:textId="77777777" w:rsidR="006D3AD5" w:rsidRPr="002C224A" w:rsidRDefault="006D3AD5" w:rsidP="006D3AD5">
      <w:pPr>
        <w:rPr>
          <w:b/>
        </w:rPr>
      </w:pPr>
    </w:p>
    <w:p w14:paraId="612B85B3" w14:textId="77777777" w:rsidR="006D3AD5" w:rsidRPr="002C224A" w:rsidRDefault="006D3AD5" w:rsidP="006D3AD5">
      <w:pPr>
        <w:jc w:val="left"/>
      </w:pPr>
      <w:r>
        <w:br w:type="page"/>
      </w:r>
    </w:p>
    <w:p w14:paraId="5DB4FED7" w14:textId="77777777" w:rsidR="006D3AD5" w:rsidRPr="002C224A" w:rsidRDefault="006D3AD5" w:rsidP="006D3AD5">
      <w:pPr>
        <w:rPr>
          <w:b/>
        </w:rPr>
      </w:pPr>
    </w:p>
    <w:p w14:paraId="03A15DA5" w14:textId="77777777" w:rsidR="006D3AD5" w:rsidRPr="002C224A" w:rsidRDefault="006D3AD5" w:rsidP="006D3AD5">
      <w:pPr>
        <w:pStyle w:val="Nadpis4"/>
        <w:rPr>
          <w:rFonts w:ascii="Calibri" w:hAnsi="Calibri"/>
        </w:rPr>
      </w:pPr>
      <w:bookmarkStart w:id="1333" w:name="_Toc416800497"/>
      <w:r>
        <w:rPr>
          <w:rFonts w:ascii="Calibri" w:hAnsi="Calibri"/>
        </w:rPr>
        <w:t xml:space="preserve">Most suitable implementation possibilities </w:t>
      </w:r>
    </w:p>
    <w:p w14:paraId="609226C1" w14:textId="77777777" w:rsidR="006D3AD5" w:rsidRPr="002C224A" w:rsidRDefault="006D3AD5" w:rsidP="006D3AD5">
      <w:pPr>
        <w:pStyle w:val="CaptionIntroductionparagraph"/>
        <w:rPr>
          <w:rFonts w:ascii="Calibri" w:hAnsi="Calibri"/>
        </w:rPr>
      </w:pPr>
    </w:p>
    <w:bookmarkEnd w:id="1333"/>
    <w:p w14:paraId="61E5B392" w14:textId="77777777" w:rsidR="006D3AD5" w:rsidRPr="00A50943" w:rsidRDefault="006D3AD5" w:rsidP="006D3AD5">
      <w:pPr>
        <w:pStyle w:val="Neslovannadpisy"/>
      </w:pPr>
      <w:r>
        <w:t>Credit instrument</w:t>
      </w:r>
    </w:p>
    <w:p w14:paraId="4426D2BD" w14:textId="7B4ACD80" w:rsidR="006D3AD5" w:rsidRPr="002C224A" w:rsidRDefault="003D62D4" w:rsidP="006D3AD5">
      <w:pPr>
        <w:pStyle w:val="Neslovannadpisy"/>
      </w:pPr>
      <w:r w:rsidRPr="008517EA">
        <w:rPr>
          <w:noProof/>
          <w:szCs w:val="22"/>
        </w:rPr>
        <w:drawing>
          <wp:anchor distT="0" distB="0" distL="114300" distR="114300" simplePos="0" relativeHeight="251665920" behindDoc="0" locked="0" layoutInCell="1" allowOverlap="1" wp14:anchorId="7D1C09EF" wp14:editId="37B614D4">
            <wp:simplePos x="0" y="0"/>
            <wp:positionH relativeFrom="margin">
              <wp:posOffset>0</wp:posOffset>
            </wp:positionH>
            <wp:positionV relativeFrom="paragraph">
              <wp:posOffset>240665</wp:posOffset>
            </wp:positionV>
            <wp:extent cx="5353050" cy="3691890"/>
            <wp:effectExtent l="0" t="0" r="0" b="3810"/>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F6950" w14:textId="77777777" w:rsidR="006D3AD5" w:rsidRPr="002C224A" w:rsidRDefault="006D3AD5" w:rsidP="006D3AD5">
      <w:pPr>
        <w:jc w:val="center"/>
      </w:pPr>
    </w:p>
    <w:p w14:paraId="6D27F4EE" w14:textId="679B4194" w:rsidR="006D3AD5" w:rsidRPr="002C224A" w:rsidRDefault="006D3AD5" w:rsidP="006D3AD5">
      <w:pPr>
        <w:pStyle w:val="Titulek"/>
      </w:pPr>
      <w:r>
        <w:t xml:space="preserve">Figure </w:t>
      </w:r>
      <w:r w:rsidR="00B8502D">
        <w:t>46</w:t>
      </w:r>
      <w:r>
        <w:t>: Credit instrument implementation scheme</w:t>
      </w:r>
    </w:p>
    <w:p w14:paraId="30EC4A9E" w14:textId="77777777" w:rsidR="006D3AD5" w:rsidRPr="002C224A" w:rsidRDefault="006D3AD5" w:rsidP="006D3AD5">
      <w:pPr>
        <w:pStyle w:val="Neslovannadpisy"/>
      </w:pPr>
    </w:p>
    <w:p w14:paraId="73F7687C" w14:textId="77777777" w:rsidR="006D3AD5" w:rsidRPr="002C224A" w:rsidRDefault="006D3AD5" w:rsidP="006D3AD5">
      <w:pPr>
        <w:pStyle w:val="Nadpis4"/>
        <w:rPr>
          <w:rFonts w:ascii="Calibri" w:hAnsi="Calibri"/>
        </w:rPr>
      </w:pPr>
      <w:bookmarkStart w:id="1334" w:name="_Toc416800498"/>
      <w:r>
        <w:rPr>
          <w:rFonts w:ascii="Calibri" w:hAnsi="Calibri"/>
        </w:rPr>
        <w:t>Model scenarios and parameters of financial products</w:t>
      </w:r>
    </w:p>
    <w:p w14:paraId="75705C1F" w14:textId="77777777" w:rsidR="006D3AD5" w:rsidRPr="002C224A" w:rsidRDefault="006D3AD5" w:rsidP="006D3AD5">
      <w:r>
        <w:t>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respected in general during the FI implementation. Nevertheless they cannot be considered binding given the conditions presented further.</w:t>
      </w:r>
    </w:p>
    <w:p w14:paraId="728B13DC" w14:textId="77777777" w:rsidR="006D3AD5" w:rsidRPr="002C224A" w:rsidRDefault="006D3AD5" w:rsidP="006D3AD5">
      <w:pPr>
        <w:pStyle w:val="Neslovannadpisy"/>
      </w:pPr>
    </w:p>
    <w:p w14:paraId="5C85CFD6" w14:textId="77777777" w:rsidR="006D3AD5" w:rsidRPr="002C224A" w:rsidRDefault="006D3AD5" w:rsidP="006D3AD5">
      <w:pPr>
        <w:pStyle w:val="Neslovannadpisy"/>
        <w:rPr>
          <w:b w:val="0"/>
        </w:rPr>
      </w:pPr>
      <w:r>
        <w:t>Credit instrument</w:t>
      </w:r>
    </w:p>
    <w:p w14:paraId="14833AC2" w14:textId="77777777" w:rsidR="006D3AD5" w:rsidRPr="002C224A" w:rsidRDefault="006D3AD5" w:rsidP="006D3AD5">
      <w:r>
        <w:t>For clarity reasons the credit model example does not take into account the interest income and costs for managing of the co-financing subject with regard to their expected partial compensation. The model shows scenarios for different levels of losses and a scenario for subsidies on the interest payments and project preparation. The deferment of instalments is not taken into account in the model calculation. In case of its use it is necessary to expect partial restriction of revolving and therefore the number of provided loans for the programming period. The revolving effects will be postponed into the next period.</w:t>
      </w:r>
    </w:p>
    <w:p w14:paraId="0971DB2E" w14:textId="77777777" w:rsidR="006D3AD5" w:rsidRPr="002C224A" w:rsidRDefault="006D3AD5" w:rsidP="006D3AD5">
      <w:pPr>
        <w:pStyle w:val="Titulek"/>
      </w:pPr>
      <w:r>
        <w:rPr>
          <w:noProof/>
          <w:lang w:eastAsia="cs-CZ"/>
        </w:rPr>
        <w:lastRenderedPageBreak/>
        <w:drawing>
          <wp:inline distT="0" distB="0" distL="0" distR="0" wp14:anchorId="76FF7AB3" wp14:editId="4213278D">
            <wp:extent cx="4378960" cy="2942590"/>
            <wp:effectExtent l="0" t="0" r="21590" b="10160"/>
            <wp:docPr id="216" name="Graf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F217C0" w14:textId="24FACFBE" w:rsidR="006D3AD5" w:rsidRDefault="004929D6" w:rsidP="006D3AD5">
      <w:pPr>
        <w:pStyle w:val="Titulek"/>
      </w:pPr>
      <w:r>
        <w:t>Figure </w:t>
      </w:r>
      <w:r w:rsidR="00B8502D">
        <w:t>47</w:t>
      </w:r>
      <w:r w:rsidR="006D3AD5">
        <w:t xml:space="preserve">: Potential effects of using the FI (Scenario 1, losses 10%, no subsidy) </w:t>
      </w:r>
    </w:p>
    <w:p w14:paraId="53A960BB" w14:textId="77777777" w:rsidR="000A7849" w:rsidRDefault="000A7849" w:rsidP="000A7849">
      <w:pPr>
        <w:rPr>
          <w:lang w:eastAsia="en-US"/>
        </w:rPr>
      </w:pPr>
      <w:r>
        <w:rPr>
          <w:lang w:eastAsia="en-US"/>
        </w:rPr>
        <w:t>Proinvestované prostředky = Invested funds</w:t>
      </w:r>
    </w:p>
    <w:p w14:paraId="23F0B536" w14:textId="77777777" w:rsidR="000A7849" w:rsidRPr="00850075" w:rsidRDefault="000A7849" w:rsidP="000A7849">
      <w:pPr>
        <w:rPr>
          <w:lang w:eastAsia="en-US"/>
        </w:rPr>
      </w:pPr>
      <w:r>
        <w:rPr>
          <w:lang w:eastAsia="en-US"/>
        </w:rPr>
        <w:t>Kumulované proinvestované prostředky = total accumulated invested funds</w:t>
      </w:r>
    </w:p>
    <w:p w14:paraId="358608C0" w14:textId="77777777" w:rsidR="006D3AD5" w:rsidRPr="002C224A" w:rsidRDefault="006D3AD5" w:rsidP="006D3AD5">
      <w:pPr>
        <w:pStyle w:val="BodyText1"/>
        <w:jc w:val="both"/>
        <w:rPr>
          <w:rFonts w:ascii="Calibri" w:hAnsi="Calibri"/>
        </w:rPr>
      </w:pPr>
    </w:p>
    <w:p w14:paraId="720A8C15" w14:textId="77777777" w:rsidR="006D3AD5" w:rsidRPr="002C224A" w:rsidRDefault="006D3AD5" w:rsidP="006D3AD5">
      <w:pPr>
        <w:pStyle w:val="CaptionIntroductionparagraph"/>
        <w:rPr>
          <w:rFonts w:ascii="Calibri" w:hAnsi="Calibri"/>
        </w:rPr>
      </w:pPr>
      <w:r>
        <w:rPr>
          <w:noProof/>
          <w:lang w:eastAsia="cs-CZ"/>
        </w:rPr>
        <w:drawing>
          <wp:inline distT="0" distB="0" distL="0" distR="0" wp14:anchorId="73E1363E" wp14:editId="21EAE98D">
            <wp:extent cx="4378960" cy="2942590"/>
            <wp:effectExtent l="0" t="0" r="21590" b="10160"/>
            <wp:docPr id="215" name="Graf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9ACF5C5" w14:textId="77777777" w:rsidR="006D3AD5" w:rsidRPr="00A50943" w:rsidRDefault="006D3AD5" w:rsidP="006D3AD5"/>
    <w:p w14:paraId="1B5D4F06" w14:textId="3FA66642" w:rsidR="006D3AD5" w:rsidRPr="002C224A" w:rsidRDefault="004929D6" w:rsidP="006D3AD5">
      <w:pPr>
        <w:pStyle w:val="Titulek"/>
      </w:pPr>
      <w:r>
        <w:t>Figrue 4</w:t>
      </w:r>
      <w:r w:rsidR="00B8502D">
        <w:t>8</w:t>
      </w:r>
      <w:r w:rsidR="006D3AD5">
        <w:t xml:space="preserve">: Potential effects of using the FI (Scenario 2, losses 20 %, no subsidy) </w:t>
      </w:r>
    </w:p>
    <w:p w14:paraId="65AD6574" w14:textId="77777777" w:rsidR="006D3AD5" w:rsidRPr="00A50943" w:rsidRDefault="006D3AD5" w:rsidP="006D3AD5"/>
    <w:p w14:paraId="481A0FE5" w14:textId="77777777" w:rsidR="006D3AD5" w:rsidRPr="00A50943" w:rsidRDefault="006D3AD5" w:rsidP="006D3AD5">
      <w:r>
        <w:rPr>
          <w:noProof/>
        </w:rPr>
        <w:lastRenderedPageBreak/>
        <w:drawing>
          <wp:inline distT="0" distB="0" distL="0" distR="0" wp14:anchorId="4C0E97F8" wp14:editId="66E8E573">
            <wp:extent cx="4378960" cy="2942590"/>
            <wp:effectExtent l="0" t="0" r="21590" b="10160"/>
            <wp:docPr id="214" name="Graf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E0AE97" w14:textId="41B2A89A" w:rsidR="006D3AD5" w:rsidRPr="002C224A" w:rsidRDefault="004929D6" w:rsidP="006D3AD5">
      <w:pPr>
        <w:pStyle w:val="Titulek"/>
      </w:pPr>
      <w:r>
        <w:t>Figure </w:t>
      </w:r>
      <w:r w:rsidR="00B8502D">
        <w:t>49</w:t>
      </w:r>
      <w:r w:rsidR="006D3AD5">
        <w:t xml:space="preserve">: Potential effects of using the FI (Scenario 3, losses 10%, with subsidy) </w:t>
      </w:r>
    </w:p>
    <w:p w14:paraId="0896AE00" w14:textId="77777777" w:rsidR="006D3AD5" w:rsidRPr="00A50943" w:rsidRDefault="006D3AD5" w:rsidP="006D3AD5"/>
    <w:p w14:paraId="179DF2FF" w14:textId="77777777" w:rsidR="006D3AD5" w:rsidRPr="002C224A" w:rsidRDefault="006D3AD5" w:rsidP="006D3AD5">
      <w:r>
        <w:t xml:space="preserve">Legend: </w:t>
      </w:r>
    </w:p>
    <w:p w14:paraId="217FCE92"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Blue columns represent soft loans provided from the OP EIC in individual years</w:t>
      </w:r>
    </w:p>
    <w:p w14:paraId="3F2477C7"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Orange line is the cumulated total of these loans</w:t>
      </w:r>
    </w:p>
    <w:p w14:paraId="7513E4BB" w14:textId="7DFB0511" w:rsidR="006D3AD5" w:rsidRPr="002C224A" w:rsidRDefault="006D3AD5" w:rsidP="006D3AD5">
      <w:pPr>
        <w:pStyle w:val="Titulek"/>
      </w:pPr>
      <w:r>
        <w:t>Table 1</w:t>
      </w:r>
      <w:r w:rsidR="00396AB4">
        <w:t>1</w:t>
      </w:r>
      <w:r w:rsidR="00B90ACD">
        <w:t>5</w:t>
      </w:r>
      <w:r>
        <w:t>: Model parameters</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6D3AD5" w:rsidRPr="002C224A" w14:paraId="5BA50884" w14:textId="77777777" w:rsidTr="00443B8F">
        <w:trPr>
          <w:trHeight w:val="240"/>
          <w:jc w:val="center"/>
        </w:trPr>
        <w:tc>
          <w:tcPr>
            <w:tcW w:w="4252" w:type="dxa"/>
            <w:noWrap/>
            <w:vAlign w:val="center"/>
          </w:tcPr>
          <w:p w14:paraId="173AD92A" w14:textId="77777777" w:rsidR="006D3AD5" w:rsidRPr="00A50943" w:rsidRDefault="006D3AD5" w:rsidP="00443B8F">
            <w:pPr>
              <w:jc w:val="left"/>
              <w:rPr>
                <w:color w:val="000000"/>
                <w:sz w:val="18"/>
                <w:szCs w:val="18"/>
              </w:rPr>
            </w:pPr>
            <w:r>
              <w:rPr>
                <w:color w:val="000000"/>
                <w:sz w:val="18"/>
              </w:rPr>
              <w:t xml:space="preserve">OP EIC allocation </w:t>
            </w:r>
          </w:p>
        </w:tc>
        <w:tc>
          <w:tcPr>
            <w:tcW w:w="1417" w:type="dxa"/>
            <w:noWrap/>
            <w:vAlign w:val="center"/>
          </w:tcPr>
          <w:p w14:paraId="47A9E438" w14:textId="77777777" w:rsidR="006D3AD5" w:rsidRPr="002C224A" w:rsidRDefault="006D3AD5" w:rsidP="00443B8F">
            <w:pPr>
              <w:jc w:val="right"/>
              <w:rPr>
                <w:color w:val="000000"/>
                <w:sz w:val="18"/>
                <w:szCs w:val="18"/>
              </w:rPr>
            </w:pPr>
            <w:r>
              <w:rPr>
                <w:color w:val="000000"/>
                <w:sz w:val="18"/>
              </w:rPr>
              <w:t>CZK 550 million</w:t>
            </w:r>
          </w:p>
        </w:tc>
      </w:tr>
      <w:tr w:rsidR="006D3AD5" w:rsidRPr="002C224A" w14:paraId="1DE3E45D" w14:textId="77777777" w:rsidTr="00443B8F">
        <w:trPr>
          <w:trHeight w:val="240"/>
          <w:jc w:val="center"/>
        </w:trPr>
        <w:tc>
          <w:tcPr>
            <w:tcW w:w="4252" w:type="dxa"/>
            <w:noWrap/>
            <w:vAlign w:val="center"/>
          </w:tcPr>
          <w:p w14:paraId="6544976D" w14:textId="77777777" w:rsidR="006D3AD5" w:rsidRPr="002C224A" w:rsidRDefault="006D3AD5" w:rsidP="00443B8F">
            <w:pPr>
              <w:jc w:val="left"/>
              <w:rPr>
                <w:color w:val="000000"/>
                <w:sz w:val="18"/>
                <w:szCs w:val="18"/>
              </w:rPr>
            </w:pPr>
            <w:r>
              <w:rPr>
                <w:color w:val="000000"/>
                <w:sz w:val="18"/>
              </w:rPr>
              <w:t>Interest of sources provided from the OP EIC</w:t>
            </w:r>
          </w:p>
        </w:tc>
        <w:tc>
          <w:tcPr>
            <w:tcW w:w="1417" w:type="dxa"/>
            <w:noWrap/>
            <w:vAlign w:val="center"/>
          </w:tcPr>
          <w:p w14:paraId="13722AE2" w14:textId="77777777" w:rsidR="006D3AD5" w:rsidRPr="002C224A" w:rsidRDefault="006D3AD5" w:rsidP="00443B8F">
            <w:pPr>
              <w:jc w:val="right"/>
              <w:rPr>
                <w:color w:val="000000"/>
                <w:sz w:val="18"/>
                <w:szCs w:val="18"/>
              </w:rPr>
            </w:pPr>
            <w:r>
              <w:rPr>
                <w:color w:val="000000"/>
                <w:sz w:val="18"/>
              </w:rPr>
              <w:t>0.50 %</w:t>
            </w:r>
          </w:p>
        </w:tc>
      </w:tr>
      <w:tr w:rsidR="006D3AD5" w:rsidRPr="002C224A" w14:paraId="1EAE2AEA" w14:textId="77777777" w:rsidTr="00443B8F">
        <w:trPr>
          <w:trHeight w:val="240"/>
          <w:jc w:val="center"/>
        </w:trPr>
        <w:tc>
          <w:tcPr>
            <w:tcW w:w="4252" w:type="dxa"/>
            <w:noWrap/>
            <w:vAlign w:val="center"/>
          </w:tcPr>
          <w:p w14:paraId="4ABC8978" w14:textId="77777777" w:rsidR="006D3AD5" w:rsidRPr="002C224A" w:rsidRDefault="006D3AD5" w:rsidP="00443B8F">
            <w:pPr>
              <w:jc w:val="left"/>
              <w:rPr>
                <w:color w:val="000000"/>
                <w:sz w:val="18"/>
                <w:szCs w:val="18"/>
              </w:rPr>
            </w:pPr>
            <w:r>
              <w:rPr>
                <w:color w:val="000000"/>
                <w:sz w:val="18"/>
              </w:rPr>
              <w:t>Required interest of the co-financing subject</w:t>
            </w:r>
          </w:p>
        </w:tc>
        <w:tc>
          <w:tcPr>
            <w:tcW w:w="1417" w:type="dxa"/>
            <w:noWrap/>
            <w:vAlign w:val="center"/>
          </w:tcPr>
          <w:p w14:paraId="3DF29796" w14:textId="77777777" w:rsidR="006D3AD5" w:rsidRPr="002C224A" w:rsidRDefault="006D3AD5" w:rsidP="00443B8F">
            <w:pPr>
              <w:jc w:val="right"/>
              <w:rPr>
                <w:color w:val="000000"/>
                <w:sz w:val="18"/>
                <w:szCs w:val="18"/>
              </w:rPr>
            </w:pPr>
            <w:r>
              <w:rPr>
                <w:color w:val="000000"/>
                <w:sz w:val="18"/>
              </w:rPr>
              <w:t>3.50 %</w:t>
            </w:r>
          </w:p>
        </w:tc>
      </w:tr>
      <w:tr w:rsidR="006D3AD5" w:rsidRPr="002C224A" w14:paraId="4107144C" w14:textId="77777777" w:rsidTr="00443B8F">
        <w:trPr>
          <w:trHeight w:val="240"/>
          <w:jc w:val="center"/>
        </w:trPr>
        <w:tc>
          <w:tcPr>
            <w:tcW w:w="4252" w:type="dxa"/>
            <w:noWrap/>
            <w:vAlign w:val="center"/>
          </w:tcPr>
          <w:p w14:paraId="1AB1092F" w14:textId="77777777" w:rsidR="006D3AD5" w:rsidRPr="002C224A" w:rsidRDefault="006D3AD5" w:rsidP="00443B8F">
            <w:pPr>
              <w:jc w:val="left"/>
              <w:rPr>
                <w:color w:val="000000"/>
                <w:sz w:val="18"/>
                <w:szCs w:val="18"/>
              </w:rPr>
            </w:pPr>
            <w:r>
              <w:rPr>
                <w:color w:val="000000"/>
                <w:sz w:val="18"/>
              </w:rPr>
              <w:t>Limit of the amount of the result interest rate on the loan for the recipient</w:t>
            </w:r>
          </w:p>
        </w:tc>
        <w:tc>
          <w:tcPr>
            <w:tcW w:w="1417" w:type="dxa"/>
            <w:noWrap/>
            <w:vAlign w:val="center"/>
          </w:tcPr>
          <w:p w14:paraId="14BA1011" w14:textId="77777777" w:rsidR="006D3AD5" w:rsidRPr="002C224A" w:rsidRDefault="006D3AD5" w:rsidP="00443B8F">
            <w:pPr>
              <w:jc w:val="right"/>
              <w:rPr>
                <w:color w:val="000000"/>
                <w:sz w:val="18"/>
                <w:szCs w:val="18"/>
              </w:rPr>
            </w:pPr>
            <w:r>
              <w:rPr>
                <w:color w:val="000000"/>
                <w:sz w:val="18"/>
              </w:rPr>
              <w:t>2.00 %</w:t>
            </w:r>
          </w:p>
        </w:tc>
      </w:tr>
      <w:tr w:rsidR="006D3AD5" w:rsidRPr="002C224A" w14:paraId="26AB6E6F" w14:textId="77777777" w:rsidTr="00443B8F">
        <w:trPr>
          <w:trHeight w:val="240"/>
          <w:jc w:val="center"/>
        </w:trPr>
        <w:tc>
          <w:tcPr>
            <w:tcW w:w="4252" w:type="dxa"/>
            <w:noWrap/>
            <w:vAlign w:val="center"/>
          </w:tcPr>
          <w:p w14:paraId="47A28352" w14:textId="77777777" w:rsidR="006D3AD5" w:rsidRPr="002C224A" w:rsidRDefault="006D3AD5" w:rsidP="00443B8F">
            <w:pPr>
              <w:jc w:val="left"/>
              <w:rPr>
                <w:color w:val="000000"/>
                <w:sz w:val="18"/>
                <w:szCs w:val="18"/>
              </w:rPr>
            </w:pPr>
            <w:r>
              <w:rPr>
                <w:color w:val="000000"/>
                <w:sz w:val="18"/>
              </w:rPr>
              <w:t>Own sources of applicants</w:t>
            </w:r>
          </w:p>
        </w:tc>
        <w:tc>
          <w:tcPr>
            <w:tcW w:w="1417" w:type="dxa"/>
            <w:noWrap/>
            <w:vAlign w:val="center"/>
          </w:tcPr>
          <w:p w14:paraId="4094C737" w14:textId="77777777" w:rsidR="006D3AD5" w:rsidRPr="002C224A" w:rsidRDefault="006D3AD5" w:rsidP="00443B8F">
            <w:pPr>
              <w:jc w:val="right"/>
              <w:rPr>
                <w:color w:val="000000"/>
                <w:sz w:val="18"/>
                <w:szCs w:val="18"/>
              </w:rPr>
            </w:pPr>
            <w:r>
              <w:rPr>
                <w:color w:val="000000"/>
                <w:sz w:val="18"/>
              </w:rPr>
              <w:t>20.00 %</w:t>
            </w:r>
          </w:p>
        </w:tc>
      </w:tr>
      <w:tr w:rsidR="006D3AD5" w:rsidRPr="002C224A" w14:paraId="4704C921" w14:textId="77777777" w:rsidTr="00443B8F">
        <w:trPr>
          <w:trHeight w:val="240"/>
          <w:jc w:val="center"/>
        </w:trPr>
        <w:tc>
          <w:tcPr>
            <w:tcW w:w="4252" w:type="dxa"/>
            <w:noWrap/>
            <w:vAlign w:val="center"/>
          </w:tcPr>
          <w:p w14:paraId="19B86FEB" w14:textId="77777777" w:rsidR="006D3AD5" w:rsidRPr="002C224A" w:rsidRDefault="006D3AD5" w:rsidP="00443B8F">
            <w:pPr>
              <w:jc w:val="left"/>
              <w:rPr>
                <w:color w:val="000000"/>
                <w:sz w:val="18"/>
                <w:szCs w:val="18"/>
              </w:rPr>
            </w:pPr>
            <w:r>
              <w:rPr>
                <w:color w:val="000000"/>
                <w:sz w:val="18"/>
              </w:rPr>
              <w:t>Percentage of involvement of the co-financing subject</w:t>
            </w:r>
          </w:p>
        </w:tc>
        <w:tc>
          <w:tcPr>
            <w:tcW w:w="1417" w:type="dxa"/>
            <w:noWrap/>
            <w:vAlign w:val="center"/>
          </w:tcPr>
          <w:p w14:paraId="53AA4ACF" w14:textId="77777777" w:rsidR="006D3AD5" w:rsidRPr="002C224A" w:rsidRDefault="006D3AD5" w:rsidP="00443B8F">
            <w:pPr>
              <w:jc w:val="right"/>
              <w:rPr>
                <w:color w:val="000000"/>
                <w:sz w:val="18"/>
                <w:szCs w:val="18"/>
              </w:rPr>
            </w:pPr>
            <w:r>
              <w:rPr>
                <w:color w:val="000000"/>
                <w:sz w:val="18"/>
              </w:rPr>
              <w:t>40.00 %</w:t>
            </w:r>
          </w:p>
        </w:tc>
      </w:tr>
      <w:tr w:rsidR="006D3AD5" w:rsidRPr="002C224A" w14:paraId="6784A6B1" w14:textId="77777777" w:rsidTr="00443B8F">
        <w:trPr>
          <w:trHeight w:val="240"/>
          <w:jc w:val="center"/>
        </w:trPr>
        <w:tc>
          <w:tcPr>
            <w:tcW w:w="4252" w:type="dxa"/>
            <w:noWrap/>
            <w:vAlign w:val="center"/>
          </w:tcPr>
          <w:p w14:paraId="1DA4E057" w14:textId="77777777" w:rsidR="006D3AD5" w:rsidRPr="002C224A" w:rsidRDefault="006D3AD5" w:rsidP="00443B8F">
            <w:pPr>
              <w:jc w:val="left"/>
              <w:rPr>
                <w:color w:val="000000"/>
                <w:sz w:val="18"/>
                <w:szCs w:val="18"/>
              </w:rPr>
            </w:pPr>
            <w:r>
              <w:rPr>
                <w:color w:val="000000"/>
                <w:sz w:val="18"/>
              </w:rPr>
              <w:t>Loan maturity</w:t>
            </w:r>
          </w:p>
        </w:tc>
        <w:tc>
          <w:tcPr>
            <w:tcW w:w="1417" w:type="dxa"/>
            <w:noWrap/>
            <w:vAlign w:val="center"/>
          </w:tcPr>
          <w:p w14:paraId="593F2BEA" w14:textId="77777777" w:rsidR="006D3AD5" w:rsidRPr="002C224A" w:rsidRDefault="006D3AD5" w:rsidP="00443B8F">
            <w:pPr>
              <w:jc w:val="right"/>
              <w:rPr>
                <w:color w:val="000000"/>
                <w:sz w:val="18"/>
                <w:szCs w:val="18"/>
              </w:rPr>
            </w:pPr>
            <w:r>
              <w:rPr>
                <w:color w:val="000000"/>
                <w:sz w:val="18"/>
              </w:rPr>
              <w:t>8</w:t>
            </w:r>
          </w:p>
        </w:tc>
      </w:tr>
    </w:tbl>
    <w:p w14:paraId="66FBC9B6" w14:textId="77777777" w:rsidR="006D3AD5" w:rsidRPr="002C224A" w:rsidRDefault="006D3AD5" w:rsidP="006D3AD5">
      <w:pPr>
        <w:pStyle w:val="Titulek"/>
      </w:pPr>
    </w:p>
    <w:p w14:paraId="64763D28" w14:textId="21FE5750" w:rsidR="006D3AD5" w:rsidRPr="002C224A" w:rsidRDefault="006D3AD5" w:rsidP="006D3AD5">
      <w:pPr>
        <w:pStyle w:val="Titulek"/>
      </w:pPr>
      <w:r>
        <w:t>Table 1</w:t>
      </w:r>
      <w:r w:rsidR="00396AB4">
        <w:t>1</w:t>
      </w:r>
      <w:r w:rsidR="00B90ACD">
        <w:t>6</w:t>
      </w:r>
      <w:r>
        <w:t>: Model results</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67"/>
        <w:gridCol w:w="1207"/>
        <w:gridCol w:w="1059"/>
      </w:tblGrid>
      <w:tr w:rsidR="006D3AD5" w:rsidRPr="002C224A" w14:paraId="22218FF4" w14:textId="77777777" w:rsidTr="00443B8F">
        <w:trPr>
          <w:trHeight w:val="240"/>
          <w:jc w:val="center"/>
        </w:trPr>
        <w:tc>
          <w:tcPr>
            <w:tcW w:w="4821" w:type="dxa"/>
            <w:noWrap/>
            <w:vAlign w:val="center"/>
          </w:tcPr>
          <w:p w14:paraId="271512E8" w14:textId="77777777" w:rsidR="006D3AD5" w:rsidRPr="00A50943" w:rsidRDefault="006D3AD5" w:rsidP="00443B8F">
            <w:pPr>
              <w:jc w:val="left"/>
              <w:rPr>
                <w:color w:val="000000"/>
                <w:sz w:val="18"/>
                <w:szCs w:val="18"/>
              </w:rPr>
            </w:pPr>
          </w:p>
        </w:tc>
        <w:tc>
          <w:tcPr>
            <w:tcW w:w="1134" w:type="dxa"/>
            <w:noWrap/>
            <w:vAlign w:val="center"/>
          </w:tcPr>
          <w:p w14:paraId="6E830CEB" w14:textId="77777777" w:rsidR="006D3AD5" w:rsidRPr="002C224A" w:rsidRDefault="006D3AD5" w:rsidP="00443B8F">
            <w:pPr>
              <w:jc w:val="right"/>
              <w:rPr>
                <w:color w:val="000000"/>
                <w:sz w:val="18"/>
                <w:szCs w:val="18"/>
              </w:rPr>
            </w:pPr>
            <w:r>
              <w:rPr>
                <w:color w:val="000000"/>
                <w:sz w:val="18"/>
              </w:rPr>
              <w:t>Scenario 1</w:t>
            </w:r>
          </w:p>
        </w:tc>
        <w:tc>
          <w:tcPr>
            <w:tcW w:w="1067" w:type="dxa"/>
          </w:tcPr>
          <w:p w14:paraId="34938DE1" w14:textId="77777777" w:rsidR="006D3AD5" w:rsidRPr="002C224A" w:rsidRDefault="006D3AD5" w:rsidP="00443B8F">
            <w:pPr>
              <w:jc w:val="right"/>
              <w:rPr>
                <w:color w:val="000000"/>
                <w:sz w:val="18"/>
                <w:szCs w:val="18"/>
              </w:rPr>
            </w:pPr>
            <w:r>
              <w:rPr>
                <w:color w:val="000000"/>
                <w:sz w:val="18"/>
              </w:rPr>
              <w:t>Scenario 2</w:t>
            </w:r>
          </w:p>
        </w:tc>
        <w:tc>
          <w:tcPr>
            <w:tcW w:w="1207" w:type="dxa"/>
          </w:tcPr>
          <w:p w14:paraId="1BB6C9FB" w14:textId="77777777" w:rsidR="006D3AD5" w:rsidRPr="002C224A" w:rsidRDefault="006D3AD5" w:rsidP="00443B8F">
            <w:pPr>
              <w:jc w:val="right"/>
              <w:rPr>
                <w:color w:val="000000"/>
                <w:sz w:val="18"/>
                <w:szCs w:val="18"/>
              </w:rPr>
            </w:pPr>
            <w:r>
              <w:rPr>
                <w:color w:val="000000"/>
                <w:sz w:val="18"/>
              </w:rPr>
              <w:t>Scenario 3</w:t>
            </w:r>
          </w:p>
        </w:tc>
        <w:tc>
          <w:tcPr>
            <w:tcW w:w="1059" w:type="dxa"/>
          </w:tcPr>
          <w:p w14:paraId="4E6F6279" w14:textId="77777777" w:rsidR="006D3AD5" w:rsidRPr="002C224A" w:rsidRDefault="006D3AD5" w:rsidP="00443B8F">
            <w:pPr>
              <w:jc w:val="right"/>
              <w:rPr>
                <w:color w:val="000000"/>
                <w:sz w:val="18"/>
                <w:szCs w:val="18"/>
              </w:rPr>
            </w:pPr>
            <w:r>
              <w:rPr>
                <w:color w:val="000000"/>
                <w:sz w:val="18"/>
              </w:rPr>
              <w:t>Scenario 4</w:t>
            </w:r>
            <w:r>
              <w:rPr>
                <w:rStyle w:val="Znakapoznpodarou"/>
                <w:color w:val="000000"/>
              </w:rPr>
              <w:footnoteReference w:id="62"/>
            </w:r>
          </w:p>
        </w:tc>
      </w:tr>
      <w:tr w:rsidR="006D3AD5" w:rsidRPr="002C224A" w14:paraId="30C62D53" w14:textId="77777777" w:rsidTr="00443B8F">
        <w:trPr>
          <w:trHeight w:val="240"/>
          <w:jc w:val="center"/>
        </w:trPr>
        <w:tc>
          <w:tcPr>
            <w:tcW w:w="4821" w:type="dxa"/>
            <w:noWrap/>
            <w:vAlign w:val="center"/>
          </w:tcPr>
          <w:p w14:paraId="7C9C4EDE" w14:textId="77777777" w:rsidR="006D3AD5" w:rsidRPr="002C224A" w:rsidRDefault="006D3AD5" w:rsidP="00443B8F">
            <w:pPr>
              <w:jc w:val="left"/>
              <w:rPr>
                <w:color w:val="000000"/>
                <w:sz w:val="18"/>
                <w:szCs w:val="18"/>
              </w:rPr>
            </w:pPr>
            <w:r>
              <w:rPr>
                <w:color w:val="000000"/>
                <w:sz w:val="18"/>
              </w:rPr>
              <w:t>Invested in total - milestone for 2018 (CZK millions)</w:t>
            </w:r>
          </w:p>
        </w:tc>
        <w:tc>
          <w:tcPr>
            <w:tcW w:w="1134" w:type="dxa"/>
            <w:noWrap/>
            <w:vAlign w:val="center"/>
          </w:tcPr>
          <w:p w14:paraId="138A8294" w14:textId="77777777" w:rsidR="006D3AD5" w:rsidRPr="002C224A" w:rsidRDefault="006D3AD5" w:rsidP="00443B8F">
            <w:pPr>
              <w:jc w:val="right"/>
              <w:rPr>
                <w:color w:val="000000"/>
                <w:sz w:val="18"/>
                <w:szCs w:val="18"/>
              </w:rPr>
            </w:pPr>
            <w:r>
              <w:rPr>
                <w:sz w:val="18"/>
              </w:rPr>
              <w:t>1,031</w:t>
            </w:r>
          </w:p>
        </w:tc>
        <w:tc>
          <w:tcPr>
            <w:tcW w:w="1067" w:type="dxa"/>
            <w:vAlign w:val="center"/>
          </w:tcPr>
          <w:p w14:paraId="43C018D8" w14:textId="77777777" w:rsidR="006D3AD5" w:rsidRPr="002C224A" w:rsidRDefault="006D3AD5" w:rsidP="00443B8F">
            <w:pPr>
              <w:jc w:val="right"/>
              <w:rPr>
                <w:color w:val="000000"/>
                <w:sz w:val="18"/>
                <w:szCs w:val="18"/>
              </w:rPr>
            </w:pPr>
            <w:r>
              <w:rPr>
                <w:sz w:val="18"/>
              </w:rPr>
              <w:t>1,031</w:t>
            </w:r>
          </w:p>
        </w:tc>
        <w:tc>
          <w:tcPr>
            <w:tcW w:w="1207" w:type="dxa"/>
            <w:vAlign w:val="center"/>
          </w:tcPr>
          <w:p w14:paraId="3B85EF56" w14:textId="77777777" w:rsidR="006D3AD5" w:rsidRPr="002C224A" w:rsidRDefault="006D3AD5" w:rsidP="00443B8F">
            <w:pPr>
              <w:jc w:val="right"/>
              <w:rPr>
                <w:color w:val="000000"/>
                <w:sz w:val="18"/>
                <w:szCs w:val="18"/>
              </w:rPr>
            </w:pPr>
            <w:r>
              <w:rPr>
                <w:sz w:val="18"/>
              </w:rPr>
              <w:t>980</w:t>
            </w:r>
          </w:p>
        </w:tc>
        <w:tc>
          <w:tcPr>
            <w:tcW w:w="1059" w:type="dxa"/>
            <w:vAlign w:val="center"/>
          </w:tcPr>
          <w:p w14:paraId="1C3B7A0E" w14:textId="77777777" w:rsidR="006D3AD5" w:rsidRDefault="006D3AD5" w:rsidP="00443B8F">
            <w:pPr>
              <w:jc w:val="right"/>
              <w:rPr>
                <w:sz w:val="18"/>
                <w:szCs w:val="18"/>
              </w:rPr>
            </w:pPr>
            <w:r>
              <w:rPr>
                <w:sz w:val="18"/>
              </w:rPr>
              <w:t>980</w:t>
            </w:r>
          </w:p>
        </w:tc>
      </w:tr>
      <w:tr w:rsidR="006D3AD5" w:rsidRPr="002C224A" w14:paraId="3FC8E2BD" w14:textId="77777777" w:rsidTr="00443B8F">
        <w:trPr>
          <w:trHeight w:val="240"/>
          <w:jc w:val="center"/>
        </w:trPr>
        <w:tc>
          <w:tcPr>
            <w:tcW w:w="4821" w:type="dxa"/>
            <w:noWrap/>
            <w:vAlign w:val="center"/>
          </w:tcPr>
          <w:p w14:paraId="3DC59282" w14:textId="77777777" w:rsidR="006D3AD5" w:rsidRPr="002C224A" w:rsidRDefault="006D3AD5" w:rsidP="00443B8F">
            <w:pPr>
              <w:jc w:val="left"/>
              <w:rPr>
                <w:b/>
                <w:color w:val="000000"/>
                <w:sz w:val="18"/>
                <w:szCs w:val="18"/>
              </w:rPr>
            </w:pPr>
            <w:r>
              <w:rPr>
                <w:b/>
                <w:color w:val="000000"/>
                <w:sz w:val="18"/>
              </w:rPr>
              <w:t>Invested in total - end of the period in 2023 (CZK millions)</w:t>
            </w:r>
          </w:p>
        </w:tc>
        <w:tc>
          <w:tcPr>
            <w:tcW w:w="1134" w:type="dxa"/>
            <w:noWrap/>
            <w:vAlign w:val="center"/>
          </w:tcPr>
          <w:p w14:paraId="5F925865" w14:textId="77777777" w:rsidR="006D3AD5" w:rsidRPr="002C224A" w:rsidRDefault="006D3AD5" w:rsidP="00443B8F">
            <w:pPr>
              <w:jc w:val="right"/>
              <w:rPr>
                <w:b/>
                <w:color w:val="000000"/>
                <w:sz w:val="18"/>
                <w:szCs w:val="18"/>
              </w:rPr>
            </w:pPr>
            <w:r>
              <w:rPr>
                <w:b/>
                <w:sz w:val="18"/>
              </w:rPr>
              <w:t>2,384</w:t>
            </w:r>
          </w:p>
        </w:tc>
        <w:tc>
          <w:tcPr>
            <w:tcW w:w="1067" w:type="dxa"/>
            <w:vAlign w:val="center"/>
          </w:tcPr>
          <w:p w14:paraId="0C560C5C" w14:textId="77777777" w:rsidR="006D3AD5" w:rsidRPr="002C224A" w:rsidRDefault="006D3AD5" w:rsidP="00443B8F">
            <w:pPr>
              <w:jc w:val="right"/>
              <w:rPr>
                <w:b/>
                <w:color w:val="000000"/>
                <w:sz w:val="18"/>
                <w:szCs w:val="18"/>
              </w:rPr>
            </w:pPr>
            <w:r>
              <w:rPr>
                <w:b/>
                <w:sz w:val="18"/>
              </w:rPr>
              <w:t>2,256</w:t>
            </w:r>
          </w:p>
        </w:tc>
        <w:tc>
          <w:tcPr>
            <w:tcW w:w="1207" w:type="dxa"/>
            <w:vAlign w:val="center"/>
          </w:tcPr>
          <w:p w14:paraId="5C24EDF3" w14:textId="77777777" w:rsidR="006D3AD5" w:rsidRPr="002C224A" w:rsidRDefault="006D3AD5" w:rsidP="00443B8F">
            <w:pPr>
              <w:jc w:val="right"/>
              <w:rPr>
                <w:b/>
                <w:color w:val="000000"/>
                <w:sz w:val="18"/>
                <w:szCs w:val="18"/>
              </w:rPr>
            </w:pPr>
            <w:r>
              <w:rPr>
                <w:b/>
                <w:sz w:val="18"/>
              </w:rPr>
              <w:t>2,197</w:t>
            </w:r>
          </w:p>
        </w:tc>
        <w:tc>
          <w:tcPr>
            <w:tcW w:w="1059" w:type="dxa"/>
            <w:vAlign w:val="center"/>
          </w:tcPr>
          <w:p w14:paraId="0FC97CE4" w14:textId="77777777" w:rsidR="006D3AD5" w:rsidRPr="002C224A" w:rsidRDefault="006D3AD5" w:rsidP="00443B8F">
            <w:pPr>
              <w:jc w:val="right"/>
              <w:rPr>
                <w:b/>
                <w:sz w:val="18"/>
                <w:szCs w:val="18"/>
              </w:rPr>
            </w:pPr>
            <w:r>
              <w:rPr>
                <w:b/>
                <w:sz w:val="18"/>
              </w:rPr>
              <w:t>1,279</w:t>
            </w:r>
          </w:p>
        </w:tc>
      </w:tr>
      <w:tr w:rsidR="006D3AD5" w:rsidRPr="002C224A" w14:paraId="78277A42" w14:textId="77777777" w:rsidTr="00443B8F">
        <w:trPr>
          <w:trHeight w:val="240"/>
          <w:jc w:val="center"/>
        </w:trPr>
        <w:tc>
          <w:tcPr>
            <w:tcW w:w="4821" w:type="dxa"/>
            <w:noWrap/>
            <w:vAlign w:val="center"/>
          </w:tcPr>
          <w:p w14:paraId="18AF3113" w14:textId="77777777" w:rsidR="006D3AD5" w:rsidRPr="002C224A" w:rsidRDefault="006D3AD5" w:rsidP="00443B8F">
            <w:pPr>
              <w:jc w:val="left"/>
              <w:rPr>
                <w:b/>
                <w:color w:val="000000"/>
                <w:sz w:val="18"/>
                <w:szCs w:val="18"/>
              </w:rPr>
            </w:pPr>
            <w:r>
              <w:rPr>
                <w:b/>
                <w:color w:val="000000"/>
                <w:sz w:val="18"/>
              </w:rPr>
              <w:t>Value added</w:t>
            </w:r>
          </w:p>
        </w:tc>
        <w:tc>
          <w:tcPr>
            <w:tcW w:w="1134" w:type="dxa"/>
            <w:noWrap/>
            <w:vAlign w:val="center"/>
          </w:tcPr>
          <w:p w14:paraId="13FA5329" w14:textId="77777777" w:rsidR="006D3AD5" w:rsidRPr="002C224A" w:rsidRDefault="006D3AD5" w:rsidP="00443B8F">
            <w:pPr>
              <w:jc w:val="right"/>
              <w:rPr>
                <w:b/>
                <w:color w:val="000000"/>
                <w:sz w:val="18"/>
                <w:szCs w:val="18"/>
              </w:rPr>
            </w:pPr>
            <w:r>
              <w:rPr>
                <w:b/>
                <w:sz w:val="18"/>
              </w:rPr>
              <w:t>4.33</w:t>
            </w:r>
          </w:p>
        </w:tc>
        <w:tc>
          <w:tcPr>
            <w:tcW w:w="1067" w:type="dxa"/>
            <w:vAlign w:val="center"/>
          </w:tcPr>
          <w:p w14:paraId="05551AA6" w14:textId="77777777" w:rsidR="006D3AD5" w:rsidRPr="002C224A" w:rsidRDefault="006D3AD5" w:rsidP="00443B8F">
            <w:pPr>
              <w:jc w:val="right"/>
              <w:rPr>
                <w:b/>
                <w:color w:val="000000"/>
                <w:sz w:val="18"/>
                <w:szCs w:val="18"/>
              </w:rPr>
            </w:pPr>
            <w:r>
              <w:rPr>
                <w:b/>
                <w:sz w:val="18"/>
              </w:rPr>
              <w:t>4.10</w:t>
            </w:r>
          </w:p>
        </w:tc>
        <w:tc>
          <w:tcPr>
            <w:tcW w:w="1207" w:type="dxa"/>
            <w:vAlign w:val="center"/>
          </w:tcPr>
          <w:p w14:paraId="2CEC021C" w14:textId="77777777" w:rsidR="006D3AD5" w:rsidRPr="002C224A" w:rsidRDefault="006D3AD5" w:rsidP="00443B8F">
            <w:pPr>
              <w:jc w:val="right"/>
              <w:rPr>
                <w:b/>
                <w:color w:val="000000"/>
                <w:sz w:val="18"/>
                <w:szCs w:val="18"/>
              </w:rPr>
            </w:pPr>
            <w:r>
              <w:rPr>
                <w:b/>
                <w:color w:val="000000"/>
                <w:sz w:val="18"/>
              </w:rPr>
              <w:t>4.44</w:t>
            </w:r>
          </w:p>
        </w:tc>
        <w:tc>
          <w:tcPr>
            <w:tcW w:w="1059" w:type="dxa"/>
            <w:vAlign w:val="center"/>
          </w:tcPr>
          <w:p w14:paraId="7519C1AA" w14:textId="77777777" w:rsidR="006D3AD5" w:rsidRPr="002C224A" w:rsidRDefault="006D3AD5" w:rsidP="00443B8F">
            <w:pPr>
              <w:jc w:val="right"/>
              <w:rPr>
                <w:b/>
                <w:color w:val="000000"/>
                <w:sz w:val="18"/>
                <w:szCs w:val="18"/>
              </w:rPr>
            </w:pPr>
            <w:r>
              <w:rPr>
                <w:b/>
                <w:color w:val="000000"/>
                <w:sz w:val="18"/>
              </w:rPr>
              <w:t>2.58</w:t>
            </w:r>
          </w:p>
        </w:tc>
      </w:tr>
      <w:tr w:rsidR="006D3AD5" w:rsidRPr="002C224A" w14:paraId="6ABC027B" w14:textId="77777777" w:rsidTr="00443B8F">
        <w:trPr>
          <w:trHeight w:val="240"/>
          <w:jc w:val="center"/>
        </w:trPr>
        <w:tc>
          <w:tcPr>
            <w:tcW w:w="4821" w:type="dxa"/>
            <w:noWrap/>
            <w:vAlign w:val="center"/>
          </w:tcPr>
          <w:p w14:paraId="1D8A3E93" w14:textId="77777777" w:rsidR="006D3AD5" w:rsidRPr="002C224A" w:rsidRDefault="006D3AD5" w:rsidP="00443B8F">
            <w:pPr>
              <w:jc w:val="left"/>
              <w:rPr>
                <w:b/>
                <w:color w:val="000000"/>
                <w:sz w:val="18"/>
                <w:szCs w:val="18"/>
              </w:rPr>
            </w:pPr>
            <w:r>
              <w:rPr>
                <w:b/>
                <w:color w:val="000000"/>
                <w:sz w:val="18"/>
              </w:rPr>
              <w:t>Leverage</w:t>
            </w:r>
          </w:p>
        </w:tc>
        <w:tc>
          <w:tcPr>
            <w:tcW w:w="1134" w:type="dxa"/>
            <w:noWrap/>
            <w:vAlign w:val="center"/>
          </w:tcPr>
          <w:p w14:paraId="5B8F45F9" w14:textId="77777777" w:rsidR="006D3AD5" w:rsidRPr="002C224A" w:rsidRDefault="006D3AD5" w:rsidP="00443B8F">
            <w:pPr>
              <w:jc w:val="right"/>
              <w:rPr>
                <w:b/>
                <w:color w:val="000000"/>
                <w:sz w:val="18"/>
                <w:szCs w:val="18"/>
              </w:rPr>
            </w:pPr>
            <w:r>
              <w:rPr>
                <w:b/>
                <w:sz w:val="18"/>
              </w:rPr>
              <w:t>2.00</w:t>
            </w:r>
          </w:p>
        </w:tc>
        <w:tc>
          <w:tcPr>
            <w:tcW w:w="1067" w:type="dxa"/>
            <w:vAlign w:val="center"/>
          </w:tcPr>
          <w:p w14:paraId="227C409E" w14:textId="77777777" w:rsidR="006D3AD5" w:rsidRPr="002C224A" w:rsidRDefault="006D3AD5" w:rsidP="00443B8F">
            <w:pPr>
              <w:jc w:val="right"/>
              <w:rPr>
                <w:b/>
                <w:color w:val="000000"/>
                <w:sz w:val="18"/>
                <w:szCs w:val="18"/>
              </w:rPr>
            </w:pPr>
            <w:r>
              <w:rPr>
                <w:b/>
                <w:sz w:val="18"/>
              </w:rPr>
              <w:t>2.00</w:t>
            </w:r>
          </w:p>
        </w:tc>
        <w:tc>
          <w:tcPr>
            <w:tcW w:w="1207" w:type="dxa"/>
            <w:vAlign w:val="center"/>
          </w:tcPr>
          <w:p w14:paraId="13C7BB1A" w14:textId="77777777" w:rsidR="006D3AD5" w:rsidRPr="002C224A" w:rsidRDefault="006D3AD5" w:rsidP="00443B8F">
            <w:pPr>
              <w:jc w:val="right"/>
              <w:rPr>
                <w:b/>
                <w:color w:val="000000"/>
                <w:sz w:val="18"/>
                <w:szCs w:val="18"/>
              </w:rPr>
            </w:pPr>
            <w:r>
              <w:rPr>
                <w:b/>
                <w:color w:val="000000"/>
                <w:sz w:val="18"/>
              </w:rPr>
              <w:t>2.00</w:t>
            </w:r>
          </w:p>
        </w:tc>
        <w:tc>
          <w:tcPr>
            <w:tcW w:w="1059" w:type="dxa"/>
            <w:vAlign w:val="center"/>
          </w:tcPr>
          <w:p w14:paraId="706195C8" w14:textId="77777777" w:rsidR="006D3AD5" w:rsidRPr="002C224A" w:rsidRDefault="006D3AD5" w:rsidP="00443B8F">
            <w:pPr>
              <w:jc w:val="right"/>
              <w:rPr>
                <w:b/>
                <w:color w:val="000000"/>
                <w:sz w:val="18"/>
                <w:szCs w:val="18"/>
              </w:rPr>
            </w:pPr>
            <w:r>
              <w:rPr>
                <w:b/>
                <w:color w:val="000000"/>
                <w:sz w:val="18"/>
              </w:rPr>
              <w:t>2.00</w:t>
            </w:r>
          </w:p>
        </w:tc>
      </w:tr>
      <w:tr w:rsidR="006D3AD5" w:rsidRPr="002C224A" w14:paraId="739C6171" w14:textId="77777777" w:rsidTr="00443B8F">
        <w:trPr>
          <w:trHeight w:val="240"/>
          <w:jc w:val="center"/>
        </w:trPr>
        <w:tc>
          <w:tcPr>
            <w:tcW w:w="4821" w:type="dxa"/>
            <w:noWrap/>
            <w:vAlign w:val="center"/>
          </w:tcPr>
          <w:p w14:paraId="49B80705" w14:textId="77777777" w:rsidR="006D3AD5" w:rsidRPr="002C224A" w:rsidRDefault="006D3AD5" w:rsidP="00443B8F">
            <w:pPr>
              <w:jc w:val="left"/>
              <w:rPr>
                <w:color w:val="000000"/>
                <w:sz w:val="18"/>
                <w:szCs w:val="18"/>
              </w:rPr>
            </w:pPr>
            <w:r>
              <w:rPr>
                <w:color w:val="000000"/>
                <w:sz w:val="18"/>
              </w:rPr>
              <w:t>Total reimbursed management fees (simple - CZK millions)</w:t>
            </w:r>
          </w:p>
        </w:tc>
        <w:tc>
          <w:tcPr>
            <w:tcW w:w="1134" w:type="dxa"/>
            <w:noWrap/>
            <w:vAlign w:val="center"/>
          </w:tcPr>
          <w:p w14:paraId="33F21898" w14:textId="77777777" w:rsidR="006D3AD5" w:rsidRPr="002C224A" w:rsidRDefault="006D3AD5" w:rsidP="00443B8F">
            <w:pPr>
              <w:jc w:val="right"/>
              <w:rPr>
                <w:color w:val="000000"/>
                <w:sz w:val="18"/>
                <w:szCs w:val="18"/>
              </w:rPr>
            </w:pPr>
            <w:r>
              <w:rPr>
                <w:color w:val="000000"/>
                <w:sz w:val="18"/>
              </w:rPr>
              <w:t>32</w:t>
            </w:r>
          </w:p>
        </w:tc>
        <w:tc>
          <w:tcPr>
            <w:tcW w:w="1067" w:type="dxa"/>
            <w:vAlign w:val="center"/>
          </w:tcPr>
          <w:p w14:paraId="69A64786" w14:textId="77777777" w:rsidR="006D3AD5" w:rsidRPr="002C224A" w:rsidRDefault="006D3AD5" w:rsidP="00443B8F">
            <w:pPr>
              <w:jc w:val="right"/>
              <w:rPr>
                <w:color w:val="000000"/>
                <w:sz w:val="18"/>
                <w:szCs w:val="18"/>
              </w:rPr>
            </w:pPr>
            <w:r>
              <w:rPr>
                <w:color w:val="000000"/>
                <w:sz w:val="18"/>
              </w:rPr>
              <w:t>31</w:t>
            </w:r>
          </w:p>
        </w:tc>
        <w:tc>
          <w:tcPr>
            <w:tcW w:w="1207" w:type="dxa"/>
            <w:vAlign w:val="center"/>
          </w:tcPr>
          <w:p w14:paraId="2B12C463" w14:textId="77777777" w:rsidR="006D3AD5" w:rsidRPr="002C224A" w:rsidRDefault="006D3AD5" w:rsidP="00443B8F">
            <w:pPr>
              <w:jc w:val="right"/>
              <w:rPr>
                <w:color w:val="000000"/>
                <w:sz w:val="18"/>
                <w:szCs w:val="18"/>
              </w:rPr>
            </w:pPr>
            <w:r>
              <w:rPr>
                <w:color w:val="000000"/>
                <w:sz w:val="18"/>
              </w:rPr>
              <w:t>31</w:t>
            </w:r>
          </w:p>
        </w:tc>
        <w:tc>
          <w:tcPr>
            <w:tcW w:w="1059" w:type="dxa"/>
            <w:vAlign w:val="center"/>
          </w:tcPr>
          <w:p w14:paraId="0A04C23D" w14:textId="77777777" w:rsidR="006D3AD5" w:rsidRPr="002C224A" w:rsidRDefault="006D3AD5" w:rsidP="00443B8F">
            <w:pPr>
              <w:jc w:val="right"/>
              <w:rPr>
                <w:color w:val="000000"/>
                <w:sz w:val="18"/>
                <w:szCs w:val="18"/>
              </w:rPr>
            </w:pPr>
            <w:r>
              <w:rPr>
                <w:color w:val="000000"/>
                <w:sz w:val="18"/>
              </w:rPr>
              <w:t>27</w:t>
            </w:r>
          </w:p>
        </w:tc>
      </w:tr>
      <w:tr w:rsidR="006D3AD5" w:rsidRPr="002C224A" w14:paraId="3ED5A920" w14:textId="77777777" w:rsidTr="00443B8F">
        <w:trPr>
          <w:trHeight w:val="240"/>
          <w:jc w:val="center"/>
        </w:trPr>
        <w:tc>
          <w:tcPr>
            <w:tcW w:w="4821" w:type="dxa"/>
            <w:noWrap/>
            <w:vAlign w:val="center"/>
          </w:tcPr>
          <w:p w14:paraId="51533099" w14:textId="77777777" w:rsidR="006D3AD5" w:rsidRPr="002C224A" w:rsidRDefault="006D3AD5" w:rsidP="00443B8F">
            <w:pPr>
              <w:jc w:val="left"/>
              <w:rPr>
                <w:color w:val="000000"/>
                <w:sz w:val="18"/>
                <w:szCs w:val="18"/>
              </w:rPr>
            </w:pPr>
            <w:r>
              <w:rPr>
                <w:color w:val="000000"/>
                <w:sz w:val="18"/>
              </w:rPr>
              <w:t>Share of reimbursed management fees on the fund allocation (%)</w:t>
            </w:r>
          </w:p>
        </w:tc>
        <w:tc>
          <w:tcPr>
            <w:tcW w:w="1134" w:type="dxa"/>
            <w:noWrap/>
            <w:vAlign w:val="center"/>
          </w:tcPr>
          <w:p w14:paraId="7F7C43DB" w14:textId="77777777" w:rsidR="006D3AD5" w:rsidRPr="002C224A" w:rsidRDefault="006D3AD5" w:rsidP="00443B8F">
            <w:pPr>
              <w:jc w:val="right"/>
              <w:rPr>
                <w:color w:val="000000"/>
                <w:sz w:val="18"/>
                <w:szCs w:val="18"/>
              </w:rPr>
            </w:pPr>
            <w:r>
              <w:rPr>
                <w:color w:val="000000"/>
                <w:sz w:val="18"/>
              </w:rPr>
              <w:t>5.7</w:t>
            </w:r>
          </w:p>
        </w:tc>
        <w:tc>
          <w:tcPr>
            <w:tcW w:w="1067" w:type="dxa"/>
            <w:vAlign w:val="center"/>
          </w:tcPr>
          <w:p w14:paraId="5D442670" w14:textId="77777777" w:rsidR="006D3AD5" w:rsidRPr="002C224A" w:rsidRDefault="006D3AD5" w:rsidP="00443B8F">
            <w:pPr>
              <w:jc w:val="right"/>
              <w:rPr>
                <w:color w:val="000000"/>
                <w:sz w:val="18"/>
                <w:szCs w:val="18"/>
              </w:rPr>
            </w:pPr>
            <w:r>
              <w:rPr>
                <w:color w:val="000000"/>
                <w:sz w:val="18"/>
              </w:rPr>
              <w:t>5.7</w:t>
            </w:r>
          </w:p>
        </w:tc>
        <w:tc>
          <w:tcPr>
            <w:tcW w:w="1207" w:type="dxa"/>
            <w:vAlign w:val="center"/>
          </w:tcPr>
          <w:p w14:paraId="1A837686" w14:textId="77777777" w:rsidR="006D3AD5" w:rsidRPr="002C224A" w:rsidRDefault="006D3AD5" w:rsidP="00443B8F">
            <w:pPr>
              <w:jc w:val="right"/>
              <w:rPr>
                <w:color w:val="000000"/>
                <w:sz w:val="18"/>
                <w:szCs w:val="18"/>
              </w:rPr>
            </w:pPr>
            <w:r>
              <w:rPr>
                <w:color w:val="000000"/>
                <w:sz w:val="18"/>
              </w:rPr>
              <w:t>5.6</w:t>
            </w:r>
          </w:p>
        </w:tc>
        <w:tc>
          <w:tcPr>
            <w:tcW w:w="1059" w:type="dxa"/>
            <w:vAlign w:val="center"/>
          </w:tcPr>
          <w:p w14:paraId="4066B25E" w14:textId="77777777" w:rsidR="006D3AD5" w:rsidRPr="002C224A" w:rsidRDefault="006D3AD5" w:rsidP="00443B8F">
            <w:pPr>
              <w:jc w:val="right"/>
              <w:rPr>
                <w:color w:val="000000"/>
                <w:sz w:val="18"/>
                <w:szCs w:val="18"/>
              </w:rPr>
            </w:pPr>
            <w:r>
              <w:rPr>
                <w:color w:val="000000"/>
                <w:sz w:val="18"/>
              </w:rPr>
              <w:t>4.9</w:t>
            </w:r>
          </w:p>
        </w:tc>
      </w:tr>
      <w:tr w:rsidR="006D3AD5" w:rsidRPr="002C224A" w14:paraId="169D4128" w14:textId="77777777" w:rsidTr="00443B8F">
        <w:trPr>
          <w:trHeight w:val="240"/>
          <w:jc w:val="center"/>
        </w:trPr>
        <w:tc>
          <w:tcPr>
            <w:tcW w:w="4821" w:type="dxa"/>
            <w:noWrap/>
            <w:vAlign w:val="center"/>
          </w:tcPr>
          <w:p w14:paraId="25C5F676" w14:textId="77777777" w:rsidR="006D3AD5" w:rsidRPr="002C224A" w:rsidRDefault="006D3AD5" w:rsidP="00443B8F">
            <w:pPr>
              <w:jc w:val="left"/>
              <w:rPr>
                <w:color w:val="000000"/>
                <w:sz w:val="18"/>
                <w:szCs w:val="18"/>
              </w:rPr>
            </w:pPr>
            <w:r>
              <w:rPr>
                <w:color w:val="000000"/>
                <w:sz w:val="18"/>
              </w:rPr>
              <w:t>Revolving effect - increase in available funds of the OP EIC (CZK millions)</w:t>
            </w:r>
          </w:p>
        </w:tc>
        <w:tc>
          <w:tcPr>
            <w:tcW w:w="1134" w:type="dxa"/>
            <w:noWrap/>
            <w:vAlign w:val="center"/>
          </w:tcPr>
          <w:p w14:paraId="368CCB6F" w14:textId="77777777" w:rsidR="006D3AD5" w:rsidRPr="002C224A" w:rsidRDefault="006D3AD5" w:rsidP="00443B8F">
            <w:pPr>
              <w:jc w:val="right"/>
              <w:rPr>
                <w:color w:val="000000"/>
                <w:sz w:val="18"/>
                <w:szCs w:val="18"/>
              </w:rPr>
            </w:pPr>
            <w:r>
              <w:rPr>
                <w:sz w:val="18"/>
              </w:rPr>
              <w:t>404</w:t>
            </w:r>
          </w:p>
        </w:tc>
        <w:tc>
          <w:tcPr>
            <w:tcW w:w="1067" w:type="dxa"/>
            <w:vAlign w:val="center"/>
          </w:tcPr>
          <w:p w14:paraId="52652E80" w14:textId="77777777" w:rsidR="006D3AD5" w:rsidRPr="002C224A" w:rsidRDefault="006D3AD5" w:rsidP="00443B8F">
            <w:pPr>
              <w:jc w:val="right"/>
              <w:rPr>
                <w:color w:val="000000"/>
                <w:sz w:val="18"/>
                <w:szCs w:val="18"/>
              </w:rPr>
            </w:pPr>
            <w:r>
              <w:rPr>
                <w:sz w:val="18"/>
              </w:rPr>
              <w:t>352</w:t>
            </w:r>
          </w:p>
        </w:tc>
        <w:tc>
          <w:tcPr>
            <w:tcW w:w="1207" w:type="dxa"/>
            <w:vAlign w:val="center"/>
          </w:tcPr>
          <w:p w14:paraId="0EB5C1CA" w14:textId="77777777" w:rsidR="006D3AD5" w:rsidRPr="002C224A" w:rsidRDefault="006D3AD5" w:rsidP="00443B8F">
            <w:pPr>
              <w:jc w:val="right"/>
              <w:rPr>
                <w:color w:val="000000"/>
                <w:sz w:val="18"/>
                <w:szCs w:val="18"/>
              </w:rPr>
            </w:pPr>
            <w:r>
              <w:rPr>
                <w:sz w:val="18"/>
              </w:rPr>
              <w:t>360</w:t>
            </w:r>
          </w:p>
        </w:tc>
        <w:tc>
          <w:tcPr>
            <w:tcW w:w="1059" w:type="dxa"/>
            <w:vAlign w:val="center"/>
          </w:tcPr>
          <w:p w14:paraId="6DD81B53" w14:textId="77777777" w:rsidR="006D3AD5" w:rsidRDefault="006D3AD5" w:rsidP="00443B8F">
            <w:pPr>
              <w:jc w:val="right"/>
              <w:rPr>
                <w:sz w:val="18"/>
                <w:szCs w:val="18"/>
              </w:rPr>
            </w:pPr>
            <w:r>
              <w:rPr>
                <w:sz w:val="18"/>
              </w:rPr>
              <w:t>-</w:t>
            </w:r>
          </w:p>
        </w:tc>
      </w:tr>
      <w:tr w:rsidR="006D3AD5" w:rsidRPr="002C224A" w14:paraId="65476EBE" w14:textId="77777777" w:rsidTr="00443B8F">
        <w:trPr>
          <w:trHeight w:val="240"/>
          <w:jc w:val="center"/>
        </w:trPr>
        <w:tc>
          <w:tcPr>
            <w:tcW w:w="4821" w:type="dxa"/>
            <w:noWrap/>
            <w:vAlign w:val="center"/>
          </w:tcPr>
          <w:p w14:paraId="29D954B4" w14:textId="77777777" w:rsidR="006D3AD5" w:rsidRPr="00A50943" w:rsidRDefault="006D3AD5" w:rsidP="00443B8F">
            <w:pPr>
              <w:jc w:val="left"/>
              <w:rPr>
                <w:b/>
                <w:color w:val="000000"/>
                <w:sz w:val="18"/>
                <w:szCs w:val="18"/>
              </w:rPr>
            </w:pPr>
            <w:r>
              <w:rPr>
                <w:b/>
                <w:color w:val="000000"/>
                <w:sz w:val="18"/>
              </w:rPr>
              <w:t>Supported projects</w:t>
            </w:r>
            <w:r>
              <w:rPr>
                <w:rStyle w:val="Znakapoznpodarou"/>
                <w:rFonts w:ascii="Calibri" w:hAnsi="Calibri"/>
                <w:b/>
                <w:color w:val="000000"/>
              </w:rPr>
              <w:footnoteReference w:id="63"/>
            </w:r>
          </w:p>
        </w:tc>
        <w:tc>
          <w:tcPr>
            <w:tcW w:w="1134" w:type="dxa"/>
            <w:noWrap/>
            <w:vAlign w:val="center"/>
          </w:tcPr>
          <w:p w14:paraId="11934793" w14:textId="77777777" w:rsidR="006D3AD5" w:rsidRPr="002C224A" w:rsidRDefault="006D3AD5" w:rsidP="00443B8F">
            <w:pPr>
              <w:jc w:val="right"/>
              <w:rPr>
                <w:b/>
                <w:color w:val="000000"/>
                <w:sz w:val="18"/>
                <w:szCs w:val="18"/>
              </w:rPr>
            </w:pPr>
            <w:r>
              <w:rPr>
                <w:b/>
                <w:color w:val="000000"/>
                <w:sz w:val="18"/>
              </w:rPr>
              <w:t>85</w:t>
            </w:r>
          </w:p>
        </w:tc>
        <w:tc>
          <w:tcPr>
            <w:tcW w:w="1067" w:type="dxa"/>
            <w:vAlign w:val="center"/>
          </w:tcPr>
          <w:p w14:paraId="5A2D7F22" w14:textId="77777777" w:rsidR="006D3AD5" w:rsidRPr="002C224A" w:rsidRDefault="006D3AD5" w:rsidP="00443B8F">
            <w:pPr>
              <w:jc w:val="right"/>
              <w:rPr>
                <w:b/>
                <w:color w:val="000000"/>
                <w:sz w:val="18"/>
                <w:szCs w:val="18"/>
              </w:rPr>
            </w:pPr>
            <w:r>
              <w:rPr>
                <w:b/>
                <w:color w:val="000000"/>
                <w:sz w:val="18"/>
              </w:rPr>
              <w:t>80</w:t>
            </w:r>
          </w:p>
        </w:tc>
        <w:tc>
          <w:tcPr>
            <w:tcW w:w="1207" w:type="dxa"/>
            <w:vAlign w:val="center"/>
          </w:tcPr>
          <w:p w14:paraId="1E73260D" w14:textId="77777777" w:rsidR="006D3AD5" w:rsidRPr="002C224A" w:rsidRDefault="006D3AD5" w:rsidP="00443B8F">
            <w:pPr>
              <w:jc w:val="right"/>
              <w:rPr>
                <w:b/>
                <w:color w:val="000000"/>
                <w:sz w:val="18"/>
                <w:szCs w:val="18"/>
              </w:rPr>
            </w:pPr>
            <w:r>
              <w:rPr>
                <w:b/>
                <w:color w:val="000000"/>
                <w:sz w:val="18"/>
              </w:rPr>
              <w:t>78</w:t>
            </w:r>
          </w:p>
        </w:tc>
        <w:tc>
          <w:tcPr>
            <w:tcW w:w="1059" w:type="dxa"/>
            <w:vAlign w:val="center"/>
          </w:tcPr>
          <w:p w14:paraId="42878D60" w14:textId="77777777" w:rsidR="006D3AD5" w:rsidRPr="002C224A" w:rsidRDefault="006D3AD5" w:rsidP="00443B8F">
            <w:pPr>
              <w:jc w:val="right"/>
              <w:rPr>
                <w:b/>
                <w:color w:val="000000"/>
                <w:sz w:val="18"/>
                <w:szCs w:val="18"/>
              </w:rPr>
            </w:pPr>
            <w:r>
              <w:rPr>
                <w:b/>
                <w:color w:val="000000"/>
                <w:sz w:val="18"/>
              </w:rPr>
              <w:t>45</w:t>
            </w:r>
          </w:p>
        </w:tc>
      </w:tr>
    </w:tbl>
    <w:p w14:paraId="00706B2F" w14:textId="77777777" w:rsidR="006D3AD5" w:rsidRPr="002C224A" w:rsidRDefault="006D3AD5" w:rsidP="006D3AD5"/>
    <w:p w14:paraId="73CC9CB9" w14:textId="77777777" w:rsidR="006D3AD5" w:rsidRPr="002C224A" w:rsidRDefault="006D3AD5" w:rsidP="006D3AD5">
      <w:r>
        <w:t>In case of not using the revolved funds in this period (Scenario 4) the primary investment cycle with the proposed allocation would provoke 1,279 million in investments with an added value of 2.58.</w:t>
      </w:r>
    </w:p>
    <w:p w14:paraId="0BA55D52" w14:textId="77777777" w:rsidR="006D3AD5" w:rsidRPr="002C224A" w:rsidRDefault="006D3AD5" w:rsidP="006D3AD5">
      <w:pPr>
        <w:pStyle w:val="CaptionIntroductionparagraph"/>
        <w:rPr>
          <w:rFonts w:ascii="Calibri" w:hAnsi="Calibri"/>
        </w:rPr>
      </w:pPr>
    </w:p>
    <w:p w14:paraId="61F9D865" w14:textId="77777777" w:rsidR="006D3AD5" w:rsidRPr="00A50943" w:rsidRDefault="006D3AD5" w:rsidP="006D3AD5">
      <w:pPr>
        <w:pStyle w:val="Neslovannadpisy"/>
      </w:pPr>
      <w:r>
        <w:t>Subordinated loans</w:t>
      </w:r>
    </w:p>
    <w:p w14:paraId="48EF9114" w14:textId="77777777" w:rsidR="006D3AD5" w:rsidRPr="002C224A" w:rsidRDefault="006D3AD5" w:rsidP="006D3AD5">
      <w:r>
        <w:lastRenderedPageBreak/>
        <w:t>The model calculation is based on the condition that the FI will realize the sale three years after the purchase. Based on this expectation it is possible to conclude that the fund would reach a turnover of 1.5 in 10 year horizon and in total would complete 100 hectares of areas (this would be the main output indicator). From the perspective of further results it would also be possible to predict the number of created work places that could reach 5,000 (with average density of 50 work places per hectare).</w:t>
      </w:r>
    </w:p>
    <w:p w14:paraId="299D85CE" w14:textId="77777777" w:rsidR="006D3AD5" w:rsidRPr="002C224A" w:rsidRDefault="006D3AD5" w:rsidP="006D3AD5"/>
    <w:p w14:paraId="1B230C00" w14:textId="77777777" w:rsidR="006D3AD5" w:rsidRPr="002C224A" w:rsidRDefault="006D3AD5" w:rsidP="006D3AD5">
      <w:r>
        <w:t>After quantification of OP EIC costs per one square meter of regenerated area or of prepared business zone, it is necessary to consider investment net present value of CZK -76.05 million within this model (the assignment is defined as a "red zero"). The specific costs are therefore CZK 76 per square meter. Given the revolving principle, in an ideal scenario the costs are represented only by management costs and the time value of invested financial resources whereas the FI equity can be reused for the same or modified purpose.</w:t>
      </w:r>
    </w:p>
    <w:p w14:paraId="2A901F83" w14:textId="77777777" w:rsidR="006D3AD5" w:rsidRPr="002C224A" w:rsidRDefault="006D3AD5" w:rsidP="006D3AD5"/>
    <w:p w14:paraId="7615B150" w14:textId="77777777" w:rsidR="006D3AD5" w:rsidRPr="002C224A" w:rsidRDefault="006D3AD5" w:rsidP="006D3AD5">
      <w:pPr>
        <w:rPr>
          <w:b/>
        </w:rPr>
      </w:pPr>
      <w:r>
        <w:rPr>
          <w:b/>
        </w:rPr>
        <w:t>Model outputs:</w:t>
      </w:r>
    </w:p>
    <w:p w14:paraId="39404A44" w14:textId="77777777" w:rsidR="006D3AD5" w:rsidRDefault="006D3AD5" w:rsidP="006D3AD5">
      <w:pPr>
        <w:jc w:val="left"/>
      </w:pPr>
      <w:r>
        <w:t>Amount of investment into the financial instrument:</w:t>
      </w:r>
      <w:r>
        <w:tab/>
      </w:r>
      <w:r>
        <w:tab/>
      </w:r>
      <w:r>
        <w:tab/>
        <w:t>CZK 513 million</w:t>
      </w:r>
    </w:p>
    <w:p w14:paraId="726DE472" w14:textId="77777777" w:rsidR="006D3AD5" w:rsidRDefault="006D3AD5" w:rsidP="006D3AD5">
      <w:pPr>
        <w:jc w:val="left"/>
      </w:pPr>
      <w:r>
        <w:t>Investment horizon:</w:t>
      </w:r>
      <w:r>
        <w:tab/>
      </w:r>
      <w:r>
        <w:tab/>
      </w:r>
      <w:r>
        <w:tab/>
      </w:r>
      <w:r>
        <w:tab/>
      </w:r>
      <w:r>
        <w:tab/>
        <w:t>2016 – 2025</w:t>
      </w:r>
    </w:p>
    <w:p w14:paraId="7CE1F022" w14:textId="77777777" w:rsidR="006D3AD5" w:rsidRDefault="006D3AD5" w:rsidP="006D3AD5">
      <w:pPr>
        <w:jc w:val="left"/>
      </w:pPr>
      <w:r>
        <w:t>Average price of purchased estates:</w:t>
      </w:r>
      <w:r>
        <w:tab/>
      </w:r>
      <w:r>
        <w:tab/>
      </w:r>
      <w:r>
        <w:tab/>
        <w:t>CZK 600 per square meter</w:t>
      </w:r>
    </w:p>
    <w:p w14:paraId="02C638F9" w14:textId="77777777" w:rsidR="006D3AD5" w:rsidRDefault="006D3AD5" w:rsidP="006D3AD5">
      <w:pPr>
        <w:jc w:val="left"/>
      </w:pPr>
      <w:r>
        <w:t>Average price of sold estates:</w:t>
      </w:r>
      <w:r>
        <w:tab/>
      </w:r>
      <w:r>
        <w:tab/>
      </w:r>
      <w:r>
        <w:tab/>
        <w:t>CZK 1,100 per square meter</w:t>
      </w:r>
    </w:p>
    <w:p w14:paraId="09845C3C" w14:textId="77777777" w:rsidR="006D3AD5" w:rsidRDefault="006D3AD5" w:rsidP="006D3AD5">
      <w:pPr>
        <w:jc w:val="left"/>
        <w:rPr>
          <w:vertAlign w:val="superscript"/>
        </w:rPr>
      </w:pPr>
      <w:r>
        <w:t>Average investment costs:</w:t>
      </w:r>
      <w:r>
        <w:tab/>
      </w:r>
      <w:r>
        <w:tab/>
      </w:r>
      <w:r>
        <w:tab/>
      </w:r>
      <w:r>
        <w:tab/>
        <w:t>CZK 500 per square meter</w:t>
      </w:r>
    </w:p>
    <w:p w14:paraId="35D330FB" w14:textId="77777777" w:rsidR="006D3AD5" w:rsidRPr="002C224A" w:rsidRDefault="006D3AD5" w:rsidP="006D3AD5">
      <w:pPr>
        <w:jc w:val="left"/>
      </w:pPr>
      <w:r>
        <w:t>Discount rate:</w:t>
      </w:r>
      <w:r>
        <w:tab/>
      </w:r>
      <w:r>
        <w:tab/>
      </w:r>
      <w:r>
        <w:tab/>
      </w:r>
      <w:r>
        <w:tab/>
      </w:r>
      <w:r>
        <w:tab/>
        <w:t>1.52</w:t>
      </w:r>
    </w:p>
    <w:p w14:paraId="020AED16" w14:textId="77777777" w:rsidR="006D3AD5" w:rsidRPr="002C224A" w:rsidRDefault="006D3AD5" w:rsidP="006D3AD5"/>
    <w:p w14:paraId="78361C5C" w14:textId="77777777" w:rsidR="006D3AD5" w:rsidRPr="002C224A" w:rsidRDefault="006D3AD5" w:rsidP="006D3AD5">
      <w:r>
        <w:t>There are several possible approaches for managing the results of the financial instrument. One of the possibilities is to define minimum expected results in the form of regenerated and subsequently sold area and to define the percentage of returned funds. Given the high predictability of costs and income in the observer time horizon it is possible to expect the success rate of up to 90% with reaching the target value.</w:t>
      </w:r>
    </w:p>
    <w:p w14:paraId="4EEAFE8B" w14:textId="77777777" w:rsidR="006D3AD5" w:rsidRPr="002C224A" w:rsidRDefault="006D3AD5" w:rsidP="006D3AD5"/>
    <w:tbl>
      <w:tblPr>
        <w:tblW w:w="37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720"/>
        <w:gridCol w:w="1000"/>
      </w:tblGrid>
      <w:tr w:rsidR="006D3AD5" w:rsidRPr="002C224A" w14:paraId="18B9B62E" w14:textId="77777777" w:rsidTr="00443B8F">
        <w:trPr>
          <w:trHeight w:val="300"/>
        </w:trPr>
        <w:tc>
          <w:tcPr>
            <w:tcW w:w="2720" w:type="dxa"/>
            <w:tcBorders>
              <w:top w:val="single" w:sz="8" w:space="0" w:color="FFFFFF"/>
              <w:bottom w:val="single" w:sz="24" w:space="0" w:color="FFFFFF"/>
              <w:right w:val="single" w:sz="8" w:space="0" w:color="FFFFFF"/>
            </w:tcBorders>
            <w:shd w:val="clear" w:color="auto" w:fill="4F81BD"/>
            <w:noWrap/>
          </w:tcPr>
          <w:p w14:paraId="2833F47D" w14:textId="77777777" w:rsidR="006D3AD5" w:rsidRPr="002C224A" w:rsidRDefault="006D3AD5" w:rsidP="00443B8F">
            <w:pPr>
              <w:jc w:val="left"/>
              <w:rPr>
                <w:b/>
                <w:bCs/>
                <w:color w:val="FFFFFF"/>
                <w:sz w:val="16"/>
                <w:szCs w:val="16"/>
              </w:rPr>
            </w:pPr>
            <w:r>
              <w:rPr>
                <w:b/>
                <w:color w:val="FFFFFF"/>
                <w:sz w:val="16"/>
              </w:rPr>
              <w:t>The FI model variant with subordinated brownfield loans</w:t>
            </w:r>
            <w:r>
              <w:br/>
            </w:r>
            <w:r>
              <w:rPr>
                <w:b/>
                <w:color w:val="FFFFFF"/>
                <w:sz w:val="16"/>
              </w:rPr>
              <w:t>(90% of the sale price)</w:t>
            </w:r>
          </w:p>
        </w:tc>
        <w:tc>
          <w:tcPr>
            <w:tcW w:w="1000" w:type="dxa"/>
            <w:tcBorders>
              <w:top w:val="single" w:sz="8" w:space="0" w:color="FFFFFF"/>
              <w:left w:val="single" w:sz="8" w:space="0" w:color="FFFFFF"/>
              <w:bottom w:val="single" w:sz="24" w:space="0" w:color="FFFFFF"/>
            </w:tcBorders>
            <w:shd w:val="clear" w:color="auto" w:fill="4F81BD"/>
            <w:noWrap/>
          </w:tcPr>
          <w:p w14:paraId="6C3718A7" w14:textId="77777777" w:rsidR="006D3AD5" w:rsidRPr="002C224A" w:rsidRDefault="006D3AD5" w:rsidP="00443B8F">
            <w:pPr>
              <w:jc w:val="center"/>
              <w:rPr>
                <w:b/>
                <w:bCs/>
                <w:color w:val="FF0000"/>
                <w:sz w:val="16"/>
                <w:szCs w:val="16"/>
              </w:rPr>
            </w:pPr>
          </w:p>
        </w:tc>
      </w:tr>
      <w:tr w:rsidR="006D3AD5" w:rsidRPr="002C224A" w14:paraId="246B4054" w14:textId="77777777" w:rsidTr="00443B8F">
        <w:trPr>
          <w:trHeight w:val="300"/>
        </w:trPr>
        <w:tc>
          <w:tcPr>
            <w:tcW w:w="2720" w:type="dxa"/>
            <w:tcBorders>
              <w:top w:val="single" w:sz="8" w:space="0" w:color="FFFFFF"/>
              <w:bottom w:val="nil"/>
              <w:right w:val="single" w:sz="24" w:space="0" w:color="FFFFFF"/>
            </w:tcBorders>
            <w:shd w:val="clear" w:color="auto" w:fill="4F81BD"/>
            <w:noWrap/>
          </w:tcPr>
          <w:p w14:paraId="278ED1C3" w14:textId="77777777" w:rsidR="006D3AD5" w:rsidRPr="002C224A" w:rsidRDefault="006D3AD5" w:rsidP="00443B8F">
            <w:pPr>
              <w:jc w:val="left"/>
              <w:rPr>
                <w:b/>
                <w:bCs/>
                <w:color w:val="FFFFFF"/>
                <w:sz w:val="16"/>
                <w:szCs w:val="16"/>
              </w:rPr>
            </w:pPr>
            <w:r>
              <w:rPr>
                <w:color w:val="FFFFFF"/>
                <w:sz w:val="16"/>
              </w:rPr>
              <w:t>Initial investment</w:t>
            </w:r>
          </w:p>
        </w:tc>
        <w:tc>
          <w:tcPr>
            <w:tcW w:w="1000" w:type="dxa"/>
            <w:tcBorders>
              <w:top w:val="single" w:sz="8" w:space="0" w:color="FFFFFF"/>
              <w:left w:val="single" w:sz="8" w:space="0" w:color="FFFFFF"/>
              <w:bottom w:val="single" w:sz="8" w:space="0" w:color="FFFFFF"/>
            </w:tcBorders>
            <w:shd w:val="clear" w:color="auto" w:fill="A7BFDE"/>
            <w:noWrap/>
          </w:tcPr>
          <w:p w14:paraId="2D11F185" w14:textId="77777777" w:rsidR="006D3AD5" w:rsidRPr="002C224A" w:rsidRDefault="006D3AD5" w:rsidP="00443B8F">
            <w:pPr>
              <w:jc w:val="center"/>
              <w:rPr>
                <w:color w:val="000000"/>
                <w:sz w:val="16"/>
                <w:szCs w:val="16"/>
              </w:rPr>
            </w:pPr>
            <w:r>
              <w:rPr>
                <w:color w:val="000000"/>
                <w:sz w:val="16"/>
              </w:rPr>
              <w:t>CZK 513 million</w:t>
            </w:r>
          </w:p>
        </w:tc>
      </w:tr>
      <w:tr w:rsidR="006D3AD5" w:rsidRPr="002C224A" w14:paraId="61E60D03" w14:textId="77777777" w:rsidTr="00443B8F">
        <w:trPr>
          <w:trHeight w:val="300"/>
        </w:trPr>
        <w:tc>
          <w:tcPr>
            <w:tcW w:w="2720" w:type="dxa"/>
            <w:tcBorders>
              <w:bottom w:val="nil"/>
              <w:right w:val="single" w:sz="24" w:space="0" w:color="FFFFFF"/>
            </w:tcBorders>
            <w:shd w:val="clear" w:color="auto" w:fill="4F81BD"/>
            <w:noWrap/>
          </w:tcPr>
          <w:p w14:paraId="418F9528" w14:textId="77777777" w:rsidR="006D3AD5" w:rsidRPr="002C224A" w:rsidRDefault="006D3AD5" w:rsidP="00443B8F">
            <w:pPr>
              <w:jc w:val="left"/>
              <w:rPr>
                <w:b/>
                <w:bCs/>
                <w:color w:val="FFFFFF"/>
                <w:sz w:val="16"/>
                <w:szCs w:val="16"/>
              </w:rPr>
            </w:pPr>
            <w:r>
              <w:rPr>
                <w:color w:val="FFFFFF"/>
                <w:sz w:val="16"/>
              </w:rPr>
              <w:t>Area of regenerated estates</w:t>
            </w:r>
          </w:p>
        </w:tc>
        <w:tc>
          <w:tcPr>
            <w:tcW w:w="1000" w:type="dxa"/>
            <w:shd w:val="clear" w:color="auto" w:fill="D3DFEE"/>
            <w:noWrap/>
          </w:tcPr>
          <w:p w14:paraId="3C59F3AD" w14:textId="77777777" w:rsidR="006D3AD5" w:rsidRPr="002C224A" w:rsidRDefault="006D3AD5" w:rsidP="00443B8F">
            <w:pPr>
              <w:jc w:val="center"/>
              <w:rPr>
                <w:color w:val="000000"/>
                <w:sz w:val="16"/>
                <w:szCs w:val="16"/>
              </w:rPr>
            </w:pPr>
            <w:r>
              <w:rPr>
                <w:color w:val="000000"/>
                <w:sz w:val="16"/>
              </w:rPr>
              <w:t>100 ha</w:t>
            </w:r>
          </w:p>
        </w:tc>
      </w:tr>
      <w:tr w:rsidR="006D3AD5" w:rsidRPr="002C224A" w14:paraId="64BE2E36" w14:textId="77777777" w:rsidTr="00443B8F">
        <w:trPr>
          <w:trHeight w:val="300"/>
        </w:trPr>
        <w:tc>
          <w:tcPr>
            <w:tcW w:w="2720" w:type="dxa"/>
            <w:tcBorders>
              <w:top w:val="single" w:sz="8" w:space="0" w:color="FFFFFF"/>
              <w:bottom w:val="nil"/>
              <w:right w:val="single" w:sz="24" w:space="0" w:color="FFFFFF"/>
            </w:tcBorders>
            <w:shd w:val="clear" w:color="auto" w:fill="4F81BD"/>
            <w:noWrap/>
          </w:tcPr>
          <w:p w14:paraId="518E0BC6" w14:textId="77777777" w:rsidR="006D3AD5" w:rsidRPr="002C224A" w:rsidRDefault="006D3AD5" w:rsidP="00443B8F">
            <w:pPr>
              <w:jc w:val="left"/>
              <w:rPr>
                <w:b/>
                <w:bCs/>
                <w:color w:val="FFFFFF"/>
                <w:sz w:val="16"/>
                <w:szCs w:val="16"/>
              </w:rPr>
            </w:pPr>
            <w:r>
              <w:rPr>
                <w:color w:val="FFFFFF"/>
                <w:sz w:val="16"/>
              </w:rPr>
              <w:t>Net present value</w:t>
            </w:r>
          </w:p>
        </w:tc>
        <w:tc>
          <w:tcPr>
            <w:tcW w:w="1000" w:type="dxa"/>
            <w:tcBorders>
              <w:top w:val="single" w:sz="8" w:space="0" w:color="FFFFFF"/>
              <w:left w:val="single" w:sz="8" w:space="0" w:color="FFFFFF"/>
              <w:bottom w:val="single" w:sz="8" w:space="0" w:color="FFFFFF"/>
            </w:tcBorders>
            <w:shd w:val="clear" w:color="auto" w:fill="A7BFDE"/>
            <w:noWrap/>
          </w:tcPr>
          <w:p w14:paraId="5166830B" w14:textId="77777777" w:rsidR="006D3AD5" w:rsidRPr="002C224A" w:rsidRDefault="006D3AD5" w:rsidP="00443B8F">
            <w:pPr>
              <w:jc w:val="center"/>
              <w:rPr>
                <w:color w:val="000000"/>
                <w:sz w:val="16"/>
                <w:szCs w:val="16"/>
              </w:rPr>
            </w:pPr>
            <w:r>
              <w:rPr>
                <w:color w:val="FF0000"/>
                <w:sz w:val="16"/>
              </w:rPr>
              <w:t xml:space="preserve">CZK -173 million </w:t>
            </w:r>
          </w:p>
        </w:tc>
      </w:tr>
      <w:tr w:rsidR="006D3AD5" w:rsidRPr="002C224A" w14:paraId="2F1E9D1F" w14:textId="77777777" w:rsidTr="00443B8F">
        <w:trPr>
          <w:trHeight w:val="300"/>
        </w:trPr>
        <w:tc>
          <w:tcPr>
            <w:tcW w:w="2720" w:type="dxa"/>
            <w:tcBorders>
              <w:bottom w:val="nil"/>
              <w:right w:val="single" w:sz="24" w:space="0" w:color="FFFFFF"/>
            </w:tcBorders>
            <w:shd w:val="clear" w:color="auto" w:fill="4F81BD"/>
            <w:noWrap/>
          </w:tcPr>
          <w:p w14:paraId="6EFFB910" w14:textId="77777777" w:rsidR="006D3AD5" w:rsidRPr="002C224A" w:rsidRDefault="006D3AD5" w:rsidP="00443B8F">
            <w:pPr>
              <w:jc w:val="left"/>
              <w:rPr>
                <w:b/>
                <w:bCs/>
                <w:color w:val="FFFFFF"/>
                <w:sz w:val="16"/>
                <w:szCs w:val="16"/>
              </w:rPr>
            </w:pPr>
            <w:r>
              <w:rPr>
                <w:color w:val="FFFFFF"/>
                <w:sz w:val="16"/>
              </w:rPr>
              <w:t>IRR</w:t>
            </w:r>
          </w:p>
        </w:tc>
        <w:tc>
          <w:tcPr>
            <w:tcW w:w="1000" w:type="dxa"/>
            <w:shd w:val="clear" w:color="auto" w:fill="D3DFEE"/>
            <w:noWrap/>
          </w:tcPr>
          <w:p w14:paraId="636B86C8" w14:textId="77777777" w:rsidR="006D3AD5" w:rsidRPr="002C224A" w:rsidRDefault="006D3AD5" w:rsidP="00443B8F">
            <w:pPr>
              <w:jc w:val="center"/>
              <w:rPr>
                <w:color w:val="000000"/>
                <w:sz w:val="16"/>
                <w:szCs w:val="16"/>
              </w:rPr>
            </w:pPr>
            <w:r>
              <w:rPr>
                <w:color w:val="000000"/>
                <w:sz w:val="16"/>
              </w:rPr>
              <w:t>-5%</w:t>
            </w:r>
          </w:p>
        </w:tc>
      </w:tr>
      <w:tr w:rsidR="006D3AD5" w:rsidRPr="002C224A" w14:paraId="5EB5A389" w14:textId="77777777" w:rsidTr="00443B8F">
        <w:trPr>
          <w:trHeight w:val="300"/>
        </w:trPr>
        <w:tc>
          <w:tcPr>
            <w:tcW w:w="2720" w:type="dxa"/>
            <w:tcBorders>
              <w:top w:val="single" w:sz="8" w:space="0" w:color="FFFFFF"/>
              <w:bottom w:val="nil"/>
              <w:right w:val="single" w:sz="24" w:space="0" w:color="FFFFFF"/>
            </w:tcBorders>
            <w:shd w:val="clear" w:color="auto" w:fill="4F81BD"/>
            <w:noWrap/>
          </w:tcPr>
          <w:p w14:paraId="447E6868" w14:textId="77777777" w:rsidR="006D3AD5" w:rsidRPr="002C224A" w:rsidRDefault="006D3AD5" w:rsidP="00443B8F">
            <w:pPr>
              <w:jc w:val="left"/>
              <w:rPr>
                <w:b/>
                <w:bCs/>
                <w:color w:val="FFFFFF"/>
                <w:sz w:val="16"/>
                <w:szCs w:val="16"/>
              </w:rPr>
            </w:pPr>
            <w:r>
              <w:rPr>
                <w:color w:val="FFFFFF"/>
                <w:sz w:val="16"/>
              </w:rPr>
              <w:t>Costs of OP EIC per square meter</w:t>
            </w:r>
          </w:p>
        </w:tc>
        <w:tc>
          <w:tcPr>
            <w:tcW w:w="1000" w:type="dxa"/>
            <w:tcBorders>
              <w:top w:val="single" w:sz="8" w:space="0" w:color="FFFFFF"/>
              <w:left w:val="single" w:sz="8" w:space="0" w:color="FFFFFF"/>
              <w:bottom w:val="single" w:sz="8" w:space="0" w:color="FFFFFF"/>
            </w:tcBorders>
            <w:shd w:val="clear" w:color="auto" w:fill="A7BFDE"/>
            <w:noWrap/>
          </w:tcPr>
          <w:p w14:paraId="407835D3" w14:textId="77777777" w:rsidR="006D3AD5" w:rsidRPr="002C224A" w:rsidRDefault="006D3AD5" w:rsidP="00443B8F">
            <w:pPr>
              <w:jc w:val="center"/>
              <w:rPr>
                <w:color w:val="000000"/>
                <w:sz w:val="16"/>
                <w:szCs w:val="16"/>
              </w:rPr>
            </w:pPr>
            <w:r>
              <w:rPr>
                <w:color w:val="000000"/>
                <w:sz w:val="16"/>
              </w:rPr>
              <w:t>CZK 173</w:t>
            </w:r>
          </w:p>
        </w:tc>
      </w:tr>
      <w:tr w:rsidR="006D3AD5" w:rsidRPr="002C224A" w14:paraId="2D267FA7" w14:textId="77777777" w:rsidTr="00443B8F">
        <w:trPr>
          <w:trHeight w:val="300"/>
        </w:trPr>
        <w:tc>
          <w:tcPr>
            <w:tcW w:w="2720" w:type="dxa"/>
            <w:tcBorders>
              <w:bottom w:val="single" w:sz="8" w:space="0" w:color="FFFFFF"/>
              <w:right w:val="single" w:sz="24" w:space="0" w:color="FFFFFF"/>
            </w:tcBorders>
            <w:shd w:val="clear" w:color="auto" w:fill="4F81BD"/>
            <w:noWrap/>
          </w:tcPr>
          <w:p w14:paraId="794FAE56" w14:textId="77777777" w:rsidR="006D3AD5" w:rsidRPr="002C224A" w:rsidRDefault="006D3AD5" w:rsidP="00443B8F">
            <w:pPr>
              <w:jc w:val="left"/>
              <w:rPr>
                <w:b/>
                <w:bCs/>
                <w:color w:val="FFFFFF"/>
                <w:sz w:val="16"/>
                <w:szCs w:val="16"/>
              </w:rPr>
            </w:pPr>
            <w:r>
              <w:rPr>
                <w:color w:val="FFFFFF"/>
                <w:sz w:val="16"/>
              </w:rPr>
              <w:t>Investment output</w:t>
            </w:r>
          </w:p>
        </w:tc>
        <w:tc>
          <w:tcPr>
            <w:tcW w:w="1000" w:type="dxa"/>
            <w:tcBorders>
              <w:bottom w:val="single" w:sz="8" w:space="0" w:color="FFFFFF"/>
            </w:tcBorders>
            <w:shd w:val="clear" w:color="auto" w:fill="D3DFEE"/>
            <w:noWrap/>
          </w:tcPr>
          <w:p w14:paraId="00E004D8" w14:textId="77777777" w:rsidR="006D3AD5" w:rsidRPr="002C224A" w:rsidRDefault="006D3AD5" w:rsidP="00443B8F">
            <w:pPr>
              <w:jc w:val="center"/>
              <w:rPr>
                <w:color w:val="000000"/>
                <w:sz w:val="16"/>
                <w:szCs w:val="16"/>
              </w:rPr>
            </w:pPr>
            <w:r>
              <w:rPr>
                <w:color w:val="000000"/>
                <w:sz w:val="16"/>
              </w:rPr>
              <w:t>CZK 366 million</w:t>
            </w:r>
          </w:p>
        </w:tc>
      </w:tr>
    </w:tbl>
    <w:p w14:paraId="38FBF174" w14:textId="35684E89" w:rsidR="006D3AD5" w:rsidRPr="002C224A" w:rsidRDefault="006D3AD5" w:rsidP="006D3AD5">
      <w:pPr>
        <w:pStyle w:val="Titulek"/>
      </w:pPr>
      <w:r>
        <w:t>Table 1</w:t>
      </w:r>
      <w:r w:rsidR="00396AB4">
        <w:t>1</w:t>
      </w:r>
      <w:r w:rsidR="00B90ACD">
        <w:t>7</w:t>
      </w:r>
      <w:r>
        <w:t>: FI model variant for subordinated bronwfields loan</w:t>
      </w:r>
    </w:p>
    <w:p w14:paraId="346AAE92" w14:textId="77777777" w:rsidR="006D3AD5" w:rsidRPr="002C224A" w:rsidRDefault="006D3AD5" w:rsidP="006D3AD5">
      <w:pPr>
        <w:pStyle w:val="Nadpis4"/>
        <w:rPr>
          <w:rFonts w:ascii="Calibri" w:hAnsi="Calibri"/>
        </w:rPr>
      </w:pPr>
      <w:r>
        <w:rPr>
          <w:rFonts w:ascii="Calibri" w:hAnsi="Calibri"/>
        </w:rPr>
        <w:t xml:space="preserve">Expected results </w:t>
      </w:r>
    </w:p>
    <w:p w14:paraId="7BB7D47A" w14:textId="77777777" w:rsidR="006D3AD5" w:rsidRPr="00A50943" w:rsidRDefault="006D3AD5" w:rsidP="006D3AD5"/>
    <w:p w14:paraId="565F4A6C"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t>The next table shows the main objective indicators of the SO 2.3 defined in the operational programme.</w:t>
      </w:r>
    </w:p>
    <w:p w14:paraId="20B7060D" w14:textId="0D7349DB" w:rsidR="006D3AD5" w:rsidRDefault="006D3AD5" w:rsidP="006D3AD5">
      <w:pPr>
        <w:pStyle w:val="Titulek"/>
        <w:keepNext/>
      </w:pPr>
      <w:r>
        <w:lastRenderedPageBreak/>
        <w:t>Table</w:t>
      </w:r>
      <w:r w:rsidR="00396AB4">
        <w:t xml:space="preserve"> 11</w:t>
      </w:r>
      <w:r w:rsidR="00B90ACD">
        <w:t>8</w:t>
      </w:r>
      <w:r>
        <w:t>: SO 2.3 result indicators</w:t>
      </w:r>
    </w:p>
    <w:tbl>
      <w:tblPr>
        <w:tblW w:w="9186" w:type="dxa"/>
        <w:tblCellMar>
          <w:left w:w="57" w:type="dxa"/>
          <w:right w:w="57" w:type="dxa"/>
        </w:tblCellMar>
        <w:tblLook w:val="01E0" w:firstRow="1" w:lastRow="1" w:firstColumn="1" w:lastColumn="1" w:noHBand="0" w:noVBand="0"/>
      </w:tblPr>
      <w:tblGrid>
        <w:gridCol w:w="1379"/>
        <w:gridCol w:w="1392"/>
        <w:gridCol w:w="1077"/>
        <w:gridCol w:w="1228"/>
        <w:gridCol w:w="672"/>
        <w:gridCol w:w="1228"/>
        <w:gridCol w:w="1176"/>
        <w:gridCol w:w="1034"/>
      </w:tblGrid>
      <w:tr w:rsidR="006D3AD5" w:rsidRPr="00360BA1" w14:paraId="59C39081" w14:textId="77777777" w:rsidTr="00443B8F">
        <w:trPr>
          <w:trHeight w:hRule="exact" w:val="1010"/>
        </w:trPr>
        <w:tc>
          <w:tcPr>
            <w:tcW w:w="208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86FDB05"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1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320E6E"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96073F8"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0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44DBB0C"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50D9FE9"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BCA4DB"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176"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E0D3F06"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D379E5F"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23480009" w14:textId="77777777" w:rsidTr="00443B8F">
        <w:trPr>
          <w:trHeight w:val="510"/>
        </w:trPr>
        <w:tc>
          <w:tcPr>
            <w:tcW w:w="2080" w:type="dxa"/>
            <w:tcBorders>
              <w:top w:val="single" w:sz="4" w:space="0" w:color="000000"/>
              <w:left w:val="single" w:sz="4" w:space="0" w:color="000000"/>
              <w:bottom w:val="single" w:sz="4" w:space="0" w:color="000000"/>
              <w:right w:val="single" w:sz="4" w:space="0" w:color="000000"/>
            </w:tcBorders>
            <w:vAlign w:val="center"/>
          </w:tcPr>
          <w:p w14:paraId="3E8B9794" w14:textId="77777777" w:rsidR="006D3AD5" w:rsidRPr="00C02CC0" w:rsidRDefault="006D3AD5" w:rsidP="00443B8F">
            <w:pPr>
              <w:pStyle w:val="Tabulka"/>
              <w:rPr>
                <w:rFonts w:ascii="Calibri" w:hAnsi="Calibri" w:cs="Calibri"/>
              </w:rPr>
            </w:pPr>
            <w:r>
              <w:rPr>
                <w:rFonts w:ascii="Calibri" w:hAnsi="Calibri"/>
              </w:rPr>
              <w:t>Total area</w:t>
            </w:r>
          </w:p>
          <w:p w14:paraId="0C42E621" w14:textId="77777777" w:rsidR="006D3AD5" w:rsidRPr="00C02CC0" w:rsidRDefault="006D3AD5" w:rsidP="00443B8F">
            <w:pPr>
              <w:pStyle w:val="Tabulka"/>
              <w:rPr>
                <w:rFonts w:ascii="Calibri" w:hAnsi="Calibri" w:cs="Calibri"/>
              </w:rPr>
            </w:pPr>
            <w:r>
              <w:rPr>
                <w:rFonts w:ascii="Calibri" w:hAnsi="Calibri"/>
              </w:rPr>
              <w:t>of regenerated</w:t>
            </w:r>
          </w:p>
          <w:p w14:paraId="7D833FE6" w14:textId="77777777" w:rsidR="006D3AD5" w:rsidRPr="00C02CC0" w:rsidRDefault="006D3AD5" w:rsidP="00443B8F">
            <w:pPr>
              <w:pStyle w:val="Tabulka"/>
              <w:rPr>
                <w:rFonts w:ascii="Calibri" w:hAnsi="Calibri" w:cs="Calibri"/>
              </w:rPr>
            </w:pPr>
            <w:r>
              <w:rPr>
                <w:rFonts w:ascii="Calibri" w:hAnsi="Calibri"/>
              </w:rPr>
              <w:t>locations in the National</w:t>
            </w:r>
          </w:p>
          <w:p w14:paraId="2F375870" w14:textId="3ACDD385" w:rsidR="006D3AD5" w:rsidRPr="00360BA1" w:rsidRDefault="006D3AD5" w:rsidP="00443B8F">
            <w:pPr>
              <w:pStyle w:val="Tabulka"/>
              <w:rPr>
                <w:rFonts w:ascii="Calibri" w:hAnsi="Calibri" w:cs="Calibri"/>
              </w:rPr>
            </w:pPr>
            <w:r>
              <w:rPr>
                <w:rFonts w:ascii="Calibri" w:hAnsi="Calibri"/>
              </w:rPr>
              <w:t xml:space="preserve">brownfield database for business </w:t>
            </w:r>
            <w:r w:rsidR="0042403A">
              <w:rPr>
                <w:rFonts w:ascii="Calibri" w:hAnsi="Calibri"/>
              </w:rPr>
              <w:t>SME</w:t>
            </w:r>
            <w:r>
              <w:rPr>
                <w:rFonts w:ascii="Calibri" w:hAnsi="Calibri"/>
              </w:rPr>
              <w:t>s activities</w:t>
            </w:r>
          </w:p>
        </w:tc>
        <w:tc>
          <w:tcPr>
            <w:tcW w:w="1017" w:type="dxa"/>
            <w:tcBorders>
              <w:top w:val="single" w:sz="4" w:space="0" w:color="000000"/>
              <w:left w:val="single" w:sz="4" w:space="0" w:color="000000"/>
              <w:bottom w:val="single" w:sz="4" w:space="0" w:color="000000"/>
              <w:right w:val="single" w:sz="4" w:space="0" w:color="000000"/>
            </w:tcBorders>
            <w:vAlign w:val="center"/>
          </w:tcPr>
          <w:p w14:paraId="79487A28" w14:textId="77777777" w:rsidR="006D3AD5" w:rsidRPr="00360BA1" w:rsidRDefault="006D3AD5" w:rsidP="00443B8F">
            <w:pPr>
              <w:pStyle w:val="Tabulka"/>
              <w:rPr>
                <w:rFonts w:ascii="Calibri" w:hAnsi="Calibri" w:cs="Calibri"/>
              </w:rPr>
            </w:pPr>
            <w:r>
              <w:rPr>
                <w:rFonts w:ascii="Calibri" w:hAnsi="Calibri"/>
              </w:rPr>
              <w:t>m</w:t>
            </w:r>
            <w:r>
              <w:rPr>
                <w:rFonts w:ascii="Calibri" w:hAnsi="Calibri"/>
                <w:vertAlign w:val="superscript"/>
              </w:rPr>
              <w:t>2</w:t>
            </w:r>
          </w:p>
        </w:tc>
        <w:tc>
          <w:tcPr>
            <w:tcW w:w="1170" w:type="dxa"/>
            <w:tcBorders>
              <w:top w:val="single" w:sz="4" w:space="0" w:color="000000"/>
              <w:left w:val="single" w:sz="4" w:space="0" w:color="000000"/>
              <w:bottom w:val="single" w:sz="4" w:space="0" w:color="000000"/>
              <w:right w:val="single" w:sz="4" w:space="0" w:color="000000"/>
            </w:tcBorders>
            <w:vAlign w:val="center"/>
          </w:tcPr>
          <w:p w14:paraId="6C833695" w14:textId="77777777" w:rsidR="006D3AD5" w:rsidRPr="00360BA1" w:rsidRDefault="006D3AD5" w:rsidP="00443B8F">
            <w:pPr>
              <w:pStyle w:val="Tabulka"/>
              <w:rPr>
                <w:rFonts w:ascii="Calibri" w:hAnsi="Calibri" w:cs="Calibri"/>
              </w:rPr>
            </w:pPr>
            <w:r>
              <w:rPr>
                <w:rFonts w:ascii="Calibri" w:hAnsi="Calibri"/>
              </w:rPr>
              <w:t>Less developed regions</w:t>
            </w:r>
          </w:p>
        </w:tc>
        <w:tc>
          <w:tcPr>
            <w:tcW w:w="1072" w:type="dxa"/>
            <w:tcBorders>
              <w:top w:val="single" w:sz="4" w:space="0" w:color="000000"/>
              <w:left w:val="single" w:sz="4" w:space="0" w:color="000000"/>
              <w:bottom w:val="single" w:sz="4" w:space="0" w:color="000000"/>
              <w:right w:val="single" w:sz="4" w:space="0" w:color="000000"/>
            </w:tcBorders>
            <w:vAlign w:val="center"/>
          </w:tcPr>
          <w:p w14:paraId="00D1DB42" w14:textId="77777777" w:rsidR="006D3AD5" w:rsidRPr="00360BA1" w:rsidRDefault="006D3AD5" w:rsidP="00443B8F">
            <w:pPr>
              <w:pStyle w:val="Tabulka"/>
              <w:rPr>
                <w:rFonts w:ascii="Calibri" w:hAnsi="Calibri" w:cs="Calibri"/>
              </w:rPr>
            </w:pPr>
            <w:r>
              <w:rPr>
                <w:rFonts w:ascii="Calibri" w:hAnsi="Calibri"/>
              </w:rPr>
              <w:t>258,756,977</w:t>
            </w:r>
          </w:p>
        </w:tc>
        <w:tc>
          <w:tcPr>
            <w:tcW w:w="819" w:type="dxa"/>
            <w:tcBorders>
              <w:top w:val="single" w:sz="4" w:space="0" w:color="000000"/>
              <w:left w:val="single" w:sz="4" w:space="0" w:color="000000"/>
              <w:bottom w:val="single" w:sz="4" w:space="0" w:color="000000"/>
              <w:right w:val="single" w:sz="4" w:space="0" w:color="000000"/>
            </w:tcBorders>
            <w:vAlign w:val="center"/>
          </w:tcPr>
          <w:p w14:paraId="0DD52076" w14:textId="77777777" w:rsidR="006D3AD5" w:rsidRPr="00360BA1" w:rsidRDefault="006D3AD5" w:rsidP="00443B8F">
            <w:pPr>
              <w:pStyle w:val="Tabulka"/>
              <w:rPr>
                <w:rFonts w:ascii="Calibri" w:hAnsi="Calibri" w:cs="Calibri"/>
              </w:rPr>
            </w:pPr>
            <w:r>
              <w:rPr>
                <w:rFonts w:ascii="Calibri" w:hAnsi="Calibri"/>
              </w:rPr>
              <w:t>2014</w:t>
            </w:r>
          </w:p>
        </w:tc>
        <w:tc>
          <w:tcPr>
            <w:tcW w:w="890" w:type="dxa"/>
            <w:tcBorders>
              <w:top w:val="single" w:sz="4" w:space="0" w:color="000000"/>
              <w:left w:val="single" w:sz="4" w:space="0" w:color="000000"/>
              <w:bottom w:val="single" w:sz="4" w:space="0" w:color="000000"/>
              <w:right w:val="single" w:sz="4" w:space="0" w:color="000000"/>
            </w:tcBorders>
            <w:vAlign w:val="center"/>
          </w:tcPr>
          <w:p w14:paraId="444B0C29" w14:textId="77777777" w:rsidR="006D3AD5" w:rsidRPr="00360BA1" w:rsidRDefault="006D3AD5" w:rsidP="00443B8F">
            <w:pPr>
              <w:pStyle w:val="Tabulka"/>
              <w:rPr>
                <w:rFonts w:ascii="Calibri" w:hAnsi="Calibri" w:cs="Calibri"/>
              </w:rPr>
            </w:pPr>
            <w:r>
              <w:rPr>
                <w:rFonts w:ascii="Calibri" w:hAnsi="Calibri"/>
              </w:rPr>
              <w:t>259,000,000 – 260,500,000</w:t>
            </w:r>
          </w:p>
        </w:tc>
        <w:tc>
          <w:tcPr>
            <w:tcW w:w="1176" w:type="dxa"/>
            <w:tcBorders>
              <w:top w:val="single" w:sz="4" w:space="0" w:color="000000"/>
              <w:left w:val="single" w:sz="4" w:space="0" w:color="000000"/>
              <w:bottom w:val="single" w:sz="4" w:space="0" w:color="000000"/>
              <w:right w:val="single" w:sz="4" w:space="0" w:color="000000"/>
            </w:tcBorders>
            <w:vAlign w:val="center"/>
          </w:tcPr>
          <w:p w14:paraId="0E1E5634" w14:textId="77777777" w:rsidR="006D3AD5" w:rsidRPr="00360BA1" w:rsidRDefault="006D3AD5" w:rsidP="00443B8F">
            <w:pPr>
              <w:pStyle w:val="Tabulka"/>
              <w:rPr>
                <w:rFonts w:ascii="Calibri" w:hAnsi="Calibri" w:cs="Calibri"/>
              </w:rPr>
            </w:pPr>
            <w:r>
              <w:rPr>
                <w:rFonts w:ascii="Calibri" w:hAnsi="Calibri"/>
              </w:rPr>
              <w:t>CzechInvest</w:t>
            </w:r>
          </w:p>
        </w:tc>
        <w:tc>
          <w:tcPr>
            <w:tcW w:w="962" w:type="dxa"/>
            <w:tcBorders>
              <w:top w:val="single" w:sz="4" w:space="0" w:color="000000"/>
              <w:left w:val="single" w:sz="4" w:space="0" w:color="000000"/>
              <w:bottom w:val="single" w:sz="4" w:space="0" w:color="000000"/>
              <w:right w:val="single" w:sz="4" w:space="0" w:color="000000"/>
            </w:tcBorders>
            <w:vAlign w:val="center"/>
          </w:tcPr>
          <w:p w14:paraId="3CDDC7D5" w14:textId="77777777" w:rsidR="006D3AD5" w:rsidRPr="00A52D1B" w:rsidRDefault="006D3AD5" w:rsidP="00443B8F">
            <w:pPr>
              <w:pStyle w:val="Tabulka"/>
              <w:rPr>
                <w:rFonts w:ascii="Calibri" w:hAnsi="Calibri" w:cs="Calibri"/>
              </w:rPr>
            </w:pPr>
            <w:r>
              <w:rPr>
                <w:rFonts w:ascii="Calibri" w:hAnsi="Calibri"/>
              </w:rPr>
              <w:t>per year</w:t>
            </w:r>
          </w:p>
        </w:tc>
      </w:tr>
    </w:tbl>
    <w:p w14:paraId="1C3621F4"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63C14875" w14:textId="77777777" w:rsidR="006D3AD5" w:rsidRDefault="006D3AD5" w:rsidP="006D3AD5">
      <w:pPr>
        <w:pStyle w:val="Odstavecseseznamem2"/>
        <w:overflowPunct w:val="0"/>
        <w:autoSpaceDE w:val="0"/>
        <w:autoSpaceDN w:val="0"/>
        <w:adjustRightInd w:val="0"/>
        <w:spacing w:after="160"/>
        <w:ind w:left="0"/>
        <w:jc w:val="both"/>
        <w:textAlignment w:val="baseline"/>
      </w:pPr>
      <w:r>
        <w:t>Financial instruments should participate in fulfilling these target values by reaching the target values of the following indicators general quantification of which was based on the model scenarios described above.</w:t>
      </w:r>
    </w:p>
    <w:p w14:paraId="0905A0E6" w14:textId="77777777" w:rsidR="006D3AD5" w:rsidRPr="002C224A" w:rsidRDefault="006D3AD5" w:rsidP="006D3AD5"/>
    <w:p w14:paraId="37FA5CB7" w14:textId="604306FE" w:rsidR="006D3AD5" w:rsidRDefault="006D3AD5" w:rsidP="006D3AD5">
      <w:pPr>
        <w:pStyle w:val="Titulek"/>
        <w:keepNext/>
      </w:pPr>
      <w:r>
        <w:t>Table</w:t>
      </w:r>
      <w:r w:rsidR="00396AB4">
        <w:t xml:space="preserve"> 11</w:t>
      </w:r>
      <w:r w:rsidR="00B90ACD">
        <w:t>9</w:t>
      </w:r>
      <w:r>
        <w:t xml:space="preserve">: </w:t>
      </w:r>
      <w:r w:rsidR="008E5253">
        <w:t>FI target values</w:t>
      </w:r>
    </w:p>
    <w:tbl>
      <w:tblPr>
        <w:tblW w:w="0" w:type="auto"/>
        <w:tblCellMar>
          <w:left w:w="57" w:type="dxa"/>
          <w:right w:w="57" w:type="dxa"/>
        </w:tblCellMar>
        <w:tblLook w:val="01E0" w:firstRow="1" w:lastRow="1" w:firstColumn="1" w:lastColumn="1" w:noHBand="0" w:noVBand="0"/>
      </w:tblPr>
      <w:tblGrid>
        <w:gridCol w:w="4410"/>
        <w:gridCol w:w="1667"/>
        <w:gridCol w:w="1514"/>
        <w:gridCol w:w="1471"/>
      </w:tblGrid>
      <w:tr w:rsidR="006D3AD5" w:rsidRPr="002C224A" w14:paraId="44E2F955" w14:textId="77777777" w:rsidTr="00443B8F">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AC3A50F"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E9FFC5A"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AA0E29C"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9225350"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4F9AB691"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284007A" w14:textId="77777777" w:rsidR="006D3AD5" w:rsidRPr="002C224A" w:rsidRDefault="006D3AD5" w:rsidP="00443B8F">
            <w:pPr>
              <w:pStyle w:val="Odstavecseseznamem2"/>
              <w:overflowPunct w:val="0"/>
              <w:autoSpaceDE w:val="0"/>
              <w:autoSpaceDN w:val="0"/>
              <w:adjustRightInd w:val="0"/>
              <w:spacing w:after="160"/>
              <w:ind w:left="0"/>
              <w:jc w:val="both"/>
              <w:textAlignment w:val="baseline"/>
            </w:pPr>
            <w:r>
              <w:t>Extended, reconstructed or newly constructed capacities without using agricultural land resources</w:t>
            </w:r>
          </w:p>
        </w:tc>
        <w:tc>
          <w:tcPr>
            <w:tcW w:w="0" w:type="auto"/>
            <w:tcBorders>
              <w:top w:val="single" w:sz="4" w:space="0" w:color="000000"/>
              <w:left w:val="single" w:sz="4" w:space="0" w:color="000000"/>
              <w:bottom w:val="single" w:sz="4" w:space="0" w:color="000000"/>
              <w:right w:val="single" w:sz="4" w:space="0" w:color="000000"/>
            </w:tcBorders>
            <w:vAlign w:val="center"/>
          </w:tcPr>
          <w:p w14:paraId="2D1336EA" w14:textId="77777777" w:rsidR="006D3AD5" w:rsidRPr="002C224A" w:rsidRDefault="006D3AD5" w:rsidP="00443B8F">
            <w:pPr>
              <w:pStyle w:val="Tabulka"/>
              <w:rPr>
                <w:rFonts w:ascii="Calibri" w:hAnsi="Calibri" w:cs="Calibri"/>
              </w:rPr>
            </w:pPr>
            <w:r>
              <w:rPr>
                <w:rFonts w:ascii="Calibri" w:hAnsi="Calibri"/>
              </w:rPr>
              <w:t>m</w:t>
            </w:r>
            <w:r>
              <w:rPr>
                <w:rFonts w:ascii="Calibri" w:hAnsi="Calibr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552E8CBE"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75DA37C7" w14:textId="77777777" w:rsidR="006D3AD5" w:rsidRPr="002C224A" w:rsidRDefault="006D3AD5" w:rsidP="00443B8F">
            <w:pPr>
              <w:pStyle w:val="Tabulka"/>
              <w:rPr>
                <w:rFonts w:ascii="Calibri" w:hAnsi="Calibri" w:cs="Calibri"/>
              </w:rPr>
            </w:pPr>
            <w:r>
              <w:rPr>
                <w:rFonts w:ascii="Calibri" w:hAnsi="Calibri"/>
              </w:rPr>
              <w:t>300,000-600,000</w:t>
            </w:r>
          </w:p>
        </w:tc>
      </w:tr>
      <w:tr w:rsidR="006D3AD5" w:rsidRPr="002C224A" w14:paraId="264C5594"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D5ABA74" w14:textId="77777777" w:rsidR="006D3AD5" w:rsidRPr="002C224A" w:rsidRDefault="006D3AD5" w:rsidP="00443B8F">
            <w:pPr>
              <w:pStyle w:val="Odstavecseseznamem2"/>
              <w:overflowPunct w:val="0"/>
              <w:autoSpaceDE w:val="0"/>
              <w:autoSpaceDN w:val="0"/>
              <w:adjustRightInd w:val="0"/>
              <w:spacing w:after="160"/>
              <w:ind w:left="0"/>
              <w:jc w:val="both"/>
              <w:textAlignment w:val="baseline"/>
            </w:pPr>
            <w:r>
              <w:t>Number of companies using new or modernized business infrastructure</w:t>
            </w:r>
          </w:p>
        </w:tc>
        <w:tc>
          <w:tcPr>
            <w:tcW w:w="0" w:type="auto"/>
            <w:tcBorders>
              <w:top w:val="single" w:sz="4" w:space="0" w:color="000000"/>
              <w:left w:val="single" w:sz="4" w:space="0" w:color="000000"/>
              <w:bottom w:val="single" w:sz="4" w:space="0" w:color="000000"/>
              <w:right w:val="single" w:sz="4" w:space="0" w:color="000000"/>
            </w:tcBorders>
            <w:vAlign w:val="center"/>
          </w:tcPr>
          <w:p w14:paraId="1CAFF5EB" w14:textId="77777777" w:rsidR="006D3AD5" w:rsidRPr="002C224A" w:rsidRDefault="006D3AD5" w:rsidP="00443B8F">
            <w:pPr>
              <w:pStyle w:val="Tabulka"/>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257A02ED" w14:textId="77777777" w:rsidR="006D3AD5" w:rsidRPr="002C224A" w:rsidRDefault="006D3AD5" w:rsidP="00443B8F">
            <w:pPr>
              <w:pStyle w:val="Tabulka"/>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54CF0DAC" w14:textId="77777777" w:rsidR="006D3AD5" w:rsidRPr="002C224A" w:rsidRDefault="006D3AD5" w:rsidP="00443B8F">
            <w:pPr>
              <w:pStyle w:val="Tabulka"/>
              <w:rPr>
                <w:rFonts w:ascii="Calibri" w:hAnsi="Calibri" w:cs="Calibri"/>
              </w:rPr>
            </w:pPr>
            <w:r w:rsidRPr="00685AEF">
              <w:rPr>
                <w:rFonts w:ascii="Calibri" w:hAnsi="Calibri"/>
              </w:rPr>
              <w:t>30/-60:</w:t>
            </w:r>
          </w:p>
        </w:tc>
      </w:tr>
    </w:tbl>
    <w:p w14:paraId="597BDD4A"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7FE54781" w14:textId="77777777" w:rsidR="006D3AD5" w:rsidRPr="00E46303"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19F52816"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6D0F9028" w14:textId="77777777" w:rsidR="006D3AD5" w:rsidRPr="00A50943" w:rsidRDefault="006D3AD5" w:rsidP="006D3AD5">
      <w:pPr>
        <w:pStyle w:val="Odstavecseseznamem2"/>
        <w:numPr>
          <w:ilvl w:val="0"/>
          <w:numId w:val="54"/>
        </w:numPr>
        <w:overflowPunct w:val="0"/>
        <w:autoSpaceDE w:val="0"/>
        <w:autoSpaceDN w:val="0"/>
        <w:adjustRightInd w:val="0"/>
        <w:spacing w:after="160"/>
        <w:jc w:val="both"/>
        <w:textAlignment w:val="baseline"/>
      </w:pPr>
      <w:r>
        <w:t>23001 Number of companies using new or modernized business infrastructure*</w:t>
      </w:r>
    </w:p>
    <w:p w14:paraId="091A4944" w14:textId="77777777" w:rsidR="006D3AD5" w:rsidRPr="002C224A" w:rsidRDefault="006D3AD5" w:rsidP="006D3AD5">
      <w:pPr>
        <w:pStyle w:val="Odstavecseseznamem2"/>
        <w:numPr>
          <w:ilvl w:val="0"/>
          <w:numId w:val="54"/>
        </w:numPr>
        <w:overflowPunct w:val="0"/>
        <w:autoSpaceDE w:val="0"/>
        <w:autoSpaceDN w:val="0"/>
        <w:adjustRightInd w:val="0"/>
        <w:spacing w:after="160"/>
        <w:jc w:val="both"/>
        <w:textAlignment w:val="baseline"/>
      </w:pPr>
      <w:r>
        <w:t>46601 Extended, reconstructed or newly constructed capacities without using agricultural land resources*</w:t>
      </w:r>
    </w:p>
    <w:p w14:paraId="50797D8F" w14:textId="77777777" w:rsidR="006D3AD5" w:rsidRDefault="006D3AD5" w:rsidP="006D3AD5">
      <w:pPr>
        <w:numPr>
          <w:ilvl w:val="0"/>
          <w:numId w:val="54"/>
        </w:numPr>
      </w:pPr>
      <w:r>
        <w:t>10000 The number of companies drawing the support</w:t>
      </w:r>
    </w:p>
    <w:p w14:paraId="5FD2B834" w14:textId="77777777" w:rsidR="006D3AD5" w:rsidRDefault="006D3AD5" w:rsidP="006D3AD5">
      <w:pPr>
        <w:numPr>
          <w:ilvl w:val="0"/>
          <w:numId w:val="54"/>
        </w:numPr>
      </w:pPr>
      <w:r>
        <w:t>10800 Floor area - non-residential buildings</w:t>
      </w:r>
    </w:p>
    <w:p w14:paraId="31F19A41" w14:textId="60D96587" w:rsidR="006D3AD5" w:rsidRPr="002C224A" w:rsidRDefault="006D3AD5" w:rsidP="006D3AD5">
      <w:pPr>
        <w:numPr>
          <w:ilvl w:val="0"/>
          <w:numId w:val="54"/>
        </w:numPr>
      </w:pPr>
      <w:r>
        <w:t xml:space="preserve">23300 Total area of regenerated locations in the National brownfield database for business activities of </w:t>
      </w:r>
      <w:r w:rsidR="0042403A">
        <w:t>SME</w:t>
      </w:r>
      <w:r>
        <w:t>s</w:t>
      </w:r>
    </w:p>
    <w:p w14:paraId="1CB770A7" w14:textId="77777777" w:rsidR="006D3AD5" w:rsidRPr="002C224A" w:rsidRDefault="006D3AD5" w:rsidP="006D3AD5">
      <w:pPr>
        <w:pStyle w:val="Nadpis4"/>
        <w:rPr>
          <w:rFonts w:ascii="Calibri" w:hAnsi="Calibri"/>
        </w:rPr>
      </w:pPr>
      <w:r>
        <w:rPr>
          <w:rFonts w:ascii="Calibri" w:hAnsi="Calibri"/>
        </w:rPr>
        <w:t>Partial summary</w:t>
      </w:r>
    </w:p>
    <w:p w14:paraId="4469839F" w14:textId="77777777" w:rsidR="006D3AD5" w:rsidRPr="002C224A" w:rsidRDefault="006D3AD5" w:rsidP="006D3AD5">
      <w:pPr>
        <w:pStyle w:val="CaptionIntroductionparagraph"/>
        <w:rPr>
          <w:rFonts w:ascii="Calibri" w:hAnsi="Calibri"/>
        </w:rPr>
      </w:pPr>
    </w:p>
    <w:bookmarkEnd w:id="1334"/>
    <w:p w14:paraId="1EEB3325" w14:textId="77777777" w:rsidR="006D3AD5" w:rsidRPr="002C224A" w:rsidRDefault="006D3AD5" w:rsidP="006D3AD5">
      <w:pPr>
        <w:pStyle w:val="CaptionIntroductionparagraph"/>
        <w:rPr>
          <w:rFonts w:ascii="Calibri" w:hAnsi="Calibri"/>
        </w:rPr>
      </w:pPr>
      <w:r>
        <w:rPr>
          <w:rFonts w:ascii="Calibri" w:hAnsi="Calibri"/>
        </w:rPr>
        <w:t>Credit instrument</w:t>
      </w:r>
    </w:p>
    <w:p w14:paraId="4015D7C0" w14:textId="77777777" w:rsidR="006D3AD5" w:rsidRPr="00A50943" w:rsidRDefault="006D3AD5" w:rsidP="006D3AD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4EDD4173" w14:textId="77777777" w:rsidTr="00443B8F">
        <w:tc>
          <w:tcPr>
            <w:tcW w:w="2282" w:type="dxa"/>
            <w:shd w:val="clear" w:color="auto" w:fill="ECFFC3"/>
          </w:tcPr>
          <w:p w14:paraId="2102BB44" w14:textId="77777777" w:rsidR="006D3AD5" w:rsidRPr="002C224A" w:rsidRDefault="006D3AD5" w:rsidP="00443B8F">
            <w:pPr>
              <w:rPr>
                <w:b/>
              </w:rPr>
            </w:pPr>
          </w:p>
        </w:tc>
        <w:tc>
          <w:tcPr>
            <w:tcW w:w="6788" w:type="dxa"/>
            <w:shd w:val="clear" w:color="auto" w:fill="ECFFC3"/>
          </w:tcPr>
          <w:p w14:paraId="00D6E35E" w14:textId="77777777" w:rsidR="006D3AD5" w:rsidRPr="002C224A" w:rsidRDefault="006D3AD5" w:rsidP="00443B8F">
            <w:pPr>
              <w:ind w:left="38"/>
              <w:rPr>
                <w:b/>
              </w:rPr>
            </w:pPr>
          </w:p>
        </w:tc>
      </w:tr>
      <w:tr w:rsidR="006D3AD5" w:rsidRPr="002C224A" w14:paraId="24DBBD2C" w14:textId="77777777" w:rsidTr="00443B8F">
        <w:tc>
          <w:tcPr>
            <w:tcW w:w="2282" w:type="dxa"/>
            <w:shd w:val="clear" w:color="auto" w:fill="92D400"/>
            <w:noWrap/>
          </w:tcPr>
          <w:p w14:paraId="1924AA61" w14:textId="77777777" w:rsidR="006D3AD5" w:rsidRPr="002C224A" w:rsidRDefault="006D3AD5" w:rsidP="00443B8F">
            <w:pPr>
              <w:jc w:val="left"/>
              <w:rPr>
                <w:b/>
                <w:color w:val="FFFFFF"/>
              </w:rPr>
            </w:pPr>
            <w:r>
              <w:rPr>
                <w:b/>
                <w:color w:val="FFFFFF"/>
              </w:rPr>
              <w:t>Objectives of the financial instrument</w:t>
            </w:r>
          </w:p>
        </w:tc>
        <w:tc>
          <w:tcPr>
            <w:tcW w:w="6788" w:type="dxa"/>
            <w:shd w:val="clear" w:color="auto" w:fill="FFFFFF"/>
            <w:noWrap/>
          </w:tcPr>
          <w:p w14:paraId="2EA902C3" w14:textId="60A50D5C" w:rsidR="006D3AD5" w:rsidRPr="002C224A" w:rsidRDefault="006D3AD5" w:rsidP="00443B8F">
            <w:r>
              <w:t xml:space="preserve">To support creation of a modern business production and business infrastructure for </w:t>
            </w:r>
            <w:r w:rsidR="0042403A">
              <w:t>SME</w:t>
            </w:r>
            <w:r>
              <w:t>s by regeneration of BFs or unsuitable business real estates.</w:t>
            </w:r>
          </w:p>
        </w:tc>
      </w:tr>
      <w:tr w:rsidR="006D3AD5" w:rsidRPr="002C224A" w14:paraId="28BF0068" w14:textId="77777777" w:rsidTr="00443B8F">
        <w:tc>
          <w:tcPr>
            <w:tcW w:w="2282" w:type="dxa"/>
            <w:shd w:val="clear" w:color="auto" w:fill="92D400"/>
            <w:noWrap/>
          </w:tcPr>
          <w:p w14:paraId="1CF4FBA8"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7D67181F" w14:textId="77777777" w:rsidR="006D3AD5" w:rsidRPr="002C224A" w:rsidRDefault="006D3AD5" w:rsidP="00443B8F">
            <w:r>
              <w:t>The credit instrument can be used for projects of realization of construction and technical measures on technically unsuitable business real estates (investments into production spaces).</w:t>
            </w:r>
          </w:p>
          <w:p w14:paraId="77155106" w14:textId="77777777" w:rsidR="006D3AD5" w:rsidRPr="002C224A" w:rsidRDefault="006D3AD5" w:rsidP="00443B8F"/>
          <w:p w14:paraId="07D24573" w14:textId="77777777" w:rsidR="006D3AD5" w:rsidRPr="002C224A" w:rsidRDefault="006D3AD5" w:rsidP="00443B8F">
            <w:r>
              <w:t>Instrument of the subordinated loan can be used for projects of BF complex regeneration, typically above 10 hectares.</w:t>
            </w:r>
          </w:p>
        </w:tc>
      </w:tr>
      <w:tr w:rsidR="006D3AD5" w:rsidRPr="002C224A" w14:paraId="6FCAA55D" w14:textId="77777777" w:rsidTr="00443B8F">
        <w:tc>
          <w:tcPr>
            <w:tcW w:w="2282" w:type="dxa"/>
            <w:shd w:val="clear" w:color="auto" w:fill="92D400"/>
            <w:noWrap/>
          </w:tcPr>
          <w:p w14:paraId="427F4F07" w14:textId="77777777" w:rsidR="006D3AD5" w:rsidRPr="002C224A" w:rsidRDefault="006D3AD5" w:rsidP="00443B8F">
            <w:pPr>
              <w:jc w:val="left"/>
              <w:rPr>
                <w:b/>
                <w:color w:val="FFFFFF"/>
              </w:rPr>
            </w:pPr>
            <w:r>
              <w:rPr>
                <w:b/>
                <w:color w:val="FFFFFF"/>
              </w:rPr>
              <w:t>Support form</w:t>
            </w:r>
          </w:p>
        </w:tc>
        <w:tc>
          <w:tcPr>
            <w:tcW w:w="6788" w:type="dxa"/>
            <w:shd w:val="clear" w:color="auto" w:fill="FFFFFF"/>
            <w:noWrap/>
          </w:tcPr>
          <w:p w14:paraId="290790B1" w14:textId="77777777" w:rsidR="006D3AD5" w:rsidRPr="002C224A" w:rsidRDefault="006D3AD5" w:rsidP="00443B8F">
            <w:pPr>
              <w:spacing w:after="120"/>
              <w:rPr>
                <w:rFonts w:cs="Calibri"/>
                <w:szCs w:val="22"/>
              </w:rPr>
            </w:pPr>
            <w:r>
              <w:t>Soft loan -</w:t>
            </w:r>
          </w:p>
          <w:p w14:paraId="2246A547" w14:textId="77777777" w:rsidR="006D3AD5" w:rsidRPr="002C224A" w:rsidRDefault="006D3AD5" w:rsidP="00443B8F">
            <w:pPr>
              <w:spacing w:after="120"/>
              <w:rPr>
                <w:rFonts w:cs="Calibri"/>
                <w:szCs w:val="22"/>
              </w:rPr>
            </w:pPr>
            <w:r>
              <w:t>combined support.</w:t>
            </w:r>
          </w:p>
          <w:p w14:paraId="0B3F5981" w14:textId="77777777" w:rsidR="006D3AD5" w:rsidRPr="002C224A" w:rsidRDefault="006D3AD5" w:rsidP="00443B8F">
            <w:pPr>
              <w:spacing w:after="120"/>
              <w:rPr>
                <w:rFonts w:cs="Calibri"/>
                <w:szCs w:val="22"/>
              </w:rPr>
            </w:pPr>
            <w:r>
              <w:t>The soft loan with lower interest rate and longer due period, potentially with longer principal repayment deferment.</w:t>
            </w:r>
          </w:p>
          <w:p w14:paraId="185972FF" w14:textId="77777777" w:rsidR="006D3AD5" w:rsidRPr="002C224A" w:rsidRDefault="006D3AD5" w:rsidP="00443B8F">
            <w:pPr>
              <w:spacing w:after="120"/>
              <w:rPr>
                <w:rFonts w:cs="Calibri"/>
                <w:szCs w:val="22"/>
              </w:rPr>
            </w:pPr>
            <w:r>
              <w:t>Subsidy for project creation.</w:t>
            </w:r>
          </w:p>
          <w:p w14:paraId="3A9D5EE7" w14:textId="77777777" w:rsidR="006D3AD5" w:rsidRPr="002C224A" w:rsidRDefault="006D3AD5" w:rsidP="00443B8F">
            <w:pPr>
              <w:spacing w:after="120"/>
              <w:rPr>
                <w:rFonts w:cs="Calibri"/>
                <w:szCs w:val="22"/>
              </w:rPr>
            </w:pPr>
          </w:p>
          <w:p w14:paraId="424E9B96" w14:textId="77777777" w:rsidR="006D3AD5" w:rsidRPr="002C224A" w:rsidRDefault="006D3AD5" w:rsidP="00443B8F">
            <w:pPr>
              <w:spacing w:after="120"/>
              <w:rPr>
                <w:rFonts w:cs="Calibri"/>
                <w:szCs w:val="22"/>
              </w:rPr>
            </w:pPr>
            <w:r>
              <w:t xml:space="preserve">Subordinated loan - </w:t>
            </w:r>
          </w:p>
          <w:p w14:paraId="5CB390E6" w14:textId="5AA71FA9" w:rsidR="006D3AD5" w:rsidRPr="002C224A" w:rsidRDefault="006D3AD5" w:rsidP="00443B8F">
            <w:pPr>
              <w:spacing w:after="120"/>
            </w:pPr>
            <w:r>
              <w:t xml:space="preserve">purpose loan for the BF regeneration activity with the result of creating a location / industrial area for investments into the </w:t>
            </w:r>
            <w:r w:rsidR="0042403A">
              <w:t>SME</w:t>
            </w:r>
            <w:r>
              <w:t>s production areas.</w:t>
            </w:r>
          </w:p>
        </w:tc>
      </w:tr>
      <w:tr w:rsidR="006D3AD5" w:rsidRPr="002C224A" w14:paraId="461B45EE" w14:textId="77777777" w:rsidTr="00443B8F">
        <w:tc>
          <w:tcPr>
            <w:tcW w:w="2282" w:type="dxa"/>
            <w:shd w:val="clear" w:color="auto" w:fill="92D400"/>
            <w:noWrap/>
          </w:tcPr>
          <w:p w14:paraId="4C36CA82" w14:textId="77777777" w:rsidR="006D3AD5" w:rsidRPr="002C224A" w:rsidRDefault="006D3AD5" w:rsidP="00443B8F">
            <w:pPr>
              <w:jc w:val="left"/>
              <w:rPr>
                <w:b/>
                <w:color w:val="FFFFFF"/>
              </w:rPr>
            </w:pPr>
            <w:r>
              <w:rPr>
                <w:b/>
                <w:color w:val="FFFFFF"/>
              </w:rPr>
              <w:t>Support amount</w:t>
            </w:r>
          </w:p>
        </w:tc>
        <w:tc>
          <w:tcPr>
            <w:tcW w:w="6788" w:type="dxa"/>
            <w:shd w:val="clear" w:color="auto" w:fill="FFFFFF"/>
            <w:noWrap/>
          </w:tcPr>
          <w:p w14:paraId="6D03C274" w14:textId="77777777" w:rsidR="006D3AD5" w:rsidRPr="002C224A" w:rsidRDefault="006D3AD5" w:rsidP="00443B8F">
            <w:pPr>
              <w:spacing w:after="120"/>
              <w:rPr>
                <w:rFonts w:cs="Calibri"/>
                <w:szCs w:val="22"/>
              </w:rPr>
            </w:pPr>
            <w:r>
              <w:t>Soft loan -</w:t>
            </w:r>
          </w:p>
          <w:p w14:paraId="4447C531" w14:textId="77777777" w:rsidR="006D3AD5" w:rsidRPr="002C224A" w:rsidRDefault="006D3AD5" w:rsidP="00443B8F">
            <w:r>
              <w:t>loans of CZK 1 to 200 million of up to 80% of eligible project costs. For all NUTS 2 regions (except for Prague) the support intensity of 35 / 45% apply.</w:t>
            </w:r>
          </w:p>
          <w:p w14:paraId="1064B5C1" w14:textId="77777777" w:rsidR="006D3AD5" w:rsidRPr="002C224A" w:rsidRDefault="006D3AD5" w:rsidP="00443B8F"/>
          <w:p w14:paraId="029D7580" w14:textId="77777777" w:rsidR="006D3AD5" w:rsidRPr="002C224A" w:rsidRDefault="006D3AD5" w:rsidP="00443B8F">
            <w:pPr>
              <w:spacing w:after="120"/>
              <w:rPr>
                <w:rFonts w:cs="Calibri"/>
                <w:szCs w:val="22"/>
              </w:rPr>
            </w:pPr>
            <w:r>
              <w:t xml:space="preserve">Subordinated loan - </w:t>
            </w:r>
          </w:p>
          <w:p w14:paraId="6DB14E71" w14:textId="77777777" w:rsidR="006D3AD5" w:rsidRPr="002C224A" w:rsidRDefault="006D3AD5" w:rsidP="00443B8F">
            <w:r>
              <w:t>projects in the range of CZK 50 - 250 million, 100 million in average</w:t>
            </w:r>
          </w:p>
        </w:tc>
      </w:tr>
      <w:tr w:rsidR="006D3AD5" w:rsidRPr="002C224A" w14:paraId="46902E9E" w14:textId="77777777" w:rsidTr="00443B8F">
        <w:tc>
          <w:tcPr>
            <w:tcW w:w="2282" w:type="dxa"/>
            <w:shd w:val="clear" w:color="auto" w:fill="92D400"/>
            <w:noWrap/>
          </w:tcPr>
          <w:p w14:paraId="1F569634" w14:textId="77777777" w:rsidR="006D3AD5" w:rsidRPr="002C224A" w:rsidRDefault="006D3AD5" w:rsidP="00443B8F">
            <w:pPr>
              <w:jc w:val="left"/>
              <w:rPr>
                <w:b/>
                <w:color w:val="FFFFFF"/>
              </w:rPr>
            </w:pPr>
            <w:r>
              <w:rPr>
                <w:b/>
                <w:color w:val="FFFFFF"/>
              </w:rPr>
              <w:t>Basic parameters of the provided support</w:t>
            </w:r>
          </w:p>
        </w:tc>
        <w:tc>
          <w:tcPr>
            <w:tcW w:w="6788" w:type="dxa"/>
            <w:shd w:val="clear" w:color="auto" w:fill="FFFFFF"/>
            <w:noWrap/>
          </w:tcPr>
          <w:p w14:paraId="57CCFB17" w14:textId="390D3F5C" w:rsidR="006D3AD5" w:rsidRPr="002C224A" w:rsidRDefault="00AE65A1" w:rsidP="00443B8F">
            <w:r>
              <w:t>The soft loan should be provided in parallel with commercial loan of a private credit institution and a co-financing of the final recipient. The share of commercial loan is rec</w:t>
            </w:r>
            <w:r w:rsidR="006D3AD5">
              <w:t>ommended at 50-100% of the soft loan.</w:t>
            </w:r>
          </w:p>
          <w:p w14:paraId="6DC99604" w14:textId="77777777" w:rsidR="006D3AD5" w:rsidRPr="002C224A" w:rsidRDefault="006D3AD5" w:rsidP="00443B8F">
            <w:pPr>
              <w:shd w:val="clear" w:color="auto" w:fill="FFFFFF"/>
            </w:pPr>
          </w:p>
          <w:p w14:paraId="698D1089" w14:textId="77777777" w:rsidR="006D3AD5" w:rsidRPr="002C224A" w:rsidRDefault="006D3AD5" w:rsidP="00443B8F">
            <w:pPr>
              <w:shd w:val="clear" w:color="auto" w:fill="FFFFFF"/>
            </w:pPr>
            <w:r>
              <w:t xml:space="preserve">In case of using the combination of a loan and a subsidy the maximum support intensity and minimum co-financing involvement levels will be respected. Valid after support recalculation using the gross grant equivalent (GGE, max 40%). </w:t>
            </w:r>
          </w:p>
          <w:p w14:paraId="63C045FD" w14:textId="77777777" w:rsidR="006D3AD5" w:rsidRPr="002C224A" w:rsidRDefault="006D3AD5" w:rsidP="00443B8F"/>
          <w:p w14:paraId="6249DC2A" w14:textId="77777777" w:rsidR="006D3AD5" w:rsidRPr="002C224A" w:rsidRDefault="006D3AD5" w:rsidP="00443B8F">
            <w:r>
              <w:t>The instrument of subordinated loans should not have parameters of a public support. The purpose entity should ensure the purchase of BFs and sale of prepared estates under market conditions.</w:t>
            </w:r>
          </w:p>
        </w:tc>
      </w:tr>
      <w:tr w:rsidR="006D3AD5" w:rsidRPr="002C224A" w14:paraId="59B5C08B" w14:textId="77777777" w:rsidTr="00443B8F">
        <w:tc>
          <w:tcPr>
            <w:tcW w:w="2282" w:type="dxa"/>
            <w:shd w:val="clear" w:color="auto" w:fill="92D400"/>
            <w:noWrap/>
          </w:tcPr>
          <w:p w14:paraId="24594ACD" w14:textId="77777777" w:rsidR="006D3AD5" w:rsidRPr="002C224A" w:rsidRDefault="006D3AD5" w:rsidP="00443B8F">
            <w:pPr>
              <w:jc w:val="left"/>
              <w:rPr>
                <w:b/>
                <w:color w:val="FFFFFF"/>
              </w:rPr>
            </w:pPr>
            <w:r>
              <w:rPr>
                <w:b/>
                <w:color w:val="FFFFFF"/>
              </w:rPr>
              <w:t>Steps for activation of private financial sources</w:t>
            </w:r>
          </w:p>
        </w:tc>
        <w:tc>
          <w:tcPr>
            <w:tcW w:w="6788" w:type="dxa"/>
            <w:shd w:val="clear" w:color="auto" w:fill="FFFFFF"/>
            <w:noWrap/>
          </w:tcPr>
          <w:p w14:paraId="1097676D" w14:textId="77777777" w:rsidR="006D3AD5" w:rsidRPr="002C224A" w:rsidRDefault="006D3AD5" w:rsidP="00443B8F">
            <w:r>
              <w:t>Preferential remuneration is not suitable. Private credit institutions will be involved in accordance with market conditions, the soft loan instrument will have a secondary lien and therefore it will enable for using further commercial loans.</w:t>
            </w:r>
          </w:p>
          <w:p w14:paraId="1B6788FB" w14:textId="77777777" w:rsidR="006D3AD5" w:rsidRPr="002C224A" w:rsidRDefault="006D3AD5" w:rsidP="00443B8F"/>
          <w:p w14:paraId="6DFECA7D" w14:textId="77777777" w:rsidR="006D3AD5" w:rsidRPr="002C224A" w:rsidRDefault="006D3AD5" w:rsidP="00443B8F">
            <w:r>
              <w:t>The purpose entity controlling the funds from the subordinated loan will draw a commercial loan under market conditions from private credit institutions.</w:t>
            </w:r>
          </w:p>
          <w:p w14:paraId="62AB1E49" w14:textId="77777777" w:rsidR="006D3AD5" w:rsidRPr="002C224A" w:rsidRDefault="006D3AD5" w:rsidP="00443B8F"/>
        </w:tc>
      </w:tr>
      <w:tr w:rsidR="006D3AD5" w:rsidRPr="002C224A" w14:paraId="68D40582" w14:textId="77777777" w:rsidTr="00443B8F">
        <w:tc>
          <w:tcPr>
            <w:tcW w:w="2282" w:type="dxa"/>
            <w:shd w:val="clear" w:color="auto" w:fill="92D400"/>
            <w:noWrap/>
          </w:tcPr>
          <w:p w14:paraId="2CA86F29" w14:textId="77777777" w:rsidR="006D3AD5" w:rsidRPr="002C224A" w:rsidRDefault="006D3AD5" w:rsidP="00443B8F">
            <w:pPr>
              <w:jc w:val="left"/>
              <w:rPr>
                <w:b/>
                <w:color w:val="FFFFFF"/>
              </w:rPr>
            </w:pPr>
            <w:r>
              <w:rPr>
                <w:b/>
                <w:color w:val="FFFFFF"/>
              </w:rPr>
              <w:lastRenderedPageBreak/>
              <w:t>Expected allocation</w:t>
            </w:r>
          </w:p>
        </w:tc>
        <w:tc>
          <w:tcPr>
            <w:tcW w:w="6788" w:type="dxa"/>
            <w:shd w:val="clear" w:color="auto" w:fill="FFFFFF"/>
            <w:noWrap/>
          </w:tcPr>
          <w:p w14:paraId="54BD497E" w14:textId="77777777" w:rsidR="006D3AD5" w:rsidRPr="002C224A" w:rsidRDefault="006D3AD5" w:rsidP="00443B8F">
            <w:r>
              <w:t>We recommend to use the financial instrument in the range of CZK 300 - 550 million.</w:t>
            </w:r>
          </w:p>
          <w:p w14:paraId="7CB93931" w14:textId="77777777" w:rsidR="006D3AD5" w:rsidRPr="002C224A" w:rsidRDefault="006D3AD5" w:rsidP="00443B8F">
            <w:r>
              <w:t>The rest of allocation could be suitably used for subsidizing the BF regenerations unfeasible under market conditions.</w:t>
            </w:r>
          </w:p>
        </w:tc>
      </w:tr>
    </w:tbl>
    <w:p w14:paraId="28E43E0B" w14:textId="307B9C7C" w:rsidR="006D3AD5" w:rsidRPr="002C224A" w:rsidRDefault="006D3AD5" w:rsidP="006D3AD5">
      <w:pPr>
        <w:pStyle w:val="Titulek"/>
      </w:pPr>
      <w:r>
        <w:t xml:space="preserve">Table </w:t>
      </w:r>
      <w:r w:rsidR="008E5253">
        <w:t>1</w:t>
      </w:r>
      <w:r w:rsidR="00B90ACD">
        <w:t>20</w:t>
      </w:r>
      <w:r>
        <w:t>: Summary of the SO 2.3 FI</w:t>
      </w:r>
    </w:p>
    <w:p w14:paraId="572D0276" w14:textId="77777777" w:rsidR="006D3AD5" w:rsidRPr="002C224A" w:rsidRDefault="006D3AD5" w:rsidP="006D3AD5">
      <w:pPr>
        <w:pStyle w:val="Nadpis3"/>
        <w:rPr>
          <w:rFonts w:ascii="Calibri" w:hAnsi="Calibri"/>
        </w:rPr>
      </w:pPr>
      <w:bookmarkStart w:id="1335" w:name="_Toc416909653"/>
      <w:bookmarkStart w:id="1336" w:name="_Toc417545036"/>
      <w:bookmarkStart w:id="1337" w:name="_Toc416909655"/>
      <w:bookmarkStart w:id="1338" w:name="_Toc417545038"/>
      <w:bookmarkStart w:id="1339" w:name="_Toc416800501"/>
      <w:bookmarkStart w:id="1340" w:name="_Toc416909656"/>
      <w:bookmarkStart w:id="1341" w:name="_Toc417545039"/>
      <w:bookmarkStart w:id="1342" w:name="_Toc416800502"/>
      <w:bookmarkStart w:id="1343" w:name="_Toc419183284"/>
      <w:bookmarkStart w:id="1344" w:name="_Toc422312150"/>
      <w:bookmarkEnd w:id="1335"/>
      <w:bookmarkEnd w:id="1336"/>
      <w:bookmarkEnd w:id="1337"/>
      <w:bookmarkEnd w:id="1338"/>
      <w:bookmarkEnd w:id="1339"/>
      <w:bookmarkEnd w:id="1340"/>
      <w:bookmarkEnd w:id="1341"/>
      <w:r>
        <w:rPr>
          <w:rFonts w:ascii="Calibri" w:hAnsi="Calibri"/>
        </w:rPr>
        <w:t>Specific objective 3.1</w:t>
      </w:r>
      <w:bookmarkEnd w:id="1342"/>
      <w:bookmarkEnd w:id="1343"/>
      <w:bookmarkEnd w:id="1344"/>
    </w:p>
    <w:p w14:paraId="74C45A3B" w14:textId="77777777" w:rsidR="006D3AD5" w:rsidRPr="002C224A" w:rsidRDefault="006D3AD5" w:rsidP="006D3AD5">
      <w:pPr>
        <w:pStyle w:val="Nadpis4"/>
        <w:rPr>
          <w:rFonts w:ascii="Calibri" w:hAnsi="Calibri"/>
        </w:rPr>
      </w:pPr>
      <w:bookmarkStart w:id="1345" w:name="_Toc414464610"/>
      <w:bookmarkStart w:id="1346" w:name="_Toc416800503"/>
      <w:r>
        <w:rPr>
          <w:rFonts w:ascii="Calibri" w:hAnsi="Calibri"/>
        </w:rPr>
        <w:t>Forms of financial instruments and allocation amount</w:t>
      </w:r>
    </w:p>
    <w:p w14:paraId="2BC682D2" w14:textId="77777777" w:rsidR="006D3AD5" w:rsidRPr="00A50943" w:rsidRDefault="006D3AD5" w:rsidP="006D3AD5"/>
    <w:bookmarkEnd w:id="1345"/>
    <w:bookmarkEnd w:id="1346"/>
    <w:p w14:paraId="79956FA7" w14:textId="77777777" w:rsidR="006D3AD5" w:rsidRPr="002C224A" w:rsidRDefault="006D3AD5" w:rsidP="006D3AD5">
      <w:r>
        <w:t>Based on the market analysis we see a potential for using soft loans primarily in case of small hydroelectric power plants (SHPP). These sources can unlike other renewable sources draw operational support for electricity prices even though they are newly connected. Still, in many cases it is suitable to motivate higher investment activities related to reconstructions of older sources. Such reconstructions can be costly and problematic from the perspective of future returns and access to financing.  Soft loans could simplify the access to financing and its price which could lead to higher investment activity in this area. Complication in this regard is the possibility for combining operational and investment support which limits using subsidies in case of renewable energy sources.</w:t>
      </w:r>
    </w:p>
    <w:p w14:paraId="74E950CD" w14:textId="77777777" w:rsidR="006D3AD5" w:rsidRPr="002C224A" w:rsidRDefault="006D3AD5" w:rsidP="006D3AD5"/>
    <w:p w14:paraId="35CDC17C" w14:textId="77777777" w:rsidR="006D3AD5" w:rsidRPr="002C224A" w:rsidRDefault="006D3AD5" w:rsidP="006D3AD5">
      <w:r>
        <w:rPr>
          <w:b/>
        </w:rPr>
        <w:t>Based on the EC request there is a substantial condition in the OP EIC text for renewable energy sources projects.</w:t>
      </w:r>
      <w:r>
        <w:t xml:space="preserve"> For the purpose of elimination of possible over-compensation of the support the combination of operational and investment support is prohibited. Nevertheless, when using the combination of a soft loan and operational support the over-compensation risk is minimal and therefore we </w:t>
      </w:r>
      <w:r>
        <w:rPr>
          <w:b/>
        </w:rPr>
        <w:t>recommend asking the EC to change the formulation of this condition so that it would be valid for investment subsidies only</w:t>
      </w:r>
      <w:r>
        <w:t>. This would enable to support such facilities on a more rational and recoverable basis.</w:t>
      </w:r>
    </w:p>
    <w:p w14:paraId="31847303" w14:textId="77777777" w:rsidR="006D3AD5" w:rsidRPr="002C224A" w:rsidRDefault="006D3AD5" w:rsidP="006D3AD5"/>
    <w:p w14:paraId="413D0013" w14:textId="77777777" w:rsidR="006D3AD5" w:rsidRPr="002C224A" w:rsidRDefault="006D3AD5" w:rsidP="006D3AD5">
      <w:r>
        <w:t>The proposed support is in the form of combination of a soft loan with longer due period or potential instalments deferment, subsidy for project preparation and conditional subsidy for interest reimbursement. The credit instrument is a recoverable support form. It becomes partially irrecoverable only in case of a credit default. Framework parameters and implementation are proposed in accordance with the SO 2.1 loans.</w:t>
      </w:r>
    </w:p>
    <w:p w14:paraId="5C38A567" w14:textId="77777777" w:rsidR="006D3AD5" w:rsidRPr="002C224A" w:rsidRDefault="006D3AD5" w:rsidP="006D3AD5"/>
    <w:p w14:paraId="042E4BB8" w14:textId="77777777" w:rsidR="006D3AD5" w:rsidRPr="002C224A" w:rsidRDefault="006D3AD5" w:rsidP="006D3AD5">
      <w:pPr>
        <w:rPr>
          <w:b/>
        </w:rPr>
      </w:pPr>
      <w:r>
        <w:rPr>
          <w:b/>
        </w:rPr>
        <w:t>Allocation</w:t>
      </w:r>
    </w:p>
    <w:p w14:paraId="7F1B8983" w14:textId="77777777" w:rsidR="006D3AD5" w:rsidRPr="002C224A" w:rsidRDefault="006D3AD5" w:rsidP="006D3AD5">
      <w:r>
        <w:t>The FI allocation proposal in the SO 3.1 is based on the expected SHPP absorption capacity. As the framework model of the instrument results shows, the allocation in the range of CZK 400 - 600 million should adequately support the investment demand within this objective.</w:t>
      </w:r>
    </w:p>
    <w:p w14:paraId="5E776538" w14:textId="77777777" w:rsidR="006D3AD5" w:rsidRPr="002C224A" w:rsidRDefault="006D3AD5" w:rsidP="006D3AD5">
      <w:pPr>
        <w:pStyle w:val="Nadpis4"/>
        <w:rPr>
          <w:rFonts w:ascii="Calibri" w:hAnsi="Calibri"/>
        </w:rPr>
      </w:pPr>
      <w:bookmarkStart w:id="1347" w:name="_Toc416448041"/>
      <w:bookmarkStart w:id="1348" w:name="_Toc416448043"/>
      <w:bookmarkStart w:id="1349" w:name="_Toc416448045"/>
      <w:bookmarkStart w:id="1350" w:name="_Toc416448047"/>
      <w:bookmarkStart w:id="1351" w:name="_Toc416448049"/>
      <w:bookmarkStart w:id="1352" w:name="_Toc416448051"/>
      <w:bookmarkStart w:id="1353" w:name="_Toc416448053"/>
      <w:bookmarkStart w:id="1354" w:name="_Toc416448055"/>
      <w:bookmarkStart w:id="1355" w:name="_Toc416448056"/>
      <w:bookmarkStart w:id="1356" w:name="_Toc416384054"/>
      <w:bookmarkStart w:id="1357" w:name="_Toc416448057"/>
      <w:bookmarkStart w:id="1358" w:name="_Toc416384055"/>
      <w:bookmarkStart w:id="1359" w:name="_Toc416448058"/>
      <w:bookmarkStart w:id="1360" w:name="_Toc416384056"/>
      <w:bookmarkStart w:id="1361" w:name="_Toc416448059"/>
      <w:bookmarkStart w:id="1362" w:name="_Toc416384057"/>
      <w:bookmarkStart w:id="1363" w:name="_Toc416448060"/>
      <w:bookmarkStart w:id="1364" w:name="_Toc416384058"/>
      <w:bookmarkStart w:id="1365" w:name="_Toc416448061"/>
      <w:bookmarkStart w:id="1366" w:name="_Toc414464611"/>
      <w:bookmarkStart w:id="1367" w:name="_Toc416800504"/>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rFonts w:ascii="Calibri" w:hAnsi="Calibri"/>
        </w:rPr>
        <w:t>Most suitable implementation possibilities</w:t>
      </w:r>
    </w:p>
    <w:bookmarkEnd w:id="1366"/>
    <w:bookmarkEnd w:id="1367"/>
    <w:p w14:paraId="2572EE49" w14:textId="77777777" w:rsidR="006D3AD5" w:rsidRPr="00A50943" w:rsidRDefault="006D3AD5" w:rsidP="006D3AD5">
      <w:pPr>
        <w:jc w:val="center"/>
      </w:pPr>
    </w:p>
    <w:p w14:paraId="452C314C" w14:textId="112F0F6D" w:rsidR="006D3AD5" w:rsidRPr="00A50943" w:rsidRDefault="003D62D4" w:rsidP="006D3AD5">
      <w:r w:rsidRPr="008517EA">
        <w:rPr>
          <w:noProof/>
          <w:szCs w:val="22"/>
        </w:rPr>
        <w:lastRenderedPageBreak/>
        <w:drawing>
          <wp:anchor distT="0" distB="0" distL="114300" distR="114300" simplePos="0" relativeHeight="251667968" behindDoc="0" locked="0" layoutInCell="1" allowOverlap="1" wp14:anchorId="6477F5B6" wp14:editId="691A2659">
            <wp:simplePos x="0" y="0"/>
            <wp:positionH relativeFrom="margin">
              <wp:posOffset>0</wp:posOffset>
            </wp:positionH>
            <wp:positionV relativeFrom="paragraph">
              <wp:posOffset>172720</wp:posOffset>
            </wp:positionV>
            <wp:extent cx="5353050" cy="3691890"/>
            <wp:effectExtent l="0" t="0" r="0" b="3810"/>
            <wp:wrapTopAndBottom/>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C1516" w14:textId="1AD31659" w:rsidR="006D3AD5" w:rsidRPr="002C224A" w:rsidRDefault="006D3AD5" w:rsidP="006D3AD5">
      <w:pPr>
        <w:pStyle w:val="Titulek"/>
      </w:pPr>
      <w:r>
        <w:t xml:space="preserve">Figure </w:t>
      </w:r>
      <w:r w:rsidR="004929D6">
        <w:t>5</w:t>
      </w:r>
      <w:r w:rsidR="00B8502D">
        <w:t>0</w:t>
      </w:r>
      <w:r>
        <w:t>: Credit instrument implementation scheme</w:t>
      </w:r>
    </w:p>
    <w:p w14:paraId="0C71DD17" w14:textId="77777777" w:rsidR="006D3AD5" w:rsidRPr="002C224A" w:rsidRDefault="006D3AD5" w:rsidP="006D3AD5">
      <w:pPr>
        <w:pStyle w:val="BodyText1"/>
        <w:jc w:val="both"/>
        <w:rPr>
          <w:rFonts w:ascii="Calibri" w:hAnsi="Calibri"/>
        </w:rPr>
      </w:pPr>
      <w:bookmarkStart w:id="1368" w:name="_Toc416384060"/>
      <w:bookmarkStart w:id="1369" w:name="_Toc416448063"/>
      <w:bookmarkStart w:id="1370" w:name="_Toc416384061"/>
      <w:bookmarkStart w:id="1371" w:name="_Toc416448064"/>
      <w:bookmarkStart w:id="1372" w:name="_Toc416384062"/>
      <w:bookmarkStart w:id="1373" w:name="_Toc416448065"/>
      <w:bookmarkStart w:id="1374" w:name="_Toc416384063"/>
      <w:bookmarkStart w:id="1375" w:name="_Toc416448066"/>
      <w:bookmarkStart w:id="1376" w:name="_Toc416384064"/>
      <w:bookmarkStart w:id="1377" w:name="_Toc416448067"/>
      <w:bookmarkStart w:id="1378" w:name="_Toc416384065"/>
      <w:bookmarkStart w:id="1379" w:name="_Toc416448068"/>
      <w:bookmarkStart w:id="1380" w:name="_Toc416384066"/>
      <w:bookmarkStart w:id="1381" w:name="_Toc416448069"/>
      <w:bookmarkStart w:id="1382" w:name="_Toc414464612"/>
      <w:bookmarkStart w:id="1383" w:name="_Toc416800505"/>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073B64A5" w14:textId="77777777" w:rsidR="006D3AD5" w:rsidRPr="002C224A" w:rsidRDefault="006D3AD5" w:rsidP="006D3AD5">
      <w:pPr>
        <w:pStyle w:val="Nadpis4"/>
        <w:rPr>
          <w:rFonts w:ascii="Calibri" w:hAnsi="Calibri"/>
        </w:rPr>
      </w:pPr>
      <w:r>
        <w:rPr>
          <w:rFonts w:ascii="Calibri" w:hAnsi="Calibri"/>
        </w:rPr>
        <w:t>Model scenarios of portfolio development, number of investments and the revolving effect</w:t>
      </w:r>
    </w:p>
    <w:p w14:paraId="0C90C4A4" w14:textId="77777777" w:rsidR="006D3AD5" w:rsidRPr="002C224A" w:rsidRDefault="006D3AD5" w:rsidP="006D3AD5">
      <w:r>
        <w:t>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respected in general during the FI implementation. Nevertheless they cannot be considered binding given the conditions presented further.</w:t>
      </w:r>
    </w:p>
    <w:p w14:paraId="28D491FC" w14:textId="77777777" w:rsidR="006D3AD5" w:rsidRDefault="006D3AD5" w:rsidP="006D3AD5">
      <w:pPr>
        <w:pStyle w:val="Neslovannadpisy"/>
      </w:pPr>
    </w:p>
    <w:p w14:paraId="7DF1322E" w14:textId="77777777" w:rsidR="006D3AD5" w:rsidRPr="002C224A" w:rsidRDefault="006D3AD5" w:rsidP="006D3AD5">
      <w:pPr>
        <w:pStyle w:val="Neslovannadpisy"/>
        <w:rPr>
          <w:b w:val="0"/>
        </w:rPr>
      </w:pPr>
      <w:r>
        <w:t>Credit instrument</w:t>
      </w:r>
    </w:p>
    <w:p w14:paraId="291F1369" w14:textId="77777777" w:rsidR="006D3AD5" w:rsidRDefault="006D3AD5" w:rsidP="006D3AD5">
      <w:r>
        <w:t xml:space="preserve">For clarity reasons the credit model example does not take into account the interest income and costs for managing of the co-financing subject with regard to their expected mutual partial compensation. The model shows scenarios for different levels of expected losses and a scenario for subsidies on the interest payments and project preparation. </w:t>
      </w:r>
      <w:r>
        <w:rPr>
          <w:b/>
        </w:rPr>
        <w:t>The deferment of instalments is not taken into account in the model calculation</w:t>
      </w:r>
      <w:r>
        <w:t>. In case of its use it is necessary to expect partial restriction of revolving and therefore the number of provided loans for the programming period. The revolving effects will be postponed into the next period (in case of five-year deferment of instalments the repayments would start after 2020).</w:t>
      </w:r>
    </w:p>
    <w:p w14:paraId="283870FF" w14:textId="77777777" w:rsidR="006D3AD5" w:rsidRDefault="006D3AD5" w:rsidP="006D3AD5"/>
    <w:p w14:paraId="1853B5EA" w14:textId="77777777" w:rsidR="006D3AD5" w:rsidRPr="002C224A" w:rsidRDefault="006D3AD5" w:rsidP="006D3AD5">
      <w:r>
        <w:rPr>
          <w:noProof/>
        </w:rPr>
        <w:lastRenderedPageBreak/>
        <w:drawing>
          <wp:inline distT="0" distB="0" distL="0" distR="0" wp14:anchorId="58D08FE8" wp14:editId="542DA9EC">
            <wp:extent cx="4378960" cy="2942590"/>
            <wp:effectExtent l="0" t="0" r="21590" b="10160"/>
            <wp:docPr id="212" name="Graf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768C3A" w14:textId="22953A80" w:rsidR="006D3AD5" w:rsidRDefault="004929D6" w:rsidP="006D3AD5">
      <w:pPr>
        <w:pStyle w:val="Titulek"/>
      </w:pPr>
      <w:r>
        <w:t>Figure 5</w:t>
      </w:r>
      <w:r w:rsidR="00B8502D">
        <w:t>1</w:t>
      </w:r>
      <w:r w:rsidR="006D3AD5">
        <w:t xml:space="preserve">: Potential effects of using the FI (Scenario 2, losses 10%, no subsidy) </w:t>
      </w:r>
    </w:p>
    <w:p w14:paraId="49CA87D7" w14:textId="57B45961" w:rsidR="000A7849" w:rsidRDefault="000A7849" w:rsidP="00685AEF">
      <w:pPr>
        <w:rPr>
          <w:lang w:eastAsia="en-US"/>
        </w:rPr>
      </w:pPr>
      <w:r>
        <w:rPr>
          <w:lang w:eastAsia="en-US"/>
        </w:rPr>
        <w:t>Proinvestované prostředky = Invested funds</w:t>
      </w:r>
    </w:p>
    <w:p w14:paraId="79CA0F28" w14:textId="264F02BE" w:rsidR="000A7849" w:rsidRPr="00685AEF" w:rsidRDefault="000A7849" w:rsidP="00685AEF">
      <w:pPr>
        <w:rPr>
          <w:lang w:eastAsia="en-US"/>
        </w:rPr>
      </w:pPr>
      <w:r>
        <w:rPr>
          <w:lang w:eastAsia="en-US"/>
        </w:rPr>
        <w:t>Kumulované proinvestované prostředky = total accumulated invested funds</w:t>
      </w:r>
    </w:p>
    <w:p w14:paraId="04EE6C15" w14:textId="77777777" w:rsidR="006D3AD5" w:rsidRPr="002C224A" w:rsidRDefault="006D3AD5" w:rsidP="006D3AD5">
      <w:pPr>
        <w:pStyle w:val="BodyText1"/>
        <w:jc w:val="both"/>
        <w:rPr>
          <w:rFonts w:ascii="Calibri" w:hAnsi="Calibri"/>
        </w:rPr>
      </w:pPr>
    </w:p>
    <w:p w14:paraId="49B52165" w14:textId="77777777" w:rsidR="006D3AD5" w:rsidRPr="002C224A" w:rsidRDefault="006D3AD5" w:rsidP="006D3AD5">
      <w:pPr>
        <w:pStyle w:val="CaptionIntroductionparagraph"/>
        <w:rPr>
          <w:rFonts w:ascii="Calibri" w:hAnsi="Calibri"/>
        </w:rPr>
      </w:pPr>
      <w:r>
        <w:rPr>
          <w:noProof/>
          <w:lang w:eastAsia="cs-CZ"/>
        </w:rPr>
        <w:drawing>
          <wp:inline distT="0" distB="0" distL="0" distR="0" wp14:anchorId="76DC9920" wp14:editId="07EB4B07">
            <wp:extent cx="4378960" cy="2942590"/>
            <wp:effectExtent l="0" t="0" r="21590" b="10160"/>
            <wp:docPr id="211" name="Graf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CEE945" w14:textId="77777777" w:rsidR="006D3AD5" w:rsidRPr="00A50943" w:rsidRDefault="006D3AD5" w:rsidP="006D3AD5"/>
    <w:p w14:paraId="50D7E424" w14:textId="4F22F633" w:rsidR="006D3AD5" w:rsidRPr="002C224A" w:rsidRDefault="004929D6" w:rsidP="006D3AD5">
      <w:pPr>
        <w:pStyle w:val="Titulek"/>
      </w:pPr>
      <w:r>
        <w:t>Figure 5</w:t>
      </w:r>
      <w:r w:rsidR="00B8502D">
        <w:t>2</w:t>
      </w:r>
      <w:r w:rsidR="006D3AD5">
        <w:t xml:space="preserve">: Potential effects of using the FI (Scenario 2, losses 20 %, no subsidy) </w:t>
      </w:r>
    </w:p>
    <w:p w14:paraId="05581E63" w14:textId="77777777" w:rsidR="006D3AD5" w:rsidRPr="00A50943" w:rsidRDefault="006D3AD5" w:rsidP="006D3AD5"/>
    <w:p w14:paraId="20925F42" w14:textId="77777777" w:rsidR="006D3AD5" w:rsidRPr="00A50943" w:rsidRDefault="006D3AD5" w:rsidP="006D3AD5">
      <w:r>
        <w:rPr>
          <w:noProof/>
        </w:rPr>
        <w:lastRenderedPageBreak/>
        <w:drawing>
          <wp:inline distT="0" distB="0" distL="0" distR="0" wp14:anchorId="68A9FC52" wp14:editId="5C41B924">
            <wp:extent cx="4378960" cy="2942590"/>
            <wp:effectExtent l="0" t="0" r="21590" b="10160"/>
            <wp:docPr id="210" name="Graf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A5D2FA9" w14:textId="7A9F194E" w:rsidR="006D3AD5" w:rsidRPr="002C224A" w:rsidRDefault="004929D6" w:rsidP="006D3AD5">
      <w:pPr>
        <w:pStyle w:val="Titulek"/>
      </w:pPr>
      <w:r>
        <w:t>Figure 5</w:t>
      </w:r>
      <w:r w:rsidR="00B8502D">
        <w:t>3</w:t>
      </w:r>
      <w:r w:rsidR="006D3AD5">
        <w:t xml:space="preserve">: Potential effects of using the FI (Scenario 3, losses 10%, with subsidy) </w:t>
      </w:r>
    </w:p>
    <w:p w14:paraId="53FA2136" w14:textId="77777777" w:rsidR="006D3AD5" w:rsidRPr="00A50943" w:rsidRDefault="006D3AD5" w:rsidP="006D3AD5"/>
    <w:p w14:paraId="3DD90503" w14:textId="77777777" w:rsidR="006D3AD5" w:rsidRPr="002C224A" w:rsidRDefault="006D3AD5" w:rsidP="006D3AD5">
      <w:r>
        <w:t xml:space="preserve">Legend: </w:t>
      </w:r>
    </w:p>
    <w:p w14:paraId="49A20940"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Blue columns represent soft loans provided from the OP EIC in individual years</w:t>
      </w:r>
    </w:p>
    <w:p w14:paraId="6849A8D3" w14:textId="77777777" w:rsidR="006D3AD5" w:rsidRDefault="006D3AD5" w:rsidP="006D3AD5">
      <w:pPr>
        <w:pStyle w:val="Odstavecseseznamem1"/>
        <w:numPr>
          <w:ilvl w:val="0"/>
          <w:numId w:val="37"/>
        </w:numPr>
        <w:overflowPunct/>
        <w:autoSpaceDE/>
        <w:autoSpaceDN/>
        <w:adjustRightInd/>
        <w:contextualSpacing w:val="0"/>
        <w:textAlignment w:val="auto"/>
      </w:pPr>
      <w:r>
        <w:t>Green line is the cumulated total of these loans</w:t>
      </w:r>
    </w:p>
    <w:p w14:paraId="6CDE98EA" w14:textId="77777777" w:rsidR="006D3AD5" w:rsidRPr="002C224A" w:rsidRDefault="006D3AD5" w:rsidP="006D3AD5">
      <w:pPr>
        <w:pStyle w:val="Odstavecseseznamem1"/>
        <w:overflowPunct/>
        <w:autoSpaceDE/>
        <w:autoSpaceDN/>
        <w:adjustRightInd/>
        <w:contextualSpacing w:val="0"/>
        <w:textAlignment w:val="auto"/>
      </w:pPr>
    </w:p>
    <w:p w14:paraId="329D4949" w14:textId="449AC444" w:rsidR="006D3AD5" w:rsidRPr="002C224A" w:rsidRDefault="006D3AD5" w:rsidP="006D3AD5">
      <w:pPr>
        <w:pStyle w:val="Titulek"/>
      </w:pPr>
      <w:r>
        <w:t xml:space="preserve">Table </w:t>
      </w:r>
      <w:r w:rsidR="008E5253">
        <w:t>12</w:t>
      </w:r>
      <w:r w:rsidR="00B90ACD">
        <w:t>1</w:t>
      </w:r>
      <w:r>
        <w:t>: Model parameters</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6D3AD5" w:rsidRPr="002C224A" w14:paraId="174029DC" w14:textId="77777777" w:rsidTr="00443B8F">
        <w:trPr>
          <w:trHeight w:val="240"/>
          <w:jc w:val="center"/>
        </w:trPr>
        <w:tc>
          <w:tcPr>
            <w:tcW w:w="4252" w:type="dxa"/>
            <w:noWrap/>
            <w:vAlign w:val="center"/>
          </w:tcPr>
          <w:p w14:paraId="57114E29" w14:textId="77777777" w:rsidR="006D3AD5" w:rsidRPr="002C224A" w:rsidRDefault="006D3AD5" w:rsidP="00443B8F">
            <w:pPr>
              <w:jc w:val="left"/>
              <w:rPr>
                <w:color w:val="000000"/>
                <w:sz w:val="18"/>
                <w:szCs w:val="18"/>
              </w:rPr>
            </w:pPr>
            <w:r>
              <w:rPr>
                <w:color w:val="000000"/>
                <w:sz w:val="18"/>
              </w:rPr>
              <w:t xml:space="preserve">OP EIC allocation </w:t>
            </w:r>
          </w:p>
        </w:tc>
        <w:tc>
          <w:tcPr>
            <w:tcW w:w="1417" w:type="dxa"/>
            <w:noWrap/>
            <w:vAlign w:val="center"/>
          </w:tcPr>
          <w:p w14:paraId="4DF0502A" w14:textId="77777777" w:rsidR="006D3AD5" w:rsidRPr="002C224A" w:rsidRDefault="006D3AD5" w:rsidP="00443B8F">
            <w:pPr>
              <w:jc w:val="right"/>
              <w:rPr>
                <w:color w:val="000000"/>
                <w:sz w:val="18"/>
                <w:szCs w:val="18"/>
              </w:rPr>
            </w:pPr>
            <w:r>
              <w:rPr>
                <w:color w:val="000000"/>
                <w:sz w:val="18"/>
              </w:rPr>
              <w:t>CZK 400 million</w:t>
            </w:r>
          </w:p>
        </w:tc>
      </w:tr>
      <w:tr w:rsidR="006D3AD5" w:rsidRPr="002C224A" w14:paraId="74CDCEAC" w14:textId="77777777" w:rsidTr="00443B8F">
        <w:trPr>
          <w:trHeight w:val="240"/>
          <w:jc w:val="center"/>
        </w:trPr>
        <w:tc>
          <w:tcPr>
            <w:tcW w:w="4252" w:type="dxa"/>
            <w:noWrap/>
            <w:vAlign w:val="center"/>
          </w:tcPr>
          <w:p w14:paraId="1392A528" w14:textId="77777777" w:rsidR="006D3AD5" w:rsidRPr="002C224A" w:rsidRDefault="006D3AD5" w:rsidP="00443B8F">
            <w:pPr>
              <w:jc w:val="left"/>
              <w:rPr>
                <w:color w:val="000000"/>
                <w:sz w:val="18"/>
                <w:szCs w:val="18"/>
              </w:rPr>
            </w:pPr>
            <w:r>
              <w:rPr>
                <w:color w:val="000000"/>
                <w:sz w:val="18"/>
              </w:rPr>
              <w:t>Interest of sources provided from the OP EIC</w:t>
            </w:r>
          </w:p>
        </w:tc>
        <w:tc>
          <w:tcPr>
            <w:tcW w:w="1417" w:type="dxa"/>
            <w:noWrap/>
            <w:vAlign w:val="center"/>
          </w:tcPr>
          <w:p w14:paraId="7BD6A6E6" w14:textId="77777777" w:rsidR="006D3AD5" w:rsidRPr="002C224A" w:rsidRDefault="006D3AD5" w:rsidP="00443B8F">
            <w:pPr>
              <w:jc w:val="right"/>
              <w:rPr>
                <w:color w:val="000000"/>
                <w:sz w:val="18"/>
                <w:szCs w:val="18"/>
              </w:rPr>
            </w:pPr>
            <w:r>
              <w:rPr>
                <w:color w:val="000000"/>
                <w:sz w:val="18"/>
              </w:rPr>
              <w:t>0.50 %</w:t>
            </w:r>
          </w:p>
        </w:tc>
      </w:tr>
      <w:tr w:rsidR="006D3AD5" w:rsidRPr="002C224A" w14:paraId="5CA0A42B" w14:textId="77777777" w:rsidTr="00443B8F">
        <w:trPr>
          <w:trHeight w:val="240"/>
          <w:jc w:val="center"/>
        </w:trPr>
        <w:tc>
          <w:tcPr>
            <w:tcW w:w="4252" w:type="dxa"/>
            <w:noWrap/>
            <w:vAlign w:val="center"/>
          </w:tcPr>
          <w:p w14:paraId="167E85E9" w14:textId="77777777" w:rsidR="006D3AD5" w:rsidRPr="002C224A" w:rsidRDefault="006D3AD5" w:rsidP="00443B8F">
            <w:pPr>
              <w:jc w:val="left"/>
              <w:rPr>
                <w:color w:val="000000"/>
                <w:sz w:val="18"/>
                <w:szCs w:val="18"/>
              </w:rPr>
            </w:pPr>
            <w:r>
              <w:rPr>
                <w:color w:val="000000"/>
                <w:sz w:val="18"/>
              </w:rPr>
              <w:t>Required interest of the co-financing subject</w:t>
            </w:r>
          </w:p>
        </w:tc>
        <w:tc>
          <w:tcPr>
            <w:tcW w:w="1417" w:type="dxa"/>
            <w:noWrap/>
            <w:vAlign w:val="center"/>
          </w:tcPr>
          <w:p w14:paraId="0EE40501" w14:textId="77777777" w:rsidR="006D3AD5" w:rsidRPr="002C224A" w:rsidRDefault="006D3AD5" w:rsidP="00443B8F">
            <w:pPr>
              <w:jc w:val="right"/>
              <w:rPr>
                <w:color w:val="000000"/>
                <w:sz w:val="18"/>
                <w:szCs w:val="18"/>
              </w:rPr>
            </w:pPr>
            <w:r>
              <w:rPr>
                <w:color w:val="000000"/>
                <w:sz w:val="18"/>
              </w:rPr>
              <w:t>3.50 %</w:t>
            </w:r>
          </w:p>
        </w:tc>
      </w:tr>
      <w:tr w:rsidR="006D3AD5" w:rsidRPr="002C224A" w14:paraId="6875A7C0" w14:textId="77777777" w:rsidTr="00443B8F">
        <w:trPr>
          <w:trHeight w:val="240"/>
          <w:jc w:val="center"/>
        </w:trPr>
        <w:tc>
          <w:tcPr>
            <w:tcW w:w="4252" w:type="dxa"/>
            <w:noWrap/>
            <w:vAlign w:val="center"/>
          </w:tcPr>
          <w:p w14:paraId="19C6F74A" w14:textId="77777777" w:rsidR="006D3AD5" w:rsidRPr="002C224A" w:rsidRDefault="006D3AD5" w:rsidP="00443B8F">
            <w:pPr>
              <w:jc w:val="left"/>
              <w:rPr>
                <w:color w:val="000000"/>
                <w:sz w:val="18"/>
                <w:szCs w:val="18"/>
              </w:rPr>
            </w:pPr>
            <w:r>
              <w:rPr>
                <w:color w:val="000000"/>
                <w:sz w:val="18"/>
              </w:rPr>
              <w:t>Limit of the amount of the result interest rate on the loan for the recipient</w:t>
            </w:r>
          </w:p>
        </w:tc>
        <w:tc>
          <w:tcPr>
            <w:tcW w:w="1417" w:type="dxa"/>
            <w:noWrap/>
            <w:vAlign w:val="center"/>
          </w:tcPr>
          <w:p w14:paraId="01099A6B" w14:textId="77777777" w:rsidR="006D3AD5" w:rsidRPr="002C224A" w:rsidRDefault="006D3AD5" w:rsidP="00443B8F">
            <w:pPr>
              <w:jc w:val="right"/>
              <w:rPr>
                <w:color w:val="000000"/>
                <w:sz w:val="18"/>
                <w:szCs w:val="18"/>
              </w:rPr>
            </w:pPr>
            <w:r>
              <w:rPr>
                <w:color w:val="000000"/>
                <w:sz w:val="18"/>
              </w:rPr>
              <w:t>2.00 %</w:t>
            </w:r>
          </w:p>
        </w:tc>
      </w:tr>
      <w:tr w:rsidR="006D3AD5" w:rsidRPr="002C224A" w14:paraId="0F8665B6" w14:textId="77777777" w:rsidTr="00443B8F">
        <w:trPr>
          <w:trHeight w:val="240"/>
          <w:jc w:val="center"/>
        </w:trPr>
        <w:tc>
          <w:tcPr>
            <w:tcW w:w="4252" w:type="dxa"/>
            <w:noWrap/>
            <w:vAlign w:val="center"/>
          </w:tcPr>
          <w:p w14:paraId="04B16964" w14:textId="77777777" w:rsidR="006D3AD5" w:rsidRPr="002C224A" w:rsidRDefault="006D3AD5" w:rsidP="00443B8F">
            <w:pPr>
              <w:jc w:val="left"/>
              <w:rPr>
                <w:color w:val="000000"/>
                <w:sz w:val="18"/>
                <w:szCs w:val="18"/>
              </w:rPr>
            </w:pPr>
            <w:r>
              <w:rPr>
                <w:color w:val="000000"/>
                <w:sz w:val="18"/>
              </w:rPr>
              <w:t xml:space="preserve">Own sources of applicants </w:t>
            </w:r>
          </w:p>
        </w:tc>
        <w:tc>
          <w:tcPr>
            <w:tcW w:w="1417" w:type="dxa"/>
            <w:noWrap/>
            <w:vAlign w:val="center"/>
          </w:tcPr>
          <w:p w14:paraId="2524CAD7" w14:textId="77777777" w:rsidR="006D3AD5" w:rsidRPr="002C224A" w:rsidRDefault="006D3AD5" w:rsidP="00443B8F">
            <w:pPr>
              <w:jc w:val="right"/>
              <w:rPr>
                <w:color w:val="000000"/>
                <w:sz w:val="18"/>
                <w:szCs w:val="18"/>
              </w:rPr>
            </w:pPr>
            <w:r>
              <w:rPr>
                <w:color w:val="000000"/>
                <w:sz w:val="18"/>
              </w:rPr>
              <w:t>20.00 %</w:t>
            </w:r>
          </w:p>
        </w:tc>
      </w:tr>
      <w:tr w:rsidR="006D3AD5" w:rsidRPr="002C224A" w14:paraId="243508CE" w14:textId="77777777" w:rsidTr="00443B8F">
        <w:trPr>
          <w:trHeight w:val="240"/>
          <w:jc w:val="center"/>
        </w:trPr>
        <w:tc>
          <w:tcPr>
            <w:tcW w:w="4252" w:type="dxa"/>
            <w:noWrap/>
            <w:vAlign w:val="center"/>
          </w:tcPr>
          <w:p w14:paraId="31F8B529" w14:textId="77777777" w:rsidR="006D3AD5" w:rsidRPr="002C224A" w:rsidRDefault="006D3AD5" w:rsidP="00443B8F">
            <w:pPr>
              <w:jc w:val="left"/>
              <w:rPr>
                <w:color w:val="000000"/>
                <w:sz w:val="18"/>
                <w:szCs w:val="18"/>
              </w:rPr>
            </w:pPr>
            <w:r>
              <w:rPr>
                <w:color w:val="000000"/>
                <w:sz w:val="18"/>
              </w:rPr>
              <w:t>Percentage of involvement of the co-financing subject</w:t>
            </w:r>
          </w:p>
        </w:tc>
        <w:tc>
          <w:tcPr>
            <w:tcW w:w="1417" w:type="dxa"/>
            <w:noWrap/>
            <w:vAlign w:val="center"/>
          </w:tcPr>
          <w:p w14:paraId="2D4AA8A8" w14:textId="77777777" w:rsidR="006D3AD5" w:rsidRPr="002C224A" w:rsidRDefault="006D3AD5" w:rsidP="00443B8F">
            <w:pPr>
              <w:jc w:val="right"/>
              <w:rPr>
                <w:color w:val="000000"/>
                <w:sz w:val="18"/>
                <w:szCs w:val="18"/>
              </w:rPr>
            </w:pPr>
            <w:r>
              <w:rPr>
                <w:color w:val="000000"/>
                <w:sz w:val="18"/>
              </w:rPr>
              <w:t>40.00 %</w:t>
            </w:r>
          </w:p>
        </w:tc>
      </w:tr>
      <w:tr w:rsidR="006D3AD5" w:rsidRPr="002C224A" w14:paraId="297C5D89" w14:textId="77777777" w:rsidTr="00443B8F">
        <w:trPr>
          <w:trHeight w:val="240"/>
          <w:jc w:val="center"/>
        </w:trPr>
        <w:tc>
          <w:tcPr>
            <w:tcW w:w="4252" w:type="dxa"/>
            <w:noWrap/>
            <w:vAlign w:val="center"/>
          </w:tcPr>
          <w:p w14:paraId="219F7D29" w14:textId="77777777" w:rsidR="006D3AD5" w:rsidRPr="002C224A" w:rsidRDefault="006D3AD5" w:rsidP="00443B8F">
            <w:pPr>
              <w:jc w:val="left"/>
              <w:rPr>
                <w:color w:val="000000"/>
                <w:sz w:val="18"/>
                <w:szCs w:val="18"/>
              </w:rPr>
            </w:pPr>
            <w:r>
              <w:rPr>
                <w:color w:val="000000"/>
                <w:sz w:val="18"/>
              </w:rPr>
              <w:t>Loan maturity</w:t>
            </w:r>
          </w:p>
        </w:tc>
        <w:tc>
          <w:tcPr>
            <w:tcW w:w="1417" w:type="dxa"/>
            <w:noWrap/>
            <w:vAlign w:val="center"/>
          </w:tcPr>
          <w:p w14:paraId="7E915BD1" w14:textId="77777777" w:rsidR="006D3AD5" w:rsidRPr="002C224A" w:rsidRDefault="006D3AD5" w:rsidP="00443B8F">
            <w:pPr>
              <w:jc w:val="right"/>
              <w:rPr>
                <w:color w:val="000000"/>
                <w:sz w:val="18"/>
                <w:szCs w:val="18"/>
              </w:rPr>
            </w:pPr>
            <w:r>
              <w:rPr>
                <w:color w:val="000000"/>
                <w:sz w:val="18"/>
              </w:rPr>
              <w:t>8</w:t>
            </w:r>
          </w:p>
        </w:tc>
      </w:tr>
    </w:tbl>
    <w:p w14:paraId="231D06F2" w14:textId="77777777" w:rsidR="006D3AD5" w:rsidRPr="002C224A" w:rsidRDefault="006D3AD5" w:rsidP="006D3AD5">
      <w:pPr>
        <w:pStyle w:val="Titulek"/>
      </w:pPr>
    </w:p>
    <w:p w14:paraId="2BA031E8" w14:textId="00683328" w:rsidR="006D3AD5" w:rsidRPr="002C224A" w:rsidRDefault="006D3AD5" w:rsidP="006D3AD5">
      <w:pPr>
        <w:pStyle w:val="Titulek"/>
      </w:pPr>
      <w:r>
        <w:t xml:space="preserve">Table </w:t>
      </w:r>
      <w:r w:rsidR="008E5253">
        <w:t>12</w:t>
      </w:r>
      <w:r w:rsidR="00B90ACD">
        <w:t>2</w:t>
      </w:r>
      <w:r>
        <w:t>: Model results</w:t>
      </w:r>
    </w:p>
    <w:tbl>
      <w:tblPr>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067"/>
        <w:gridCol w:w="1207"/>
        <w:gridCol w:w="1059"/>
      </w:tblGrid>
      <w:tr w:rsidR="006D3AD5" w:rsidRPr="002C224A" w14:paraId="745B088B"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3BA74967" w14:textId="77777777" w:rsidR="006D3AD5" w:rsidRPr="00A50943" w:rsidRDefault="006D3AD5" w:rsidP="00443B8F">
            <w:pPr>
              <w:jc w:val="left"/>
              <w:rPr>
                <w:color w:val="000000"/>
                <w:sz w:val="18"/>
                <w:szCs w:val="18"/>
              </w:rPr>
            </w:pP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1BB7D022" w14:textId="77777777" w:rsidR="006D3AD5" w:rsidRPr="002C224A" w:rsidRDefault="006D3AD5" w:rsidP="00443B8F">
            <w:pPr>
              <w:jc w:val="right"/>
              <w:rPr>
                <w:color w:val="000000"/>
                <w:sz w:val="18"/>
                <w:szCs w:val="18"/>
              </w:rPr>
            </w:pPr>
            <w:r>
              <w:rPr>
                <w:color w:val="000000"/>
                <w:sz w:val="18"/>
              </w:rPr>
              <w:t>Scenario 1</w:t>
            </w:r>
          </w:p>
        </w:tc>
        <w:tc>
          <w:tcPr>
            <w:tcW w:w="1067" w:type="dxa"/>
            <w:tcBorders>
              <w:top w:val="single" w:sz="4" w:space="0" w:color="BFBFBF"/>
              <w:left w:val="single" w:sz="4" w:space="0" w:color="BFBFBF"/>
              <w:bottom w:val="single" w:sz="4" w:space="0" w:color="BFBFBF"/>
              <w:right w:val="single" w:sz="4" w:space="0" w:color="BFBFBF"/>
            </w:tcBorders>
            <w:vAlign w:val="center"/>
          </w:tcPr>
          <w:p w14:paraId="75B8686A" w14:textId="77777777" w:rsidR="006D3AD5" w:rsidRPr="002C224A" w:rsidRDefault="006D3AD5" w:rsidP="00443B8F">
            <w:pPr>
              <w:jc w:val="right"/>
              <w:rPr>
                <w:color w:val="000000"/>
                <w:sz w:val="18"/>
                <w:szCs w:val="18"/>
              </w:rPr>
            </w:pPr>
            <w:r>
              <w:rPr>
                <w:color w:val="000000"/>
                <w:sz w:val="18"/>
              </w:rPr>
              <w:t>Scenario 2</w:t>
            </w:r>
          </w:p>
        </w:tc>
        <w:tc>
          <w:tcPr>
            <w:tcW w:w="1207" w:type="dxa"/>
            <w:tcBorders>
              <w:top w:val="single" w:sz="4" w:space="0" w:color="BFBFBF"/>
              <w:left w:val="single" w:sz="4" w:space="0" w:color="BFBFBF"/>
              <w:bottom w:val="single" w:sz="4" w:space="0" w:color="BFBFBF"/>
              <w:right w:val="single" w:sz="4" w:space="0" w:color="BFBFBF"/>
            </w:tcBorders>
            <w:vAlign w:val="center"/>
          </w:tcPr>
          <w:p w14:paraId="3E8A8FF6" w14:textId="77777777" w:rsidR="006D3AD5" w:rsidRPr="002C224A" w:rsidRDefault="006D3AD5" w:rsidP="00443B8F">
            <w:pPr>
              <w:jc w:val="right"/>
              <w:rPr>
                <w:color w:val="000000"/>
                <w:sz w:val="18"/>
                <w:szCs w:val="18"/>
              </w:rPr>
            </w:pPr>
            <w:r>
              <w:rPr>
                <w:color w:val="000000"/>
                <w:sz w:val="18"/>
              </w:rPr>
              <w:t>Scenario 3</w:t>
            </w:r>
          </w:p>
        </w:tc>
        <w:tc>
          <w:tcPr>
            <w:tcW w:w="1059" w:type="dxa"/>
            <w:tcBorders>
              <w:top w:val="single" w:sz="4" w:space="0" w:color="BFBFBF"/>
              <w:left w:val="single" w:sz="4" w:space="0" w:color="BFBFBF"/>
              <w:bottom w:val="single" w:sz="4" w:space="0" w:color="BFBFBF"/>
              <w:right w:val="single" w:sz="4" w:space="0" w:color="BFBFBF"/>
            </w:tcBorders>
          </w:tcPr>
          <w:p w14:paraId="64C1A81B" w14:textId="77777777" w:rsidR="006D3AD5" w:rsidRPr="002C224A" w:rsidRDefault="006D3AD5" w:rsidP="00443B8F">
            <w:pPr>
              <w:jc w:val="right"/>
              <w:rPr>
                <w:color w:val="000000"/>
                <w:sz w:val="18"/>
                <w:szCs w:val="18"/>
              </w:rPr>
            </w:pPr>
            <w:r>
              <w:rPr>
                <w:color w:val="000000"/>
                <w:sz w:val="18"/>
              </w:rPr>
              <w:t>Scenario 4</w:t>
            </w:r>
            <w:r>
              <w:rPr>
                <w:rStyle w:val="Znakapoznpodarou"/>
                <w:color w:val="000000"/>
              </w:rPr>
              <w:footnoteReference w:id="64"/>
            </w:r>
          </w:p>
        </w:tc>
      </w:tr>
      <w:tr w:rsidR="006D3AD5" w:rsidRPr="002C224A" w14:paraId="49C64C25"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6363BC8C" w14:textId="77777777" w:rsidR="006D3AD5" w:rsidRPr="002C224A" w:rsidRDefault="006D3AD5" w:rsidP="00443B8F">
            <w:pPr>
              <w:jc w:val="left"/>
              <w:rPr>
                <w:color w:val="000000"/>
                <w:sz w:val="18"/>
                <w:szCs w:val="18"/>
              </w:rPr>
            </w:pPr>
            <w:r>
              <w:rPr>
                <w:color w:val="000000"/>
                <w:sz w:val="18"/>
              </w:rPr>
              <w:t>Invested in total - milestone for 2018 (CZK millions)</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04453109" w14:textId="77777777" w:rsidR="006D3AD5" w:rsidRPr="002C224A" w:rsidRDefault="006D3AD5" w:rsidP="00443B8F">
            <w:pPr>
              <w:jc w:val="right"/>
              <w:rPr>
                <w:color w:val="000000"/>
                <w:sz w:val="18"/>
                <w:szCs w:val="18"/>
              </w:rPr>
            </w:pPr>
            <w:r>
              <w:rPr>
                <w:color w:val="000000"/>
                <w:sz w:val="18"/>
              </w:rPr>
              <w:t>750</w:t>
            </w:r>
          </w:p>
        </w:tc>
        <w:tc>
          <w:tcPr>
            <w:tcW w:w="1067" w:type="dxa"/>
            <w:tcBorders>
              <w:top w:val="single" w:sz="4" w:space="0" w:color="BFBFBF"/>
              <w:left w:val="single" w:sz="4" w:space="0" w:color="BFBFBF"/>
              <w:bottom w:val="single" w:sz="4" w:space="0" w:color="BFBFBF"/>
              <w:right w:val="single" w:sz="4" w:space="0" w:color="BFBFBF"/>
            </w:tcBorders>
            <w:vAlign w:val="center"/>
          </w:tcPr>
          <w:p w14:paraId="6D76E881" w14:textId="77777777" w:rsidR="006D3AD5" w:rsidRPr="002C224A" w:rsidRDefault="006D3AD5" w:rsidP="00443B8F">
            <w:pPr>
              <w:jc w:val="right"/>
              <w:rPr>
                <w:color w:val="000000"/>
                <w:sz w:val="18"/>
                <w:szCs w:val="18"/>
              </w:rPr>
            </w:pPr>
            <w:r>
              <w:rPr>
                <w:color w:val="000000"/>
                <w:sz w:val="18"/>
              </w:rPr>
              <w:t>750</w:t>
            </w:r>
          </w:p>
        </w:tc>
        <w:tc>
          <w:tcPr>
            <w:tcW w:w="1207" w:type="dxa"/>
            <w:tcBorders>
              <w:top w:val="single" w:sz="4" w:space="0" w:color="BFBFBF"/>
              <w:left w:val="single" w:sz="4" w:space="0" w:color="BFBFBF"/>
              <w:bottom w:val="single" w:sz="4" w:space="0" w:color="BFBFBF"/>
              <w:right w:val="single" w:sz="4" w:space="0" w:color="BFBFBF"/>
            </w:tcBorders>
            <w:vAlign w:val="center"/>
          </w:tcPr>
          <w:p w14:paraId="05C28C96" w14:textId="77777777" w:rsidR="006D3AD5" w:rsidRPr="002C224A" w:rsidRDefault="006D3AD5" w:rsidP="00443B8F">
            <w:pPr>
              <w:jc w:val="right"/>
              <w:rPr>
                <w:color w:val="000000"/>
                <w:sz w:val="18"/>
                <w:szCs w:val="18"/>
              </w:rPr>
            </w:pPr>
            <w:r>
              <w:rPr>
                <w:color w:val="000000"/>
                <w:sz w:val="18"/>
              </w:rPr>
              <w:t>713</w:t>
            </w:r>
          </w:p>
        </w:tc>
        <w:tc>
          <w:tcPr>
            <w:tcW w:w="1059" w:type="dxa"/>
            <w:tcBorders>
              <w:top w:val="single" w:sz="4" w:space="0" w:color="BFBFBF"/>
              <w:left w:val="single" w:sz="4" w:space="0" w:color="BFBFBF"/>
              <w:bottom w:val="single" w:sz="4" w:space="0" w:color="BFBFBF"/>
              <w:right w:val="single" w:sz="4" w:space="0" w:color="BFBFBF"/>
            </w:tcBorders>
            <w:vAlign w:val="center"/>
          </w:tcPr>
          <w:p w14:paraId="13980361" w14:textId="77777777" w:rsidR="006D3AD5" w:rsidRPr="002C224A" w:rsidRDefault="006D3AD5" w:rsidP="00443B8F">
            <w:pPr>
              <w:jc w:val="right"/>
              <w:rPr>
                <w:color w:val="000000"/>
                <w:sz w:val="18"/>
                <w:szCs w:val="18"/>
              </w:rPr>
            </w:pPr>
            <w:r>
              <w:rPr>
                <w:color w:val="000000"/>
                <w:sz w:val="18"/>
              </w:rPr>
              <w:t>713</w:t>
            </w:r>
          </w:p>
        </w:tc>
      </w:tr>
      <w:tr w:rsidR="006D3AD5" w:rsidRPr="002C224A" w14:paraId="471ED542"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57641237" w14:textId="77777777" w:rsidR="006D3AD5" w:rsidRPr="001D237C" w:rsidRDefault="006D3AD5" w:rsidP="00443B8F">
            <w:pPr>
              <w:jc w:val="left"/>
              <w:rPr>
                <w:b/>
                <w:color w:val="000000"/>
                <w:sz w:val="18"/>
                <w:szCs w:val="18"/>
              </w:rPr>
            </w:pPr>
            <w:r>
              <w:rPr>
                <w:b/>
                <w:color w:val="000000"/>
                <w:sz w:val="18"/>
              </w:rPr>
              <w:t>Invested in total - end of the period in 2023 (CZK millions)</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351B9B9A" w14:textId="77777777" w:rsidR="006D3AD5" w:rsidRPr="002C224A" w:rsidRDefault="006D3AD5" w:rsidP="00443B8F">
            <w:pPr>
              <w:jc w:val="right"/>
              <w:rPr>
                <w:b/>
                <w:color w:val="000000"/>
                <w:sz w:val="18"/>
                <w:szCs w:val="18"/>
              </w:rPr>
            </w:pPr>
            <w:r>
              <w:rPr>
                <w:b/>
                <w:color w:val="000000"/>
                <w:sz w:val="18"/>
              </w:rPr>
              <w:t>1,734</w:t>
            </w:r>
          </w:p>
        </w:tc>
        <w:tc>
          <w:tcPr>
            <w:tcW w:w="1067" w:type="dxa"/>
            <w:tcBorders>
              <w:top w:val="single" w:sz="4" w:space="0" w:color="BFBFBF"/>
              <w:left w:val="single" w:sz="4" w:space="0" w:color="BFBFBF"/>
              <w:bottom w:val="single" w:sz="4" w:space="0" w:color="BFBFBF"/>
              <w:right w:val="single" w:sz="4" w:space="0" w:color="BFBFBF"/>
            </w:tcBorders>
            <w:vAlign w:val="center"/>
          </w:tcPr>
          <w:p w14:paraId="7F2D31B1" w14:textId="77777777" w:rsidR="006D3AD5" w:rsidRPr="002C224A" w:rsidRDefault="006D3AD5" w:rsidP="00443B8F">
            <w:pPr>
              <w:jc w:val="right"/>
              <w:rPr>
                <w:b/>
                <w:color w:val="000000"/>
                <w:sz w:val="18"/>
                <w:szCs w:val="18"/>
              </w:rPr>
            </w:pPr>
            <w:r>
              <w:rPr>
                <w:b/>
                <w:color w:val="000000"/>
                <w:sz w:val="18"/>
              </w:rPr>
              <w:t>1,640</w:t>
            </w:r>
          </w:p>
        </w:tc>
        <w:tc>
          <w:tcPr>
            <w:tcW w:w="1207" w:type="dxa"/>
            <w:tcBorders>
              <w:top w:val="single" w:sz="4" w:space="0" w:color="BFBFBF"/>
              <w:left w:val="single" w:sz="4" w:space="0" w:color="BFBFBF"/>
              <w:bottom w:val="single" w:sz="4" w:space="0" w:color="BFBFBF"/>
              <w:right w:val="single" w:sz="4" w:space="0" w:color="BFBFBF"/>
            </w:tcBorders>
            <w:vAlign w:val="center"/>
          </w:tcPr>
          <w:p w14:paraId="03D84FD6" w14:textId="77777777" w:rsidR="006D3AD5" w:rsidRPr="002C224A" w:rsidRDefault="006D3AD5" w:rsidP="00443B8F">
            <w:pPr>
              <w:jc w:val="right"/>
              <w:rPr>
                <w:b/>
                <w:color w:val="000000"/>
                <w:sz w:val="18"/>
                <w:szCs w:val="18"/>
              </w:rPr>
            </w:pPr>
            <w:r>
              <w:rPr>
                <w:b/>
                <w:color w:val="000000"/>
                <w:sz w:val="18"/>
              </w:rPr>
              <w:t>1,508</w:t>
            </w:r>
          </w:p>
        </w:tc>
        <w:tc>
          <w:tcPr>
            <w:tcW w:w="1059" w:type="dxa"/>
            <w:tcBorders>
              <w:top w:val="single" w:sz="4" w:space="0" w:color="BFBFBF"/>
              <w:left w:val="single" w:sz="4" w:space="0" w:color="BFBFBF"/>
              <w:bottom w:val="single" w:sz="4" w:space="0" w:color="BFBFBF"/>
              <w:right w:val="single" w:sz="4" w:space="0" w:color="BFBFBF"/>
            </w:tcBorders>
            <w:vAlign w:val="center"/>
          </w:tcPr>
          <w:p w14:paraId="1C7B7406" w14:textId="77777777" w:rsidR="006D3AD5" w:rsidRDefault="006D3AD5" w:rsidP="00443B8F">
            <w:pPr>
              <w:jc w:val="right"/>
              <w:rPr>
                <w:b/>
                <w:color w:val="000000"/>
                <w:sz w:val="18"/>
                <w:szCs w:val="18"/>
              </w:rPr>
            </w:pPr>
            <w:r>
              <w:rPr>
                <w:b/>
                <w:color w:val="000000"/>
                <w:sz w:val="18"/>
              </w:rPr>
              <w:t>930</w:t>
            </w:r>
          </w:p>
        </w:tc>
      </w:tr>
      <w:tr w:rsidR="006D3AD5" w:rsidRPr="002C224A" w14:paraId="72C23E1F"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04E81EF8" w14:textId="77777777" w:rsidR="006D3AD5" w:rsidRPr="002C224A" w:rsidRDefault="006D3AD5" w:rsidP="00443B8F">
            <w:pPr>
              <w:jc w:val="left"/>
              <w:rPr>
                <w:b/>
                <w:color w:val="000000"/>
                <w:sz w:val="18"/>
                <w:szCs w:val="18"/>
              </w:rPr>
            </w:pPr>
            <w:r>
              <w:rPr>
                <w:b/>
                <w:color w:val="000000"/>
                <w:sz w:val="18"/>
              </w:rPr>
              <w:t>Value added</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57F8C956" w14:textId="77777777" w:rsidR="006D3AD5" w:rsidRPr="002C224A" w:rsidRDefault="006D3AD5" w:rsidP="00443B8F">
            <w:pPr>
              <w:jc w:val="right"/>
              <w:rPr>
                <w:b/>
                <w:color w:val="000000"/>
                <w:sz w:val="18"/>
                <w:szCs w:val="18"/>
              </w:rPr>
            </w:pPr>
            <w:r>
              <w:rPr>
                <w:b/>
                <w:color w:val="000000"/>
                <w:sz w:val="18"/>
              </w:rPr>
              <w:t>4.33</w:t>
            </w:r>
          </w:p>
        </w:tc>
        <w:tc>
          <w:tcPr>
            <w:tcW w:w="1067" w:type="dxa"/>
            <w:tcBorders>
              <w:top w:val="single" w:sz="4" w:space="0" w:color="BFBFBF"/>
              <w:left w:val="single" w:sz="4" w:space="0" w:color="BFBFBF"/>
              <w:bottom w:val="single" w:sz="4" w:space="0" w:color="BFBFBF"/>
              <w:right w:val="single" w:sz="4" w:space="0" w:color="BFBFBF"/>
            </w:tcBorders>
            <w:vAlign w:val="center"/>
          </w:tcPr>
          <w:p w14:paraId="7E50DFC0" w14:textId="77777777" w:rsidR="006D3AD5" w:rsidRPr="002C224A" w:rsidRDefault="006D3AD5" w:rsidP="00443B8F">
            <w:pPr>
              <w:jc w:val="right"/>
              <w:rPr>
                <w:b/>
                <w:color w:val="000000"/>
                <w:sz w:val="18"/>
                <w:szCs w:val="18"/>
              </w:rPr>
            </w:pPr>
            <w:r>
              <w:rPr>
                <w:b/>
                <w:color w:val="000000"/>
                <w:sz w:val="18"/>
              </w:rPr>
              <w:t>4.10</w:t>
            </w:r>
          </w:p>
        </w:tc>
        <w:tc>
          <w:tcPr>
            <w:tcW w:w="1207" w:type="dxa"/>
            <w:tcBorders>
              <w:top w:val="single" w:sz="4" w:space="0" w:color="BFBFBF"/>
              <w:left w:val="single" w:sz="4" w:space="0" w:color="BFBFBF"/>
              <w:bottom w:val="single" w:sz="4" w:space="0" w:color="BFBFBF"/>
              <w:right w:val="single" w:sz="4" w:space="0" w:color="BFBFBF"/>
            </w:tcBorders>
            <w:vAlign w:val="center"/>
          </w:tcPr>
          <w:p w14:paraId="7FA4BE16" w14:textId="77777777" w:rsidR="006D3AD5" w:rsidRPr="002C224A" w:rsidRDefault="006D3AD5" w:rsidP="00443B8F">
            <w:pPr>
              <w:jc w:val="right"/>
              <w:rPr>
                <w:b/>
                <w:color w:val="000000"/>
                <w:sz w:val="18"/>
                <w:szCs w:val="18"/>
              </w:rPr>
            </w:pPr>
            <w:r>
              <w:rPr>
                <w:b/>
                <w:color w:val="000000"/>
                <w:sz w:val="18"/>
              </w:rPr>
              <w:t>4.19</w:t>
            </w:r>
          </w:p>
        </w:tc>
        <w:tc>
          <w:tcPr>
            <w:tcW w:w="1059" w:type="dxa"/>
            <w:tcBorders>
              <w:top w:val="single" w:sz="4" w:space="0" w:color="BFBFBF"/>
              <w:left w:val="single" w:sz="4" w:space="0" w:color="BFBFBF"/>
              <w:bottom w:val="single" w:sz="4" w:space="0" w:color="BFBFBF"/>
              <w:right w:val="single" w:sz="4" w:space="0" w:color="BFBFBF"/>
            </w:tcBorders>
            <w:vAlign w:val="center"/>
          </w:tcPr>
          <w:p w14:paraId="6E1D3D36" w14:textId="77777777" w:rsidR="006D3AD5" w:rsidRPr="002C224A" w:rsidRDefault="006D3AD5" w:rsidP="00443B8F">
            <w:pPr>
              <w:jc w:val="right"/>
              <w:rPr>
                <w:b/>
                <w:color w:val="000000"/>
                <w:sz w:val="18"/>
                <w:szCs w:val="18"/>
              </w:rPr>
            </w:pPr>
            <w:r>
              <w:rPr>
                <w:b/>
                <w:color w:val="000000"/>
                <w:sz w:val="18"/>
              </w:rPr>
              <w:t>2.58</w:t>
            </w:r>
          </w:p>
        </w:tc>
      </w:tr>
      <w:tr w:rsidR="006D3AD5" w:rsidRPr="002C224A" w14:paraId="3AAC1178"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20D60EB2" w14:textId="77777777" w:rsidR="006D3AD5" w:rsidRPr="002C224A" w:rsidRDefault="006D3AD5" w:rsidP="00443B8F">
            <w:pPr>
              <w:jc w:val="left"/>
              <w:rPr>
                <w:b/>
                <w:color w:val="000000"/>
                <w:sz w:val="18"/>
                <w:szCs w:val="18"/>
              </w:rPr>
            </w:pPr>
            <w:r>
              <w:rPr>
                <w:b/>
                <w:color w:val="000000"/>
                <w:sz w:val="18"/>
              </w:rPr>
              <w:t>Leverage</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4EFE77A3" w14:textId="77777777" w:rsidR="006D3AD5" w:rsidRPr="002C224A" w:rsidRDefault="006D3AD5" w:rsidP="00443B8F">
            <w:pPr>
              <w:jc w:val="right"/>
              <w:rPr>
                <w:b/>
                <w:color w:val="000000"/>
                <w:sz w:val="18"/>
                <w:szCs w:val="18"/>
              </w:rPr>
            </w:pPr>
            <w:r>
              <w:rPr>
                <w:b/>
                <w:color w:val="000000"/>
                <w:sz w:val="18"/>
              </w:rPr>
              <w:t>2.00</w:t>
            </w:r>
          </w:p>
        </w:tc>
        <w:tc>
          <w:tcPr>
            <w:tcW w:w="1067" w:type="dxa"/>
            <w:tcBorders>
              <w:top w:val="single" w:sz="4" w:space="0" w:color="BFBFBF"/>
              <w:left w:val="single" w:sz="4" w:space="0" w:color="BFBFBF"/>
              <w:bottom w:val="single" w:sz="4" w:space="0" w:color="BFBFBF"/>
              <w:right w:val="single" w:sz="4" w:space="0" w:color="BFBFBF"/>
            </w:tcBorders>
            <w:vAlign w:val="center"/>
          </w:tcPr>
          <w:p w14:paraId="1340922B" w14:textId="77777777" w:rsidR="006D3AD5" w:rsidRPr="002C224A" w:rsidRDefault="006D3AD5" w:rsidP="00443B8F">
            <w:pPr>
              <w:jc w:val="right"/>
              <w:rPr>
                <w:b/>
                <w:color w:val="000000"/>
                <w:sz w:val="18"/>
                <w:szCs w:val="18"/>
              </w:rPr>
            </w:pPr>
            <w:r>
              <w:rPr>
                <w:b/>
                <w:color w:val="000000"/>
                <w:sz w:val="18"/>
              </w:rPr>
              <w:t>2.00</w:t>
            </w:r>
          </w:p>
        </w:tc>
        <w:tc>
          <w:tcPr>
            <w:tcW w:w="1207" w:type="dxa"/>
            <w:tcBorders>
              <w:top w:val="single" w:sz="4" w:space="0" w:color="BFBFBF"/>
              <w:left w:val="single" w:sz="4" w:space="0" w:color="BFBFBF"/>
              <w:bottom w:val="single" w:sz="4" w:space="0" w:color="BFBFBF"/>
              <w:right w:val="single" w:sz="4" w:space="0" w:color="BFBFBF"/>
            </w:tcBorders>
            <w:vAlign w:val="center"/>
          </w:tcPr>
          <w:p w14:paraId="2F3428F4" w14:textId="77777777" w:rsidR="006D3AD5" w:rsidRPr="002C224A" w:rsidRDefault="006D3AD5" w:rsidP="00443B8F">
            <w:pPr>
              <w:jc w:val="right"/>
              <w:rPr>
                <w:b/>
                <w:color w:val="000000"/>
                <w:sz w:val="18"/>
                <w:szCs w:val="18"/>
              </w:rPr>
            </w:pPr>
            <w:r>
              <w:rPr>
                <w:b/>
                <w:color w:val="000000"/>
                <w:sz w:val="18"/>
              </w:rPr>
              <w:t>2.00</w:t>
            </w:r>
          </w:p>
        </w:tc>
        <w:tc>
          <w:tcPr>
            <w:tcW w:w="1059" w:type="dxa"/>
            <w:tcBorders>
              <w:top w:val="single" w:sz="4" w:space="0" w:color="BFBFBF"/>
              <w:left w:val="single" w:sz="4" w:space="0" w:color="BFBFBF"/>
              <w:bottom w:val="single" w:sz="4" w:space="0" w:color="BFBFBF"/>
              <w:right w:val="single" w:sz="4" w:space="0" w:color="BFBFBF"/>
            </w:tcBorders>
            <w:vAlign w:val="center"/>
          </w:tcPr>
          <w:p w14:paraId="7F13EE5B" w14:textId="77777777" w:rsidR="006D3AD5" w:rsidRPr="002C224A" w:rsidRDefault="006D3AD5" w:rsidP="00443B8F">
            <w:pPr>
              <w:jc w:val="right"/>
              <w:rPr>
                <w:b/>
                <w:color w:val="000000"/>
                <w:sz w:val="18"/>
                <w:szCs w:val="18"/>
              </w:rPr>
            </w:pPr>
            <w:r>
              <w:rPr>
                <w:b/>
                <w:color w:val="000000"/>
                <w:sz w:val="18"/>
              </w:rPr>
              <w:t>2.00</w:t>
            </w:r>
          </w:p>
        </w:tc>
      </w:tr>
      <w:tr w:rsidR="006D3AD5" w:rsidRPr="002C224A" w14:paraId="0D8D82C8"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7626FE89" w14:textId="77777777" w:rsidR="006D3AD5" w:rsidRPr="002C224A" w:rsidRDefault="006D3AD5" w:rsidP="00443B8F">
            <w:pPr>
              <w:jc w:val="left"/>
              <w:rPr>
                <w:color w:val="000000"/>
                <w:sz w:val="18"/>
                <w:szCs w:val="18"/>
              </w:rPr>
            </w:pPr>
            <w:r>
              <w:rPr>
                <w:color w:val="000000"/>
                <w:sz w:val="18"/>
              </w:rPr>
              <w:t>Total reimbursed management fees (simple - CZK millions)</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50FFB4B8" w14:textId="77777777" w:rsidR="006D3AD5" w:rsidRPr="002C224A" w:rsidRDefault="006D3AD5" w:rsidP="00443B8F">
            <w:pPr>
              <w:jc w:val="right"/>
              <w:rPr>
                <w:color w:val="000000"/>
                <w:sz w:val="18"/>
                <w:szCs w:val="18"/>
              </w:rPr>
            </w:pPr>
            <w:r>
              <w:rPr>
                <w:color w:val="000000"/>
                <w:sz w:val="18"/>
              </w:rPr>
              <w:t>23</w:t>
            </w:r>
          </w:p>
        </w:tc>
        <w:tc>
          <w:tcPr>
            <w:tcW w:w="1067" w:type="dxa"/>
            <w:tcBorders>
              <w:top w:val="single" w:sz="4" w:space="0" w:color="BFBFBF"/>
              <w:left w:val="single" w:sz="4" w:space="0" w:color="BFBFBF"/>
              <w:bottom w:val="single" w:sz="4" w:space="0" w:color="BFBFBF"/>
              <w:right w:val="single" w:sz="4" w:space="0" w:color="BFBFBF"/>
            </w:tcBorders>
            <w:vAlign w:val="center"/>
          </w:tcPr>
          <w:p w14:paraId="7CC4E6DC" w14:textId="77777777" w:rsidR="006D3AD5" w:rsidRPr="002C224A" w:rsidRDefault="006D3AD5" w:rsidP="00443B8F">
            <w:pPr>
              <w:jc w:val="right"/>
              <w:rPr>
                <w:color w:val="000000"/>
                <w:sz w:val="18"/>
                <w:szCs w:val="18"/>
              </w:rPr>
            </w:pPr>
            <w:r>
              <w:rPr>
                <w:color w:val="000000"/>
                <w:sz w:val="18"/>
              </w:rPr>
              <w:t>23</w:t>
            </w:r>
          </w:p>
        </w:tc>
        <w:tc>
          <w:tcPr>
            <w:tcW w:w="1207" w:type="dxa"/>
            <w:tcBorders>
              <w:top w:val="single" w:sz="4" w:space="0" w:color="BFBFBF"/>
              <w:left w:val="single" w:sz="4" w:space="0" w:color="BFBFBF"/>
              <w:bottom w:val="single" w:sz="4" w:space="0" w:color="BFBFBF"/>
              <w:right w:val="single" w:sz="4" w:space="0" w:color="BFBFBF"/>
            </w:tcBorders>
            <w:vAlign w:val="center"/>
          </w:tcPr>
          <w:p w14:paraId="28D974F8" w14:textId="77777777" w:rsidR="006D3AD5" w:rsidRPr="002C224A" w:rsidRDefault="006D3AD5" w:rsidP="00443B8F">
            <w:pPr>
              <w:jc w:val="right"/>
              <w:rPr>
                <w:color w:val="000000"/>
                <w:sz w:val="18"/>
                <w:szCs w:val="18"/>
              </w:rPr>
            </w:pPr>
            <w:r>
              <w:rPr>
                <w:color w:val="000000"/>
                <w:sz w:val="18"/>
              </w:rPr>
              <w:t>22</w:t>
            </w:r>
          </w:p>
        </w:tc>
        <w:tc>
          <w:tcPr>
            <w:tcW w:w="1059" w:type="dxa"/>
            <w:tcBorders>
              <w:top w:val="single" w:sz="4" w:space="0" w:color="BFBFBF"/>
              <w:left w:val="single" w:sz="4" w:space="0" w:color="BFBFBF"/>
              <w:bottom w:val="single" w:sz="4" w:space="0" w:color="BFBFBF"/>
              <w:right w:val="single" w:sz="4" w:space="0" w:color="BFBFBF"/>
            </w:tcBorders>
            <w:vAlign w:val="center"/>
          </w:tcPr>
          <w:p w14:paraId="39690910" w14:textId="77777777" w:rsidR="006D3AD5" w:rsidRDefault="006D3AD5" w:rsidP="00443B8F">
            <w:pPr>
              <w:jc w:val="right"/>
              <w:rPr>
                <w:color w:val="000000"/>
                <w:sz w:val="18"/>
                <w:szCs w:val="18"/>
              </w:rPr>
            </w:pPr>
            <w:r>
              <w:rPr>
                <w:color w:val="000000"/>
                <w:sz w:val="18"/>
              </w:rPr>
              <w:t>20</w:t>
            </w:r>
          </w:p>
        </w:tc>
      </w:tr>
      <w:tr w:rsidR="006D3AD5" w:rsidRPr="002C224A" w14:paraId="626F5E15"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08DEEF94" w14:textId="77777777" w:rsidR="006D3AD5" w:rsidRPr="002C224A" w:rsidRDefault="006D3AD5" w:rsidP="00443B8F">
            <w:pPr>
              <w:jc w:val="left"/>
              <w:rPr>
                <w:color w:val="000000"/>
                <w:sz w:val="18"/>
                <w:szCs w:val="18"/>
              </w:rPr>
            </w:pPr>
            <w:r>
              <w:rPr>
                <w:color w:val="000000"/>
                <w:sz w:val="18"/>
              </w:rPr>
              <w:t>Share of reimbursed management fees on the fund allocation (%)</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6B99A7BA" w14:textId="77777777" w:rsidR="006D3AD5" w:rsidRPr="002C224A" w:rsidRDefault="006D3AD5" w:rsidP="00443B8F">
            <w:pPr>
              <w:jc w:val="right"/>
              <w:rPr>
                <w:color w:val="000000"/>
                <w:sz w:val="18"/>
                <w:szCs w:val="18"/>
              </w:rPr>
            </w:pPr>
            <w:r>
              <w:rPr>
                <w:color w:val="000000"/>
                <w:sz w:val="18"/>
              </w:rPr>
              <w:t>5.7</w:t>
            </w:r>
          </w:p>
        </w:tc>
        <w:tc>
          <w:tcPr>
            <w:tcW w:w="1067" w:type="dxa"/>
            <w:tcBorders>
              <w:top w:val="single" w:sz="4" w:space="0" w:color="BFBFBF"/>
              <w:left w:val="single" w:sz="4" w:space="0" w:color="BFBFBF"/>
              <w:bottom w:val="single" w:sz="4" w:space="0" w:color="BFBFBF"/>
              <w:right w:val="single" w:sz="4" w:space="0" w:color="BFBFBF"/>
            </w:tcBorders>
            <w:vAlign w:val="center"/>
          </w:tcPr>
          <w:p w14:paraId="00C475CC" w14:textId="77777777" w:rsidR="006D3AD5" w:rsidRPr="002C224A" w:rsidRDefault="006D3AD5" w:rsidP="00443B8F">
            <w:pPr>
              <w:jc w:val="right"/>
              <w:rPr>
                <w:color w:val="000000"/>
                <w:sz w:val="18"/>
                <w:szCs w:val="18"/>
              </w:rPr>
            </w:pPr>
            <w:r>
              <w:rPr>
                <w:color w:val="000000"/>
                <w:sz w:val="18"/>
              </w:rPr>
              <w:t>5.7</w:t>
            </w:r>
          </w:p>
        </w:tc>
        <w:tc>
          <w:tcPr>
            <w:tcW w:w="1207" w:type="dxa"/>
            <w:tcBorders>
              <w:top w:val="single" w:sz="4" w:space="0" w:color="BFBFBF"/>
              <w:left w:val="single" w:sz="4" w:space="0" w:color="BFBFBF"/>
              <w:bottom w:val="single" w:sz="4" w:space="0" w:color="BFBFBF"/>
              <w:right w:val="single" w:sz="4" w:space="0" w:color="BFBFBF"/>
            </w:tcBorders>
            <w:vAlign w:val="center"/>
          </w:tcPr>
          <w:p w14:paraId="0BE7C3E4" w14:textId="77777777" w:rsidR="006D3AD5" w:rsidRPr="002C224A" w:rsidRDefault="006D3AD5" w:rsidP="00443B8F">
            <w:pPr>
              <w:jc w:val="right"/>
              <w:rPr>
                <w:color w:val="000000"/>
                <w:sz w:val="18"/>
                <w:szCs w:val="18"/>
              </w:rPr>
            </w:pPr>
            <w:r>
              <w:rPr>
                <w:color w:val="000000"/>
                <w:sz w:val="18"/>
              </w:rPr>
              <w:t>5.5</w:t>
            </w:r>
          </w:p>
        </w:tc>
        <w:tc>
          <w:tcPr>
            <w:tcW w:w="1059" w:type="dxa"/>
            <w:tcBorders>
              <w:top w:val="single" w:sz="4" w:space="0" w:color="BFBFBF"/>
              <w:left w:val="single" w:sz="4" w:space="0" w:color="BFBFBF"/>
              <w:bottom w:val="single" w:sz="4" w:space="0" w:color="BFBFBF"/>
              <w:right w:val="single" w:sz="4" w:space="0" w:color="BFBFBF"/>
            </w:tcBorders>
            <w:vAlign w:val="center"/>
          </w:tcPr>
          <w:p w14:paraId="5552BED2" w14:textId="77777777" w:rsidR="006D3AD5" w:rsidRPr="002C224A" w:rsidRDefault="006D3AD5" w:rsidP="00443B8F">
            <w:pPr>
              <w:jc w:val="right"/>
              <w:rPr>
                <w:color w:val="000000"/>
                <w:sz w:val="18"/>
                <w:szCs w:val="18"/>
              </w:rPr>
            </w:pPr>
            <w:r>
              <w:rPr>
                <w:color w:val="000000"/>
                <w:sz w:val="18"/>
              </w:rPr>
              <w:t>4.9</w:t>
            </w:r>
          </w:p>
        </w:tc>
      </w:tr>
      <w:tr w:rsidR="006D3AD5" w:rsidRPr="002C224A" w14:paraId="0F26F4DB"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6579416A" w14:textId="77777777" w:rsidR="006D3AD5" w:rsidRPr="001D237C" w:rsidRDefault="006D3AD5" w:rsidP="00443B8F">
            <w:pPr>
              <w:jc w:val="left"/>
              <w:rPr>
                <w:color w:val="000000"/>
                <w:sz w:val="18"/>
                <w:szCs w:val="18"/>
              </w:rPr>
            </w:pPr>
            <w:r>
              <w:rPr>
                <w:color w:val="000000"/>
                <w:sz w:val="18"/>
              </w:rPr>
              <w:t>Revolving effect - increase in available funds of the OP EIC (CZK millions)</w:t>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77CF6E06" w14:textId="77777777" w:rsidR="006D3AD5" w:rsidRPr="002C224A" w:rsidRDefault="006D3AD5" w:rsidP="00443B8F">
            <w:pPr>
              <w:jc w:val="right"/>
              <w:rPr>
                <w:color w:val="000000"/>
                <w:sz w:val="18"/>
                <w:szCs w:val="18"/>
              </w:rPr>
            </w:pPr>
            <w:r>
              <w:rPr>
                <w:color w:val="000000"/>
                <w:sz w:val="18"/>
              </w:rPr>
              <w:t>297</w:t>
            </w:r>
          </w:p>
        </w:tc>
        <w:tc>
          <w:tcPr>
            <w:tcW w:w="1067" w:type="dxa"/>
            <w:tcBorders>
              <w:top w:val="single" w:sz="4" w:space="0" w:color="BFBFBF"/>
              <w:left w:val="single" w:sz="4" w:space="0" w:color="BFBFBF"/>
              <w:bottom w:val="single" w:sz="4" w:space="0" w:color="BFBFBF"/>
              <w:right w:val="single" w:sz="4" w:space="0" w:color="BFBFBF"/>
            </w:tcBorders>
            <w:vAlign w:val="center"/>
          </w:tcPr>
          <w:p w14:paraId="6BBCD94F" w14:textId="77777777" w:rsidR="006D3AD5" w:rsidRPr="002C224A" w:rsidRDefault="006D3AD5" w:rsidP="00443B8F">
            <w:pPr>
              <w:jc w:val="right"/>
              <w:rPr>
                <w:color w:val="000000"/>
                <w:sz w:val="18"/>
                <w:szCs w:val="18"/>
              </w:rPr>
            </w:pPr>
            <w:r>
              <w:rPr>
                <w:color w:val="000000"/>
                <w:sz w:val="18"/>
              </w:rPr>
              <w:t>256</w:t>
            </w:r>
          </w:p>
        </w:tc>
        <w:tc>
          <w:tcPr>
            <w:tcW w:w="1207" w:type="dxa"/>
            <w:tcBorders>
              <w:top w:val="single" w:sz="4" w:space="0" w:color="BFBFBF"/>
              <w:left w:val="single" w:sz="4" w:space="0" w:color="BFBFBF"/>
              <w:bottom w:val="single" w:sz="4" w:space="0" w:color="BFBFBF"/>
              <w:right w:val="single" w:sz="4" w:space="0" w:color="BFBFBF"/>
            </w:tcBorders>
            <w:vAlign w:val="center"/>
          </w:tcPr>
          <w:p w14:paraId="46E992BA" w14:textId="77777777" w:rsidR="006D3AD5" w:rsidRPr="002C224A" w:rsidRDefault="006D3AD5" w:rsidP="00443B8F">
            <w:pPr>
              <w:jc w:val="right"/>
              <w:rPr>
                <w:color w:val="000000"/>
                <w:sz w:val="18"/>
                <w:szCs w:val="18"/>
              </w:rPr>
            </w:pPr>
            <w:r>
              <w:rPr>
                <w:color w:val="000000"/>
                <w:sz w:val="18"/>
              </w:rPr>
              <w:t>225</w:t>
            </w:r>
          </w:p>
        </w:tc>
        <w:tc>
          <w:tcPr>
            <w:tcW w:w="1059" w:type="dxa"/>
            <w:tcBorders>
              <w:top w:val="single" w:sz="4" w:space="0" w:color="BFBFBF"/>
              <w:left w:val="single" w:sz="4" w:space="0" w:color="BFBFBF"/>
              <w:bottom w:val="single" w:sz="4" w:space="0" w:color="BFBFBF"/>
              <w:right w:val="single" w:sz="4" w:space="0" w:color="BFBFBF"/>
            </w:tcBorders>
            <w:vAlign w:val="center"/>
          </w:tcPr>
          <w:p w14:paraId="09AEBA1F" w14:textId="77777777" w:rsidR="006D3AD5" w:rsidRDefault="006D3AD5" w:rsidP="00443B8F">
            <w:pPr>
              <w:jc w:val="right"/>
              <w:rPr>
                <w:color w:val="000000"/>
                <w:sz w:val="18"/>
                <w:szCs w:val="18"/>
              </w:rPr>
            </w:pPr>
            <w:r>
              <w:rPr>
                <w:color w:val="000000"/>
                <w:sz w:val="18"/>
              </w:rPr>
              <w:t>-</w:t>
            </w:r>
          </w:p>
        </w:tc>
      </w:tr>
      <w:tr w:rsidR="006D3AD5" w:rsidRPr="002C224A" w14:paraId="2BC24372" w14:textId="77777777" w:rsidTr="00443B8F">
        <w:trPr>
          <w:trHeight w:val="240"/>
          <w:jc w:val="center"/>
        </w:trPr>
        <w:tc>
          <w:tcPr>
            <w:tcW w:w="4821" w:type="dxa"/>
            <w:tcBorders>
              <w:top w:val="single" w:sz="4" w:space="0" w:color="BFBFBF"/>
              <w:left w:val="single" w:sz="4" w:space="0" w:color="BFBFBF"/>
              <w:bottom w:val="single" w:sz="4" w:space="0" w:color="BFBFBF"/>
              <w:right w:val="single" w:sz="4" w:space="0" w:color="BFBFBF"/>
            </w:tcBorders>
            <w:noWrap/>
            <w:vAlign w:val="center"/>
          </w:tcPr>
          <w:p w14:paraId="648C34DF" w14:textId="77777777" w:rsidR="006D3AD5" w:rsidRPr="00A50943" w:rsidRDefault="006D3AD5" w:rsidP="00443B8F">
            <w:pPr>
              <w:jc w:val="left"/>
              <w:rPr>
                <w:b/>
                <w:color w:val="000000"/>
                <w:sz w:val="18"/>
                <w:szCs w:val="18"/>
              </w:rPr>
            </w:pPr>
            <w:r>
              <w:rPr>
                <w:b/>
                <w:color w:val="000000"/>
                <w:sz w:val="18"/>
              </w:rPr>
              <w:t xml:space="preserve">Supported projects </w:t>
            </w:r>
            <w:r>
              <w:rPr>
                <w:rStyle w:val="Znakapoznpodarou"/>
                <w:rFonts w:ascii="Calibri" w:hAnsi="Calibri"/>
                <w:b/>
                <w:color w:val="000000"/>
                <w:sz w:val="18"/>
              </w:rPr>
              <w:footnoteReference w:id="65"/>
            </w:r>
          </w:p>
        </w:tc>
        <w:tc>
          <w:tcPr>
            <w:tcW w:w="1134" w:type="dxa"/>
            <w:tcBorders>
              <w:top w:val="single" w:sz="4" w:space="0" w:color="BFBFBF"/>
              <w:left w:val="single" w:sz="4" w:space="0" w:color="BFBFBF"/>
              <w:bottom w:val="single" w:sz="4" w:space="0" w:color="BFBFBF"/>
              <w:right w:val="single" w:sz="4" w:space="0" w:color="BFBFBF"/>
            </w:tcBorders>
            <w:noWrap/>
            <w:vAlign w:val="center"/>
          </w:tcPr>
          <w:p w14:paraId="71D53B81" w14:textId="77777777" w:rsidR="006D3AD5" w:rsidRPr="002C224A" w:rsidRDefault="006D3AD5" w:rsidP="00443B8F">
            <w:pPr>
              <w:jc w:val="right"/>
              <w:rPr>
                <w:b/>
                <w:color w:val="000000"/>
                <w:sz w:val="18"/>
                <w:szCs w:val="18"/>
              </w:rPr>
            </w:pPr>
            <w:r>
              <w:rPr>
                <w:b/>
                <w:color w:val="000000"/>
                <w:sz w:val="18"/>
              </w:rPr>
              <w:t>145</w:t>
            </w:r>
          </w:p>
        </w:tc>
        <w:tc>
          <w:tcPr>
            <w:tcW w:w="1067" w:type="dxa"/>
            <w:tcBorders>
              <w:top w:val="single" w:sz="4" w:space="0" w:color="BFBFBF"/>
              <w:left w:val="single" w:sz="4" w:space="0" w:color="BFBFBF"/>
              <w:bottom w:val="single" w:sz="4" w:space="0" w:color="BFBFBF"/>
              <w:right w:val="single" w:sz="4" w:space="0" w:color="BFBFBF"/>
            </w:tcBorders>
            <w:vAlign w:val="center"/>
          </w:tcPr>
          <w:p w14:paraId="1C58C4AB" w14:textId="77777777" w:rsidR="006D3AD5" w:rsidRPr="002C224A" w:rsidRDefault="006D3AD5" w:rsidP="00443B8F">
            <w:pPr>
              <w:jc w:val="right"/>
              <w:rPr>
                <w:b/>
                <w:color w:val="000000"/>
                <w:sz w:val="18"/>
                <w:szCs w:val="18"/>
              </w:rPr>
            </w:pPr>
            <w:r>
              <w:rPr>
                <w:b/>
                <w:color w:val="000000"/>
                <w:sz w:val="18"/>
              </w:rPr>
              <w:t>136</w:t>
            </w:r>
          </w:p>
        </w:tc>
        <w:tc>
          <w:tcPr>
            <w:tcW w:w="1207" w:type="dxa"/>
            <w:tcBorders>
              <w:top w:val="single" w:sz="4" w:space="0" w:color="BFBFBF"/>
              <w:left w:val="single" w:sz="4" w:space="0" w:color="BFBFBF"/>
              <w:bottom w:val="single" w:sz="4" w:space="0" w:color="BFBFBF"/>
              <w:right w:val="single" w:sz="4" w:space="0" w:color="BFBFBF"/>
            </w:tcBorders>
            <w:vAlign w:val="center"/>
          </w:tcPr>
          <w:p w14:paraId="147D90E4" w14:textId="77777777" w:rsidR="006D3AD5" w:rsidRPr="002C224A" w:rsidRDefault="006D3AD5" w:rsidP="00443B8F">
            <w:pPr>
              <w:jc w:val="right"/>
              <w:rPr>
                <w:b/>
                <w:color w:val="000000"/>
                <w:sz w:val="18"/>
                <w:szCs w:val="18"/>
              </w:rPr>
            </w:pPr>
            <w:r>
              <w:rPr>
                <w:b/>
                <w:color w:val="000000"/>
                <w:sz w:val="18"/>
              </w:rPr>
              <w:t>125</w:t>
            </w:r>
          </w:p>
        </w:tc>
        <w:tc>
          <w:tcPr>
            <w:tcW w:w="1059" w:type="dxa"/>
            <w:tcBorders>
              <w:top w:val="single" w:sz="4" w:space="0" w:color="BFBFBF"/>
              <w:left w:val="single" w:sz="4" w:space="0" w:color="BFBFBF"/>
              <w:bottom w:val="single" w:sz="4" w:space="0" w:color="BFBFBF"/>
              <w:right w:val="single" w:sz="4" w:space="0" w:color="BFBFBF"/>
            </w:tcBorders>
            <w:vAlign w:val="center"/>
          </w:tcPr>
          <w:p w14:paraId="302C3A38" w14:textId="77777777" w:rsidR="006D3AD5" w:rsidRPr="002C224A" w:rsidRDefault="006D3AD5" w:rsidP="00443B8F">
            <w:pPr>
              <w:jc w:val="right"/>
              <w:rPr>
                <w:b/>
                <w:color w:val="000000"/>
                <w:sz w:val="18"/>
                <w:szCs w:val="18"/>
              </w:rPr>
            </w:pPr>
            <w:r>
              <w:rPr>
                <w:b/>
                <w:color w:val="000000"/>
                <w:sz w:val="18"/>
              </w:rPr>
              <w:t>76</w:t>
            </w:r>
          </w:p>
        </w:tc>
      </w:tr>
    </w:tbl>
    <w:p w14:paraId="56A242BB" w14:textId="77777777" w:rsidR="006D3AD5" w:rsidRDefault="006D3AD5" w:rsidP="006D3AD5"/>
    <w:p w14:paraId="29E6E35D" w14:textId="77777777" w:rsidR="006D3AD5" w:rsidRPr="002C224A" w:rsidRDefault="006D3AD5" w:rsidP="006D3AD5">
      <w:r>
        <w:t>In case of not using the revolved funds in this period (Scenario 4) the primary investment cycle with the proposed allocation would provoke 930 million in investments with an added value of 2.58.</w:t>
      </w:r>
    </w:p>
    <w:p w14:paraId="19AD420D" w14:textId="77777777" w:rsidR="006D3AD5" w:rsidRPr="002C224A" w:rsidRDefault="006D3AD5" w:rsidP="006D3AD5"/>
    <w:p w14:paraId="26CBA957" w14:textId="77777777" w:rsidR="006D3AD5" w:rsidRPr="002C224A" w:rsidRDefault="006D3AD5" w:rsidP="006D3AD5">
      <w:pPr>
        <w:pStyle w:val="Nadpis4"/>
        <w:rPr>
          <w:rFonts w:ascii="Calibri" w:hAnsi="Calibri"/>
        </w:rPr>
      </w:pPr>
      <w:r>
        <w:rPr>
          <w:rFonts w:ascii="Calibri" w:hAnsi="Calibri"/>
        </w:rPr>
        <w:lastRenderedPageBreak/>
        <w:t xml:space="preserve">Expected results </w:t>
      </w:r>
    </w:p>
    <w:p w14:paraId="6E2C466B" w14:textId="77777777" w:rsidR="006D3AD5" w:rsidRPr="00A50943" w:rsidRDefault="006D3AD5" w:rsidP="006D3AD5"/>
    <w:p w14:paraId="33967294"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t>The next table shows the main objective indicators of the SO 3.1 defined in the operational programme.</w:t>
      </w:r>
    </w:p>
    <w:p w14:paraId="2DB66D69" w14:textId="387F3FD4" w:rsidR="006D3AD5" w:rsidRDefault="006D3AD5" w:rsidP="006D3AD5">
      <w:pPr>
        <w:pStyle w:val="Titulek"/>
        <w:keepNext/>
      </w:pPr>
      <w:r>
        <w:t xml:space="preserve">Table </w:t>
      </w:r>
      <w:r w:rsidR="008E5253">
        <w:t>12</w:t>
      </w:r>
      <w:r w:rsidR="00B90ACD">
        <w:t>3</w:t>
      </w:r>
      <w:r>
        <w:t>: SO 3.1 result indicators</w:t>
      </w:r>
    </w:p>
    <w:tbl>
      <w:tblPr>
        <w:tblW w:w="9186" w:type="dxa"/>
        <w:tblCellMar>
          <w:left w:w="57" w:type="dxa"/>
          <w:right w:w="57" w:type="dxa"/>
        </w:tblCellMar>
        <w:tblLook w:val="01E0" w:firstRow="1" w:lastRow="1" w:firstColumn="1" w:lastColumn="1" w:noHBand="0" w:noVBand="0"/>
      </w:tblPr>
      <w:tblGrid>
        <w:gridCol w:w="1957"/>
        <w:gridCol w:w="1392"/>
        <w:gridCol w:w="1175"/>
        <w:gridCol w:w="1024"/>
        <w:gridCol w:w="788"/>
        <w:gridCol w:w="858"/>
        <w:gridCol w:w="958"/>
        <w:gridCol w:w="1034"/>
      </w:tblGrid>
      <w:tr w:rsidR="006D3AD5" w:rsidRPr="00360BA1" w14:paraId="1E6F020D"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A902039"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3104B3"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18E0045"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FAD4E93"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AC52D0"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BF1E7AD"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A51CA31"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EC67477"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2C9DD3D1"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23AE7A47" w14:textId="77777777" w:rsidR="006D3AD5" w:rsidRPr="00087105" w:rsidRDefault="006D3AD5" w:rsidP="00443B8F">
            <w:pPr>
              <w:pStyle w:val="Tabulka"/>
              <w:rPr>
                <w:rFonts w:ascii="Calibri" w:hAnsi="Calibri" w:cs="Calibri"/>
              </w:rPr>
            </w:pPr>
            <w:r>
              <w:rPr>
                <w:rFonts w:ascii="Calibri" w:hAnsi="Calibri"/>
              </w:rPr>
              <w:t>Total</w:t>
            </w:r>
          </w:p>
          <w:p w14:paraId="7795A931" w14:textId="77777777" w:rsidR="006D3AD5" w:rsidRPr="00087105" w:rsidRDefault="006D3AD5" w:rsidP="00443B8F">
            <w:pPr>
              <w:pStyle w:val="Tabulka"/>
              <w:rPr>
                <w:rFonts w:ascii="Calibri" w:hAnsi="Calibri" w:cs="Calibri"/>
              </w:rPr>
            </w:pPr>
            <w:r>
              <w:rPr>
                <w:rFonts w:ascii="Calibri" w:hAnsi="Calibri"/>
              </w:rPr>
              <w:t>installed</w:t>
            </w:r>
          </w:p>
          <w:p w14:paraId="4388ADDE" w14:textId="77777777" w:rsidR="006D3AD5" w:rsidRPr="00360BA1" w:rsidRDefault="006D3AD5" w:rsidP="00443B8F">
            <w:pPr>
              <w:pStyle w:val="Tabulka"/>
              <w:rPr>
                <w:rFonts w:ascii="Calibri" w:hAnsi="Calibri" w:cs="Calibri"/>
              </w:rPr>
            </w:pPr>
            <w:r>
              <w:rPr>
                <w:rFonts w:ascii="Calibri" w:hAnsi="Calibri"/>
              </w:rPr>
              <w:t>power from RES</w:t>
            </w:r>
          </w:p>
        </w:tc>
        <w:tc>
          <w:tcPr>
            <w:tcW w:w="1033" w:type="dxa"/>
            <w:tcBorders>
              <w:top w:val="single" w:sz="4" w:space="0" w:color="000000"/>
              <w:left w:val="single" w:sz="4" w:space="0" w:color="000000"/>
              <w:bottom w:val="single" w:sz="4" w:space="0" w:color="000000"/>
              <w:right w:val="single" w:sz="4" w:space="0" w:color="000000"/>
            </w:tcBorders>
            <w:vAlign w:val="center"/>
          </w:tcPr>
          <w:p w14:paraId="6D82FB3B" w14:textId="77777777" w:rsidR="006D3AD5" w:rsidRPr="00360BA1" w:rsidRDefault="006D3AD5" w:rsidP="00443B8F">
            <w:pPr>
              <w:pStyle w:val="Tabulka"/>
              <w:rPr>
                <w:rFonts w:ascii="Calibri" w:hAnsi="Calibri" w:cs="Calibri"/>
              </w:rPr>
            </w:pPr>
            <w:r>
              <w:rPr>
                <w:rFonts w:ascii="Calibri" w:hAnsi="Calibri"/>
              </w:rPr>
              <w:t>MW</w:t>
            </w:r>
          </w:p>
        </w:tc>
        <w:tc>
          <w:tcPr>
            <w:tcW w:w="1200" w:type="dxa"/>
            <w:tcBorders>
              <w:top w:val="single" w:sz="4" w:space="0" w:color="000000"/>
              <w:left w:val="single" w:sz="4" w:space="0" w:color="000000"/>
              <w:bottom w:val="single" w:sz="4" w:space="0" w:color="000000"/>
              <w:right w:val="single" w:sz="4" w:space="0" w:color="000000"/>
            </w:tcBorders>
            <w:vAlign w:val="center"/>
          </w:tcPr>
          <w:p w14:paraId="54ED019D"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2363D58E" w14:textId="77777777" w:rsidR="006D3AD5" w:rsidRPr="00360BA1" w:rsidRDefault="006D3AD5" w:rsidP="00443B8F">
            <w:pPr>
              <w:pStyle w:val="Tabulka"/>
              <w:rPr>
                <w:rFonts w:ascii="Calibri" w:hAnsi="Calibri" w:cs="Calibri"/>
              </w:rPr>
            </w:pPr>
            <w:r>
              <w:rPr>
                <w:rFonts w:ascii="Calibri" w:hAnsi="Calibri"/>
              </w:rPr>
              <w:t>667.1</w:t>
            </w:r>
          </w:p>
        </w:tc>
        <w:tc>
          <w:tcPr>
            <w:tcW w:w="819" w:type="dxa"/>
            <w:tcBorders>
              <w:top w:val="single" w:sz="4" w:space="0" w:color="000000"/>
              <w:left w:val="single" w:sz="4" w:space="0" w:color="000000"/>
              <w:bottom w:val="single" w:sz="4" w:space="0" w:color="000000"/>
              <w:right w:val="single" w:sz="4" w:space="0" w:color="000000"/>
            </w:tcBorders>
            <w:vAlign w:val="center"/>
          </w:tcPr>
          <w:p w14:paraId="4804632E" w14:textId="77777777" w:rsidR="006D3AD5" w:rsidRPr="00360BA1" w:rsidRDefault="006D3AD5" w:rsidP="00443B8F">
            <w:pPr>
              <w:pStyle w:val="Tabulka"/>
              <w:rPr>
                <w:rFonts w:ascii="Calibri" w:hAnsi="Calibri" w:cs="Calibri"/>
              </w:rPr>
            </w:pPr>
            <w:r>
              <w:rPr>
                <w:rFonts w:ascii="Calibri" w:hAnsi="Calibri"/>
              </w:rPr>
              <w:t>2013</w:t>
            </w:r>
          </w:p>
        </w:tc>
        <w:tc>
          <w:tcPr>
            <w:tcW w:w="890" w:type="dxa"/>
            <w:tcBorders>
              <w:top w:val="single" w:sz="4" w:space="0" w:color="000000"/>
              <w:left w:val="single" w:sz="4" w:space="0" w:color="000000"/>
              <w:bottom w:val="single" w:sz="4" w:space="0" w:color="000000"/>
              <w:right w:val="single" w:sz="4" w:space="0" w:color="000000"/>
            </w:tcBorders>
            <w:vAlign w:val="center"/>
          </w:tcPr>
          <w:p w14:paraId="6B5DB732" w14:textId="77777777" w:rsidR="006D3AD5" w:rsidRPr="00360BA1" w:rsidRDefault="006D3AD5" w:rsidP="00443B8F">
            <w:pPr>
              <w:pStyle w:val="Tabulka"/>
              <w:rPr>
                <w:rFonts w:ascii="Calibri" w:hAnsi="Calibri" w:cs="Calibri"/>
              </w:rPr>
            </w:pPr>
            <w:r>
              <w:rPr>
                <w:rFonts w:ascii="Calibri" w:hAnsi="Calibri"/>
              </w:rPr>
              <w:t>720</w:t>
            </w:r>
          </w:p>
        </w:tc>
        <w:tc>
          <w:tcPr>
            <w:tcW w:w="1008" w:type="dxa"/>
            <w:tcBorders>
              <w:top w:val="single" w:sz="4" w:space="0" w:color="000000"/>
              <w:left w:val="single" w:sz="4" w:space="0" w:color="000000"/>
              <w:bottom w:val="single" w:sz="4" w:space="0" w:color="000000"/>
              <w:right w:val="single" w:sz="4" w:space="0" w:color="000000"/>
            </w:tcBorders>
            <w:vAlign w:val="center"/>
          </w:tcPr>
          <w:p w14:paraId="0549F10E" w14:textId="77777777" w:rsidR="006D3AD5" w:rsidRPr="00360BA1" w:rsidRDefault="006D3AD5" w:rsidP="00443B8F">
            <w:pPr>
              <w:pStyle w:val="Tabulka"/>
              <w:rPr>
                <w:rFonts w:ascii="Calibri" w:hAnsi="Calibri" w:cs="Calibri"/>
              </w:rPr>
            </w:pPr>
            <w:r>
              <w:rPr>
                <w:rFonts w:ascii="Calibri" w:hAnsi="Calibri"/>
              </w:rPr>
              <w:t xml:space="preserve">MA </w:t>
            </w:r>
          </w:p>
        </w:tc>
        <w:tc>
          <w:tcPr>
            <w:tcW w:w="962" w:type="dxa"/>
            <w:tcBorders>
              <w:top w:val="single" w:sz="4" w:space="0" w:color="000000"/>
              <w:left w:val="single" w:sz="4" w:space="0" w:color="000000"/>
              <w:bottom w:val="single" w:sz="4" w:space="0" w:color="000000"/>
              <w:right w:val="single" w:sz="4" w:space="0" w:color="000000"/>
            </w:tcBorders>
            <w:vAlign w:val="center"/>
          </w:tcPr>
          <w:p w14:paraId="00B14B2E" w14:textId="77777777" w:rsidR="006D3AD5" w:rsidRPr="00A52D1B" w:rsidRDefault="006D3AD5" w:rsidP="00443B8F">
            <w:pPr>
              <w:pStyle w:val="Tabulka"/>
              <w:rPr>
                <w:rFonts w:ascii="Calibri" w:hAnsi="Calibri" w:cs="Calibri"/>
              </w:rPr>
            </w:pPr>
            <w:r>
              <w:rPr>
                <w:rFonts w:ascii="Calibri" w:hAnsi="Calibri"/>
              </w:rPr>
              <w:t>per year</w:t>
            </w:r>
          </w:p>
        </w:tc>
      </w:tr>
    </w:tbl>
    <w:p w14:paraId="3DD3C3EE"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00105FFD" w14:textId="77777777" w:rsidR="006D3AD5" w:rsidRDefault="006D3AD5" w:rsidP="006D3AD5">
      <w:pPr>
        <w:pStyle w:val="Odstavecseseznamem2"/>
        <w:overflowPunct w:val="0"/>
        <w:autoSpaceDE w:val="0"/>
        <w:autoSpaceDN w:val="0"/>
        <w:adjustRightInd w:val="0"/>
        <w:spacing w:after="160"/>
        <w:ind w:left="0"/>
        <w:jc w:val="both"/>
        <w:textAlignment w:val="baseline"/>
      </w:pPr>
      <w:r>
        <w:t>Financial instruments should participate in fulfilling these target values by reaching the target values of the following indicators general quantification of which was based on the model scenarios described above.</w:t>
      </w:r>
    </w:p>
    <w:p w14:paraId="0F3F1287" w14:textId="77777777" w:rsidR="006D3AD5" w:rsidRPr="002C224A" w:rsidRDefault="006D3AD5" w:rsidP="006D3AD5"/>
    <w:p w14:paraId="01B67F91" w14:textId="04C067A3" w:rsidR="006D3AD5" w:rsidRPr="002C224A" w:rsidRDefault="006D3AD5" w:rsidP="006D3AD5">
      <w:pPr>
        <w:pStyle w:val="Titulek"/>
      </w:pPr>
      <w:r>
        <w:t xml:space="preserve">Table </w:t>
      </w:r>
      <w:r w:rsidR="008E5253">
        <w:t>12</w:t>
      </w:r>
      <w:r w:rsidR="00B90ACD">
        <w:t>4</w:t>
      </w:r>
      <w:r>
        <w:t>: FI target values</w:t>
      </w:r>
    </w:p>
    <w:tbl>
      <w:tblPr>
        <w:tblW w:w="0" w:type="auto"/>
        <w:tblCellMar>
          <w:left w:w="57" w:type="dxa"/>
          <w:right w:w="57" w:type="dxa"/>
        </w:tblCellMar>
        <w:tblLook w:val="01E0" w:firstRow="1" w:lastRow="1" w:firstColumn="1" w:lastColumn="1" w:noHBand="0" w:noVBand="0"/>
      </w:tblPr>
      <w:tblGrid>
        <w:gridCol w:w="4195"/>
        <w:gridCol w:w="1782"/>
        <w:gridCol w:w="1706"/>
        <w:gridCol w:w="1379"/>
      </w:tblGrid>
      <w:tr w:rsidR="006D3AD5" w:rsidRPr="002C224A" w14:paraId="539E7A4C" w14:textId="77777777" w:rsidTr="00443B8F">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148997D"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9352074"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62AEAD1"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77F2440"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4768E511"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1C6A7A8" w14:textId="77777777" w:rsidR="006D3AD5" w:rsidRPr="002C224A" w:rsidRDefault="006D3AD5" w:rsidP="00443B8F">
            <w:pPr>
              <w:pStyle w:val="Tabulka"/>
              <w:jc w:val="left"/>
              <w:rPr>
                <w:rFonts w:ascii="Calibri" w:hAnsi="Calibri" w:cs="Calibri"/>
              </w:rPr>
            </w:pPr>
            <w:r>
              <w:rPr>
                <w:rFonts w:ascii="Calibri" w:hAnsi="Calibri"/>
              </w:rPr>
              <w:t>SHPP aggregate</w:t>
            </w:r>
          </w:p>
        </w:tc>
        <w:tc>
          <w:tcPr>
            <w:tcW w:w="0" w:type="auto"/>
            <w:tcBorders>
              <w:top w:val="single" w:sz="4" w:space="0" w:color="000000"/>
              <w:left w:val="single" w:sz="4" w:space="0" w:color="000000"/>
              <w:bottom w:val="single" w:sz="4" w:space="0" w:color="000000"/>
              <w:right w:val="single" w:sz="4" w:space="0" w:color="000000"/>
            </w:tcBorders>
            <w:vAlign w:val="center"/>
          </w:tcPr>
          <w:p w14:paraId="3D1A76AD" w14:textId="77777777" w:rsidR="006D3AD5" w:rsidRPr="002C224A" w:rsidRDefault="006D3AD5" w:rsidP="00443B8F">
            <w:pPr>
              <w:pStyle w:val="Tabulka"/>
              <w:rPr>
                <w:rFonts w:ascii="Calibri" w:hAnsi="Calibri" w:cs="Calibri"/>
              </w:rPr>
            </w:pPr>
            <w:r>
              <w:rPr>
                <w:rFonts w:ascii="Calibri" w:hAnsi="Calibri"/>
              </w:rPr>
              <w:t>SHPP</w:t>
            </w:r>
          </w:p>
        </w:tc>
        <w:tc>
          <w:tcPr>
            <w:tcW w:w="0" w:type="auto"/>
            <w:tcBorders>
              <w:top w:val="single" w:sz="4" w:space="0" w:color="000000"/>
              <w:left w:val="single" w:sz="4" w:space="0" w:color="000000"/>
              <w:bottom w:val="single" w:sz="4" w:space="0" w:color="000000"/>
              <w:right w:val="single" w:sz="4" w:space="0" w:color="000000"/>
            </w:tcBorders>
            <w:vAlign w:val="center"/>
          </w:tcPr>
          <w:p w14:paraId="3B47AFDB" w14:textId="77777777" w:rsidR="006D3AD5" w:rsidRPr="002C224A" w:rsidRDefault="006D3AD5" w:rsidP="00443B8F">
            <w:pPr>
              <w:pStyle w:val="Tabulka"/>
              <w:rPr>
                <w:rFonts w:ascii="Calibri" w:hAnsi="Calibri" w:cs="Calibri"/>
              </w:rPr>
            </w:pPr>
            <w:r>
              <w:rPr>
                <w:rFonts w:ascii="Calibri" w:hAnsi="Calibri"/>
              </w:rPr>
              <w:t>Less developed regions</w:t>
            </w:r>
          </w:p>
        </w:tc>
        <w:tc>
          <w:tcPr>
            <w:tcW w:w="0" w:type="auto"/>
            <w:tcBorders>
              <w:top w:val="single" w:sz="4" w:space="0" w:color="000000"/>
              <w:left w:val="single" w:sz="4" w:space="0" w:color="000000"/>
              <w:bottom w:val="single" w:sz="4" w:space="0" w:color="000000"/>
              <w:right w:val="single" w:sz="4" w:space="0" w:color="000000"/>
            </w:tcBorders>
            <w:vAlign w:val="center"/>
          </w:tcPr>
          <w:p w14:paraId="48322958" w14:textId="77777777" w:rsidR="006D3AD5" w:rsidRPr="002C224A" w:rsidRDefault="006D3AD5" w:rsidP="00443B8F">
            <w:pPr>
              <w:pStyle w:val="Tabulka"/>
              <w:rPr>
                <w:rFonts w:ascii="Calibri" w:hAnsi="Calibri" w:cs="Calibri"/>
              </w:rPr>
            </w:pPr>
            <w:r>
              <w:rPr>
                <w:rFonts w:ascii="Calibri" w:hAnsi="Calibri"/>
              </w:rPr>
              <w:t>70/-100:</w:t>
            </w:r>
          </w:p>
        </w:tc>
      </w:tr>
      <w:tr w:rsidR="006D3AD5" w:rsidRPr="002C224A" w14:paraId="24A514CE"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E289DB0" w14:textId="77777777" w:rsidR="006D3AD5" w:rsidRPr="002C224A" w:rsidRDefault="006D3AD5" w:rsidP="00443B8F">
            <w:pPr>
              <w:pStyle w:val="Tabulka"/>
              <w:jc w:val="left"/>
              <w:rPr>
                <w:rFonts w:ascii="Calibri" w:hAnsi="Calibri" w:cs="Calibri"/>
              </w:rPr>
            </w:pPr>
            <w:r>
              <w:rPr>
                <w:rFonts w:ascii="Calibri" w:hAnsi="Calibri"/>
              </w:rPr>
              <w:t>Private investments in projects with public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17361A9E" w14:textId="77777777" w:rsidR="006D3AD5" w:rsidRPr="002C224A" w:rsidRDefault="006D3AD5" w:rsidP="00443B8F">
            <w:pPr>
              <w:pStyle w:val="Tabulka"/>
              <w:rPr>
                <w:rFonts w:ascii="Calibri" w:hAnsi="Calibri" w:cs="Calibri"/>
              </w:rPr>
            </w:pPr>
            <w:r>
              <w:rPr>
                <w:rFonts w:ascii="Calibri" w:hAnsi="Calibri"/>
              </w:rPr>
              <w:t>CZK millions</w:t>
            </w:r>
          </w:p>
        </w:tc>
        <w:tc>
          <w:tcPr>
            <w:tcW w:w="0" w:type="auto"/>
            <w:tcBorders>
              <w:top w:val="single" w:sz="4" w:space="0" w:color="000000"/>
              <w:left w:val="single" w:sz="4" w:space="0" w:color="000000"/>
              <w:bottom w:val="single" w:sz="4" w:space="0" w:color="000000"/>
              <w:right w:val="single" w:sz="4" w:space="0" w:color="000000"/>
            </w:tcBorders>
            <w:vAlign w:val="center"/>
          </w:tcPr>
          <w:p w14:paraId="11A7E349" w14:textId="77777777" w:rsidR="006D3AD5" w:rsidRPr="002C224A" w:rsidRDefault="006D3AD5" w:rsidP="00443B8F">
            <w:pPr>
              <w:pStyle w:val="Tabulka"/>
              <w:rPr>
                <w:rFonts w:ascii="Calibri" w:hAnsi="Calibri" w:cs="Calibri"/>
              </w:rPr>
            </w:pPr>
            <w:r>
              <w:rPr>
                <w:rFonts w:ascii="Calibri" w:hAnsi="Calibri"/>
              </w:rPr>
              <w:t>Less developed regions</w:t>
            </w:r>
          </w:p>
        </w:tc>
        <w:tc>
          <w:tcPr>
            <w:tcW w:w="0" w:type="auto"/>
            <w:tcBorders>
              <w:top w:val="single" w:sz="4" w:space="0" w:color="000000"/>
              <w:left w:val="single" w:sz="4" w:space="0" w:color="000000"/>
              <w:bottom w:val="single" w:sz="4" w:space="0" w:color="000000"/>
              <w:right w:val="single" w:sz="4" w:space="0" w:color="000000"/>
            </w:tcBorders>
            <w:vAlign w:val="center"/>
          </w:tcPr>
          <w:p w14:paraId="70C730B9" w14:textId="77777777" w:rsidR="006D3AD5" w:rsidRPr="002C224A" w:rsidRDefault="006D3AD5" w:rsidP="00443B8F">
            <w:pPr>
              <w:pStyle w:val="Tabulka"/>
              <w:rPr>
                <w:rFonts w:ascii="Calibri" w:hAnsi="Calibri" w:cs="Calibri"/>
              </w:rPr>
            </w:pPr>
            <w:r>
              <w:rPr>
                <w:rFonts w:ascii="Calibri" w:hAnsi="Calibri"/>
              </w:rPr>
              <w:t>800/-1200:</w:t>
            </w:r>
          </w:p>
        </w:tc>
      </w:tr>
    </w:tbl>
    <w:p w14:paraId="6C1BF661" w14:textId="77777777" w:rsidR="006D3AD5" w:rsidRPr="00A50943" w:rsidRDefault="006D3AD5" w:rsidP="006D3AD5"/>
    <w:p w14:paraId="07C7D563" w14:textId="77777777" w:rsidR="006D3AD5" w:rsidRPr="00E46303"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1851EB0B" w14:textId="77777777" w:rsidR="006D3AD5" w:rsidRPr="002C224A" w:rsidRDefault="006D3AD5" w:rsidP="006D3AD5">
      <w:pPr>
        <w:numPr>
          <w:ilvl w:val="0"/>
          <w:numId w:val="58"/>
        </w:numPr>
      </w:pPr>
      <w:r>
        <w:t>34610 Production of power from renewable sources in total*</w:t>
      </w:r>
    </w:p>
    <w:p w14:paraId="19B2C1B1" w14:textId="77777777" w:rsidR="006D3AD5" w:rsidRPr="002C224A" w:rsidRDefault="006D3AD5" w:rsidP="006D3AD5">
      <w:pPr>
        <w:numPr>
          <w:ilvl w:val="0"/>
          <w:numId w:val="58"/>
        </w:numPr>
      </w:pPr>
      <w:r>
        <w:t>36010 Expected yearly reduction of greenhouse gases emissions*</w:t>
      </w:r>
    </w:p>
    <w:p w14:paraId="79BD5BB8" w14:textId="77777777" w:rsidR="006D3AD5" w:rsidRPr="002C224A" w:rsidRDefault="006D3AD5" w:rsidP="006D3AD5">
      <w:pPr>
        <w:numPr>
          <w:ilvl w:val="0"/>
          <w:numId w:val="58"/>
        </w:numPr>
      </w:pPr>
      <w:r>
        <w:t>34601 New capacity of the facility for production of electricity from renewable sources*</w:t>
      </w:r>
    </w:p>
    <w:p w14:paraId="7074996D" w14:textId="77777777" w:rsidR="006D3AD5" w:rsidRPr="002C224A" w:rsidRDefault="006D3AD5" w:rsidP="006D3AD5">
      <w:pPr>
        <w:numPr>
          <w:ilvl w:val="0"/>
          <w:numId w:val="58"/>
        </w:numPr>
      </w:pPr>
      <w:r>
        <w:t>33902 SHPP aggregate*</w:t>
      </w:r>
    </w:p>
    <w:p w14:paraId="442EE6E7" w14:textId="77777777" w:rsidR="006D3AD5" w:rsidRPr="002C224A" w:rsidRDefault="006D3AD5" w:rsidP="006D3AD5">
      <w:pPr>
        <w:numPr>
          <w:ilvl w:val="0"/>
          <w:numId w:val="58"/>
        </w:numPr>
      </w:pPr>
      <w:r>
        <w:t>10103 Private investments in projects with public support (other than grants)*</w:t>
      </w:r>
    </w:p>
    <w:p w14:paraId="565D12F1" w14:textId="77777777" w:rsidR="006D3AD5" w:rsidRPr="0019232C" w:rsidRDefault="006D3AD5" w:rsidP="006D3AD5">
      <w:pPr>
        <w:numPr>
          <w:ilvl w:val="0"/>
          <w:numId w:val="58"/>
        </w:numPr>
      </w:pPr>
      <w:r>
        <w:t>10103 Number of companies drawing financial support other than grants</w:t>
      </w:r>
    </w:p>
    <w:p w14:paraId="4BAC9E63" w14:textId="77777777" w:rsidR="006D3AD5" w:rsidRPr="002C224A" w:rsidRDefault="006D3AD5" w:rsidP="006D3AD5">
      <w:pPr>
        <w:numPr>
          <w:ilvl w:val="0"/>
          <w:numId w:val="58"/>
        </w:numPr>
      </w:pPr>
      <w:r>
        <w:t>33902 Increase in the installed electrical power output with supported subjects*</w:t>
      </w:r>
    </w:p>
    <w:p w14:paraId="384518F4" w14:textId="77777777" w:rsidR="006D3AD5" w:rsidRPr="002C224A" w:rsidRDefault="006D3AD5" w:rsidP="006D3AD5">
      <w:pPr>
        <w:numPr>
          <w:ilvl w:val="0"/>
          <w:numId w:val="58"/>
        </w:numPr>
        <w:rPr>
          <w:rFonts w:cs="Calibri"/>
        </w:rPr>
      </w:pPr>
      <w:r>
        <w:t>10000 The number of companies drawing the support</w:t>
      </w:r>
    </w:p>
    <w:p w14:paraId="4DDB0C13" w14:textId="77777777" w:rsidR="006D3AD5" w:rsidRPr="002C224A" w:rsidRDefault="006D3AD5" w:rsidP="006D3AD5">
      <w:pPr>
        <w:numPr>
          <w:ilvl w:val="0"/>
          <w:numId w:val="58"/>
        </w:numPr>
        <w:rPr>
          <w:rFonts w:eastAsia="Calibri" w:cs="Calibri"/>
        </w:rPr>
      </w:pPr>
      <w:r>
        <w:t>34600 New capacity of the facility for production of electricity from renewable sources</w:t>
      </w:r>
    </w:p>
    <w:p w14:paraId="676B2106" w14:textId="77777777" w:rsidR="006D3AD5" w:rsidRPr="002C224A" w:rsidRDefault="006D3AD5" w:rsidP="006D3AD5">
      <w:pPr>
        <w:numPr>
          <w:ilvl w:val="0"/>
          <w:numId w:val="58"/>
        </w:numPr>
        <w:rPr>
          <w:rFonts w:cs="Calibri"/>
        </w:rPr>
      </w:pPr>
      <w:r>
        <w:t>33900 Installed power in the electrical network of the Czech Republic</w:t>
      </w:r>
    </w:p>
    <w:p w14:paraId="13DEC125" w14:textId="77777777" w:rsidR="006D3AD5" w:rsidRPr="002C224A" w:rsidRDefault="006D3AD5" w:rsidP="006D3AD5">
      <w:pPr>
        <w:numPr>
          <w:ilvl w:val="0"/>
          <w:numId w:val="58"/>
        </w:numPr>
        <w:rPr>
          <w:rFonts w:cs="Calibri"/>
        </w:rPr>
      </w:pPr>
      <w:r>
        <w:t>33910 Total installed power from the renewable energy sources</w:t>
      </w:r>
    </w:p>
    <w:p w14:paraId="63A45360" w14:textId="77777777" w:rsidR="006D3AD5" w:rsidRPr="002C224A" w:rsidRDefault="006D3AD5" w:rsidP="006D3AD5">
      <w:pPr>
        <w:pStyle w:val="Default"/>
        <w:spacing w:after="120"/>
        <w:jc w:val="both"/>
        <w:rPr>
          <w:rFonts w:ascii="Calibri" w:hAnsi="Calibri"/>
          <w:sz w:val="22"/>
          <w:szCs w:val="22"/>
        </w:rPr>
      </w:pPr>
    </w:p>
    <w:p w14:paraId="321F66CA" w14:textId="77777777" w:rsidR="006D3AD5" w:rsidRPr="002C224A" w:rsidRDefault="006D3AD5" w:rsidP="006D3AD5">
      <w:pPr>
        <w:pStyle w:val="Nadpis4"/>
        <w:rPr>
          <w:rFonts w:ascii="Calibri" w:hAnsi="Calibri"/>
        </w:rPr>
      </w:pPr>
      <w:r>
        <w:rPr>
          <w:rFonts w:ascii="Calibri" w:hAnsi="Calibri"/>
        </w:rPr>
        <w:t>Partial summary</w:t>
      </w:r>
    </w:p>
    <w:p w14:paraId="79B70FD9" w14:textId="77777777" w:rsidR="006D3AD5" w:rsidRPr="002C224A" w:rsidRDefault="006D3AD5" w:rsidP="006D3AD5">
      <w:pPr>
        <w:pStyle w:val="CaptionIntroductionparagraph"/>
        <w:rPr>
          <w:rFonts w:ascii="Calibri" w:hAnsi="Calibri"/>
        </w:rPr>
      </w:pPr>
    </w:p>
    <w:bookmarkEnd w:id="1382"/>
    <w:bookmarkEnd w:id="1383"/>
    <w:p w14:paraId="7EE7E812" w14:textId="77777777" w:rsidR="006D3AD5" w:rsidRPr="002C224A" w:rsidRDefault="006D3AD5" w:rsidP="006D3AD5">
      <w:pPr>
        <w:pStyle w:val="CaptionIntroductionparagraph"/>
        <w:rPr>
          <w:rFonts w:ascii="Calibri" w:hAnsi="Calibri"/>
        </w:rPr>
      </w:pPr>
      <w:r>
        <w:rPr>
          <w:rFonts w:ascii="Calibri" w:hAnsi="Calibri"/>
        </w:rPr>
        <w:t xml:space="preserve">Credit instrument </w:t>
      </w:r>
    </w:p>
    <w:p w14:paraId="21BEFEA4" w14:textId="77777777" w:rsidR="006D3AD5" w:rsidRPr="00A50943" w:rsidRDefault="006D3AD5" w:rsidP="006D3AD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1871"/>
        <w:gridCol w:w="7199"/>
      </w:tblGrid>
      <w:tr w:rsidR="006D3AD5" w:rsidRPr="002C224A" w14:paraId="5F2D45BE" w14:textId="77777777" w:rsidTr="00443B8F">
        <w:tc>
          <w:tcPr>
            <w:tcW w:w="1871" w:type="dxa"/>
            <w:shd w:val="clear" w:color="auto" w:fill="ECFFC3"/>
          </w:tcPr>
          <w:p w14:paraId="373B960C" w14:textId="77777777" w:rsidR="006D3AD5" w:rsidRPr="002C224A" w:rsidRDefault="006D3AD5" w:rsidP="00443B8F">
            <w:pPr>
              <w:rPr>
                <w:b/>
              </w:rPr>
            </w:pPr>
          </w:p>
        </w:tc>
        <w:tc>
          <w:tcPr>
            <w:tcW w:w="7199" w:type="dxa"/>
            <w:shd w:val="clear" w:color="auto" w:fill="ECFFC3"/>
          </w:tcPr>
          <w:p w14:paraId="03F8143E" w14:textId="77777777" w:rsidR="006D3AD5" w:rsidRPr="002C224A" w:rsidRDefault="006D3AD5" w:rsidP="00443B8F">
            <w:pPr>
              <w:ind w:left="38"/>
              <w:rPr>
                <w:b/>
              </w:rPr>
            </w:pPr>
          </w:p>
        </w:tc>
      </w:tr>
      <w:tr w:rsidR="006D3AD5" w:rsidRPr="002C224A" w14:paraId="18872FBE" w14:textId="77777777" w:rsidTr="00443B8F">
        <w:tc>
          <w:tcPr>
            <w:tcW w:w="1871" w:type="dxa"/>
            <w:shd w:val="clear" w:color="auto" w:fill="92D400"/>
            <w:noWrap/>
          </w:tcPr>
          <w:p w14:paraId="66D98534" w14:textId="77777777" w:rsidR="006D3AD5" w:rsidRPr="002C224A" w:rsidRDefault="006D3AD5" w:rsidP="00443B8F">
            <w:pPr>
              <w:rPr>
                <w:b/>
                <w:color w:val="FFFFFF"/>
              </w:rPr>
            </w:pPr>
            <w:r>
              <w:rPr>
                <w:b/>
                <w:color w:val="FFFFFF"/>
              </w:rPr>
              <w:t>Objectives of the financial instrument</w:t>
            </w:r>
          </w:p>
        </w:tc>
        <w:tc>
          <w:tcPr>
            <w:tcW w:w="7199" w:type="dxa"/>
            <w:shd w:val="clear" w:color="auto" w:fill="FFFFFF"/>
            <w:noWrap/>
          </w:tcPr>
          <w:p w14:paraId="41D80D68" w14:textId="77777777" w:rsidR="006D3AD5" w:rsidRPr="002C224A" w:rsidRDefault="006D3AD5" w:rsidP="00443B8F">
            <w:r>
              <w:t xml:space="preserve">Eliminate defined market gap in relation to access to financial funds for the final recipient. This will be achieved by provision of a soft loan with subsidy for reimbursement of energy audit processing. </w:t>
            </w:r>
          </w:p>
        </w:tc>
      </w:tr>
      <w:tr w:rsidR="006D3AD5" w:rsidRPr="002C224A" w14:paraId="10EC01F9" w14:textId="77777777" w:rsidTr="00443B8F">
        <w:tc>
          <w:tcPr>
            <w:tcW w:w="1871" w:type="dxa"/>
            <w:shd w:val="clear" w:color="auto" w:fill="92D400"/>
            <w:noWrap/>
          </w:tcPr>
          <w:p w14:paraId="153F4127" w14:textId="77777777" w:rsidR="006D3AD5" w:rsidRPr="002C224A" w:rsidRDefault="006D3AD5" w:rsidP="00443B8F">
            <w:pPr>
              <w:jc w:val="left"/>
              <w:rPr>
                <w:b/>
                <w:color w:val="FFFFFF"/>
              </w:rPr>
            </w:pPr>
            <w:r>
              <w:rPr>
                <w:b/>
                <w:color w:val="FFFFFF"/>
              </w:rPr>
              <w:t>Definition and criteria of eligible projects</w:t>
            </w:r>
          </w:p>
        </w:tc>
        <w:tc>
          <w:tcPr>
            <w:tcW w:w="7199" w:type="dxa"/>
            <w:shd w:val="clear" w:color="auto" w:fill="FFFFFF"/>
            <w:noWrap/>
          </w:tcPr>
          <w:p w14:paraId="36B32054" w14:textId="77777777" w:rsidR="006D3AD5" w:rsidRPr="002C224A" w:rsidRDefault="006D3AD5" w:rsidP="00443B8F">
            <w:r>
              <w:t>Construction of new or reconstruction of present power plants in the form of small hydroelectric power plants (up to 10MW of installed power).</w:t>
            </w:r>
          </w:p>
        </w:tc>
      </w:tr>
      <w:tr w:rsidR="006D3AD5" w:rsidRPr="002C224A" w14:paraId="53E1737A" w14:textId="77777777" w:rsidTr="00443B8F">
        <w:tc>
          <w:tcPr>
            <w:tcW w:w="1871" w:type="dxa"/>
            <w:shd w:val="clear" w:color="auto" w:fill="92D400"/>
            <w:noWrap/>
          </w:tcPr>
          <w:p w14:paraId="49145D90" w14:textId="77777777" w:rsidR="006D3AD5" w:rsidRPr="002C224A" w:rsidRDefault="006D3AD5" w:rsidP="00443B8F">
            <w:pPr>
              <w:rPr>
                <w:b/>
                <w:color w:val="FFFFFF"/>
              </w:rPr>
            </w:pPr>
            <w:r>
              <w:rPr>
                <w:b/>
                <w:color w:val="FFFFFF"/>
              </w:rPr>
              <w:t>Support form</w:t>
            </w:r>
          </w:p>
        </w:tc>
        <w:tc>
          <w:tcPr>
            <w:tcW w:w="7199" w:type="dxa"/>
            <w:shd w:val="clear" w:color="auto" w:fill="FFFFFF"/>
            <w:noWrap/>
          </w:tcPr>
          <w:p w14:paraId="2D562851" w14:textId="77777777" w:rsidR="006D3AD5" w:rsidRPr="002C224A" w:rsidRDefault="006D3AD5" w:rsidP="00443B8F">
            <w:pPr>
              <w:spacing w:after="120"/>
              <w:rPr>
                <w:rFonts w:cs="Calibri"/>
                <w:szCs w:val="22"/>
              </w:rPr>
            </w:pPr>
            <w:r>
              <w:t>Combined support.</w:t>
            </w:r>
          </w:p>
          <w:p w14:paraId="5D557E72" w14:textId="77777777" w:rsidR="006D3AD5" w:rsidRPr="002C224A" w:rsidRDefault="006D3AD5" w:rsidP="00443B8F">
            <w:pPr>
              <w:spacing w:after="120"/>
              <w:rPr>
                <w:rFonts w:cs="Calibri"/>
                <w:szCs w:val="22"/>
              </w:rPr>
            </w:pPr>
            <w:r>
              <w:t>Soft loan with lower interest rate and longer due period.</w:t>
            </w:r>
          </w:p>
          <w:p w14:paraId="33E0BF25" w14:textId="77777777" w:rsidR="006D3AD5" w:rsidRPr="002C224A" w:rsidRDefault="006D3AD5" w:rsidP="00443B8F">
            <w:pPr>
              <w:spacing w:after="120"/>
              <w:rPr>
                <w:rFonts w:cs="Calibri"/>
                <w:szCs w:val="22"/>
              </w:rPr>
            </w:pPr>
            <w:r>
              <w:t>Financial subsidy for interest reimbursement (interest rate grant - financial subsidy) conditional to achieving required results.</w:t>
            </w:r>
          </w:p>
          <w:p w14:paraId="5011BF37" w14:textId="77777777" w:rsidR="006D3AD5" w:rsidRPr="002C224A" w:rsidRDefault="006D3AD5" w:rsidP="00443B8F">
            <w:pPr>
              <w:rPr>
                <w:b/>
                <w:color w:val="FF0000"/>
              </w:rPr>
            </w:pPr>
            <w:r>
              <w:t>Reimbursement of costs for the energy audit and validation of savings (financial subsidy).</w:t>
            </w:r>
          </w:p>
        </w:tc>
      </w:tr>
      <w:tr w:rsidR="006D3AD5" w:rsidRPr="002C224A" w14:paraId="7167FDD4" w14:textId="77777777" w:rsidTr="00443B8F">
        <w:tc>
          <w:tcPr>
            <w:tcW w:w="1871" w:type="dxa"/>
            <w:shd w:val="clear" w:color="auto" w:fill="92D400"/>
            <w:noWrap/>
          </w:tcPr>
          <w:p w14:paraId="0B17E8A3" w14:textId="77777777" w:rsidR="006D3AD5" w:rsidRPr="002C224A" w:rsidRDefault="006D3AD5" w:rsidP="00443B8F">
            <w:pPr>
              <w:rPr>
                <w:b/>
                <w:color w:val="FFFFFF"/>
              </w:rPr>
            </w:pPr>
            <w:r>
              <w:rPr>
                <w:b/>
                <w:color w:val="FFFFFF"/>
              </w:rPr>
              <w:t>Support amount</w:t>
            </w:r>
          </w:p>
        </w:tc>
        <w:tc>
          <w:tcPr>
            <w:tcW w:w="7199" w:type="dxa"/>
            <w:shd w:val="clear" w:color="auto" w:fill="FFFFFF"/>
            <w:noWrap/>
          </w:tcPr>
          <w:p w14:paraId="2F447C79" w14:textId="77777777" w:rsidR="006D3AD5" w:rsidRPr="002C224A" w:rsidRDefault="006D3AD5" w:rsidP="00443B8F">
            <w:r>
              <w:t>Loan and interest rate subsidy will range from CZK 0.5 to 250 million.</w:t>
            </w:r>
          </w:p>
        </w:tc>
      </w:tr>
      <w:tr w:rsidR="006D3AD5" w:rsidRPr="002C224A" w14:paraId="77268DFE" w14:textId="77777777" w:rsidTr="00443B8F">
        <w:tc>
          <w:tcPr>
            <w:tcW w:w="1871" w:type="dxa"/>
            <w:shd w:val="clear" w:color="auto" w:fill="92D400"/>
            <w:noWrap/>
          </w:tcPr>
          <w:p w14:paraId="3D819FFB" w14:textId="77777777" w:rsidR="006D3AD5" w:rsidRPr="002C224A" w:rsidRDefault="006D3AD5" w:rsidP="00443B8F">
            <w:pPr>
              <w:rPr>
                <w:b/>
                <w:color w:val="FFFFFF"/>
              </w:rPr>
            </w:pPr>
            <w:r>
              <w:rPr>
                <w:b/>
                <w:color w:val="FFFFFF"/>
              </w:rPr>
              <w:t>Basic parameters of the provided support</w:t>
            </w:r>
          </w:p>
        </w:tc>
        <w:tc>
          <w:tcPr>
            <w:tcW w:w="7199" w:type="dxa"/>
            <w:shd w:val="clear" w:color="auto" w:fill="FFFFFF"/>
            <w:noWrap/>
          </w:tcPr>
          <w:p w14:paraId="30E344AA" w14:textId="77777777" w:rsidR="006D3AD5" w:rsidRPr="002C224A" w:rsidRDefault="006D3AD5" w:rsidP="00443B8F">
            <w:r>
              <w:t>We recommend lowering the interest rate for the final recipient to half the market interest rate in the form of using both the financial instrument and loan from a private credit institution. To reach such a low interest rate it is necessary for the fund interest rate to be as low as possible.</w:t>
            </w:r>
          </w:p>
          <w:p w14:paraId="19CDF77D" w14:textId="77777777" w:rsidR="006D3AD5" w:rsidRPr="002C224A" w:rsidRDefault="006D3AD5" w:rsidP="00443B8F"/>
          <w:p w14:paraId="0D9C4610" w14:textId="52D6856E" w:rsidR="006D3AD5" w:rsidRPr="002C224A" w:rsidRDefault="00AE65A1" w:rsidP="00443B8F">
            <w:r>
              <w:t>The soft loan should be provided in parallel with commercial loan of a private credit institution and a co-financing of the final recipient. The share of commercial loan is rec</w:t>
            </w:r>
            <w:r w:rsidR="006D3AD5">
              <w:t>ommended at 50-100% of the soft loan.</w:t>
            </w:r>
          </w:p>
          <w:p w14:paraId="3F388A83" w14:textId="77777777" w:rsidR="006D3AD5" w:rsidRPr="002C224A" w:rsidRDefault="006D3AD5" w:rsidP="00443B8F"/>
        </w:tc>
      </w:tr>
      <w:tr w:rsidR="006D3AD5" w:rsidRPr="002C224A" w14:paraId="172DB4FB" w14:textId="77777777" w:rsidTr="00443B8F">
        <w:tc>
          <w:tcPr>
            <w:tcW w:w="1871" w:type="dxa"/>
            <w:shd w:val="clear" w:color="auto" w:fill="92D400"/>
            <w:noWrap/>
          </w:tcPr>
          <w:p w14:paraId="1D223147" w14:textId="77777777" w:rsidR="006D3AD5" w:rsidRPr="002C224A" w:rsidRDefault="006D3AD5" w:rsidP="00443B8F">
            <w:pPr>
              <w:rPr>
                <w:b/>
                <w:color w:val="FFFFFF"/>
              </w:rPr>
            </w:pPr>
            <w:r>
              <w:rPr>
                <w:b/>
                <w:color w:val="FFFFFF"/>
              </w:rPr>
              <w:t>Steps for activation of private financial sources</w:t>
            </w:r>
          </w:p>
        </w:tc>
        <w:tc>
          <w:tcPr>
            <w:tcW w:w="7199" w:type="dxa"/>
            <w:shd w:val="clear" w:color="auto" w:fill="FFFFFF"/>
            <w:noWrap/>
          </w:tcPr>
          <w:p w14:paraId="43C928C4" w14:textId="77777777" w:rsidR="006D3AD5" w:rsidRPr="002C224A" w:rsidRDefault="006D3AD5" w:rsidP="00443B8F">
            <w:r>
              <w:t>Preferential remuneration is not suitable. Private credit institutions will be involved in accordance with market conditions, the soft loan instrument will have a secondary lien and therefore it will enable for using further commercial loans.</w:t>
            </w:r>
          </w:p>
        </w:tc>
      </w:tr>
      <w:tr w:rsidR="006D3AD5" w:rsidRPr="002C224A" w14:paraId="72EA878E" w14:textId="77777777" w:rsidTr="00443B8F">
        <w:tc>
          <w:tcPr>
            <w:tcW w:w="1871" w:type="dxa"/>
            <w:shd w:val="clear" w:color="auto" w:fill="92D400"/>
            <w:noWrap/>
          </w:tcPr>
          <w:p w14:paraId="4F84C97D" w14:textId="77777777" w:rsidR="006D3AD5" w:rsidRPr="002C224A" w:rsidRDefault="006D3AD5" w:rsidP="00443B8F">
            <w:pPr>
              <w:rPr>
                <w:b/>
                <w:color w:val="FFFFFF"/>
              </w:rPr>
            </w:pPr>
            <w:r>
              <w:rPr>
                <w:b/>
                <w:color w:val="FFFFFF"/>
              </w:rPr>
              <w:t>Expected allocation</w:t>
            </w:r>
          </w:p>
        </w:tc>
        <w:tc>
          <w:tcPr>
            <w:tcW w:w="7199" w:type="dxa"/>
            <w:shd w:val="clear" w:color="auto" w:fill="FFFFFF"/>
            <w:noWrap/>
          </w:tcPr>
          <w:p w14:paraId="15F5282C" w14:textId="77777777" w:rsidR="006D3AD5" w:rsidRPr="002C224A" w:rsidRDefault="006D3AD5" w:rsidP="00443B8F">
            <w:r>
              <w:t>For supporting the SHPPs we recommend using the FI in the range of CZK 400-600 million.</w:t>
            </w:r>
          </w:p>
          <w:p w14:paraId="7912E344" w14:textId="77777777" w:rsidR="006D3AD5" w:rsidRPr="002C224A" w:rsidRDefault="006D3AD5" w:rsidP="00443B8F"/>
          <w:p w14:paraId="64A5AC40" w14:textId="77777777" w:rsidR="006D3AD5" w:rsidRPr="002C224A" w:rsidRDefault="006D3AD5" w:rsidP="00443B8F"/>
          <w:p w14:paraId="42CDF987" w14:textId="77777777" w:rsidR="006D3AD5" w:rsidRPr="002C224A" w:rsidRDefault="006D3AD5" w:rsidP="00443B8F">
            <w:r>
              <w:t>In case of practical combinability of a soft loan with a subsidy support up to the limit of a public support it is possible to extend the FI allocation and reach the sectors of BGS and biomass.</w:t>
            </w:r>
          </w:p>
        </w:tc>
      </w:tr>
    </w:tbl>
    <w:p w14:paraId="2A5F58C9" w14:textId="5A8810BE" w:rsidR="006D3AD5" w:rsidRPr="002C224A" w:rsidRDefault="006D3AD5" w:rsidP="006D3AD5">
      <w:pPr>
        <w:pStyle w:val="Titulek"/>
      </w:pPr>
      <w:r>
        <w:t xml:space="preserve">Table </w:t>
      </w:r>
      <w:r w:rsidR="008E5253">
        <w:t>12</w:t>
      </w:r>
      <w:r w:rsidR="00B90ACD">
        <w:t>5</w:t>
      </w:r>
      <w:r>
        <w:t>: Summary of the SO 3.5 FI</w:t>
      </w:r>
    </w:p>
    <w:p w14:paraId="26DDD6C9" w14:textId="77777777" w:rsidR="006D3AD5" w:rsidRPr="002C224A" w:rsidRDefault="006D3AD5" w:rsidP="006D3AD5">
      <w:pPr>
        <w:pStyle w:val="Nadpis3"/>
        <w:rPr>
          <w:rFonts w:ascii="Calibri" w:hAnsi="Calibri"/>
        </w:rPr>
      </w:pPr>
      <w:bookmarkStart w:id="1384" w:name="_Toc416909659"/>
      <w:bookmarkStart w:id="1385" w:name="_Toc417545042"/>
      <w:bookmarkStart w:id="1386" w:name="_Toc416800507"/>
      <w:bookmarkStart w:id="1387" w:name="_Toc419183285"/>
      <w:bookmarkStart w:id="1388" w:name="_Toc422312151"/>
      <w:bookmarkEnd w:id="1384"/>
      <w:bookmarkEnd w:id="1385"/>
      <w:r>
        <w:rPr>
          <w:rFonts w:ascii="Calibri" w:hAnsi="Calibri"/>
        </w:rPr>
        <w:t>Specific objective 3.2</w:t>
      </w:r>
      <w:bookmarkEnd w:id="1386"/>
      <w:bookmarkEnd w:id="1387"/>
      <w:bookmarkEnd w:id="1388"/>
    </w:p>
    <w:p w14:paraId="2785A69A" w14:textId="77777777" w:rsidR="006D3AD5" w:rsidRPr="002C224A" w:rsidRDefault="006D3AD5" w:rsidP="006D3AD5">
      <w:pPr>
        <w:pStyle w:val="Nadpis4"/>
        <w:rPr>
          <w:rFonts w:ascii="Calibri" w:hAnsi="Calibri"/>
        </w:rPr>
      </w:pPr>
      <w:bookmarkStart w:id="1389" w:name="_Toc416800508"/>
      <w:r>
        <w:rPr>
          <w:rFonts w:ascii="Calibri" w:hAnsi="Calibri"/>
        </w:rPr>
        <w:t>Forms of financial instruments and allocation amount</w:t>
      </w:r>
    </w:p>
    <w:p w14:paraId="4D5523A8" w14:textId="77777777" w:rsidR="006D3AD5" w:rsidRPr="00A50943" w:rsidRDefault="006D3AD5" w:rsidP="006D3AD5"/>
    <w:bookmarkEnd w:id="1389"/>
    <w:p w14:paraId="5645C955" w14:textId="77777777" w:rsidR="006D3AD5" w:rsidRPr="002C224A" w:rsidRDefault="006D3AD5" w:rsidP="006D3AD5">
      <w:r>
        <w:t>From discussions with interested subject it was found out that mechanisms of financing investments into reducing energy demands are relatively mature and effective but significant barriers for private sector remain. The market failure is identified in the area of insufficient preference of savings projects in the business plan and in the long-term return. For significant part of SHPPs the access to financing is more difficult and the barrier is formed also by significantly higher financial burden in comparison with large companies.</w:t>
      </w:r>
    </w:p>
    <w:p w14:paraId="4E49B1E5" w14:textId="77777777" w:rsidR="006D3AD5" w:rsidRPr="002C224A" w:rsidRDefault="006D3AD5" w:rsidP="006D3AD5"/>
    <w:p w14:paraId="7C3A8D3B" w14:textId="77777777" w:rsidR="006D3AD5" w:rsidRPr="002C224A" w:rsidRDefault="006D3AD5" w:rsidP="006D3AD5">
      <w:r>
        <w:t xml:space="preserve">Given the large differences in returns of energy saving measures we propose for some of the projects to apply </w:t>
      </w:r>
      <w:r>
        <w:rPr>
          <w:b/>
        </w:rPr>
        <w:t>support in form of soft loans</w:t>
      </w:r>
      <w:r>
        <w:t>.</w:t>
      </w:r>
    </w:p>
    <w:p w14:paraId="6D4917FA" w14:textId="77777777" w:rsidR="006D3AD5" w:rsidRPr="002C224A" w:rsidRDefault="006D3AD5" w:rsidP="006D3AD5"/>
    <w:p w14:paraId="2829C24A" w14:textId="77777777" w:rsidR="006D3AD5" w:rsidRPr="002C224A" w:rsidRDefault="006D3AD5" w:rsidP="006D3AD5">
      <w:r>
        <w:lastRenderedPageBreak/>
        <w:t xml:space="preserve">The proposed support should be in the form of </w:t>
      </w:r>
      <w:r>
        <w:rPr>
          <w:b/>
        </w:rPr>
        <w:t>combination of a soft loan with longer due period or potential instalments deferment, subsidy for project preparation (energy audit) and conditional subsidy for interest reimbursement</w:t>
      </w:r>
      <w:r>
        <w:t>. The credit instrument is a recoverable support form. It becomes partially irrecoverable only in case of a credit default. Framework parameters and implementation are proposed in accordance with the SO 2.1 loans.</w:t>
      </w:r>
    </w:p>
    <w:p w14:paraId="650F5D15" w14:textId="77777777" w:rsidR="006D3AD5" w:rsidRPr="002C224A" w:rsidRDefault="006D3AD5" w:rsidP="006D3AD5"/>
    <w:p w14:paraId="1972E46B" w14:textId="77777777" w:rsidR="006D3AD5" w:rsidRPr="002C224A" w:rsidRDefault="006D3AD5" w:rsidP="006D3AD5">
      <w:r>
        <w:t xml:space="preserve">Given the identified high return of a lot of projects that should be supported within the SO 3.2 it seems appropriate to leave major part of the SO 3.2 allocation in the subsidy regimen. For some of these projects it would be possible to use combined support in the form of subsidies and soft loans of up to the limit of public support. Technical feasibility of such variant must be further analysed and it is necessary to evaluate costs of this method and administrative complications for both the MA and final recipient. </w:t>
      </w:r>
      <w:r>
        <w:rPr>
          <w:b/>
        </w:rPr>
        <w:t>As the most suitable method within the SO 3.2 we propose separated operation of subsidies and soft loans.</w:t>
      </w:r>
    </w:p>
    <w:p w14:paraId="67B1A506" w14:textId="77777777" w:rsidR="006D3AD5" w:rsidRPr="002C224A" w:rsidRDefault="006D3AD5" w:rsidP="006D3AD5"/>
    <w:p w14:paraId="2514D450" w14:textId="77777777" w:rsidR="006D3AD5" w:rsidRPr="002C224A" w:rsidRDefault="006D3AD5" w:rsidP="006D3AD5">
      <w:r>
        <w:rPr>
          <w:b/>
        </w:rPr>
        <w:t>For effective separation of project supported by subsidies and financial instrument it is necessary to find clear separation criteria in such cases. One of the possibilities is to use the criterion of the return period or alternatively the internal return ratio (IRR) of the planned investment</w:t>
      </w:r>
      <w:r>
        <w:t>. For projects with  IRR &gt; x % the support in the form of a credit financial instrument would be proposed, projects with IRR &lt; x % would be offered a classic subsidy. This proposal is just a draft variant of the possible key. The criteria have to be specified in the subsequent process based on the critical evaluation of benefits, limitations and risks. The IRR criterion is based on the market reality where energy savings projects with return period of above 6 years become unacceptable in the business environment. The return is often related to the measure complexity and the amount of achieved savings. The separation will have to be based on the principle of higher support for more complex projects with longer returns which could lead to motivation for realization of more complex savings.</w:t>
      </w:r>
    </w:p>
    <w:p w14:paraId="2B21C194" w14:textId="77777777" w:rsidR="006D3AD5" w:rsidRPr="002C224A" w:rsidRDefault="006D3AD5" w:rsidP="006D3AD5"/>
    <w:p w14:paraId="490C0D4D" w14:textId="77777777" w:rsidR="006D3AD5" w:rsidRPr="002C224A" w:rsidRDefault="006D3AD5" w:rsidP="006D3AD5">
      <w:pPr>
        <w:rPr>
          <w:b/>
        </w:rPr>
      </w:pPr>
      <w:r>
        <w:rPr>
          <w:b/>
        </w:rPr>
        <w:t>Allocation</w:t>
      </w:r>
    </w:p>
    <w:p w14:paraId="6E672833" w14:textId="77777777" w:rsidR="006D3AD5" w:rsidRPr="002C224A" w:rsidRDefault="006D3AD5" w:rsidP="006D3AD5">
      <w:r>
        <w:t xml:space="preserve">In the pilot phase we propose to allocate </w:t>
      </w:r>
      <w:r>
        <w:rPr>
          <w:b/>
        </w:rPr>
        <w:t>CZK 550-1,000 million for the financial instrument. In case of successful usage this allocation could be significantly extended up to double of the amount.</w:t>
      </w:r>
      <w:r>
        <w:t xml:space="preserve"> Thanks to leverage even a relatively small part of the SO 3.2 allocation can support a significant part of target investments. As different estimates of the absorption capacity show, the total allocated sources for the SO 3.2 (CZK 20,500 million) are the highest in relation to the estimated absorption among all analysed OP EIC objectives. It is therefore possible to recommend using operative allocation adjustments in accordance with the demand to achieve the most effective usage possible.</w:t>
      </w:r>
    </w:p>
    <w:p w14:paraId="067E1595" w14:textId="77777777" w:rsidR="006D3AD5" w:rsidRPr="002C224A" w:rsidRDefault="006D3AD5" w:rsidP="006D3AD5"/>
    <w:p w14:paraId="2E0E9BB8" w14:textId="77777777" w:rsidR="006D3AD5" w:rsidRPr="002C224A" w:rsidRDefault="006D3AD5" w:rsidP="006D3AD5">
      <w:pPr>
        <w:pStyle w:val="Nadpis4"/>
        <w:rPr>
          <w:rFonts w:ascii="Calibri" w:hAnsi="Calibri"/>
        </w:rPr>
      </w:pPr>
      <w:bookmarkStart w:id="1390" w:name="_Toc416800509"/>
      <w:r>
        <w:rPr>
          <w:rFonts w:ascii="Calibri" w:hAnsi="Calibri"/>
        </w:rPr>
        <w:t>Most suitable implementation possibilities</w:t>
      </w:r>
    </w:p>
    <w:bookmarkEnd w:id="1390"/>
    <w:p w14:paraId="0178AA3B" w14:textId="77777777" w:rsidR="006D3AD5" w:rsidRPr="00A50943" w:rsidRDefault="006D3AD5" w:rsidP="006D3AD5">
      <w:pPr>
        <w:rPr>
          <w:b/>
          <w:color w:val="00A1DE"/>
          <w:sz w:val="24"/>
          <w:szCs w:val="22"/>
        </w:rPr>
      </w:pPr>
    </w:p>
    <w:p w14:paraId="0D273862" w14:textId="30F7378B" w:rsidR="006D3AD5" w:rsidRPr="00A50943" w:rsidRDefault="003D62D4" w:rsidP="006D3AD5">
      <w:pPr>
        <w:rPr>
          <w:b/>
          <w:color w:val="00A1DE"/>
          <w:sz w:val="24"/>
          <w:szCs w:val="22"/>
        </w:rPr>
      </w:pPr>
      <w:r w:rsidRPr="008517EA">
        <w:rPr>
          <w:noProof/>
          <w:szCs w:val="22"/>
        </w:rPr>
        <w:lastRenderedPageBreak/>
        <w:drawing>
          <wp:anchor distT="0" distB="0" distL="114300" distR="114300" simplePos="0" relativeHeight="251670016" behindDoc="0" locked="0" layoutInCell="1" allowOverlap="1" wp14:anchorId="60485C49" wp14:editId="53093515">
            <wp:simplePos x="0" y="0"/>
            <wp:positionH relativeFrom="margin">
              <wp:posOffset>0</wp:posOffset>
            </wp:positionH>
            <wp:positionV relativeFrom="paragraph">
              <wp:posOffset>189865</wp:posOffset>
            </wp:positionV>
            <wp:extent cx="5353050" cy="3691890"/>
            <wp:effectExtent l="0" t="0" r="0" b="3810"/>
            <wp:wrapTopAndBottom/>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ABBC1" w14:textId="5389D03F" w:rsidR="006D3AD5" w:rsidRPr="002C224A" w:rsidRDefault="006D3AD5" w:rsidP="006D3AD5">
      <w:pPr>
        <w:pStyle w:val="Titulek"/>
      </w:pPr>
      <w:r>
        <w:t xml:space="preserve">Figure </w:t>
      </w:r>
      <w:r w:rsidR="00B8502D">
        <w:t>54</w:t>
      </w:r>
      <w:r>
        <w:t>: Framework scheme of the soft loan instrument</w:t>
      </w:r>
    </w:p>
    <w:p w14:paraId="14F1AA47" w14:textId="77777777" w:rsidR="006D3AD5" w:rsidRPr="00A50943" w:rsidRDefault="006D3AD5" w:rsidP="006D3AD5">
      <w:pPr>
        <w:rPr>
          <w:b/>
        </w:rPr>
      </w:pPr>
    </w:p>
    <w:p w14:paraId="161E28BF" w14:textId="77777777" w:rsidR="006D3AD5" w:rsidRPr="002C224A" w:rsidRDefault="006D3AD5" w:rsidP="006D3AD5">
      <w:pPr>
        <w:pStyle w:val="Nadpis4"/>
        <w:rPr>
          <w:rFonts w:ascii="Calibri" w:hAnsi="Calibri"/>
        </w:rPr>
      </w:pPr>
      <w:bookmarkStart w:id="1391" w:name="_Toc416800510"/>
      <w:r>
        <w:rPr>
          <w:rFonts w:ascii="Calibri" w:hAnsi="Calibri"/>
        </w:rPr>
        <w:t>Model scenarios of portfolio development, number of investments and the revolving effect</w:t>
      </w:r>
    </w:p>
    <w:p w14:paraId="1E0DD309" w14:textId="77777777" w:rsidR="006D3AD5" w:rsidRPr="002C224A" w:rsidRDefault="006D3AD5" w:rsidP="006D3AD5">
      <w:r>
        <w:t>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respected in general during the FI implementation. Nevertheless they cannot be considered binding given the conditions presented further.</w:t>
      </w:r>
    </w:p>
    <w:p w14:paraId="1365BF79" w14:textId="77777777" w:rsidR="006D3AD5" w:rsidRPr="00A50943" w:rsidRDefault="006D3AD5" w:rsidP="006D3AD5"/>
    <w:p w14:paraId="416F53D2" w14:textId="77777777" w:rsidR="006D3AD5" w:rsidRPr="002C224A" w:rsidRDefault="006D3AD5" w:rsidP="006D3AD5">
      <w:pPr>
        <w:pStyle w:val="Neslovannadpisy"/>
        <w:rPr>
          <w:b w:val="0"/>
        </w:rPr>
      </w:pPr>
      <w:r>
        <w:t>Credit instrument</w:t>
      </w:r>
    </w:p>
    <w:p w14:paraId="66EF6CBA" w14:textId="77777777" w:rsidR="006D3AD5" w:rsidRDefault="006D3AD5" w:rsidP="006D3AD5">
      <w:r>
        <w:t xml:space="preserve">For clarity reasons the credit model example does not take into account the interest income and costs for managing of the co-financing subject with regard to their expected mutual partial compensation. The model shows scenarios for different levels of expected losses and a scenario for subsidies on the interest payments and project preparation. </w:t>
      </w:r>
      <w:r>
        <w:rPr>
          <w:b/>
        </w:rPr>
        <w:t>The deferment of instalments is not taken into account in the model calculation</w:t>
      </w:r>
      <w:r>
        <w:t xml:space="preserve">. In case of its use it is necessary to expect partial restriction of revolving and therefore the number of provided loans for the programming period. The revolving effects will be postponed into the next period (in case of five-year deferment of instalments the repayments would start after 2020). </w:t>
      </w:r>
    </w:p>
    <w:p w14:paraId="0A2AFE08" w14:textId="77777777" w:rsidR="006D3AD5" w:rsidRPr="002C224A" w:rsidRDefault="006D3AD5" w:rsidP="006D3AD5">
      <w:r>
        <w:rPr>
          <w:noProof/>
        </w:rPr>
        <w:lastRenderedPageBreak/>
        <w:drawing>
          <wp:inline distT="0" distB="0" distL="0" distR="0" wp14:anchorId="653A3B7E" wp14:editId="06095001">
            <wp:extent cx="4378960" cy="2942590"/>
            <wp:effectExtent l="0" t="0" r="21590" b="10160"/>
            <wp:docPr id="208" name="Graf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E601FF2" w14:textId="4A8E3A60" w:rsidR="006D3AD5" w:rsidRPr="002C224A" w:rsidRDefault="004929D6" w:rsidP="006D3AD5">
      <w:pPr>
        <w:pStyle w:val="Titulek"/>
      </w:pPr>
      <w:r>
        <w:t>Figure </w:t>
      </w:r>
      <w:r w:rsidR="00B8502D">
        <w:t>55</w:t>
      </w:r>
      <w:r w:rsidR="006D3AD5">
        <w:t xml:space="preserve">: Potential effects of using the FI (Scenario 1, losses 10 %, no subsidy) </w:t>
      </w:r>
    </w:p>
    <w:p w14:paraId="6B5008F3" w14:textId="77777777" w:rsidR="000A7849" w:rsidRDefault="000A7849" w:rsidP="000A7849">
      <w:pPr>
        <w:rPr>
          <w:lang w:eastAsia="en-US"/>
        </w:rPr>
      </w:pPr>
      <w:r>
        <w:rPr>
          <w:lang w:eastAsia="en-US"/>
        </w:rPr>
        <w:t>Proinvestované prostředky = Invested funds</w:t>
      </w:r>
    </w:p>
    <w:p w14:paraId="787442B4" w14:textId="77777777" w:rsidR="000A7849" w:rsidRPr="00850075" w:rsidRDefault="000A7849" w:rsidP="000A7849">
      <w:pPr>
        <w:rPr>
          <w:lang w:eastAsia="en-US"/>
        </w:rPr>
      </w:pPr>
      <w:r>
        <w:rPr>
          <w:lang w:eastAsia="en-US"/>
        </w:rPr>
        <w:t>Kumulované proinvestované prostředky = total accumulated invested funds</w:t>
      </w:r>
    </w:p>
    <w:p w14:paraId="38B652BE" w14:textId="77777777" w:rsidR="006D3AD5" w:rsidRPr="002C224A" w:rsidRDefault="006D3AD5" w:rsidP="006D3AD5">
      <w:pPr>
        <w:pStyle w:val="BodyText1"/>
        <w:jc w:val="both"/>
        <w:rPr>
          <w:rFonts w:ascii="Calibri" w:hAnsi="Calibri"/>
        </w:rPr>
      </w:pPr>
    </w:p>
    <w:p w14:paraId="459115F8" w14:textId="77777777" w:rsidR="006D3AD5" w:rsidRPr="002C224A" w:rsidRDefault="006D3AD5" w:rsidP="006D3AD5">
      <w:pPr>
        <w:pStyle w:val="CaptionIntroductionparagraph"/>
        <w:rPr>
          <w:rFonts w:ascii="Calibri" w:hAnsi="Calibri"/>
        </w:rPr>
      </w:pPr>
      <w:r>
        <w:t xml:space="preserve"> </w:t>
      </w:r>
      <w:r>
        <w:rPr>
          <w:noProof/>
          <w:lang w:eastAsia="cs-CZ"/>
        </w:rPr>
        <w:drawing>
          <wp:inline distT="0" distB="0" distL="0" distR="0" wp14:anchorId="2E4EFA2D" wp14:editId="26E05296">
            <wp:extent cx="4378960" cy="2942590"/>
            <wp:effectExtent l="0" t="0" r="21590" b="10160"/>
            <wp:docPr id="207" name="Graf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A04A7DA" w14:textId="77777777" w:rsidR="006D3AD5" w:rsidRPr="00A50943" w:rsidRDefault="006D3AD5" w:rsidP="006D3AD5"/>
    <w:p w14:paraId="4FA85174" w14:textId="4FB1D14E" w:rsidR="006D3AD5" w:rsidRPr="002C224A" w:rsidRDefault="004929D6" w:rsidP="006D3AD5">
      <w:pPr>
        <w:pStyle w:val="Titulek"/>
      </w:pPr>
      <w:r>
        <w:t>Figure </w:t>
      </w:r>
      <w:r w:rsidR="00B8502D">
        <w:t>56</w:t>
      </w:r>
      <w:r w:rsidR="006D3AD5">
        <w:t xml:space="preserve">: Potential effects of using the FI (Scenario 2, losses 20 %, no subsidy) </w:t>
      </w:r>
    </w:p>
    <w:p w14:paraId="0749A144" w14:textId="77777777" w:rsidR="006D3AD5" w:rsidRPr="00A50943" w:rsidRDefault="006D3AD5" w:rsidP="006D3AD5"/>
    <w:p w14:paraId="2EBC642D" w14:textId="77777777" w:rsidR="006D3AD5" w:rsidRPr="00A50943" w:rsidRDefault="006D3AD5" w:rsidP="006D3AD5">
      <w:r>
        <w:lastRenderedPageBreak/>
        <w:t xml:space="preserve"> </w:t>
      </w:r>
      <w:r>
        <w:rPr>
          <w:noProof/>
        </w:rPr>
        <w:drawing>
          <wp:inline distT="0" distB="0" distL="0" distR="0" wp14:anchorId="06CD0DDA" wp14:editId="03991102">
            <wp:extent cx="4378960" cy="2942590"/>
            <wp:effectExtent l="0" t="0" r="21590" b="10160"/>
            <wp:docPr id="206" name="Graf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C5BEE37" w14:textId="63FBA1A2" w:rsidR="006D3AD5" w:rsidRPr="002C224A" w:rsidRDefault="004929D6" w:rsidP="006D3AD5">
      <w:pPr>
        <w:pStyle w:val="Titulek"/>
      </w:pPr>
      <w:r>
        <w:t>Figure </w:t>
      </w:r>
      <w:r w:rsidR="00B8502D">
        <w:t>57</w:t>
      </w:r>
      <w:r w:rsidR="006D3AD5">
        <w:t xml:space="preserve">: Potential effects of using the FI (Scenario 3, losses 10%, with subsidy) </w:t>
      </w:r>
    </w:p>
    <w:p w14:paraId="3DCE5B9E" w14:textId="77777777" w:rsidR="006D3AD5" w:rsidRPr="00A50943" w:rsidRDefault="006D3AD5" w:rsidP="006D3AD5"/>
    <w:p w14:paraId="309D999C" w14:textId="77777777" w:rsidR="006D3AD5" w:rsidRPr="002C224A" w:rsidRDefault="006D3AD5" w:rsidP="006D3AD5">
      <w:r>
        <w:t xml:space="preserve">Legend: </w:t>
      </w:r>
    </w:p>
    <w:p w14:paraId="291ACE04"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Blue columns represent soft loans provided from the OP EIC in individual years</w:t>
      </w:r>
    </w:p>
    <w:p w14:paraId="045E28DA"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Green line is the cumulated total of these loans</w:t>
      </w:r>
    </w:p>
    <w:p w14:paraId="2B51EBEB" w14:textId="4774B55E" w:rsidR="006D3AD5" w:rsidRPr="002C224A" w:rsidRDefault="006D3AD5" w:rsidP="006D3AD5">
      <w:pPr>
        <w:pStyle w:val="Titulek"/>
      </w:pPr>
      <w:r>
        <w:t xml:space="preserve">Table </w:t>
      </w:r>
      <w:r w:rsidR="008E5253">
        <w:t>12</w:t>
      </w:r>
      <w:r w:rsidR="00B90ACD">
        <w:t>6</w:t>
      </w:r>
      <w:r>
        <w:t>: Model parameters</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6D3AD5" w:rsidRPr="002C224A" w14:paraId="419F0B28" w14:textId="77777777" w:rsidTr="00443B8F">
        <w:trPr>
          <w:trHeight w:val="240"/>
          <w:jc w:val="center"/>
        </w:trPr>
        <w:tc>
          <w:tcPr>
            <w:tcW w:w="4252" w:type="dxa"/>
            <w:noWrap/>
            <w:vAlign w:val="center"/>
          </w:tcPr>
          <w:p w14:paraId="00D45D1C" w14:textId="77777777" w:rsidR="006D3AD5" w:rsidRPr="00A50943" w:rsidRDefault="006D3AD5" w:rsidP="00443B8F">
            <w:pPr>
              <w:jc w:val="left"/>
              <w:rPr>
                <w:color w:val="000000"/>
                <w:sz w:val="18"/>
                <w:szCs w:val="18"/>
              </w:rPr>
            </w:pPr>
            <w:r>
              <w:rPr>
                <w:color w:val="000000"/>
                <w:sz w:val="18"/>
              </w:rPr>
              <w:t xml:space="preserve">OP EIC allocation </w:t>
            </w:r>
          </w:p>
        </w:tc>
        <w:tc>
          <w:tcPr>
            <w:tcW w:w="1417" w:type="dxa"/>
            <w:noWrap/>
            <w:vAlign w:val="center"/>
          </w:tcPr>
          <w:p w14:paraId="6E049A44" w14:textId="77777777" w:rsidR="006D3AD5" w:rsidRPr="002C224A" w:rsidRDefault="006D3AD5" w:rsidP="00443B8F">
            <w:pPr>
              <w:jc w:val="right"/>
              <w:rPr>
                <w:color w:val="000000"/>
                <w:sz w:val="18"/>
                <w:szCs w:val="18"/>
              </w:rPr>
            </w:pPr>
            <w:r>
              <w:rPr>
                <w:color w:val="000000"/>
                <w:sz w:val="18"/>
              </w:rPr>
              <w:t>CZK 550 million</w:t>
            </w:r>
          </w:p>
        </w:tc>
      </w:tr>
      <w:tr w:rsidR="006D3AD5" w:rsidRPr="002C224A" w14:paraId="57A28D04" w14:textId="77777777" w:rsidTr="00443B8F">
        <w:trPr>
          <w:trHeight w:val="240"/>
          <w:jc w:val="center"/>
        </w:trPr>
        <w:tc>
          <w:tcPr>
            <w:tcW w:w="4252" w:type="dxa"/>
            <w:noWrap/>
            <w:vAlign w:val="center"/>
          </w:tcPr>
          <w:p w14:paraId="0D7BC47E" w14:textId="77777777" w:rsidR="006D3AD5" w:rsidRPr="002C224A" w:rsidRDefault="006D3AD5" w:rsidP="00443B8F">
            <w:pPr>
              <w:jc w:val="left"/>
              <w:rPr>
                <w:color w:val="000000"/>
                <w:sz w:val="18"/>
                <w:szCs w:val="18"/>
              </w:rPr>
            </w:pPr>
            <w:r>
              <w:rPr>
                <w:color w:val="000000"/>
                <w:sz w:val="18"/>
              </w:rPr>
              <w:t>Interest of sources provided from the OP EIC</w:t>
            </w:r>
          </w:p>
        </w:tc>
        <w:tc>
          <w:tcPr>
            <w:tcW w:w="1417" w:type="dxa"/>
            <w:noWrap/>
            <w:vAlign w:val="center"/>
          </w:tcPr>
          <w:p w14:paraId="602DC9C6" w14:textId="77777777" w:rsidR="006D3AD5" w:rsidRPr="002C224A" w:rsidRDefault="006D3AD5" w:rsidP="00443B8F">
            <w:pPr>
              <w:jc w:val="right"/>
              <w:rPr>
                <w:color w:val="000000"/>
                <w:sz w:val="18"/>
                <w:szCs w:val="18"/>
              </w:rPr>
            </w:pPr>
            <w:r>
              <w:rPr>
                <w:color w:val="000000"/>
                <w:sz w:val="18"/>
              </w:rPr>
              <w:t>0.50 %</w:t>
            </w:r>
          </w:p>
        </w:tc>
      </w:tr>
      <w:tr w:rsidR="006D3AD5" w:rsidRPr="002C224A" w14:paraId="08143F89" w14:textId="77777777" w:rsidTr="00443B8F">
        <w:trPr>
          <w:trHeight w:val="240"/>
          <w:jc w:val="center"/>
        </w:trPr>
        <w:tc>
          <w:tcPr>
            <w:tcW w:w="4252" w:type="dxa"/>
            <w:noWrap/>
            <w:vAlign w:val="center"/>
          </w:tcPr>
          <w:p w14:paraId="1208B55D" w14:textId="77777777" w:rsidR="006D3AD5" w:rsidRPr="002C224A" w:rsidRDefault="006D3AD5" w:rsidP="00443B8F">
            <w:pPr>
              <w:jc w:val="left"/>
              <w:rPr>
                <w:color w:val="000000"/>
                <w:sz w:val="18"/>
                <w:szCs w:val="18"/>
              </w:rPr>
            </w:pPr>
            <w:r>
              <w:rPr>
                <w:color w:val="000000"/>
                <w:sz w:val="18"/>
              </w:rPr>
              <w:t>Required interest of the co-financing subject</w:t>
            </w:r>
          </w:p>
        </w:tc>
        <w:tc>
          <w:tcPr>
            <w:tcW w:w="1417" w:type="dxa"/>
            <w:noWrap/>
            <w:vAlign w:val="center"/>
          </w:tcPr>
          <w:p w14:paraId="73225B44" w14:textId="77777777" w:rsidR="006D3AD5" w:rsidRPr="002C224A" w:rsidRDefault="006D3AD5" w:rsidP="00443B8F">
            <w:pPr>
              <w:jc w:val="right"/>
              <w:rPr>
                <w:color w:val="000000"/>
                <w:sz w:val="18"/>
                <w:szCs w:val="18"/>
              </w:rPr>
            </w:pPr>
            <w:r>
              <w:rPr>
                <w:color w:val="000000"/>
                <w:sz w:val="18"/>
              </w:rPr>
              <w:t>3.50 %</w:t>
            </w:r>
          </w:p>
        </w:tc>
      </w:tr>
      <w:tr w:rsidR="006D3AD5" w:rsidRPr="002C224A" w14:paraId="28C6FDE7" w14:textId="77777777" w:rsidTr="00443B8F">
        <w:trPr>
          <w:trHeight w:val="240"/>
          <w:jc w:val="center"/>
        </w:trPr>
        <w:tc>
          <w:tcPr>
            <w:tcW w:w="4252" w:type="dxa"/>
            <w:noWrap/>
            <w:vAlign w:val="center"/>
          </w:tcPr>
          <w:p w14:paraId="0BD619C1" w14:textId="77777777" w:rsidR="006D3AD5" w:rsidRPr="002C224A" w:rsidRDefault="006D3AD5" w:rsidP="00443B8F">
            <w:pPr>
              <w:jc w:val="left"/>
              <w:rPr>
                <w:color w:val="000000"/>
                <w:sz w:val="18"/>
                <w:szCs w:val="18"/>
              </w:rPr>
            </w:pPr>
            <w:r>
              <w:rPr>
                <w:color w:val="000000"/>
                <w:sz w:val="18"/>
              </w:rPr>
              <w:t>Limit of the amount of the result interest rate on the loan for the recipient</w:t>
            </w:r>
          </w:p>
        </w:tc>
        <w:tc>
          <w:tcPr>
            <w:tcW w:w="1417" w:type="dxa"/>
            <w:noWrap/>
            <w:vAlign w:val="center"/>
          </w:tcPr>
          <w:p w14:paraId="2FA6B052" w14:textId="77777777" w:rsidR="006D3AD5" w:rsidRPr="002C224A" w:rsidRDefault="006D3AD5" w:rsidP="00443B8F">
            <w:pPr>
              <w:jc w:val="right"/>
              <w:rPr>
                <w:color w:val="000000"/>
                <w:sz w:val="18"/>
                <w:szCs w:val="18"/>
              </w:rPr>
            </w:pPr>
            <w:r>
              <w:rPr>
                <w:color w:val="000000"/>
                <w:sz w:val="18"/>
              </w:rPr>
              <w:t>2.00 %</w:t>
            </w:r>
          </w:p>
        </w:tc>
      </w:tr>
      <w:tr w:rsidR="006D3AD5" w:rsidRPr="002C224A" w14:paraId="26A68B05" w14:textId="77777777" w:rsidTr="00443B8F">
        <w:trPr>
          <w:trHeight w:val="240"/>
          <w:jc w:val="center"/>
        </w:trPr>
        <w:tc>
          <w:tcPr>
            <w:tcW w:w="4252" w:type="dxa"/>
            <w:noWrap/>
            <w:vAlign w:val="center"/>
          </w:tcPr>
          <w:p w14:paraId="75073EA9" w14:textId="77777777" w:rsidR="006D3AD5" w:rsidRPr="002C224A" w:rsidRDefault="006D3AD5" w:rsidP="00443B8F">
            <w:pPr>
              <w:jc w:val="left"/>
              <w:rPr>
                <w:color w:val="000000"/>
                <w:sz w:val="18"/>
                <w:szCs w:val="18"/>
              </w:rPr>
            </w:pPr>
            <w:r>
              <w:rPr>
                <w:color w:val="000000"/>
                <w:sz w:val="18"/>
              </w:rPr>
              <w:t xml:space="preserve">Own sources of applicants </w:t>
            </w:r>
          </w:p>
        </w:tc>
        <w:tc>
          <w:tcPr>
            <w:tcW w:w="1417" w:type="dxa"/>
            <w:noWrap/>
            <w:vAlign w:val="center"/>
          </w:tcPr>
          <w:p w14:paraId="31FBDEFE" w14:textId="77777777" w:rsidR="006D3AD5" w:rsidRPr="002C224A" w:rsidRDefault="006D3AD5" w:rsidP="00443B8F">
            <w:pPr>
              <w:jc w:val="right"/>
              <w:rPr>
                <w:color w:val="000000"/>
                <w:sz w:val="18"/>
                <w:szCs w:val="18"/>
              </w:rPr>
            </w:pPr>
            <w:r>
              <w:rPr>
                <w:color w:val="000000"/>
                <w:sz w:val="18"/>
              </w:rPr>
              <w:t>20.00 %</w:t>
            </w:r>
          </w:p>
        </w:tc>
      </w:tr>
      <w:tr w:rsidR="006D3AD5" w:rsidRPr="002C224A" w14:paraId="7BA66660" w14:textId="77777777" w:rsidTr="00443B8F">
        <w:trPr>
          <w:trHeight w:val="240"/>
          <w:jc w:val="center"/>
        </w:trPr>
        <w:tc>
          <w:tcPr>
            <w:tcW w:w="4252" w:type="dxa"/>
            <w:noWrap/>
            <w:vAlign w:val="center"/>
          </w:tcPr>
          <w:p w14:paraId="5E300300" w14:textId="77777777" w:rsidR="006D3AD5" w:rsidRPr="002C224A" w:rsidRDefault="006D3AD5" w:rsidP="00443B8F">
            <w:pPr>
              <w:jc w:val="left"/>
              <w:rPr>
                <w:color w:val="000000"/>
                <w:sz w:val="18"/>
                <w:szCs w:val="18"/>
              </w:rPr>
            </w:pPr>
            <w:r>
              <w:rPr>
                <w:color w:val="000000"/>
                <w:sz w:val="18"/>
              </w:rPr>
              <w:t>Percentage of involvement of the co-financing subject</w:t>
            </w:r>
          </w:p>
        </w:tc>
        <w:tc>
          <w:tcPr>
            <w:tcW w:w="1417" w:type="dxa"/>
            <w:noWrap/>
            <w:vAlign w:val="center"/>
          </w:tcPr>
          <w:p w14:paraId="72EFFC13" w14:textId="77777777" w:rsidR="006D3AD5" w:rsidRPr="002C224A" w:rsidRDefault="006D3AD5" w:rsidP="00443B8F">
            <w:pPr>
              <w:jc w:val="right"/>
              <w:rPr>
                <w:color w:val="000000"/>
                <w:sz w:val="18"/>
                <w:szCs w:val="18"/>
              </w:rPr>
            </w:pPr>
            <w:r>
              <w:rPr>
                <w:color w:val="000000"/>
                <w:sz w:val="18"/>
              </w:rPr>
              <w:t>40.00 %</w:t>
            </w:r>
          </w:p>
        </w:tc>
      </w:tr>
      <w:tr w:rsidR="006D3AD5" w:rsidRPr="002C224A" w14:paraId="10BF8073" w14:textId="77777777" w:rsidTr="00443B8F">
        <w:trPr>
          <w:trHeight w:val="240"/>
          <w:jc w:val="center"/>
        </w:trPr>
        <w:tc>
          <w:tcPr>
            <w:tcW w:w="4252" w:type="dxa"/>
            <w:noWrap/>
            <w:vAlign w:val="center"/>
          </w:tcPr>
          <w:p w14:paraId="39B26C48" w14:textId="77777777" w:rsidR="006D3AD5" w:rsidRPr="002C224A" w:rsidRDefault="006D3AD5" w:rsidP="00443B8F">
            <w:pPr>
              <w:jc w:val="left"/>
              <w:rPr>
                <w:color w:val="000000"/>
                <w:sz w:val="18"/>
                <w:szCs w:val="18"/>
              </w:rPr>
            </w:pPr>
            <w:r>
              <w:rPr>
                <w:color w:val="000000"/>
                <w:sz w:val="18"/>
              </w:rPr>
              <w:t>Loan maturity</w:t>
            </w:r>
          </w:p>
        </w:tc>
        <w:tc>
          <w:tcPr>
            <w:tcW w:w="1417" w:type="dxa"/>
            <w:noWrap/>
            <w:vAlign w:val="center"/>
          </w:tcPr>
          <w:p w14:paraId="0CF0E64B" w14:textId="77777777" w:rsidR="006D3AD5" w:rsidRPr="002C224A" w:rsidRDefault="006D3AD5" w:rsidP="00443B8F">
            <w:pPr>
              <w:jc w:val="right"/>
              <w:rPr>
                <w:color w:val="000000"/>
                <w:sz w:val="18"/>
                <w:szCs w:val="18"/>
              </w:rPr>
            </w:pPr>
            <w:r>
              <w:rPr>
                <w:color w:val="000000"/>
                <w:sz w:val="18"/>
              </w:rPr>
              <w:t>8</w:t>
            </w:r>
          </w:p>
        </w:tc>
      </w:tr>
    </w:tbl>
    <w:p w14:paraId="1DAF6DE8" w14:textId="77777777" w:rsidR="006D3AD5" w:rsidRPr="002C224A" w:rsidRDefault="006D3AD5" w:rsidP="006D3AD5">
      <w:pPr>
        <w:pStyle w:val="Titulek"/>
      </w:pPr>
    </w:p>
    <w:p w14:paraId="6E18249C" w14:textId="635EB81B" w:rsidR="006D3AD5" w:rsidRPr="002C224A" w:rsidRDefault="006D3AD5" w:rsidP="006D3AD5">
      <w:pPr>
        <w:pStyle w:val="Titulek"/>
      </w:pPr>
      <w:r>
        <w:t xml:space="preserve">Table </w:t>
      </w:r>
      <w:r w:rsidR="008E5253">
        <w:t>12</w:t>
      </w:r>
      <w:r w:rsidR="00B90ACD">
        <w:t>7</w:t>
      </w:r>
      <w:r>
        <w:t>: Model results</w:t>
      </w:r>
    </w:p>
    <w:tbl>
      <w:tblPr>
        <w:tblW w:w="987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180"/>
        <w:gridCol w:w="1372"/>
        <w:gridCol w:w="1372"/>
      </w:tblGrid>
      <w:tr w:rsidR="006D3AD5" w:rsidRPr="002C224A" w14:paraId="123CDF47" w14:textId="77777777" w:rsidTr="00443B8F">
        <w:trPr>
          <w:trHeight w:val="240"/>
          <w:jc w:val="center"/>
        </w:trPr>
        <w:tc>
          <w:tcPr>
            <w:tcW w:w="4821" w:type="dxa"/>
            <w:noWrap/>
            <w:vAlign w:val="center"/>
          </w:tcPr>
          <w:p w14:paraId="2F4171E1" w14:textId="77777777" w:rsidR="006D3AD5" w:rsidRPr="00A50943" w:rsidRDefault="006D3AD5" w:rsidP="00443B8F">
            <w:pPr>
              <w:jc w:val="left"/>
              <w:rPr>
                <w:color w:val="000000"/>
                <w:sz w:val="18"/>
                <w:szCs w:val="18"/>
              </w:rPr>
            </w:pPr>
          </w:p>
        </w:tc>
        <w:tc>
          <w:tcPr>
            <w:tcW w:w="1134" w:type="dxa"/>
            <w:noWrap/>
            <w:vAlign w:val="center"/>
          </w:tcPr>
          <w:p w14:paraId="7CBA8C4B" w14:textId="77777777" w:rsidR="006D3AD5" w:rsidRPr="002C224A" w:rsidRDefault="006D3AD5" w:rsidP="00443B8F">
            <w:pPr>
              <w:jc w:val="right"/>
              <w:rPr>
                <w:color w:val="000000"/>
                <w:sz w:val="18"/>
                <w:szCs w:val="18"/>
              </w:rPr>
            </w:pPr>
            <w:r>
              <w:rPr>
                <w:color w:val="000000"/>
                <w:sz w:val="18"/>
              </w:rPr>
              <w:t>Scenario 1</w:t>
            </w:r>
          </w:p>
        </w:tc>
        <w:tc>
          <w:tcPr>
            <w:tcW w:w="1180" w:type="dxa"/>
          </w:tcPr>
          <w:p w14:paraId="1BA504FF" w14:textId="77777777" w:rsidR="006D3AD5" w:rsidRPr="002C224A" w:rsidRDefault="006D3AD5" w:rsidP="00443B8F">
            <w:pPr>
              <w:jc w:val="right"/>
              <w:rPr>
                <w:color w:val="000000"/>
                <w:sz w:val="18"/>
                <w:szCs w:val="18"/>
              </w:rPr>
            </w:pPr>
            <w:r>
              <w:rPr>
                <w:color w:val="000000"/>
                <w:sz w:val="18"/>
              </w:rPr>
              <w:t>Scenario 2</w:t>
            </w:r>
          </w:p>
        </w:tc>
        <w:tc>
          <w:tcPr>
            <w:tcW w:w="1372" w:type="dxa"/>
          </w:tcPr>
          <w:p w14:paraId="24BD65E8" w14:textId="77777777" w:rsidR="006D3AD5" w:rsidRPr="002C224A" w:rsidRDefault="006D3AD5" w:rsidP="00443B8F">
            <w:pPr>
              <w:jc w:val="right"/>
              <w:rPr>
                <w:color w:val="000000"/>
                <w:sz w:val="18"/>
                <w:szCs w:val="18"/>
              </w:rPr>
            </w:pPr>
            <w:r>
              <w:rPr>
                <w:color w:val="000000"/>
                <w:sz w:val="18"/>
              </w:rPr>
              <w:t>Scenario 3</w:t>
            </w:r>
          </w:p>
        </w:tc>
        <w:tc>
          <w:tcPr>
            <w:tcW w:w="1372" w:type="dxa"/>
          </w:tcPr>
          <w:p w14:paraId="10FB42C3" w14:textId="77777777" w:rsidR="006D3AD5" w:rsidRPr="002C224A" w:rsidRDefault="006D3AD5" w:rsidP="00443B8F">
            <w:pPr>
              <w:jc w:val="right"/>
              <w:rPr>
                <w:color w:val="000000"/>
                <w:sz w:val="18"/>
                <w:szCs w:val="18"/>
              </w:rPr>
            </w:pPr>
            <w:r>
              <w:rPr>
                <w:color w:val="000000"/>
                <w:sz w:val="18"/>
              </w:rPr>
              <w:t>Scenario 4</w:t>
            </w:r>
            <w:r>
              <w:rPr>
                <w:rStyle w:val="Znakapoznpodarou"/>
                <w:color w:val="000000"/>
              </w:rPr>
              <w:footnoteReference w:id="66"/>
            </w:r>
          </w:p>
        </w:tc>
      </w:tr>
      <w:tr w:rsidR="006D3AD5" w:rsidRPr="002C224A" w14:paraId="715DC7A2" w14:textId="77777777" w:rsidTr="00443B8F">
        <w:trPr>
          <w:trHeight w:val="240"/>
          <w:jc w:val="center"/>
        </w:trPr>
        <w:tc>
          <w:tcPr>
            <w:tcW w:w="4821" w:type="dxa"/>
            <w:noWrap/>
            <w:vAlign w:val="center"/>
          </w:tcPr>
          <w:p w14:paraId="444E4F41" w14:textId="77777777" w:rsidR="006D3AD5" w:rsidRPr="002C224A" w:rsidRDefault="006D3AD5" w:rsidP="00443B8F">
            <w:pPr>
              <w:jc w:val="left"/>
              <w:rPr>
                <w:color w:val="000000"/>
                <w:sz w:val="18"/>
                <w:szCs w:val="18"/>
              </w:rPr>
            </w:pPr>
            <w:r>
              <w:rPr>
                <w:color w:val="000000"/>
                <w:sz w:val="18"/>
              </w:rPr>
              <w:t>Invested in total - milestone for 2018 (CZK millions)</w:t>
            </w:r>
          </w:p>
        </w:tc>
        <w:tc>
          <w:tcPr>
            <w:tcW w:w="1134" w:type="dxa"/>
            <w:noWrap/>
          </w:tcPr>
          <w:p w14:paraId="0B434DC1" w14:textId="77777777" w:rsidR="006D3AD5" w:rsidRPr="002C224A" w:rsidRDefault="006D3AD5" w:rsidP="00443B8F">
            <w:pPr>
              <w:jc w:val="right"/>
              <w:rPr>
                <w:color w:val="000000"/>
                <w:sz w:val="18"/>
                <w:szCs w:val="18"/>
              </w:rPr>
            </w:pPr>
            <w:r>
              <w:rPr>
                <w:sz w:val="18"/>
              </w:rPr>
              <w:t>1,031</w:t>
            </w:r>
          </w:p>
        </w:tc>
        <w:tc>
          <w:tcPr>
            <w:tcW w:w="1180" w:type="dxa"/>
          </w:tcPr>
          <w:p w14:paraId="300A9020" w14:textId="77777777" w:rsidR="006D3AD5" w:rsidRPr="002C224A" w:rsidRDefault="006D3AD5" w:rsidP="00443B8F">
            <w:pPr>
              <w:jc w:val="right"/>
              <w:rPr>
                <w:color w:val="000000"/>
                <w:sz w:val="18"/>
                <w:szCs w:val="18"/>
              </w:rPr>
            </w:pPr>
            <w:r>
              <w:rPr>
                <w:sz w:val="18"/>
              </w:rPr>
              <w:t>1,031</w:t>
            </w:r>
          </w:p>
        </w:tc>
        <w:tc>
          <w:tcPr>
            <w:tcW w:w="1372" w:type="dxa"/>
            <w:vAlign w:val="bottom"/>
          </w:tcPr>
          <w:p w14:paraId="2047D925" w14:textId="77777777" w:rsidR="006D3AD5" w:rsidRPr="002C224A" w:rsidRDefault="006D3AD5" w:rsidP="00443B8F">
            <w:pPr>
              <w:jc w:val="right"/>
              <w:rPr>
                <w:color w:val="000000"/>
                <w:sz w:val="18"/>
                <w:szCs w:val="18"/>
              </w:rPr>
            </w:pPr>
            <w:r>
              <w:rPr>
                <w:color w:val="000000"/>
                <w:sz w:val="18"/>
              </w:rPr>
              <w:t>980</w:t>
            </w:r>
          </w:p>
        </w:tc>
        <w:tc>
          <w:tcPr>
            <w:tcW w:w="1372" w:type="dxa"/>
            <w:vAlign w:val="bottom"/>
          </w:tcPr>
          <w:p w14:paraId="7F6218C9" w14:textId="77777777" w:rsidR="006D3AD5" w:rsidRPr="002C224A" w:rsidRDefault="006D3AD5" w:rsidP="00443B8F">
            <w:pPr>
              <w:jc w:val="right"/>
              <w:rPr>
                <w:rFonts w:cs="Arial"/>
                <w:bCs/>
                <w:color w:val="000000"/>
                <w:sz w:val="18"/>
                <w:szCs w:val="18"/>
              </w:rPr>
            </w:pPr>
            <w:r>
              <w:rPr>
                <w:color w:val="000000"/>
                <w:sz w:val="18"/>
              </w:rPr>
              <w:t>980</w:t>
            </w:r>
          </w:p>
        </w:tc>
      </w:tr>
      <w:tr w:rsidR="006D3AD5" w:rsidRPr="002C224A" w14:paraId="07A356F7" w14:textId="77777777" w:rsidTr="00443B8F">
        <w:trPr>
          <w:trHeight w:val="240"/>
          <w:jc w:val="center"/>
        </w:trPr>
        <w:tc>
          <w:tcPr>
            <w:tcW w:w="4821" w:type="dxa"/>
            <w:noWrap/>
            <w:vAlign w:val="center"/>
          </w:tcPr>
          <w:p w14:paraId="35C0925B" w14:textId="77777777" w:rsidR="006D3AD5" w:rsidRPr="002C224A" w:rsidRDefault="006D3AD5" w:rsidP="00443B8F">
            <w:pPr>
              <w:jc w:val="left"/>
              <w:rPr>
                <w:b/>
                <w:color w:val="000000"/>
                <w:sz w:val="18"/>
                <w:szCs w:val="18"/>
              </w:rPr>
            </w:pPr>
            <w:r>
              <w:rPr>
                <w:b/>
                <w:color w:val="000000"/>
                <w:sz w:val="18"/>
              </w:rPr>
              <w:t>Invested in total - end of the period in 2023 (CZK millions)</w:t>
            </w:r>
          </w:p>
        </w:tc>
        <w:tc>
          <w:tcPr>
            <w:tcW w:w="1134" w:type="dxa"/>
            <w:noWrap/>
          </w:tcPr>
          <w:p w14:paraId="37BB7451" w14:textId="77777777" w:rsidR="006D3AD5" w:rsidRPr="002C224A" w:rsidRDefault="006D3AD5" w:rsidP="00443B8F">
            <w:pPr>
              <w:jc w:val="right"/>
              <w:rPr>
                <w:b/>
                <w:color w:val="000000"/>
                <w:sz w:val="18"/>
                <w:szCs w:val="18"/>
              </w:rPr>
            </w:pPr>
            <w:r>
              <w:rPr>
                <w:b/>
                <w:sz w:val="18"/>
              </w:rPr>
              <w:t>2,384</w:t>
            </w:r>
          </w:p>
        </w:tc>
        <w:tc>
          <w:tcPr>
            <w:tcW w:w="1180" w:type="dxa"/>
          </w:tcPr>
          <w:p w14:paraId="2D6A174D" w14:textId="77777777" w:rsidR="006D3AD5" w:rsidRPr="002C224A" w:rsidRDefault="006D3AD5" w:rsidP="00443B8F">
            <w:pPr>
              <w:jc w:val="right"/>
              <w:rPr>
                <w:b/>
                <w:color w:val="000000"/>
                <w:sz w:val="18"/>
                <w:szCs w:val="18"/>
              </w:rPr>
            </w:pPr>
            <w:r>
              <w:rPr>
                <w:b/>
                <w:sz w:val="18"/>
              </w:rPr>
              <w:t>2,256</w:t>
            </w:r>
          </w:p>
        </w:tc>
        <w:tc>
          <w:tcPr>
            <w:tcW w:w="1372" w:type="dxa"/>
            <w:vAlign w:val="bottom"/>
          </w:tcPr>
          <w:p w14:paraId="5A0CB093" w14:textId="77777777" w:rsidR="006D3AD5" w:rsidRPr="002C224A" w:rsidRDefault="006D3AD5" w:rsidP="00443B8F">
            <w:pPr>
              <w:jc w:val="right"/>
              <w:rPr>
                <w:b/>
                <w:color w:val="000000"/>
                <w:sz w:val="18"/>
                <w:szCs w:val="18"/>
              </w:rPr>
            </w:pPr>
            <w:r>
              <w:rPr>
                <w:b/>
                <w:color w:val="000000"/>
                <w:sz w:val="18"/>
              </w:rPr>
              <w:t>2,197</w:t>
            </w:r>
          </w:p>
        </w:tc>
        <w:tc>
          <w:tcPr>
            <w:tcW w:w="1372" w:type="dxa"/>
            <w:vAlign w:val="bottom"/>
          </w:tcPr>
          <w:p w14:paraId="33DEDBCF" w14:textId="77777777" w:rsidR="006D3AD5" w:rsidRDefault="006D3AD5" w:rsidP="00443B8F">
            <w:pPr>
              <w:jc w:val="right"/>
              <w:rPr>
                <w:rFonts w:cs="Arial"/>
                <w:b/>
                <w:bCs/>
                <w:color w:val="000000"/>
                <w:sz w:val="18"/>
                <w:szCs w:val="18"/>
              </w:rPr>
            </w:pPr>
            <w:r>
              <w:rPr>
                <w:b/>
                <w:color w:val="000000"/>
                <w:sz w:val="18"/>
              </w:rPr>
              <w:t>1,279</w:t>
            </w:r>
          </w:p>
        </w:tc>
      </w:tr>
      <w:tr w:rsidR="006D3AD5" w:rsidRPr="002C224A" w14:paraId="426BB7A6" w14:textId="77777777" w:rsidTr="00443B8F">
        <w:trPr>
          <w:trHeight w:val="240"/>
          <w:jc w:val="center"/>
        </w:trPr>
        <w:tc>
          <w:tcPr>
            <w:tcW w:w="4821" w:type="dxa"/>
            <w:noWrap/>
            <w:vAlign w:val="center"/>
          </w:tcPr>
          <w:p w14:paraId="204BEF24" w14:textId="77777777" w:rsidR="006D3AD5" w:rsidRPr="002C224A" w:rsidRDefault="006D3AD5" w:rsidP="00443B8F">
            <w:pPr>
              <w:jc w:val="left"/>
              <w:rPr>
                <w:b/>
                <w:color w:val="000000"/>
                <w:sz w:val="18"/>
                <w:szCs w:val="18"/>
              </w:rPr>
            </w:pPr>
            <w:r>
              <w:rPr>
                <w:b/>
                <w:color w:val="000000"/>
                <w:sz w:val="18"/>
              </w:rPr>
              <w:t>Value added</w:t>
            </w:r>
          </w:p>
        </w:tc>
        <w:tc>
          <w:tcPr>
            <w:tcW w:w="1134" w:type="dxa"/>
            <w:noWrap/>
            <w:vAlign w:val="center"/>
          </w:tcPr>
          <w:p w14:paraId="1C21EE67" w14:textId="77777777" w:rsidR="006D3AD5" w:rsidRPr="002C224A" w:rsidRDefault="006D3AD5" w:rsidP="00443B8F">
            <w:pPr>
              <w:jc w:val="right"/>
              <w:rPr>
                <w:b/>
                <w:color w:val="000000"/>
                <w:sz w:val="18"/>
                <w:szCs w:val="18"/>
              </w:rPr>
            </w:pPr>
            <w:r>
              <w:rPr>
                <w:b/>
                <w:sz w:val="18"/>
              </w:rPr>
              <w:t>4.33</w:t>
            </w:r>
          </w:p>
        </w:tc>
        <w:tc>
          <w:tcPr>
            <w:tcW w:w="1180" w:type="dxa"/>
            <w:vAlign w:val="center"/>
          </w:tcPr>
          <w:p w14:paraId="5CC3B358" w14:textId="77777777" w:rsidR="006D3AD5" w:rsidRPr="002C224A" w:rsidRDefault="006D3AD5" w:rsidP="00443B8F">
            <w:pPr>
              <w:jc w:val="right"/>
              <w:rPr>
                <w:b/>
                <w:color w:val="000000"/>
                <w:sz w:val="18"/>
                <w:szCs w:val="18"/>
              </w:rPr>
            </w:pPr>
            <w:r>
              <w:rPr>
                <w:b/>
                <w:sz w:val="18"/>
              </w:rPr>
              <w:t>4.10</w:t>
            </w:r>
          </w:p>
        </w:tc>
        <w:tc>
          <w:tcPr>
            <w:tcW w:w="1372" w:type="dxa"/>
            <w:vAlign w:val="center"/>
          </w:tcPr>
          <w:p w14:paraId="5AC40D36" w14:textId="77777777" w:rsidR="006D3AD5" w:rsidRPr="002C224A" w:rsidRDefault="006D3AD5" w:rsidP="00443B8F">
            <w:pPr>
              <w:jc w:val="right"/>
              <w:rPr>
                <w:b/>
                <w:color w:val="000000"/>
                <w:sz w:val="18"/>
                <w:szCs w:val="18"/>
              </w:rPr>
            </w:pPr>
            <w:r>
              <w:rPr>
                <w:b/>
                <w:color w:val="000000"/>
                <w:sz w:val="18"/>
              </w:rPr>
              <w:t>4.44</w:t>
            </w:r>
          </w:p>
        </w:tc>
        <w:tc>
          <w:tcPr>
            <w:tcW w:w="1372" w:type="dxa"/>
            <w:vAlign w:val="center"/>
          </w:tcPr>
          <w:p w14:paraId="2E3BAD15" w14:textId="77777777" w:rsidR="006D3AD5" w:rsidRPr="002C224A" w:rsidRDefault="006D3AD5" w:rsidP="00443B8F">
            <w:pPr>
              <w:jc w:val="right"/>
              <w:rPr>
                <w:b/>
                <w:color w:val="000000"/>
                <w:sz w:val="18"/>
                <w:szCs w:val="18"/>
              </w:rPr>
            </w:pPr>
            <w:r>
              <w:rPr>
                <w:b/>
                <w:color w:val="000000"/>
                <w:sz w:val="18"/>
              </w:rPr>
              <w:t>2.58</w:t>
            </w:r>
          </w:p>
        </w:tc>
      </w:tr>
      <w:tr w:rsidR="006D3AD5" w:rsidRPr="002C224A" w14:paraId="4913E850" w14:textId="77777777" w:rsidTr="00443B8F">
        <w:trPr>
          <w:trHeight w:val="240"/>
          <w:jc w:val="center"/>
        </w:trPr>
        <w:tc>
          <w:tcPr>
            <w:tcW w:w="4821" w:type="dxa"/>
            <w:noWrap/>
            <w:vAlign w:val="center"/>
          </w:tcPr>
          <w:p w14:paraId="39713DE9" w14:textId="77777777" w:rsidR="006D3AD5" w:rsidRPr="002C224A" w:rsidRDefault="006D3AD5" w:rsidP="00443B8F">
            <w:pPr>
              <w:jc w:val="left"/>
              <w:rPr>
                <w:b/>
                <w:color w:val="000000"/>
                <w:sz w:val="18"/>
                <w:szCs w:val="18"/>
              </w:rPr>
            </w:pPr>
            <w:r>
              <w:rPr>
                <w:b/>
                <w:color w:val="000000"/>
                <w:sz w:val="18"/>
              </w:rPr>
              <w:t>Leverage</w:t>
            </w:r>
          </w:p>
        </w:tc>
        <w:tc>
          <w:tcPr>
            <w:tcW w:w="1134" w:type="dxa"/>
            <w:noWrap/>
            <w:vAlign w:val="center"/>
          </w:tcPr>
          <w:p w14:paraId="4860EEFB" w14:textId="77777777" w:rsidR="006D3AD5" w:rsidRPr="002C224A" w:rsidRDefault="006D3AD5" w:rsidP="00443B8F">
            <w:pPr>
              <w:jc w:val="right"/>
              <w:rPr>
                <w:b/>
                <w:color w:val="000000"/>
                <w:sz w:val="18"/>
                <w:szCs w:val="18"/>
              </w:rPr>
            </w:pPr>
            <w:r>
              <w:rPr>
                <w:b/>
                <w:sz w:val="18"/>
              </w:rPr>
              <w:t>2.00</w:t>
            </w:r>
          </w:p>
        </w:tc>
        <w:tc>
          <w:tcPr>
            <w:tcW w:w="1180" w:type="dxa"/>
            <w:vAlign w:val="center"/>
          </w:tcPr>
          <w:p w14:paraId="49BCFD22" w14:textId="77777777" w:rsidR="006D3AD5" w:rsidRPr="002C224A" w:rsidRDefault="006D3AD5" w:rsidP="00443B8F">
            <w:pPr>
              <w:jc w:val="right"/>
              <w:rPr>
                <w:b/>
                <w:color w:val="000000"/>
                <w:sz w:val="18"/>
                <w:szCs w:val="18"/>
              </w:rPr>
            </w:pPr>
            <w:r>
              <w:rPr>
                <w:b/>
                <w:sz w:val="18"/>
              </w:rPr>
              <w:t>2.00</w:t>
            </w:r>
          </w:p>
        </w:tc>
        <w:tc>
          <w:tcPr>
            <w:tcW w:w="1372" w:type="dxa"/>
            <w:vAlign w:val="center"/>
          </w:tcPr>
          <w:p w14:paraId="7247D50B" w14:textId="77777777" w:rsidR="006D3AD5" w:rsidRPr="002C224A" w:rsidRDefault="006D3AD5" w:rsidP="00443B8F">
            <w:pPr>
              <w:jc w:val="right"/>
              <w:rPr>
                <w:b/>
                <w:color w:val="000000"/>
                <w:sz w:val="18"/>
                <w:szCs w:val="18"/>
              </w:rPr>
            </w:pPr>
            <w:r>
              <w:rPr>
                <w:b/>
                <w:color w:val="000000"/>
                <w:sz w:val="18"/>
              </w:rPr>
              <w:t>2.00</w:t>
            </w:r>
          </w:p>
        </w:tc>
        <w:tc>
          <w:tcPr>
            <w:tcW w:w="1372" w:type="dxa"/>
            <w:vAlign w:val="center"/>
          </w:tcPr>
          <w:p w14:paraId="48C50314" w14:textId="77777777" w:rsidR="006D3AD5" w:rsidRPr="002C224A" w:rsidRDefault="006D3AD5" w:rsidP="00443B8F">
            <w:pPr>
              <w:jc w:val="right"/>
              <w:rPr>
                <w:b/>
                <w:color w:val="000000"/>
                <w:sz w:val="18"/>
                <w:szCs w:val="18"/>
              </w:rPr>
            </w:pPr>
            <w:r>
              <w:rPr>
                <w:color w:val="000000"/>
                <w:sz w:val="18"/>
              </w:rPr>
              <w:t>2.00</w:t>
            </w:r>
          </w:p>
        </w:tc>
      </w:tr>
      <w:tr w:rsidR="006D3AD5" w:rsidRPr="002C224A" w14:paraId="43745AD2" w14:textId="77777777" w:rsidTr="00443B8F">
        <w:trPr>
          <w:trHeight w:val="240"/>
          <w:jc w:val="center"/>
        </w:trPr>
        <w:tc>
          <w:tcPr>
            <w:tcW w:w="4821" w:type="dxa"/>
            <w:noWrap/>
            <w:vAlign w:val="center"/>
          </w:tcPr>
          <w:p w14:paraId="1BC41AEF" w14:textId="77777777" w:rsidR="006D3AD5" w:rsidRPr="002C224A" w:rsidRDefault="006D3AD5" w:rsidP="00443B8F">
            <w:pPr>
              <w:jc w:val="left"/>
              <w:rPr>
                <w:color w:val="000000"/>
                <w:sz w:val="18"/>
                <w:szCs w:val="18"/>
              </w:rPr>
            </w:pPr>
            <w:r>
              <w:rPr>
                <w:color w:val="000000"/>
                <w:sz w:val="18"/>
              </w:rPr>
              <w:t>Total reimbursed management fees (simple - CZK millions)</w:t>
            </w:r>
          </w:p>
        </w:tc>
        <w:tc>
          <w:tcPr>
            <w:tcW w:w="1134" w:type="dxa"/>
            <w:noWrap/>
            <w:vAlign w:val="center"/>
          </w:tcPr>
          <w:p w14:paraId="4D49FC72" w14:textId="77777777" w:rsidR="006D3AD5" w:rsidRPr="002C224A" w:rsidRDefault="006D3AD5" w:rsidP="00443B8F">
            <w:pPr>
              <w:jc w:val="right"/>
              <w:rPr>
                <w:color w:val="000000"/>
                <w:sz w:val="18"/>
                <w:szCs w:val="18"/>
              </w:rPr>
            </w:pPr>
            <w:r>
              <w:rPr>
                <w:color w:val="000000"/>
                <w:sz w:val="18"/>
              </w:rPr>
              <w:t>32</w:t>
            </w:r>
          </w:p>
        </w:tc>
        <w:tc>
          <w:tcPr>
            <w:tcW w:w="1180" w:type="dxa"/>
            <w:vAlign w:val="center"/>
          </w:tcPr>
          <w:p w14:paraId="2A666F0B" w14:textId="77777777" w:rsidR="006D3AD5" w:rsidRPr="002C224A" w:rsidRDefault="006D3AD5" w:rsidP="00443B8F">
            <w:pPr>
              <w:jc w:val="right"/>
              <w:rPr>
                <w:color w:val="000000"/>
                <w:sz w:val="18"/>
                <w:szCs w:val="18"/>
              </w:rPr>
            </w:pPr>
            <w:r>
              <w:rPr>
                <w:color w:val="000000"/>
                <w:sz w:val="18"/>
              </w:rPr>
              <w:t>31</w:t>
            </w:r>
          </w:p>
        </w:tc>
        <w:tc>
          <w:tcPr>
            <w:tcW w:w="1372" w:type="dxa"/>
            <w:vAlign w:val="center"/>
          </w:tcPr>
          <w:p w14:paraId="36BEB35E" w14:textId="77777777" w:rsidR="006D3AD5" w:rsidRPr="002C224A" w:rsidRDefault="006D3AD5" w:rsidP="00443B8F">
            <w:pPr>
              <w:jc w:val="right"/>
              <w:rPr>
                <w:color w:val="000000"/>
                <w:sz w:val="18"/>
                <w:szCs w:val="18"/>
              </w:rPr>
            </w:pPr>
            <w:r>
              <w:rPr>
                <w:color w:val="000000"/>
                <w:sz w:val="18"/>
              </w:rPr>
              <w:t>31</w:t>
            </w:r>
          </w:p>
        </w:tc>
        <w:tc>
          <w:tcPr>
            <w:tcW w:w="1372" w:type="dxa"/>
            <w:vAlign w:val="center"/>
          </w:tcPr>
          <w:p w14:paraId="4CF3E3BB" w14:textId="77777777" w:rsidR="006D3AD5" w:rsidRPr="002C224A" w:rsidRDefault="006D3AD5" w:rsidP="00443B8F">
            <w:pPr>
              <w:jc w:val="right"/>
              <w:rPr>
                <w:color w:val="000000"/>
                <w:sz w:val="18"/>
                <w:szCs w:val="18"/>
              </w:rPr>
            </w:pPr>
            <w:r>
              <w:rPr>
                <w:color w:val="000000"/>
                <w:sz w:val="18"/>
              </w:rPr>
              <w:t>27</w:t>
            </w:r>
          </w:p>
        </w:tc>
      </w:tr>
      <w:tr w:rsidR="006D3AD5" w:rsidRPr="002C224A" w14:paraId="1BEEE9ED" w14:textId="77777777" w:rsidTr="00443B8F">
        <w:trPr>
          <w:trHeight w:val="240"/>
          <w:jc w:val="center"/>
        </w:trPr>
        <w:tc>
          <w:tcPr>
            <w:tcW w:w="4821" w:type="dxa"/>
            <w:noWrap/>
            <w:vAlign w:val="center"/>
          </w:tcPr>
          <w:p w14:paraId="61CCF49E" w14:textId="77777777" w:rsidR="006D3AD5" w:rsidRPr="002C224A" w:rsidRDefault="006D3AD5" w:rsidP="00443B8F">
            <w:pPr>
              <w:jc w:val="left"/>
              <w:rPr>
                <w:color w:val="000000"/>
                <w:sz w:val="18"/>
                <w:szCs w:val="18"/>
              </w:rPr>
            </w:pPr>
            <w:r>
              <w:rPr>
                <w:color w:val="000000"/>
                <w:sz w:val="18"/>
              </w:rPr>
              <w:t>Share of reimbursed management fees on the fund allocation (%)</w:t>
            </w:r>
          </w:p>
        </w:tc>
        <w:tc>
          <w:tcPr>
            <w:tcW w:w="1134" w:type="dxa"/>
            <w:noWrap/>
            <w:vAlign w:val="center"/>
          </w:tcPr>
          <w:p w14:paraId="0ED1326F" w14:textId="77777777" w:rsidR="006D3AD5" w:rsidRPr="002C224A" w:rsidRDefault="006D3AD5" w:rsidP="00443B8F">
            <w:pPr>
              <w:jc w:val="right"/>
              <w:rPr>
                <w:color w:val="000000"/>
                <w:sz w:val="18"/>
                <w:szCs w:val="18"/>
              </w:rPr>
            </w:pPr>
            <w:r>
              <w:rPr>
                <w:color w:val="000000"/>
                <w:sz w:val="18"/>
              </w:rPr>
              <w:t>5.7</w:t>
            </w:r>
          </w:p>
        </w:tc>
        <w:tc>
          <w:tcPr>
            <w:tcW w:w="1180" w:type="dxa"/>
            <w:vAlign w:val="center"/>
          </w:tcPr>
          <w:p w14:paraId="0A88886C" w14:textId="77777777" w:rsidR="006D3AD5" w:rsidRPr="002C224A" w:rsidRDefault="006D3AD5" w:rsidP="00443B8F">
            <w:pPr>
              <w:jc w:val="right"/>
              <w:rPr>
                <w:color w:val="000000"/>
                <w:sz w:val="18"/>
                <w:szCs w:val="18"/>
              </w:rPr>
            </w:pPr>
            <w:r>
              <w:rPr>
                <w:color w:val="000000"/>
                <w:sz w:val="18"/>
              </w:rPr>
              <w:t>5.7</w:t>
            </w:r>
          </w:p>
        </w:tc>
        <w:tc>
          <w:tcPr>
            <w:tcW w:w="1372" w:type="dxa"/>
            <w:vAlign w:val="center"/>
          </w:tcPr>
          <w:p w14:paraId="32E63E46" w14:textId="77777777" w:rsidR="006D3AD5" w:rsidRPr="002C224A" w:rsidRDefault="006D3AD5" w:rsidP="00443B8F">
            <w:pPr>
              <w:jc w:val="right"/>
              <w:rPr>
                <w:color w:val="000000"/>
                <w:sz w:val="18"/>
                <w:szCs w:val="18"/>
              </w:rPr>
            </w:pPr>
            <w:r>
              <w:rPr>
                <w:color w:val="000000"/>
                <w:sz w:val="18"/>
              </w:rPr>
              <w:t>5.6</w:t>
            </w:r>
          </w:p>
        </w:tc>
        <w:tc>
          <w:tcPr>
            <w:tcW w:w="1372" w:type="dxa"/>
            <w:vAlign w:val="center"/>
          </w:tcPr>
          <w:p w14:paraId="45EFCF42" w14:textId="77777777" w:rsidR="006D3AD5" w:rsidRPr="002C224A" w:rsidRDefault="006D3AD5" w:rsidP="00443B8F">
            <w:pPr>
              <w:jc w:val="right"/>
              <w:rPr>
                <w:color w:val="000000"/>
                <w:sz w:val="18"/>
                <w:szCs w:val="18"/>
              </w:rPr>
            </w:pPr>
            <w:r>
              <w:rPr>
                <w:sz w:val="18"/>
              </w:rPr>
              <w:t>4.9</w:t>
            </w:r>
          </w:p>
        </w:tc>
      </w:tr>
      <w:tr w:rsidR="006D3AD5" w:rsidRPr="002C224A" w14:paraId="76F24E71" w14:textId="77777777" w:rsidTr="00443B8F">
        <w:trPr>
          <w:trHeight w:val="240"/>
          <w:jc w:val="center"/>
        </w:trPr>
        <w:tc>
          <w:tcPr>
            <w:tcW w:w="4821" w:type="dxa"/>
            <w:noWrap/>
            <w:vAlign w:val="center"/>
          </w:tcPr>
          <w:p w14:paraId="3790DF7F" w14:textId="77777777" w:rsidR="006D3AD5" w:rsidRPr="002C224A" w:rsidRDefault="006D3AD5" w:rsidP="00443B8F">
            <w:pPr>
              <w:jc w:val="left"/>
              <w:rPr>
                <w:color w:val="000000"/>
                <w:sz w:val="18"/>
                <w:szCs w:val="18"/>
              </w:rPr>
            </w:pPr>
            <w:r>
              <w:rPr>
                <w:color w:val="000000"/>
                <w:sz w:val="18"/>
              </w:rPr>
              <w:t>Revolving effect - increase in available funds of the OP EIC (CZK millions)</w:t>
            </w:r>
          </w:p>
        </w:tc>
        <w:tc>
          <w:tcPr>
            <w:tcW w:w="1134" w:type="dxa"/>
            <w:noWrap/>
            <w:vAlign w:val="center"/>
          </w:tcPr>
          <w:p w14:paraId="4BDAE008" w14:textId="77777777" w:rsidR="006D3AD5" w:rsidRPr="002C224A" w:rsidRDefault="006D3AD5" w:rsidP="00443B8F">
            <w:pPr>
              <w:jc w:val="right"/>
              <w:rPr>
                <w:color w:val="000000"/>
                <w:sz w:val="18"/>
                <w:szCs w:val="18"/>
              </w:rPr>
            </w:pPr>
            <w:r>
              <w:rPr>
                <w:sz w:val="18"/>
              </w:rPr>
              <w:t>404</w:t>
            </w:r>
          </w:p>
        </w:tc>
        <w:tc>
          <w:tcPr>
            <w:tcW w:w="1180" w:type="dxa"/>
            <w:vAlign w:val="center"/>
          </w:tcPr>
          <w:p w14:paraId="26D16508" w14:textId="77777777" w:rsidR="006D3AD5" w:rsidRPr="002C224A" w:rsidRDefault="006D3AD5" w:rsidP="00443B8F">
            <w:pPr>
              <w:jc w:val="right"/>
              <w:rPr>
                <w:color w:val="000000"/>
                <w:sz w:val="18"/>
                <w:szCs w:val="18"/>
              </w:rPr>
            </w:pPr>
            <w:r>
              <w:rPr>
                <w:sz w:val="18"/>
              </w:rPr>
              <w:t>352</w:t>
            </w:r>
          </w:p>
        </w:tc>
        <w:tc>
          <w:tcPr>
            <w:tcW w:w="1372" w:type="dxa"/>
            <w:vAlign w:val="center"/>
          </w:tcPr>
          <w:p w14:paraId="4A1D9A61" w14:textId="77777777" w:rsidR="006D3AD5" w:rsidRPr="002C224A" w:rsidRDefault="006D3AD5" w:rsidP="00443B8F">
            <w:pPr>
              <w:jc w:val="right"/>
              <w:rPr>
                <w:color w:val="000000"/>
                <w:sz w:val="18"/>
                <w:szCs w:val="18"/>
              </w:rPr>
            </w:pPr>
            <w:r>
              <w:rPr>
                <w:sz w:val="18"/>
              </w:rPr>
              <w:t>360</w:t>
            </w:r>
          </w:p>
        </w:tc>
        <w:tc>
          <w:tcPr>
            <w:tcW w:w="1372" w:type="dxa"/>
            <w:vAlign w:val="center"/>
          </w:tcPr>
          <w:p w14:paraId="6CB85719" w14:textId="77777777" w:rsidR="006D3AD5" w:rsidRDefault="006D3AD5" w:rsidP="00443B8F">
            <w:pPr>
              <w:jc w:val="right"/>
              <w:rPr>
                <w:sz w:val="18"/>
                <w:szCs w:val="18"/>
              </w:rPr>
            </w:pPr>
            <w:r>
              <w:rPr>
                <w:b/>
                <w:color w:val="000000"/>
                <w:sz w:val="18"/>
              </w:rPr>
              <w:t>-</w:t>
            </w:r>
          </w:p>
        </w:tc>
      </w:tr>
      <w:tr w:rsidR="006D3AD5" w:rsidRPr="002C224A" w14:paraId="1EFEAB3F" w14:textId="77777777" w:rsidTr="00443B8F">
        <w:trPr>
          <w:trHeight w:val="240"/>
          <w:jc w:val="center"/>
        </w:trPr>
        <w:tc>
          <w:tcPr>
            <w:tcW w:w="4821" w:type="dxa"/>
            <w:noWrap/>
            <w:vAlign w:val="center"/>
          </w:tcPr>
          <w:p w14:paraId="48B848B3" w14:textId="77777777" w:rsidR="006D3AD5" w:rsidRPr="00A50943" w:rsidRDefault="006D3AD5" w:rsidP="00443B8F">
            <w:pPr>
              <w:jc w:val="left"/>
              <w:rPr>
                <w:b/>
                <w:color w:val="000000"/>
                <w:sz w:val="18"/>
                <w:szCs w:val="18"/>
              </w:rPr>
            </w:pPr>
            <w:r>
              <w:rPr>
                <w:b/>
                <w:color w:val="000000"/>
                <w:sz w:val="18"/>
              </w:rPr>
              <w:t>Supported projects</w:t>
            </w:r>
            <w:r>
              <w:rPr>
                <w:rStyle w:val="Znakapoznpodarou"/>
                <w:rFonts w:ascii="Calibri" w:hAnsi="Calibri"/>
                <w:b/>
                <w:color w:val="000000"/>
              </w:rPr>
              <w:footnoteReference w:id="67"/>
            </w:r>
          </w:p>
        </w:tc>
        <w:tc>
          <w:tcPr>
            <w:tcW w:w="1134" w:type="dxa"/>
            <w:noWrap/>
            <w:vAlign w:val="center"/>
          </w:tcPr>
          <w:p w14:paraId="60C9DA69" w14:textId="77777777" w:rsidR="006D3AD5" w:rsidRPr="002C224A" w:rsidRDefault="006D3AD5" w:rsidP="00443B8F">
            <w:pPr>
              <w:jc w:val="right"/>
              <w:rPr>
                <w:b/>
                <w:color w:val="000000"/>
                <w:szCs w:val="22"/>
              </w:rPr>
            </w:pPr>
            <w:r>
              <w:rPr>
                <w:b/>
                <w:color w:val="000000"/>
                <w:sz w:val="18"/>
              </w:rPr>
              <w:t>367</w:t>
            </w:r>
          </w:p>
        </w:tc>
        <w:tc>
          <w:tcPr>
            <w:tcW w:w="1180" w:type="dxa"/>
            <w:vAlign w:val="center"/>
          </w:tcPr>
          <w:p w14:paraId="3ACCD0C0" w14:textId="77777777" w:rsidR="006D3AD5" w:rsidRPr="002C224A" w:rsidRDefault="006D3AD5" w:rsidP="00443B8F">
            <w:pPr>
              <w:jc w:val="right"/>
              <w:rPr>
                <w:b/>
                <w:color w:val="000000"/>
                <w:szCs w:val="22"/>
              </w:rPr>
            </w:pPr>
            <w:r>
              <w:rPr>
                <w:b/>
                <w:color w:val="000000"/>
                <w:sz w:val="18"/>
              </w:rPr>
              <w:t>347</w:t>
            </w:r>
          </w:p>
        </w:tc>
        <w:tc>
          <w:tcPr>
            <w:tcW w:w="1372" w:type="dxa"/>
            <w:vAlign w:val="center"/>
          </w:tcPr>
          <w:p w14:paraId="5E713116" w14:textId="77777777" w:rsidR="006D3AD5" w:rsidRPr="002C224A" w:rsidRDefault="006D3AD5" w:rsidP="00443B8F">
            <w:pPr>
              <w:jc w:val="right"/>
              <w:rPr>
                <w:b/>
                <w:color w:val="000000"/>
                <w:szCs w:val="22"/>
              </w:rPr>
            </w:pPr>
            <w:r>
              <w:rPr>
                <w:b/>
                <w:color w:val="000000"/>
                <w:sz w:val="18"/>
              </w:rPr>
              <w:t>338</w:t>
            </w:r>
          </w:p>
        </w:tc>
        <w:tc>
          <w:tcPr>
            <w:tcW w:w="1372" w:type="dxa"/>
          </w:tcPr>
          <w:p w14:paraId="377502F1" w14:textId="77777777" w:rsidR="006D3AD5" w:rsidRPr="002C224A" w:rsidRDefault="006D3AD5" w:rsidP="00443B8F">
            <w:pPr>
              <w:jc w:val="right"/>
              <w:rPr>
                <w:b/>
                <w:color w:val="000000"/>
                <w:sz w:val="18"/>
                <w:szCs w:val="18"/>
              </w:rPr>
            </w:pPr>
            <w:r>
              <w:rPr>
                <w:b/>
                <w:color w:val="000000"/>
                <w:sz w:val="18"/>
              </w:rPr>
              <w:t>197</w:t>
            </w:r>
          </w:p>
        </w:tc>
      </w:tr>
    </w:tbl>
    <w:p w14:paraId="2AFC659B" w14:textId="77777777" w:rsidR="006D3AD5" w:rsidRDefault="006D3AD5" w:rsidP="006D3AD5"/>
    <w:p w14:paraId="2FD2BD5B" w14:textId="77777777" w:rsidR="006D3AD5" w:rsidRPr="002C224A" w:rsidRDefault="006D3AD5" w:rsidP="006D3AD5">
      <w:r>
        <w:t>In case of not using the revolved funds in this period (Scenario 4) the primary investment cycle with the proposed allocation would provoke 1,279 million in investments with an added value of 2.58.</w:t>
      </w:r>
    </w:p>
    <w:p w14:paraId="42B721ED" w14:textId="77777777" w:rsidR="006D3AD5" w:rsidRPr="002C224A" w:rsidRDefault="006D3AD5" w:rsidP="006D3AD5"/>
    <w:p w14:paraId="069D6116" w14:textId="77777777" w:rsidR="006D3AD5" w:rsidRPr="002C224A" w:rsidRDefault="006D3AD5" w:rsidP="006D3AD5">
      <w:pPr>
        <w:pStyle w:val="Nadpis4"/>
        <w:rPr>
          <w:rFonts w:ascii="Calibri" w:hAnsi="Calibri"/>
        </w:rPr>
      </w:pPr>
      <w:r>
        <w:rPr>
          <w:rFonts w:ascii="Calibri" w:hAnsi="Calibri"/>
        </w:rPr>
        <w:t xml:space="preserve">Expected results </w:t>
      </w:r>
    </w:p>
    <w:p w14:paraId="5EA23041" w14:textId="77777777" w:rsidR="006D3AD5" w:rsidRPr="00A50943" w:rsidRDefault="006D3AD5" w:rsidP="006D3AD5"/>
    <w:p w14:paraId="0F220E59"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lastRenderedPageBreak/>
        <w:t>The next table shows the main objective indicators of the SO 3.2 defined in the operational programme.</w:t>
      </w:r>
    </w:p>
    <w:p w14:paraId="288D32EB" w14:textId="43C9BF4C" w:rsidR="006D3AD5" w:rsidRDefault="006D3AD5" w:rsidP="006D3AD5">
      <w:pPr>
        <w:pStyle w:val="Titulek"/>
        <w:keepNext/>
      </w:pPr>
      <w:r>
        <w:t xml:space="preserve">Table </w:t>
      </w:r>
      <w:r w:rsidR="008E5253">
        <w:t>12</w:t>
      </w:r>
      <w:r w:rsidR="00B90ACD">
        <w:t>8</w:t>
      </w:r>
      <w:r>
        <w:t>: SO 3.2 result indicators</w:t>
      </w:r>
    </w:p>
    <w:tbl>
      <w:tblPr>
        <w:tblW w:w="9186" w:type="dxa"/>
        <w:tblCellMar>
          <w:left w:w="57" w:type="dxa"/>
          <w:right w:w="57" w:type="dxa"/>
        </w:tblCellMar>
        <w:tblLook w:val="01E0" w:firstRow="1" w:lastRow="1" w:firstColumn="1" w:lastColumn="1" w:noHBand="0" w:noVBand="0"/>
      </w:tblPr>
      <w:tblGrid>
        <w:gridCol w:w="1959"/>
        <w:gridCol w:w="1392"/>
        <w:gridCol w:w="1166"/>
        <w:gridCol w:w="1041"/>
        <w:gridCol w:w="776"/>
        <w:gridCol w:w="878"/>
        <w:gridCol w:w="940"/>
        <w:gridCol w:w="1034"/>
      </w:tblGrid>
      <w:tr w:rsidR="006D3AD5" w:rsidRPr="00360BA1" w14:paraId="1665B4E4"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BE718E4"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BB2D384"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69765A"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EE16DC"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EFF0A7"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DF024BD"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0BE39FC"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CC32B6C"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622B50A1"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56D93C9C" w14:textId="77777777" w:rsidR="006D3AD5" w:rsidRPr="004E50C9" w:rsidRDefault="006D3AD5" w:rsidP="00443B8F">
            <w:pPr>
              <w:overflowPunct/>
              <w:autoSpaceDE/>
              <w:autoSpaceDN/>
              <w:adjustRightInd/>
              <w:jc w:val="center"/>
              <w:textAlignment w:val="auto"/>
              <w:rPr>
                <w:rFonts w:cs="Calibri"/>
                <w:szCs w:val="22"/>
              </w:rPr>
            </w:pPr>
            <w:r>
              <w:t>Net final</w:t>
            </w:r>
          </w:p>
          <w:p w14:paraId="66F705D6" w14:textId="77777777" w:rsidR="006D3AD5" w:rsidRPr="00360BA1" w:rsidRDefault="006D3AD5" w:rsidP="00443B8F">
            <w:pPr>
              <w:overflowPunct/>
              <w:autoSpaceDE/>
              <w:autoSpaceDN/>
              <w:adjustRightInd/>
              <w:jc w:val="center"/>
              <w:textAlignment w:val="auto"/>
              <w:rPr>
                <w:rFonts w:cs="Calibri"/>
              </w:rPr>
            </w:pPr>
            <w:r>
              <w:t>energy consumption in industry</w:t>
            </w:r>
          </w:p>
        </w:tc>
        <w:tc>
          <w:tcPr>
            <w:tcW w:w="1033" w:type="dxa"/>
            <w:tcBorders>
              <w:top w:val="single" w:sz="4" w:space="0" w:color="000000"/>
              <w:left w:val="single" w:sz="4" w:space="0" w:color="000000"/>
              <w:bottom w:val="single" w:sz="4" w:space="0" w:color="000000"/>
              <w:right w:val="single" w:sz="4" w:space="0" w:color="000000"/>
            </w:tcBorders>
            <w:vAlign w:val="center"/>
          </w:tcPr>
          <w:p w14:paraId="2DA7C26D" w14:textId="77777777" w:rsidR="006D3AD5" w:rsidRPr="00360BA1" w:rsidRDefault="006D3AD5" w:rsidP="00443B8F">
            <w:pPr>
              <w:pStyle w:val="Tabulka"/>
              <w:rPr>
                <w:rFonts w:ascii="Calibri" w:hAnsi="Calibri" w:cs="Calibri"/>
              </w:rPr>
            </w:pPr>
            <w:r>
              <w:rPr>
                <w:rFonts w:ascii="Calibri" w:hAnsi="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14:paraId="17DAA7B7"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3A60E256" w14:textId="77777777" w:rsidR="006D3AD5" w:rsidRPr="00360BA1" w:rsidRDefault="006D3AD5" w:rsidP="00443B8F">
            <w:pPr>
              <w:jc w:val="center"/>
              <w:rPr>
                <w:rFonts w:cs="Calibri"/>
              </w:rPr>
            </w:pPr>
            <w:r>
              <w:t>306,252</w:t>
            </w:r>
          </w:p>
        </w:tc>
        <w:tc>
          <w:tcPr>
            <w:tcW w:w="819" w:type="dxa"/>
            <w:tcBorders>
              <w:top w:val="single" w:sz="4" w:space="0" w:color="000000"/>
              <w:left w:val="single" w:sz="4" w:space="0" w:color="000000"/>
              <w:bottom w:val="single" w:sz="4" w:space="0" w:color="000000"/>
              <w:right w:val="single" w:sz="4" w:space="0" w:color="000000"/>
            </w:tcBorders>
            <w:vAlign w:val="center"/>
          </w:tcPr>
          <w:p w14:paraId="31D7C254"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3D46D620" w14:textId="77777777" w:rsidR="006D3AD5" w:rsidRPr="00360BA1" w:rsidRDefault="006D3AD5" w:rsidP="00443B8F">
            <w:pPr>
              <w:jc w:val="center"/>
            </w:pPr>
            <w:r>
              <w:t>316,528</w:t>
            </w:r>
          </w:p>
        </w:tc>
        <w:tc>
          <w:tcPr>
            <w:tcW w:w="1008" w:type="dxa"/>
            <w:tcBorders>
              <w:top w:val="single" w:sz="4" w:space="0" w:color="000000"/>
              <w:left w:val="single" w:sz="4" w:space="0" w:color="000000"/>
              <w:bottom w:val="single" w:sz="4" w:space="0" w:color="000000"/>
              <w:right w:val="single" w:sz="4" w:space="0" w:color="000000"/>
            </w:tcBorders>
            <w:vAlign w:val="center"/>
          </w:tcPr>
          <w:p w14:paraId="619159A6" w14:textId="77777777" w:rsidR="006D3AD5" w:rsidRPr="00360BA1" w:rsidRDefault="006D3AD5" w:rsidP="00443B8F">
            <w:pPr>
              <w:pStyle w:val="Tabulka"/>
              <w:rPr>
                <w:rFonts w:ascii="Calibri" w:hAnsi="Calibri" w:cs="Calibri"/>
              </w:rPr>
            </w:pPr>
            <w:r>
              <w:rPr>
                <w:rFonts w:ascii="Calibri" w:hAnsi="Calibri"/>
              </w:rPr>
              <w:t>CSO</w:t>
            </w:r>
          </w:p>
        </w:tc>
        <w:tc>
          <w:tcPr>
            <w:tcW w:w="962" w:type="dxa"/>
            <w:tcBorders>
              <w:top w:val="single" w:sz="4" w:space="0" w:color="000000"/>
              <w:left w:val="single" w:sz="4" w:space="0" w:color="000000"/>
              <w:bottom w:val="single" w:sz="4" w:space="0" w:color="000000"/>
              <w:right w:val="single" w:sz="4" w:space="0" w:color="000000"/>
            </w:tcBorders>
            <w:vAlign w:val="center"/>
          </w:tcPr>
          <w:p w14:paraId="20290ED9" w14:textId="77777777" w:rsidR="006D3AD5" w:rsidRPr="00A52D1B" w:rsidRDefault="006D3AD5" w:rsidP="00443B8F">
            <w:pPr>
              <w:pStyle w:val="Tabulka"/>
              <w:rPr>
                <w:rFonts w:ascii="Calibri" w:hAnsi="Calibri" w:cs="Calibri"/>
              </w:rPr>
            </w:pPr>
            <w:r>
              <w:rPr>
                <w:rFonts w:ascii="Calibri" w:hAnsi="Calibri"/>
              </w:rPr>
              <w:t>per year</w:t>
            </w:r>
          </w:p>
        </w:tc>
      </w:tr>
      <w:tr w:rsidR="006D3AD5" w:rsidRPr="00360BA1" w14:paraId="61219778"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32C11A5D" w14:textId="77777777" w:rsidR="006D3AD5" w:rsidRPr="004E50C9" w:rsidRDefault="006D3AD5" w:rsidP="00443B8F">
            <w:pPr>
              <w:pStyle w:val="Tabulka"/>
              <w:rPr>
                <w:rFonts w:ascii="Calibri" w:hAnsi="Calibri" w:cs="Calibri"/>
              </w:rPr>
            </w:pPr>
            <w:r>
              <w:rPr>
                <w:rFonts w:ascii="Calibri" w:hAnsi="Calibri"/>
              </w:rPr>
              <w:t>Net final</w:t>
            </w:r>
          </w:p>
          <w:p w14:paraId="351D2E83" w14:textId="77777777" w:rsidR="006D3AD5" w:rsidRPr="00360BA1" w:rsidRDefault="006D3AD5" w:rsidP="00443B8F">
            <w:pPr>
              <w:pStyle w:val="Tabulka"/>
              <w:rPr>
                <w:rFonts w:ascii="Calibri" w:hAnsi="Calibri" w:cs="Calibri"/>
              </w:rPr>
            </w:pPr>
            <w:r>
              <w:rPr>
                <w:rFonts w:ascii="Calibri" w:hAnsi="Calibri"/>
              </w:rPr>
              <w:t>energy consumption in services</w:t>
            </w:r>
          </w:p>
        </w:tc>
        <w:tc>
          <w:tcPr>
            <w:tcW w:w="1033" w:type="dxa"/>
            <w:tcBorders>
              <w:top w:val="single" w:sz="4" w:space="0" w:color="000000"/>
              <w:left w:val="single" w:sz="4" w:space="0" w:color="000000"/>
              <w:bottom w:val="single" w:sz="4" w:space="0" w:color="000000"/>
              <w:right w:val="single" w:sz="4" w:space="0" w:color="000000"/>
            </w:tcBorders>
            <w:vAlign w:val="center"/>
          </w:tcPr>
          <w:p w14:paraId="3B8E316E" w14:textId="77777777" w:rsidR="006D3AD5" w:rsidRPr="00360BA1" w:rsidRDefault="006D3AD5" w:rsidP="00443B8F">
            <w:pPr>
              <w:pStyle w:val="Tabulka"/>
              <w:rPr>
                <w:rFonts w:ascii="Calibri" w:hAnsi="Calibri" w:cs="Calibri"/>
              </w:rPr>
            </w:pPr>
            <w:r>
              <w:rPr>
                <w:rFonts w:ascii="Calibri" w:hAnsi="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14:paraId="590B1AA2"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1A09923E" w14:textId="77777777" w:rsidR="006D3AD5" w:rsidRPr="00360BA1" w:rsidRDefault="006D3AD5" w:rsidP="00443B8F">
            <w:pPr>
              <w:pStyle w:val="Tabulka"/>
              <w:rPr>
                <w:rFonts w:ascii="Calibri" w:hAnsi="Calibri" w:cs="Calibri"/>
              </w:rPr>
            </w:pPr>
            <w:r>
              <w:rPr>
                <w:rFonts w:ascii="Calibri" w:hAnsi="Calibri"/>
              </w:rPr>
              <w:t>142,067</w:t>
            </w:r>
          </w:p>
        </w:tc>
        <w:tc>
          <w:tcPr>
            <w:tcW w:w="819" w:type="dxa"/>
            <w:tcBorders>
              <w:top w:val="single" w:sz="4" w:space="0" w:color="000000"/>
              <w:left w:val="single" w:sz="4" w:space="0" w:color="000000"/>
              <w:bottom w:val="single" w:sz="4" w:space="0" w:color="000000"/>
              <w:right w:val="single" w:sz="4" w:space="0" w:color="000000"/>
            </w:tcBorders>
            <w:vAlign w:val="center"/>
          </w:tcPr>
          <w:p w14:paraId="7C3C22BF"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2A0DEB81" w14:textId="77777777" w:rsidR="006D3AD5" w:rsidRPr="00360BA1" w:rsidRDefault="006D3AD5" w:rsidP="00443B8F">
            <w:pPr>
              <w:pStyle w:val="Tabulka"/>
              <w:rPr>
                <w:rFonts w:ascii="Calibri" w:hAnsi="Calibri" w:cs="Calibri"/>
              </w:rPr>
            </w:pPr>
            <w:r>
              <w:rPr>
                <w:rFonts w:ascii="Calibri" w:hAnsi="Calibri"/>
              </w:rPr>
              <w:t>168,573</w:t>
            </w:r>
          </w:p>
        </w:tc>
        <w:tc>
          <w:tcPr>
            <w:tcW w:w="1008" w:type="dxa"/>
            <w:tcBorders>
              <w:top w:val="single" w:sz="4" w:space="0" w:color="000000"/>
              <w:left w:val="single" w:sz="4" w:space="0" w:color="000000"/>
              <w:bottom w:val="single" w:sz="4" w:space="0" w:color="000000"/>
              <w:right w:val="single" w:sz="4" w:space="0" w:color="000000"/>
            </w:tcBorders>
            <w:vAlign w:val="center"/>
          </w:tcPr>
          <w:p w14:paraId="73107FEA" w14:textId="77777777" w:rsidR="006D3AD5" w:rsidRPr="00360BA1" w:rsidRDefault="006D3AD5" w:rsidP="00443B8F">
            <w:pPr>
              <w:pStyle w:val="Tabulka"/>
              <w:rPr>
                <w:rFonts w:ascii="Calibri" w:hAnsi="Calibri" w:cs="Calibri"/>
              </w:rPr>
            </w:pPr>
            <w:r>
              <w:rPr>
                <w:rFonts w:ascii="Calibri" w:hAnsi="Calibri"/>
              </w:rPr>
              <w:t>CSO</w:t>
            </w:r>
          </w:p>
        </w:tc>
        <w:tc>
          <w:tcPr>
            <w:tcW w:w="962" w:type="dxa"/>
            <w:tcBorders>
              <w:top w:val="single" w:sz="4" w:space="0" w:color="000000"/>
              <w:left w:val="single" w:sz="4" w:space="0" w:color="000000"/>
              <w:bottom w:val="single" w:sz="4" w:space="0" w:color="000000"/>
              <w:right w:val="single" w:sz="4" w:space="0" w:color="000000"/>
            </w:tcBorders>
            <w:vAlign w:val="center"/>
          </w:tcPr>
          <w:p w14:paraId="5B081BDB" w14:textId="77777777" w:rsidR="006D3AD5" w:rsidRPr="00A52D1B" w:rsidRDefault="006D3AD5" w:rsidP="00443B8F">
            <w:pPr>
              <w:pStyle w:val="Tabulka"/>
              <w:rPr>
                <w:rFonts w:ascii="Calibri" w:hAnsi="Calibri" w:cs="Calibri"/>
              </w:rPr>
            </w:pPr>
            <w:r>
              <w:rPr>
                <w:rFonts w:ascii="Calibri" w:hAnsi="Calibri"/>
              </w:rPr>
              <w:t>per year</w:t>
            </w:r>
          </w:p>
        </w:tc>
      </w:tr>
    </w:tbl>
    <w:p w14:paraId="60BCBA8C"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434D728A" w14:textId="77777777" w:rsidR="006D3AD5" w:rsidRDefault="006D3AD5" w:rsidP="006D3AD5">
      <w:pPr>
        <w:pStyle w:val="Odstavecseseznamem2"/>
        <w:overflowPunct w:val="0"/>
        <w:autoSpaceDE w:val="0"/>
        <w:autoSpaceDN w:val="0"/>
        <w:adjustRightInd w:val="0"/>
        <w:spacing w:after="160"/>
        <w:ind w:left="0"/>
        <w:jc w:val="both"/>
        <w:textAlignment w:val="baseline"/>
      </w:pPr>
      <w:r>
        <w:t>Financial instruments should participate in fulfilling these target values by reaching the target values of the following indicators general quantification of which was based on the model scenarios described above.</w:t>
      </w:r>
    </w:p>
    <w:p w14:paraId="0D2FDE45" w14:textId="37251BCE" w:rsidR="006D3AD5" w:rsidRPr="00A50943" w:rsidRDefault="006D3AD5" w:rsidP="006D3AD5">
      <w:pPr>
        <w:pStyle w:val="Titulek"/>
      </w:pPr>
      <w:r>
        <w:t xml:space="preserve">Table </w:t>
      </w:r>
      <w:r w:rsidR="008E5253">
        <w:t>12</w:t>
      </w:r>
      <w:r w:rsidR="00B90ACD">
        <w:t>9</w:t>
      </w:r>
      <w:r>
        <w:t>: FI target values</w:t>
      </w:r>
    </w:p>
    <w:tbl>
      <w:tblPr>
        <w:tblW w:w="0" w:type="auto"/>
        <w:tblCellMar>
          <w:left w:w="57" w:type="dxa"/>
          <w:right w:w="57" w:type="dxa"/>
        </w:tblCellMar>
        <w:tblLook w:val="01E0" w:firstRow="1" w:lastRow="1" w:firstColumn="1" w:lastColumn="1" w:noHBand="0" w:noVBand="0"/>
      </w:tblPr>
      <w:tblGrid>
        <w:gridCol w:w="4192"/>
        <w:gridCol w:w="1782"/>
        <w:gridCol w:w="1705"/>
        <w:gridCol w:w="1383"/>
      </w:tblGrid>
      <w:tr w:rsidR="006D3AD5" w:rsidRPr="002C224A" w14:paraId="195A543E" w14:textId="77777777" w:rsidTr="00443B8F">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06EB125"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18E9522"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5FC1823"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36D370" w14:textId="77777777" w:rsidR="006D3AD5" w:rsidRPr="002C224A" w:rsidRDefault="006D3AD5" w:rsidP="00443B8F">
            <w:pPr>
              <w:pStyle w:val="Tabulka"/>
              <w:keepNext/>
              <w:keepLines/>
              <w:rPr>
                <w:rFonts w:ascii="Calibri" w:hAnsi="Calibri" w:cs="Calibri"/>
                <w:b/>
              </w:rPr>
            </w:pPr>
            <w:r>
              <w:rPr>
                <w:rFonts w:ascii="Calibri" w:hAnsi="Calibri"/>
                <w:b/>
              </w:rPr>
              <w:t>Target value (2023)</w:t>
            </w:r>
          </w:p>
        </w:tc>
      </w:tr>
      <w:tr w:rsidR="006D3AD5" w:rsidRPr="002C224A" w14:paraId="63171937"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95E9F5F" w14:textId="77777777" w:rsidR="006D3AD5" w:rsidRPr="002C224A" w:rsidRDefault="006D3AD5" w:rsidP="00443B8F">
            <w:pPr>
              <w:pStyle w:val="Tabulka"/>
              <w:jc w:val="left"/>
              <w:rPr>
                <w:rFonts w:ascii="Calibri" w:hAnsi="Calibri" w:cs="Calibri"/>
              </w:rPr>
            </w:pPr>
            <w:r>
              <w:rPr>
                <w:rFonts w:ascii="Calibri" w:hAnsi="Calibri"/>
              </w:rPr>
              <w:t>Number of companies drawing financial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7E14D8F9" w14:textId="77777777" w:rsidR="006D3AD5" w:rsidRPr="002C224A" w:rsidRDefault="006D3AD5" w:rsidP="00443B8F">
            <w:pPr>
              <w:pStyle w:val="Tabulka"/>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00D4C405" w14:textId="77777777" w:rsidR="006D3AD5" w:rsidRPr="002C224A" w:rsidRDefault="006D3AD5" w:rsidP="00443B8F">
            <w:pPr>
              <w:pStyle w:val="Tabulka"/>
              <w:rPr>
                <w:rFonts w:ascii="Calibri" w:hAnsi="Calibri" w:cs="Calibri"/>
              </w:rPr>
            </w:pPr>
            <w:r>
              <w:rPr>
                <w:rFonts w:ascii="Calibri" w:hAnsi="Calibri"/>
              </w:rPr>
              <w:t>Less developed regions</w:t>
            </w:r>
          </w:p>
        </w:tc>
        <w:tc>
          <w:tcPr>
            <w:tcW w:w="0" w:type="auto"/>
            <w:tcBorders>
              <w:top w:val="single" w:sz="4" w:space="0" w:color="000000"/>
              <w:left w:val="single" w:sz="4" w:space="0" w:color="000000"/>
              <w:bottom w:val="single" w:sz="4" w:space="0" w:color="000000"/>
              <w:right w:val="single" w:sz="4" w:space="0" w:color="000000"/>
            </w:tcBorders>
            <w:vAlign w:val="center"/>
          </w:tcPr>
          <w:p w14:paraId="7D709528" w14:textId="77777777" w:rsidR="006D3AD5" w:rsidRPr="002C224A" w:rsidRDefault="006D3AD5" w:rsidP="00443B8F">
            <w:pPr>
              <w:pStyle w:val="Tabulka"/>
              <w:rPr>
                <w:rFonts w:ascii="Calibri" w:hAnsi="Calibri" w:cs="Calibri"/>
              </w:rPr>
            </w:pPr>
            <w:r>
              <w:rPr>
                <w:rFonts w:ascii="Calibri" w:hAnsi="Calibri"/>
              </w:rPr>
              <w:t>120/-180:</w:t>
            </w:r>
          </w:p>
        </w:tc>
      </w:tr>
      <w:tr w:rsidR="006D3AD5" w:rsidRPr="002C224A" w14:paraId="44DB3804"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82F37C3" w14:textId="77777777" w:rsidR="006D3AD5" w:rsidRPr="002C224A" w:rsidRDefault="006D3AD5" w:rsidP="00443B8F">
            <w:pPr>
              <w:pStyle w:val="Tabulka"/>
              <w:jc w:val="left"/>
              <w:rPr>
                <w:rFonts w:ascii="Calibri" w:hAnsi="Calibri" w:cs="Calibri"/>
              </w:rPr>
            </w:pPr>
            <w:r>
              <w:rPr>
                <w:rFonts w:ascii="Calibri" w:hAnsi="Calibri"/>
              </w:rPr>
              <w:t>Private investments in projects with public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167AF315" w14:textId="77777777" w:rsidR="006D3AD5" w:rsidRPr="002C224A" w:rsidRDefault="006D3AD5" w:rsidP="00443B8F">
            <w:pPr>
              <w:pStyle w:val="Tabulka"/>
              <w:rPr>
                <w:rFonts w:ascii="Calibri" w:hAnsi="Calibri" w:cs="Calibri"/>
              </w:rPr>
            </w:pPr>
            <w:r>
              <w:rPr>
                <w:rFonts w:ascii="Calibri" w:hAnsi="Calibri"/>
              </w:rPr>
              <w:t>CZK millions</w:t>
            </w:r>
          </w:p>
        </w:tc>
        <w:tc>
          <w:tcPr>
            <w:tcW w:w="0" w:type="auto"/>
            <w:tcBorders>
              <w:top w:val="single" w:sz="4" w:space="0" w:color="000000"/>
              <w:left w:val="single" w:sz="4" w:space="0" w:color="000000"/>
              <w:bottom w:val="single" w:sz="4" w:space="0" w:color="000000"/>
              <w:right w:val="single" w:sz="4" w:space="0" w:color="000000"/>
            </w:tcBorders>
            <w:vAlign w:val="center"/>
          </w:tcPr>
          <w:p w14:paraId="05CC2BCC" w14:textId="77777777" w:rsidR="006D3AD5" w:rsidRPr="002C224A" w:rsidRDefault="006D3AD5" w:rsidP="00443B8F">
            <w:pPr>
              <w:pStyle w:val="Tabulka"/>
              <w:rPr>
                <w:rFonts w:ascii="Calibri" w:hAnsi="Calibri" w:cs="Calibri"/>
              </w:rPr>
            </w:pPr>
            <w:r>
              <w:rPr>
                <w:rFonts w:ascii="Calibri" w:hAnsi="Calibri"/>
              </w:rPr>
              <w:t>Less developed regions</w:t>
            </w:r>
          </w:p>
        </w:tc>
        <w:tc>
          <w:tcPr>
            <w:tcW w:w="0" w:type="auto"/>
            <w:tcBorders>
              <w:top w:val="single" w:sz="4" w:space="0" w:color="000000"/>
              <w:left w:val="single" w:sz="4" w:space="0" w:color="000000"/>
              <w:bottom w:val="single" w:sz="4" w:space="0" w:color="000000"/>
              <w:right w:val="single" w:sz="4" w:space="0" w:color="000000"/>
            </w:tcBorders>
            <w:vAlign w:val="center"/>
          </w:tcPr>
          <w:p w14:paraId="04B8E94F" w14:textId="77777777" w:rsidR="006D3AD5" w:rsidRPr="002C224A" w:rsidRDefault="006D3AD5" w:rsidP="00443B8F">
            <w:pPr>
              <w:pStyle w:val="Tabulka"/>
              <w:rPr>
                <w:rFonts w:ascii="Calibri" w:hAnsi="Calibri" w:cs="Calibri"/>
              </w:rPr>
            </w:pPr>
            <w:r>
              <w:rPr>
                <w:rFonts w:ascii="Calibri" w:hAnsi="Calibri"/>
              </w:rPr>
              <w:t>1200/-1500:</w:t>
            </w:r>
          </w:p>
        </w:tc>
      </w:tr>
    </w:tbl>
    <w:p w14:paraId="2900D3C3" w14:textId="77777777" w:rsidR="006D3AD5" w:rsidRPr="00A50943" w:rsidRDefault="006D3AD5" w:rsidP="006D3AD5"/>
    <w:p w14:paraId="1FC89F4E" w14:textId="77777777" w:rsidR="006D3AD5" w:rsidRPr="00E46303"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6E944767"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498432FA" w14:textId="77777777" w:rsidR="006D3AD5" w:rsidRDefault="006D3AD5" w:rsidP="006D3AD5">
      <w:pPr>
        <w:pStyle w:val="Odstavecseseznamem2"/>
        <w:numPr>
          <w:ilvl w:val="0"/>
          <w:numId w:val="59"/>
        </w:numPr>
        <w:spacing w:after="160"/>
      </w:pPr>
      <w:r>
        <w:t>36111 The number of eliminated emissions of primary particles and precursors of secondary particles within supported projects*</w:t>
      </w:r>
    </w:p>
    <w:p w14:paraId="6FA484B2" w14:textId="77777777" w:rsidR="006D3AD5" w:rsidRDefault="006D3AD5" w:rsidP="006D3AD5">
      <w:pPr>
        <w:pStyle w:val="Odstavecseseznamem2"/>
        <w:numPr>
          <w:ilvl w:val="0"/>
          <w:numId w:val="59"/>
        </w:numPr>
        <w:spacing w:after="160"/>
      </w:pPr>
      <w:r>
        <w:t>36113 Reducing CO2 emissions*</w:t>
      </w:r>
    </w:p>
    <w:p w14:paraId="1583A5BD" w14:textId="77777777" w:rsidR="006D3AD5" w:rsidRDefault="006D3AD5" w:rsidP="006D3AD5">
      <w:pPr>
        <w:pStyle w:val="Odstavecseseznamem2"/>
        <w:numPr>
          <w:ilvl w:val="0"/>
          <w:numId w:val="59"/>
        </w:numPr>
        <w:spacing w:after="160"/>
      </w:pPr>
      <w:r>
        <w:t>32300 Reducing the final energy consumption within supported subjects*</w:t>
      </w:r>
    </w:p>
    <w:p w14:paraId="767A0DE9" w14:textId="77777777" w:rsidR="006D3AD5" w:rsidRDefault="006D3AD5" w:rsidP="006D3AD5">
      <w:pPr>
        <w:pStyle w:val="Odstavecseseznamem2"/>
        <w:numPr>
          <w:ilvl w:val="0"/>
          <w:numId w:val="59"/>
        </w:numPr>
        <w:spacing w:after="160"/>
      </w:pPr>
      <w:r>
        <w:t>10103 Number of companies drawing financial support other than grants*</w:t>
      </w:r>
    </w:p>
    <w:p w14:paraId="4374A412" w14:textId="77777777" w:rsidR="006D3AD5" w:rsidRDefault="006D3AD5" w:rsidP="006D3AD5">
      <w:pPr>
        <w:pStyle w:val="Odstavecseseznamem2"/>
        <w:numPr>
          <w:ilvl w:val="0"/>
          <w:numId w:val="59"/>
        </w:numPr>
        <w:spacing w:after="160"/>
      </w:pPr>
      <w:r>
        <w:t>10301 Private investments corresponding to the public support of companies (other than grants)*</w:t>
      </w:r>
    </w:p>
    <w:p w14:paraId="6CC72D43" w14:textId="77777777" w:rsidR="006D3AD5" w:rsidRDefault="006D3AD5" w:rsidP="006D3AD5">
      <w:pPr>
        <w:pStyle w:val="Odstavecseseznamem2"/>
        <w:numPr>
          <w:ilvl w:val="0"/>
          <w:numId w:val="59"/>
        </w:numPr>
        <w:spacing w:after="160"/>
      </w:pPr>
      <w:r>
        <w:t>10000 The number of companies drawing the support</w:t>
      </w:r>
    </w:p>
    <w:p w14:paraId="302064AB" w14:textId="77777777" w:rsidR="006D3AD5" w:rsidRDefault="006D3AD5" w:rsidP="006D3AD5">
      <w:pPr>
        <w:pStyle w:val="Odstavecseseznamem2"/>
        <w:numPr>
          <w:ilvl w:val="0"/>
          <w:numId w:val="59"/>
        </w:numPr>
        <w:spacing w:after="160"/>
      </w:pPr>
      <w:r>
        <w:t>32000 Energy demand of the economy</w:t>
      </w:r>
    </w:p>
    <w:p w14:paraId="65C2BB60" w14:textId="77777777" w:rsidR="006D3AD5" w:rsidRDefault="006D3AD5" w:rsidP="006D3AD5">
      <w:pPr>
        <w:pStyle w:val="Odstavecseseznamem2"/>
        <w:numPr>
          <w:ilvl w:val="0"/>
          <w:numId w:val="59"/>
        </w:numPr>
        <w:spacing w:after="160"/>
      </w:pPr>
      <w:r>
        <w:t>32210 Net final energy consumption in industry</w:t>
      </w:r>
    </w:p>
    <w:p w14:paraId="7A9B481C" w14:textId="77777777" w:rsidR="006D3AD5" w:rsidRDefault="006D3AD5" w:rsidP="006D3AD5">
      <w:pPr>
        <w:pStyle w:val="Odstavecseseznamem2"/>
        <w:numPr>
          <w:ilvl w:val="0"/>
          <w:numId w:val="59"/>
        </w:numPr>
        <w:spacing w:after="160"/>
      </w:pPr>
      <w:r>
        <w:t>32220 Net final energy consumption in services</w:t>
      </w:r>
    </w:p>
    <w:p w14:paraId="322A4C24" w14:textId="77777777" w:rsidR="006D3AD5" w:rsidRPr="002C224A" w:rsidRDefault="006D3AD5" w:rsidP="006D3AD5"/>
    <w:p w14:paraId="1BB7BF32" w14:textId="77777777" w:rsidR="006D3AD5" w:rsidRPr="002C224A" w:rsidRDefault="006D3AD5" w:rsidP="006D3AD5">
      <w:pPr>
        <w:pStyle w:val="Nadpis4"/>
        <w:rPr>
          <w:rFonts w:ascii="Calibri" w:hAnsi="Calibri"/>
        </w:rPr>
      </w:pPr>
      <w:r>
        <w:rPr>
          <w:rFonts w:ascii="Calibri" w:hAnsi="Calibri"/>
        </w:rPr>
        <w:lastRenderedPageBreak/>
        <w:t>Partial summary</w:t>
      </w:r>
    </w:p>
    <w:bookmarkEnd w:id="1391"/>
    <w:p w14:paraId="732EAAE4" w14:textId="77777777" w:rsidR="006D3AD5" w:rsidRPr="002C224A" w:rsidRDefault="006D3AD5" w:rsidP="006D3AD5">
      <w:pPr>
        <w:pStyle w:val="Titulek"/>
      </w:pP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00EE2EE6" w14:textId="77777777" w:rsidTr="00443B8F">
        <w:tc>
          <w:tcPr>
            <w:tcW w:w="2282" w:type="dxa"/>
            <w:shd w:val="clear" w:color="auto" w:fill="ECFFC3"/>
          </w:tcPr>
          <w:p w14:paraId="605EE2D7" w14:textId="77777777" w:rsidR="006D3AD5" w:rsidRPr="00A50943" w:rsidRDefault="006D3AD5" w:rsidP="00443B8F">
            <w:pPr>
              <w:rPr>
                <w:b/>
              </w:rPr>
            </w:pPr>
          </w:p>
        </w:tc>
        <w:tc>
          <w:tcPr>
            <w:tcW w:w="6788" w:type="dxa"/>
            <w:shd w:val="clear" w:color="auto" w:fill="ECFFC3"/>
          </w:tcPr>
          <w:p w14:paraId="33312F3E" w14:textId="77777777" w:rsidR="006D3AD5" w:rsidRPr="002C224A" w:rsidRDefault="006D3AD5" w:rsidP="00443B8F">
            <w:pPr>
              <w:ind w:left="38"/>
              <w:rPr>
                <w:b/>
              </w:rPr>
            </w:pPr>
          </w:p>
        </w:tc>
      </w:tr>
      <w:tr w:rsidR="006D3AD5" w:rsidRPr="002C224A" w14:paraId="7F0C9CF7" w14:textId="77777777" w:rsidTr="00443B8F">
        <w:tc>
          <w:tcPr>
            <w:tcW w:w="2282" w:type="dxa"/>
            <w:shd w:val="clear" w:color="auto" w:fill="92D400"/>
            <w:noWrap/>
          </w:tcPr>
          <w:p w14:paraId="4C89EB12" w14:textId="77777777" w:rsidR="006D3AD5" w:rsidRPr="002C224A" w:rsidRDefault="006D3AD5" w:rsidP="00443B8F">
            <w:pPr>
              <w:rPr>
                <w:b/>
                <w:color w:val="FFFFFF"/>
              </w:rPr>
            </w:pPr>
            <w:r>
              <w:rPr>
                <w:b/>
                <w:color w:val="FFFFFF"/>
              </w:rPr>
              <w:t>Objectives of the financial instrument</w:t>
            </w:r>
          </w:p>
        </w:tc>
        <w:tc>
          <w:tcPr>
            <w:tcW w:w="6788" w:type="dxa"/>
            <w:shd w:val="clear" w:color="auto" w:fill="FFFFFF"/>
            <w:noWrap/>
          </w:tcPr>
          <w:p w14:paraId="620BF03F" w14:textId="5574202C" w:rsidR="006D3AD5" w:rsidRPr="002C224A" w:rsidRDefault="006D3AD5" w:rsidP="00443B8F">
            <w:r>
              <w:t xml:space="preserve">To support investments into energy efficiency, increase access to financing for </w:t>
            </w:r>
            <w:r w:rsidR="0042403A">
              <w:t>SME</w:t>
            </w:r>
            <w:r>
              <w:t>s and reduce financial costs and increase returns of investments into savings.</w:t>
            </w:r>
          </w:p>
        </w:tc>
      </w:tr>
      <w:tr w:rsidR="006D3AD5" w:rsidRPr="002C224A" w14:paraId="3BAA0CA4" w14:textId="77777777" w:rsidTr="00443B8F">
        <w:tc>
          <w:tcPr>
            <w:tcW w:w="2282" w:type="dxa"/>
            <w:shd w:val="clear" w:color="auto" w:fill="92D400"/>
            <w:noWrap/>
          </w:tcPr>
          <w:p w14:paraId="21EEA824"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5BB54305"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Modernization and reconstruction of electrical lines, gas and heating piping in buildings and in the energy economy of production facilities in order to increase effectiveness.</w:t>
            </w:r>
          </w:p>
          <w:p w14:paraId="53D8FDC4"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Introduction and modernization of measurement and regulation systems.</w:t>
            </w:r>
          </w:p>
          <w:p w14:paraId="468C3812"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Modernization and reconstruction of current facilities for on-site energy production leading to increase in their effectiveness.</w:t>
            </w:r>
          </w:p>
          <w:p w14:paraId="0C4FEBA6"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Modernization of building and industrial areas lighting systems (only in case of replacing obsolete technologies with new and highly effective lighting systems, e.g. LEDs).</w:t>
            </w:r>
          </w:p>
          <w:p w14:paraId="7110025D"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Realization of measures for reducing building energy demands in the business sector (thermal insulation of the perimeter, replacement and renovation of opening fillings, other construction measures with proven effect on the energy demands of the building, installation of air condition with recuperation of residual heat).</w:t>
            </w:r>
          </w:p>
          <w:p w14:paraId="0E37996F"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Using the residual energy within production processes.</w:t>
            </w:r>
          </w:p>
          <w:p w14:paraId="0605DD51"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Reducing energy demands / increasing energy efficiency of production and technology processes.</w:t>
            </w:r>
          </w:p>
          <w:p w14:paraId="2A08236D"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Installation of renewable energy sources for the facility itself.</w:t>
            </w:r>
          </w:p>
          <w:p w14:paraId="1543CC84" w14:textId="77777777" w:rsidR="006D3AD5" w:rsidRPr="002C224A" w:rsidRDefault="006D3AD5" w:rsidP="00443B8F">
            <w:pPr>
              <w:pStyle w:val="Odstavecseseznamem1"/>
              <w:numPr>
                <w:ilvl w:val="0"/>
                <w:numId w:val="27"/>
              </w:numPr>
              <w:overflowPunct/>
              <w:autoSpaceDE/>
              <w:autoSpaceDN/>
              <w:adjustRightInd/>
              <w:spacing w:before="120"/>
              <w:contextualSpacing w:val="0"/>
              <w:jc w:val="left"/>
              <w:textAlignment w:val="auto"/>
            </w:pPr>
            <w:r>
              <w:t>Installation of a co-generation unit with maximum usage of electrical and heat energy for the needs of the facility itself.</w:t>
            </w:r>
          </w:p>
          <w:p w14:paraId="6509951B" w14:textId="77777777" w:rsidR="006D3AD5" w:rsidRPr="002C224A" w:rsidRDefault="006D3AD5" w:rsidP="00443B8F">
            <w:pPr>
              <w:pStyle w:val="Odstavecseseznamem1"/>
              <w:numPr>
                <w:ilvl w:val="0"/>
                <w:numId w:val="27"/>
              </w:numPr>
              <w:overflowPunct/>
              <w:autoSpaceDE/>
              <w:autoSpaceDN/>
              <w:adjustRightInd/>
              <w:spacing w:line="250" w:lineRule="atLeast"/>
              <w:jc w:val="left"/>
              <w:textAlignment w:val="auto"/>
            </w:pPr>
            <w:r>
              <w:t>Support for additional costs needed to achieve a building standard with close to zero consumption and passive energy standard in case of reconstructions or constructions of new business buildings. Additional costs will be based on model examples and for the support purposes they will be defined as a fixed amount for a clearly defined quantity (e.g. per square meter of energy reference area).</w:t>
            </w:r>
          </w:p>
        </w:tc>
      </w:tr>
      <w:tr w:rsidR="006D3AD5" w:rsidRPr="002C224A" w14:paraId="578E9AD0" w14:textId="77777777" w:rsidTr="00443B8F">
        <w:tc>
          <w:tcPr>
            <w:tcW w:w="2282" w:type="dxa"/>
            <w:shd w:val="clear" w:color="auto" w:fill="92D400"/>
            <w:noWrap/>
          </w:tcPr>
          <w:p w14:paraId="05B3D5A2" w14:textId="77777777" w:rsidR="006D3AD5" w:rsidRPr="002C224A" w:rsidRDefault="006D3AD5" w:rsidP="00443B8F">
            <w:pPr>
              <w:rPr>
                <w:b/>
                <w:color w:val="FFFFFF"/>
              </w:rPr>
            </w:pPr>
            <w:r>
              <w:rPr>
                <w:b/>
                <w:color w:val="FFFFFF"/>
              </w:rPr>
              <w:t>Support form</w:t>
            </w:r>
          </w:p>
        </w:tc>
        <w:tc>
          <w:tcPr>
            <w:tcW w:w="6788" w:type="dxa"/>
            <w:shd w:val="clear" w:color="auto" w:fill="FFFFFF"/>
            <w:noWrap/>
          </w:tcPr>
          <w:p w14:paraId="5F176A76" w14:textId="77777777" w:rsidR="006D3AD5" w:rsidRPr="002C224A" w:rsidRDefault="006D3AD5" w:rsidP="00443B8F">
            <w:pPr>
              <w:spacing w:after="120"/>
              <w:rPr>
                <w:rFonts w:cs="Calibri"/>
                <w:szCs w:val="22"/>
              </w:rPr>
            </w:pPr>
            <w:r>
              <w:t>Combined support.</w:t>
            </w:r>
          </w:p>
          <w:p w14:paraId="205C1D11" w14:textId="77777777" w:rsidR="006D3AD5" w:rsidRPr="002C224A" w:rsidRDefault="006D3AD5" w:rsidP="00443B8F">
            <w:pPr>
              <w:spacing w:after="120"/>
              <w:rPr>
                <w:rFonts w:cs="Calibri"/>
                <w:szCs w:val="22"/>
              </w:rPr>
            </w:pPr>
            <w:r>
              <w:t>Soft loan with lower interest rate and longer due period.</w:t>
            </w:r>
          </w:p>
          <w:p w14:paraId="08D3D3BF" w14:textId="77777777" w:rsidR="006D3AD5" w:rsidRPr="002C224A" w:rsidRDefault="006D3AD5" w:rsidP="00443B8F">
            <w:pPr>
              <w:spacing w:after="120"/>
              <w:rPr>
                <w:rFonts w:cs="Calibri"/>
                <w:szCs w:val="22"/>
              </w:rPr>
            </w:pPr>
            <w:r>
              <w:t>Financial subsidy for interest reimbursement (interest rate grant - financial subsidy) conditional to achieving required savings.</w:t>
            </w:r>
          </w:p>
          <w:p w14:paraId="416EED33" w14:textId="77777777" w:rsidR="006D3AD5" w:rsidRPr="002C224A" w:rsidRDefault="006D3AD5" w:rsidP="00443B8F">
            <w:pPr>
              <w:rPr>
                <w:b/>
                <w:color w:val="FF0000"/>
              </w:rPr>
            </w:pPr>
            <w:r>
              <w:t>Reimbursement of costs for the energy audit and validation of savings (financial subsidy).</w:t>
            </w:r>
          </w:p>
        </w:tc>
      </w:tr>
      <w:tr w:rsidR="006D3AD5" w:rsidRPr="002C224A" w14:paraId="346809C4" w14:textId="77777777" w:rsidTr="00443B8F">
        <w:tc>
          <w:tcPr>
            <w:tcW w:w="2282" w:type="dxa"/>
            <w:shd w:val="clear" w:color="auto" w:fill="92D400"/>
            <w:noWrap/>
          </w:tcPr>
          <w:p w14:paraId="14D5FCE0" w14:textId="77777777" w:rsidR="006D3AD5" w:rsidRPr="002C224A" w:rsidRDefault="006D3AD5" w:rsidP="00443B8F">
            <w:pPr>
              <w:rPr>
                <w:b/>
                <w:color w:val="FFFFFF"/>
              </w:rPr>
            </w:pPr>
            <w:r>
              <w:rPr>
                <w:b/>
                <w:color w:val="FFFFFF"/>
              </w:rPr>
              <w:t>Support amount</w:t>
            </w:r>
          </w:p>
        </w:tc>
        <w:tc>
          <w:tcPr>
            <w:tcW w:w="6788" w:type="dxa"/>
            <w:shd w:val="clear" w:color="auto" w:fill="FFFFFF"/>
            <w:noWrap/>
          </w:tcPr>
          <w:p w14:paraId="7052D2A5" w14:textId="77777777" w:rsidR="006D3AD5" w:rsidRPr="002C224A" w:rsidRDefault="006D3AD5" w:rsidP="00443B8F">
            <w:r>
              <w:t>Loan and interest rate subsidy will range from CZK 0.5 to 250 million.</w:t>
            </w:r>
          </w:p>
        </w:tc>
      </w:tr>
      <w:tr w:rsidR="006D3AD5" w:rsidRPr="002C224A" w14:paraId="10735142" w14:textId="77777777" w:rsidTr="00443B8F">
        <w:tc>
          <w:tcPr>
            <w:tcW w:w="2282" w:type="dxa"/>
            <w:shd w:val="clear" w:color="auto" w:fill="92D400"/>
            <w:noWrap/>
          </w:tcPr>
          <w:p w14:paraId="164B6791" w14:textId="77777777" w:rsidR="006D3AD5" w:rsidRPr="002C224A" w:rsidRDefault="006D3AD5" w:rsidP="00443B8F">
            <w:pPr>
              <w:rPr>
                <w:b/>
                <w:color w:val="FFFFFF"/>
              </w:rPr>
            </w:pPr>
            <w:r>
              <w:rPr>
                <w:b/>
                <w:color w:val="FFFFFF"/>
              </w:rPr>
              <w:t>Basic parameters of the provided support</w:t>
            </w:r>
          </w:p>
        </w:tc>
        <w:tc>
          <w:tcPr>
            <w:tcW w:w="6788" w:type="dxa"/>
            <w:shd w:val="clear" w:color="auto" w:fill="FFFFFF"/>
            <w:noWrap/>
          </w:tcPr>
          <w:p w14:paraId="65D0E477" w14:textId="77777777" w:rsidR="006D3AD5" w:rsidRPr="002C224A" w:rsidRDefault="006D3AD5" w:rsidP="00443B8F">
            <w:r>
              <w:t xml:space="preserve">We recommend lowering the interest rate for the final recipient to half the market interest rate in the form of using both the financial instrument and </w:t>
            </w:r>
            <w:r>
              <w:lastRenderedPageBreak/>
              <w:t>loan from a private credit institution. To reach such a low interest rate it is necessary for the fund interest rate to be as low as possible.</w:t>
            </w:r>
          </w:p>
          <w:p w14:paraId="19D98B50" w14:textId="77777777" w:rsidR="006D3AD5" w:rsidRPr="002C224A" w:rsidRDefault="006D3AD5" w:rsidP="00443B8F"/>
          <w:p w14:paraId="49C24CFC" w14:textId="783E538B" w:rsidR="006D3AD5" w:rsidRPr="002C224A" w:rsidRDefault="00AE65A1" w:rsidP="00443B8F">
            <w:r>
              <w:t>The soft loan should be provided in parallel with commercial loan of a private credit institution and a co-financing of the final recipient. The share of commercial loan is rec</w:t>
            </w:r>
            <w:r w:rsidR="006D3AD5">
              <w:t>ommended at 50-100% of the soft loan.</w:t>
            </w:r>
          </w:p>
          <w:p w14:paraId="3E103FFB" w14:textId="77777777" w:rsidR="006D3AD5" w:rsidRPr="002C224A" w:rsidRDefault="006D3AD5" w:rsidP="00443B8F"/>
        </w:tc>
      </w:tr>
      <w:tr w:rsidR="006D3AD5" w:rsidRPr="002C224A" w14:paraId="3FD405FE" w14:textId="77777777" w:rsidTr="00443B8F">
        <w:tc>
          <w:tcPr>
            <w:tcW w:w="2282" w:type="dxa"/>
            <w:shd w:val="clear" w:color="auto" w:fill="92D400"/>
            <w:noWrap/>
          </w:tcPr>
          <w:p w14:paraId="330118FC" w14:textId="77777777" w:rsidR="006D3AD5" w:rsidRPr="002C224A" w:rsidRDefault="006D3AD5" w:rsidP="00443B8F">
            <w:pPr>
              <w:rPr>
                <w:b/>
                <w:color w:val="FFFFFF"/>
              </w:rPr>
            </w:pPr>
            <w:r>
              <w:rPr>
                <w:b/>
                <w:color w:val="FFFFFF"/>
              </w:rPr>
              <w:lastRenderedPageBreak/>
              <w:t>Steps for activation of private financial sources</w:t>
            </w:r>
          </w:p>
        </w:tc>
        <w:tc>
          <w:tcPr>
            <w:tcW w:w="6788" w:type="dxa"/>
            <w:shd w:val="clear" w:color="auto" w:fill="FFFFFF"/>
            <w:noWrap/>
          </w:tcPr>
          <w:p w14:paraId="4C284460" w14:textId="77777777" w:rsidR="006D3AD5" w:rsidRPr="002C224A" w:rsidRDefault="006D3AD5" w:rsidP="00443B8F">
            <w:pPr>
              <w:overflowPunct/>
              <w:autoSpaceDE/>
              <w:autoSpaceDN/>
              <w:adjustRightInd/>
              <w:textAlignment w:val="auto"/>
            </w:pPr>
            <w:r>
              <w:t>Preferential remuneration is not suitable. Private credit institutions will be involved in accordance with market conditions, the soft loan instrument will have a secondary lien and therefore it will enable for using further commercial loans.</w:t>
            </w:r>
          </w:p>
        </w:tc>
      </w:tr>
      <w:tr w:rsidR="006D3AD5" w:rsidRPr="002C224A" w14:paraId="7E2C6BD9" w14:textId="77777777" w:rsidTr="00443B8F">
        <w:tc>
          <w:tcPr>
            <w:tcW w:w="2282" w:type="dxa"/>
            <w:shd w:val="clear" w:color="auto" w:fill="92D400"/>
            <w:noWrap/>
          </w:tcPr>
          <w:p w14:paraId="43F6C96D" w14:textId="77777777" w:rsidR="006D3AD5" w:rsidRPr="002C224A" w:rsidRDefault="006D3AD5" w:rsidP="00443B8F">
            <w:pPr>
              <w:rPr>
                <w:b/>
                <w:color w:val="FFFFFF"/>
              </w:rPr>
            </w:pPr>
            <w:r>
              <w:rPr>
                <w:b/>
                <w:color w:val="FFFFFF"/>
              </w:rPr>
              <w:t>Expected allocation</w:t>
            </w:r>
          </w:p>
        </w:tc>
        <w:tc>
          <w:tcPr>
            <w:tcW w:w="6788" w:type="dxa"/>
            <w:shd w:val="clear" w:color="auto" w:fill="FFFFFF"/>
            <w:noWrap/>
          </w:tcPr>
          <w:p w14:paraId="6D9A2081" w14:textId="77777777" w:rsidR="006D3AD5" w:rsidRPr="002C224A" w:rsidRDefault="006D3AD5" w:rsidP="00443B8F">
            <w:r>
              <w:t>We recommend using FI in the range between CZK 1,200 and 2,000 million with lower allocation at the beginning and validation of the absorption capacity.</w:t>
            </w:r>
          </w:p>
          <w:p w14:paraId="4CDDE0C2" w14:textId="77777777" w:rsidR="006D3AD5" w:rsidRPr="002C224A" w:rsidRDefault="006D3AD5" w:rsidP="00443B8F"/>
          <w:p w14:paraId="770461E4" w14:textId="77777777" w:rsidR="006D3AD5" w:rsidRPr="002C224A" w:rsidRDefault="006D3AD5" w:rsidP="00443B8F">
            <w:r>
              <w:t>In case of practical combinability of a soft loan with a subsidy support up to the limit of a public support it is possible to extend the FI allocation.</w:t>
            </w:r>
          </w:p>
        </w:tc>
      </w:tr>
    </w:tbl>
    <w:p w14:paraId="09326623" w14:textId="62DD5DB0" w:rsidR="006D3AD5" w:rsidRPr="002C224A" w:rsidRDefault="006D3AD5" w:rsidP="006D3AD5">
      <w:pPr>
        <w:pStyle w:val="Titulek"/>
      </w:pPr>
      <w:r>
        <w:t xml:space="preserve">Table </w:t>
      </w:r>
      <w:r w:rsidR="008E5253">
        <w:t>1</w:t>
      </w:r>
      <w:r w:rsidR="00B90ACD">
        <w:t>30</w:t>
      </w:r>
      <w:r>
        <w:t>: Summary of the SO 3.1 FI</w:t>
      </w:r>
    </w:p>
    <w:p w14:paraId="6D84FB65" w14:textId="77777777" w:rsidR="006D3AD5" w:rsidRPr="002C224A" w:rsidRDefault="006D3AD5" w:rsidP="006D3AD5">
      <w:pPr>
        <w:pStyle w:val="Nadpis3"/>
        <w:rPr>
          <w:rFonts w:ascii="Calibri" w:hAnsi="Calibri"/>
        </w:rPr>
      </w:pPr>
      <w:bookmarkStart w:id="1392" w:name="_Toc416909663"/>
      <w:bookmarkStart w:id="1393" w:name="_Toc417545046"/>
      <w:bookmarkStart w:id="1394" w:name="_Toc416909664"/>
      <w:bookmarkStart w:id="1395" w:name="_Toc417545047"/>
      <w:bookmarkStart w:id="1396" w:name="_Toc416909669"/>
      <w:bookmarkStart w:id="1397" w:name="_Toc417545052"/>
      <w:bookmarkStart w:id="1398" w:name="_Toc416909688"/>
      <w:bookmarkStart w:id="1399" w:name="_Toc417545071"/>
      <w:bookmarkStart w:id="1400" w:name="_Toc416909710"/>
      <w:bookmarkStart w:id="1401" w:name="_Toc417545093"/>
      <w:bookmarkStart w:id="1402" w:name="_Toc416909712"/>
      <w:bookmarkStart w:id="1403" w:name="_Toc417545095"/>
      <w:bookmarkStart w:id="1404" w:name="_Toc416909714"/>
      <w:bookmarkStart w:id="1405" w:name="_Toc417545097"/>
      <w:bookmarkStart w:id="1406" w:name="_Toc416909715"/>
      <w:bookmarkStart w:id="1407" w:name="_Toc417545098"/>
      <w:bookmarkStart w:id="1408" w:name="_Toc416909716"/>
      <w:bookmarkStart w:id="1409" w:name="_Toc417545099"/>
      <w:bookmarkStart w:id="1410" w:name="_Toc416909717"/>
      <w:bookmarkStart w:id="1411" w:name="_Toc417545100"/>
      <w:bookmarkStart w:id="1412" w:name="_Toc416909739"/>
      <w:bookmarkStart w:id="1413" w:name="_Toc417545122"/>
      <w:bookmarkStart w:id="1414" w:name="_Toc416909761"/>
      <w:bookmarkStart w:id="1415" w:name="_Toc417545144"/>
      <w:bookmarkStart w:id="1416" w:name="_Toc416909763"/>
      <w:bookmarkStart w:id="1417" w:name="_Toc417545146"/>
      <w:bookmarkStart w:id="1418" w:name="_Toc416448077"/>
      <w:bookmarkStart w:id="1419" w:name="_Toc416448078"/>
      <w:bookmarkStart w:id="1420" w:name="_Toc416800512"/>
      <w:bookmarkStart w:id="1421" w:name="_Toc419183286"/>
      <w:bookmarkStart w:id="1422" w:name="_Toc422312152"/>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Pr>
          <w:rFonts w:ascii="Calibri" w:hAnsi="Calibri"/>
        </w:rPr>
        <w:t>Specific objective 3.5</w:t>
      </w:r>
      <w:bookmarkEnd w:id="1420"/>
      <w:bookmarkEnd w:id="1421"/>
      <w:bookmarkEnd w:id="1422"/>
    </w:p>
    <w:p w14:paraId="21AD31C0" w14:textId="77777777" w:rsidR="006D3AD5" w:rsidRPr="002C224A" w:rsidRDefault="006D3AD5" w:rsidP="006D3AD5">
      <w:pPr>
        <w:pStyle w:val="Nadpis4"/>
        <w:rPr>
          <w:rFonts w:ascii="Calibri" w:hAnsi="Calibri"/>
        </w:rPr>
      </w:pPr>
      <w:bookmarkStart w:id="1423" w:name="_Toc416800513"/>
      <w:r>
        <w:rPr>
          <w:rFonts w:ascii="Calibri" w:hAnsi="Calibri"/>
        </w:rPr>
        <w:t>Forms of financial instruments and allocation amount</w:t>
      </w:r>
    </w:p>
    <w:p w14:paraId="0C5A677F" w14:textId="77777777" w:rsidR="006D3AD5" w:rsidRPr="00A50943" w:rsidRDefault="006D3AD5" w:rsidP="006D3AD5"/>
    <w:bookmarkEnd w:id="1423"/>
    <w:p w14:paraId="03413753" w14:textId="77777777" w:rsidR="006D3AD5" w:rsidRPr="002C224A" w:rsidRDefault="006D3AD5" w:rsidP="006D3AD5">
      <w:r>
        <w:t xml:space="preserve">The specific objective </w:t>
      </w:r>
      <w:r>
        <w:rPr>
          <w:b/>
        </w:rPr>
        <w:t xml:space="preserve">3.5 – "Increase the effectiveness of heat supply systems" </w:t>
      </w:r>
      <w:r>
        <w:t>shows partial potential for inclusion of financial instruments primarily in the form of soft loans. The significant barrier for investments and usage of the FI is nevertheless the fact that the sector is regulated, investment costs are high and the return period is very long. In case of heat supply systems (HSS) the investments are further complicated by the guarantee problem.</w:t>
      </w:r>
    </w:p>
    <w:p w14:paraId="77F429DD" w14:textId="77777777" w:rsidR="006D3AD5" w:rsidRPr="002C224A" w:rsidRDefault="006D3AD5" w:rsidP="006D3AD5"/>
    <w:p w14:paraId="6CF704C3" w14:textId="77777777" w:rsidR="006D3AD5" w:rsidRPr="002C224A" w:rsidRDefault="006D3AD5" w:rsidP="006D3AD5">
      <w:r>
        <w:t xml:space="preserve">Very long return period is characteristic especially for such HSS where the period is longer than 10 years which is a problem despite the long lifespan of such investments. Therefore the potential of a pure financial instrument is significantly lower in this activity. A </w:t>
      </w:r>
      <w:r>
        <w:rPr>
          <w:b/>
        </w:rPr>
        <w:t>combination of a soft loan or a guarantee with subsidy support</w:t>
      </w:r>
      <w:r>
        <w:t xml:space="preserve"> up to the limit of the public support could nevertheless be effective. Relatively lower subsidy element would be extended by a financial instrument that would simplify external financing of the investment and would introduce the revolving effect. The FI combination with a subsidy could only be used for different eligible cost in separate operations and its technical feasibility and implementation costs must be further evaluated.</w:t>
      </w:r>
    </w:p>
    <w:p w14:paraId="5B7E98F6" w14:textId="77777777" w:rsidR="006D3AD5" w:rsidRPr="002C224A" w:rsidRDefault="006D3AD5" w:rsidP="006D3AD5"/>
    <w:p w14:paraId="22BEF368" w14:textId="77777777" w:rsidR="006D3AD5" w:rsidRPr="002C224A" w:rsidRDefault="006D3AD5" w:rsidP="006D3AD5">
      <w:r>
        <w:t>In the CPEH area we consider using the soft loan instrument as the most suitable variant. Investments into new units installations and reconstructions of current units have thanks to the operational support relatively acceptable returns. Soft loans should lower costs of external investment financing especially for smaller subjects and should motivate for realization of such measures and make their initial phase easier.</w:t>
      </w:r>
    </w:p>
    <w:p w14:paraId="128C8EB0" w14:textId="77777777" w:rsidR="006D3AD5" w:rsidRPr="002C224A" w:rsidRDefault="006D3AD5" w:rsidP="006D3AD5"/>
    <w:p w14:paraId="354AA85D" w14:textId="77777777" w:rsidR="006D3AD5" w:rsidRPr="002C224A" w:rsidRDefault="006D3AD5" w:rsidP="006D3AD5">
      <w:r>
        <w:t>For this reason we propose in the CPEH area to apply a soft loan with reduced interest rate and longer due period supplemented by subsidy for the project preparation and conditional subsidy for reimbursement of interest costs after the project completion conditional to achieving defined effectiveness goals. The soft loan should not lead to over-compensation of the support within the combination with operational support. The mutual combination must be discussed with the Energy Regulatory Office (ERO).</w:t>
      </w:r>
    </w:p>
    <w:p w14:paraId="0C29DAFE" w14:textId="77777777" w:rsidR="006D3AD5" w:rsidRPr="002C224A" w:rsidRDefault="006D3AD5" w:rsidP="006D3AD5"/>
    <w:p w14:paraId="3CC308A2" w14:textId="77777777" w:rsidR="006D3AD5" w:rsidRPr="002C224A" w:rsidRDefault="006D3AD5" w:rsidP="006D3AD5">
      <w:r>
        <w:lastRenderedPageBreak/>
        <w:t>The FI allocation proposal in the SO 3.1 is based on the expected CPEH absorption capacity. As the framework model of the instrument results shows, the allocation in the range of CZK 500 - 700 million should adequately support the investment demand within this objective. Within the pilot validation of the FI absorption capacity the proposed allocation for the first phase is CZK 300 million.</w:t>
      </w:r>
    </w:p>
    <w:p w14:paraId="212EF7D5" w14:textId="77777777" w:rsidR="006D3AD5" w:rsidRPr="002C224A" w:rsidRDefault="006D3AD5" w:rsidP="006D3AD5"/>
    <w:p w14:paraId="21E67D13" w14:textId="77777777" w:rsidR="006D3AD5" w:rsidRPr="002C224A" w:rsidRDefault="006D3AD5" w:rsidP="006D3AD5">
      <w:pPr>
        <w:pStyle w:val="Nadpis4"/>
        <w:rPr>
          <w:rFonts w:ascii="Calibri" w:hAnsi="Calibri"/>
        </w:rPr>
      </w:pPr>
      <w:bookmarkStart w:id="1424" w:name="_Toc416800514"/>
      <w:r>
        <w:rPr>
          <w:rFonts w:ascii="Calibri" w:hAnsi="Calibri"/>
        </w:rPr>
        <w:t>Most suitable implementation possibilities</w:t>
      </w:r>
    </w:p>
    <w:p w14:paraId="2258FB73" w14:textId="77777777" w:rsidR="006D3AD5" w:rsidRPr="00A50943" w:rsidRDefault="006D3AD5" w:rsidP="006D3AD5"/>
    <w:bookmarkEnd w:id="1424"/>
    <w:p w14:paraId="4AB3316F" w14:textId="61600E64" w:rsidR="006D3AD5" w:rsidRPr="00A50943" w:rsidRDefault="003D62D4" w:rsidP="006D3AD5">
      <w:r w:rsidRPr="008517EA">
        <w:rPr>
          <w:noProof/>
          <w:szCs w:val="22"/>
        </w:rPr>
        <w:drawing>
          <wp:anchor distT="0" distB="0" distL="114300" distR="114300" simplePos="0" relativeHeight="251672064" behindDoc="0" locked="0" layoutInCell="1" allowOverlap="1" wp14:anchorId="488A6689" wp14:editId="008C66C5">
            <wp:simplePos x="0" y="0"/>
            <wp:positionH relativeFrom="margin">
              <wp:posOffset>0</wp:posOffset>
            </wp:positionH>
            <wp:positionV relativeFrom="paragraph">
              <wp:posOffset>163195</wp:posOffset>
            </wp:positionV>
            <wp:extent cx="5353050" cy="3691890"/>
            <wp:effectExtent l="0" t="0" r="0" b="3810"/>
            <wp:wrapTopAndBottom/>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C542D" w14:textId="63CFA344" w:rsidR="006D3AD5" w:rsidRPr="002C224A" w:rsidRDefault="006D3AD5" w:rsidP="006D3AD5">
      <w:pPr>
        <w:pStyle w:val="Titulek"/>
      </w:pPr>
      <w:r>
        <w:t xml:space="preserve">Figure </w:t>
      </w:r>
      <w:r w:rsidR="00B8502D">
        <w:t>58</w:t>
      </w:r>
      <w:r>
        <w:t>: Framework scheme of the soft loan instrument</w:t>
      </w:r>
    </w:p>
    <w:p w14:paraId="57B62EEB" w14:textId="77777777" w:rsidR="006D3AD5" w:rsidRPr="002C224A" w:rsidRDefault="006D3AD5" w:rsidP="006D3AD5">
      <w:pPr>
        <w:pStyle w:val="Nadpis4"/>
        <w:rPr>
          <w:rFonts w:ascii="Calibri" w:hAnsi="Calibri"/>
        </w:rPr>
      </w:pPr>
      <w:r>
        <w:rPr>
          <w:rFonts w:ascii="Calibri" w:hAnsi="Calibri"/>
        </w:rPr>
        <w:t>Model scenarios of portfolio development, number of investments and the revolving effect</w:t>
      </w:r>
    </w:p>
    <w:p w14:paraId="0332CEC8" w14:textId="77777777" w:rsidR="006D3AD5" w:rsidRPr="002C224A" w:rsidRDefault="006D3AD5" w:rsidP="006D3AD5">
      <w:r>
        <w:t>Below you can find the results of modelling of potential effects of using the proposed part of specific objective allocation for the financial instrument including the specification of initial attributes the model is based on. These are model examples that could be used as a guidance and should be respected in general during the FI implementation. Nevertheless they cannot be considered binding given the conditions presented further.</w:t>
      </w:r>
    </w:p>
    <w:p w14:paraId="4F33873A" w14:textId="77777777" w:rsidR="006D3AD5" w:rsidRPr="00A50943" w:rsidRDefault="006D3AD5" w:rsidP="006D3AD5">
      <w:pPr>
        <w:pStyle w:val="Neslovannadpisy"/>
      </w:pPr>
    </w:p>
    <w:p w14:paraId="06D79B3C" w14:textId="77777777" w:rsidR="006D3AD5" w:rsidRPr="002C224A" w:rsidRDefault="006D3AD5" w:rsidP="006D3AD5">
      <w:pPr>
        <w:pStyle w:val="Neslovannadpisy"/>
        <w:rPr>
          <w:b w:val="0"/>
        </w:rPr>
      </w:pPr>
      <w:r>
        <w:t>Credit instrument</w:t>
      </w:r>
    </w:p>
    <w:p w14:paraId="186B0B24" w14:textId="77777777" w:rsidR="006D3AD5" w:rsidRDefault="006D3AD5" w:rsidP="006D3AD5">
      <w:r>
        <w:t xml:space="preserve">For clarity reasons the credit model example does not take into account the interest income and costs for managing of the co-financing subject with regard to their expected mutual partial compensation. The model shows scenarios for different levels of expected losses and a scenario for subsidies on the interest payments and project preparation. </w:t>
      </w:r>
      <w:r>
        <w:rPr>
          <w:b/>
        </w:rPr>
        <w:t>The deferment of instalments is not taken into account in the model calculation</w:t>
      </w:r>
      <w:r>
        <w:t>. In case of its use it is necessary to expect partial restriction of revolving and therefore the number of provided loans for the programming period. The revolving effects will be postponed into the next period (in case of five-year deferment of instalments the repayments would start after 2020).</w:t>
      </w:r>
    </w:p>
    <w:p w14:paraId="5D971C59" w14:textId="77777777" w:rsidR="006D3AD5" w:rsidRPr="002C224A" w:rsidRDefault="006D3AD5" w:rsidP="006D3AD5"/>
    <w:p w14:paraId="09276BFC" w14:textId="77777777" w:rsidR="006D3AD5" w:rsidRPr="002C224A" w:rsidRDefault="006D3AD5" w:rsidP="006D3AD5">
      <w:pPr>
        <w:pStyle w:val="Titulek"/>
      </w:pPr>
      <w:r>
        <w:rPr>
          <w:noProof/>
          <w:lang w:eastAsia="cs-CZ"/>
        </w:rPr>
        <w:lastRenderedPageBreak/>
        <w:drawing>
          <wp:inline distT="0" distB="0" distL="0" distR="0" wp14:anchorId="6FE52FE9" wp14:editId="466BF647">
            <wp:extent cx="4378960" cy="2942590"/>
            <wp:effectExtent l="0" t="0" r="21590" b="10160"/>
            <wp:docPr id="204" name="Graf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665A5E" w14:textId="27D55B14" w:rsidR="006D3AD5" w:rsidRPr="002C224A" w:rsidRDefault="004929D6" w:rsidP="006D3AD5">
      <w:pPr>
        <w:pStyle w:val="Titulek"/>
      </w:pPr>
      <w:r>
        <w:t>Figure </w:t>
      </w:r>
      <w:r w:rsidR="00B8502D">
        <w:t>59</w:t>
      </w:r>
      <w:r w:rsidR="006D3AD5">
        <w:t xml:space="preserve">: Potential effects of using the FI (Scenario 1, losses 10%, no subsidy) </w:t>
      </w:r>
    </w:p>
    <w:p w14:paraId="1F2FF5B1" w14:textId="77777777" w:rsidR="000A7849" w:rsidRDefault="000A7849" w:rsidP="000A7849">
      <w:pPr>
        <w:rPr>
          <w:lang w:eastAsia="en-US"/>
        </w:rPr>
      </w:pPr>
      <w:r>
        <w:rPr>
          <w:lang w:eastAsia="en-US"/>
        </w:rPr>
        <w:t>Proinvestované prostředky = Invested funds</w:t>
      </w:r>
    </w:p>
    <w:p w14:paraId="0DF15C59" w14:textId="77777777" w:rsidR="000A7849" w:rsidRPr="00850075" w:rsidRDefault="000A7849" w:rsidP="000A7849">
      <w:pPr>
        <w:rPr>
          <w:lang w:eastAsia="en-US"/>
        </w:rPr>
      </w:pPr>
      <w:r>
        <w:rPr>
          <w:lang w:eastAsia="en-US"/>
        </w:rPr>
        <w:t>Kumulované proinvestované prostředky = total accumulated invested funds</w:t>
      </w:r>
    </w:p>
    <w:p w14:paraId="041E833F" w14:textId="77777777" w:rsidR="006D3AD5" w:rsidRPr="002C224A" w:rsidRDefault="006D3AD5" w:rsidP="006D3AD5">
      <w:pPr>
        <w:pStyle w:val="CaptionIntroductionparagraph"/>
        <w:rPr>
          <w:rFonts w:ascii="Calibri" w:hAnsi="Calibri"/>
        </w:rPr>
      </w:pPr>
      <w:r>
        <w:t xml:space="preserve"> </w:t>
      </w:r>
    </w:p>
    <w:p w14:paraId="219DC57B" w14:textId="77777777" w:rsidR="006D3AD5" w:rsidRPr="00A50943" w:rsidRDefault="006D3AD5" w:rsidP="006D3AD5">
      <w:r>
        <w:rPr>
          <w:noProof/>
        </w:rPr>
        <w:drawing>
          <wp:inline distT="0" distB="0" distL="0" distR="0" wp14:anchorId="36D3ECB7" wp14:editId="7B2D0A09">
            <wp:extent cx="4378960" cy="2942590"/>
            <wp:effectExtent l="0" t="0" r="21590" b="10160"/>
            <wp:docPr id="203" name="Graf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CADBF00" w14:textId="77F03A2B" w:rsidR="006D3AD5" w:rsidRPr="002C224A" w:rsidRDefault="004929D6" w:rsidP="006D3AD5">
      <w:pPr>
        <w:pStyle w:val="Titulek"/>
      </w:pPr>
      <w:r>
        <w:t>Figure </w:t>
      </w:r>
      <w:r w:rsidR="00B8502D">
        <w:t>60</w:t>
      </w:r>
      <w:r w:rsidR="006D3AD5">
        <w:t xml:space="preserve">: Potential effects of using the FI (Scenario 2, losses 20 %, no subsidy) </w:t>
      </w:r>
    </w:p>
    <w:p w14:paraId="70852921" w14:textId="77777777" w:rsidR="006D3AD5" w:rsidRPr="00A50943" w:rsidRDefault="006D3AD5" w:rsidP="006D3AD5"/>
    <w:p w14:paraId="3F87D7CA" w14:textId="77777777" w:rsidR="006D3AD5" w:rsidRPr="002C224A" w:rsidRDefault="006D3AD5" w:rsidP="006D3AD5">
      <w:r>
        <w:lastRenderedPageBreak/>
        <w:t xml:space="preserve"> </w:t>
      </w:r>
      <w:r>
        <w:rPr>
          <w:noProof/>
        </w:rPr>
        <w:drawing>
          <wp:inline distT="0" distB="0" distL="0" distR="0" wp14:anchorId="09E6E825" wp14:editId="7A648411">
            <wp:extent cx="4378960" cy="2942590"/>
            <wp:effectExtent l="0" t="0" r="21590" b="10160"/>
            <wp:docPr id="202" name="Graf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96E4383" w14:textId="2174BBC3" w:rsidR="006D3AD5" w:rsidRPr="002C224A" w:rsidRDefault="004929D6" w:rsidP="006D3AD5">
      <w:pPr>
        <w:pStyle w:val="Titulek"/>
      </w:pPr>
      <w:r>
        <w:t>Figure </w:t>
      </w:r>
      <w:r w:rsidR="00B8502D">
        <w:t>61</w:t>
      </w:r>
      <w:r w:rsidR="006D3AD5">
        <w:t xml:space="preserve">: Potential effects of using the FI (Scenario 3, losses 10%, with subsidy) </w:t>
      </w:r>
    </w:p>
    <w:p w14:paraId="7620DE57" w14:textId="77777777" w:rsidR="006D3AD5" w:rsidRPr="00A50943" w:rsidRDefault="006D3AD5" w:rsidP="006D3AD5"/>
    <w:p w14:paraId="65FEA311" w14:textId="77777777" w:rsidR="006D3AD5" w:rsidRPr="002C224A" w:rsidRDefault="006D3AD5" w:rsidP="006D3AD5">
      <w:r>
        <w:t xml:space="preserve">Legend: </w:t>
      </w:r>
    </w:p>
    <w:p w14:paraId="74C2BFEE"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Blue columns represent soft loans provided from the OP EIC in individual years</w:t>
      </w:r>
    </w:p>
    <w:p w14:paraId="6E49F7DB" w14:textId="77777777" w:rsidR="006D3AD5" w:rsidRPr="002C224A" w:rsidRDefault="006D3AD5" w:rsidP="006D3AD5">
      <w:pPr>
        <w:pStyle w:val="Odstavecseseznamem1"/>
        <w:numPr>
          <w:ilvl w:val="0"/>
          <w:numId w:val="37"/>
        </w:numPr>
        <w:overflowPunct/>
        <w:autoSpaceDE/>
        <w:autoSpaceDN/>
        <w:adjustRightInd/>
        <w:contextualSpacing w:val="0"/>
        <w:textAlignment w:val="auto"/>
      </w:pPr>
      <w:r>
        <w:t>Green line is the cumulated total of these loans</w:t>
      </w:r>
    </w:p>
    <w:p w14:paraId="26B68A11" w14:textId="1653EE93" w:rsidR="006D3AD5" w:rsidRPr="002C224A" w:rsidRDefault="006D3AD5" w:rsidP="006D3AD5">
      <w:pPr>
        <w:pStyle w:val="Titulek"/>
      </w:pPr>
      <w:r>
        <w:t xml:space="preserve">Table </w:t>
      </w:r>
      <w:r w:rsidR="008E5253">
        <w:t>13</w:t>
      </w:r>
      <w:r w:rsidR="00B90ACD">
        <w:t>1</w:t>
      </w:r>
      <w:r>
        <w:t>: Model parameters</w:t>
      </w: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252"/>
        <w:gridCol w:w="1417"/>
      </w:tblGrid>
      <w:tr w:rsidR="006D3AD5" w:rsidRPr="002C224A" w14:paraId="55FA7600" w14:textId="77777777" w:rsidTr="00443B8F">
        <w:trPr>
          <w:trHeight w:val="240"/>
          <w:jc w:val="center"/>
        </w:trPr>
        <w:tc>
          <w:tcPr>
            <w:tcW w:w="4252" w:type="dxa"/>
            <w:noWrap/>
            <w:vAlign w:val="center"/>
          </w:tcPr>
          <w:p w14:paraId="43DB6B3E" w14:textId="77777777" w:rsidR="006D3AD5" w:rsidRPr="00A50943" w:rsidRDefault="006D3AD5" w:rsidP="00443B8F">
            <w:pPr>
              <w:jc w:val="left"/>
              <w:rPr>
                <w:color w:val="000000"/>
                <w:sz w:val="18"/>
                <w:szCs w:val="18"/>
              </w:rPr>
            </w:pPr>
            <w:r>
              <w:rPr>
                <w:color w:val="000000"/>
                <w:sz w:val="18"/>
              </w:rPr>
              <w:t xml:space="preserve">OP EIC allocation </w:t>
            </w:r>
          </w:p>
        </w:tc>
        <w:tc>
          <w:tcPr>
            <w:tcW w:w="1417" w:type="dxa"/>
            <w:noWrap/>
            <w:vAlign w:val="center"/>
          </w:tcPr>
          <w:p w14:paraId="53AE04C9" w14:textId="77777777" w:rsidR="006D3AD5" w:rsidRPr="002C224A" w:rsidRDefault="006D3AD5" w:rsidP="00443B8F">
            <w:pPr>
              <w:jc w:val="right"/>
              <w:rPr>
                <w:color w:val="000000"/>
                <w:sz w:val="18"/>
                <w:szCs w:val="18"/>
              </w:rPr>
            </w:pPr>
            <w:r>
              <w:rPr>
                <w:color w:val="000000"/>
                <w:sz w:val="18"/>
              </w:rPr>
              <w:t>CZK 300 million</w:t>
            </w:r>
          </w:p>
        </w:tc>
      </w:tr>
      <w:tr w:rsidR="006D3AD5" w:rsidRPr="002C224A" w14:paraId="44CF74A2" w14:textId="77777777" w:rsidTr="00443B8F">
        <w:trPr>
          <w:trHeight w:val="240"/>
          <w:jc w:val="center"/>
        </w:trPr>
        <w:tc>
          <w:tcPr>
            <w:tcW w:w="4252" w:type="dxa"/>
            <w:noWrap/>
            <w:vAlign w:val="center"/>
          </w:tcPr>
          <w:p w14:paraId="048DB5D2" w14:textId="77777777" w:rsidR="006D3AD5" w:rsidRPr="002C224A" w:rsidRDefault="006D3AD5" w:rsidP="00443B8F">
            <w:pPr>
              <w:jc w:val="left"/>
              <w:rPr>
                <w:color w:val="000000"/>
                <w:sz w:val="18"/>
                <w:szCs w:val="18"/>
              </w:rPr>
            </w:pPr>
            <w:r>
              <w:rPr>
                <w:color w:val="000000"/>
                <w:sz w:val="18"/>
              </w:rPr>
              <w:t>Interest of sources provided from the OP EIC</w:t>
            </w:r>
          </w:p>
        </w:tc>
        <w:tc>
          <w:tcPr>
            <w:tcW w:w="1417" w:type="dxa"/>
            <w:noWrap/>
            <w:vAlign w:val="center"/>
          </w:tcPr>
          <w:p w14:paraId="4B84E845" w14:textId="77777777" w:rsidR="006D3AD5" w:rsidRPr="002C224A" w:rsidRDefault="006D3AD5" w:rsidP="00443B8F">
            <w:pPr>
              <w:jc w:val="right"/>
              <w:rPr>
                <w:color w:val="000000"/>
                <w:sz w:val="18"/>
                <w:szCs w:val="18"/>
              </w:rPr>
            </w:pPr>
            <w:r>
              <w:rPr>
                <w:color w:val="000000"/>
                <w:sz w:val="18"/>
              </w:rPr>
              <w:t>0.50 %</w:t>
            </w:r>
          </w:p>
        </w:tc>
      </w:tr>
      <w:tr w:rsidR="006D3AD5" w:rsidRPr="002C224A" w14:paraId="0FE9FC94" w14:textId="77777777" w:rsidTr="00443B8F">
        <w:trPr>
          <w:trHeight w:val="240"/>
          <w:jc w:val="center"/>
        </w:trPr>
        <w:tc>
          <w:tcPr>
            <w:tcW w:w="4252" w:type="dxa"/>
            <w:noWrap/>
            <w:vAlign w:val="center"/>
          </w:tcPr>
          <w:p w14:paraId="65BA5553" w14:textId="77777777" w:rsidR="006D3AD5" w:rsidRPr="002C224A" w:rsidRDefault="006D3AD5" w:rsidP="00443B8F">
            <w:pPr>
              <w:jc w:val="left"/>
              <w:rPr>
                <w:color w:val="000000"/>
                <w:sz w:val="18"/>
                <w:szCs w:val="18"/>
              </w:rPr>
            </w:pPr>
            <w:r>
              <w:rPr>
                <w:color w:val="000000"/>
                <w:sz w:val="18"/>
              </w:rPr>
              <w:t>Required interest of the co-financing subject</w:t>
            </w:r>
          </w:p>
        </w:tc>
        <w:tc>
          <w:tcPr>
            <w:tcW w:w="1417" w:type="dxa"/>
            <w:noWrap/>
            <w:vAlign w:val="center"/>
          </w:tcPr>
          <w:p w14:paraId="38682F43" w14:textId="77777777" w:rsidR="006D3AD5" w:rsidRPr="002C224A" w:rsidRDefault="006D3AD5" w:rsidP="00443B8F">
            <w:pPr>
              <w:jc w:val="right"/>
              <w:rPr>
                <w:color w:val="000000"/>
                <w:sz w:val="18"/>
                <w:szCs w:val="18"/>
              </w:rPr>
            </w:pPr>
            <w:r>
              <w:rPr>
                <w:color w:val="000000"/>
                <w:sz w:val="18"/>
              </w:rPr>
              <w:t>3.50 %</w:t>
            </w:r>
          </w:p>
        </w:tc>
      </w:tr>
      <w:tr w:rsidR="006D3AD5" w:rsidRPr="002C224A" w14:paraId="3F3B8E19" w14:textId="77777777" w:rsidTr="00443B8F">
        <w:trPr>
          <w:trHeight w:val="240"/>
          <w:jc w:val="center"/>
        </w:trPr>
        <w:tc>
          <w:tcPr>
            <w:tcW w:w="4252" w:type="dxa"/>
            <w:noWrap/>
            <w:vAlign w:val="center"/>
          </w:tcPr>
          <w:p w14:paraId="1E8B6813" w14:textId="77777777" w:rsidR="006D3AD5" w:rsidRPr="002C224A" w:rsidRDefault="006D3AD5" w:rsidP="00443B8F">
            <w:pPr>
              <w:jc w:val="left"/>
              <w:rPr>
                <w:color w:val="000000"/>
                <w:sz w:val="18"/>
                <w:szCs w:val="18"/>
              </w:rPr>
            </w:pPr>
            <w:r>
              <w:rPr>
                <w:color w:val="000000"/>
                <w:sz w:val="18"/>
              </w:rPr>
              <w:t>Limit of the amount of the result interest rate on the loan for the recipient</w:t>
            </w:r>
          </w:p>
        </w:tc>
        <w:tc>
          <w:tcPr>
            <w:tcW w:w="1417" w:type="dxa"/>
            <w:noWrap/>
            <w:vAlign w:val="center"/>
          </w:tcPr>
          <w:p w14:paraId="65245E1E" w14:textId="77777777" w:rsidR="006D3AD5" w:rsidRPr="002C224A" w:rsidRDefault="006D3AD5" w:rsidP="00443B8F">
            <w:pPr>
              <w:jc w:val="right"/>
              <w:rPr>
                <w:color w:val="000000"/>
                <w:sz w:val="18"/>
                <w:szCs w:val="18"/>
              </w:rPr>
            </w:pPr>
            <w:r>
              <w:rPr>
                <w:color w:val="000000"/>
                <w:sz w:val="18"/>
              </w:rPr>
              <w:t>2.00 %</w:t>
            </w:r>
          </w:p>
        </w:tc>
      </w:tr>
      <w:tr w:rsidR="006D3AD5" w:rsidRPr="002C224A" w14:paraId="033D9703" w14:textId="77777777" w:rsidTr="00443B8F">
        <w:trPr>
          <w:trHeight w:val="240"/>
          <w:jc w:val="center"/>
        </w:trPr>
        <w:tc>
          <w:tcPr>
            <w:tcW w:w="4252" w:type="dxa"/>
            <w:noWrap/>
            <w:vAlign w:val="center"/>
          </w:tcPr>
          <w:p w14:paraId="6AC72FD1" w14:textId="77777777" w:rsidR="006D3AD5" w:rsidRPr="002C224A" w:rsidRDefault="006D3AD5" w:rsidP="00443B8F">
            <w:pPr>
              <w:jc w:val="left"/>
              <w:rPr>
                <w:color w:val="000000"/>
                <w:sz w:val="18"/>
                <w:szCs w:val="18"/>
              </w:rPr>
            </w:pPr>
            <w:r>
              <w:rPr>
                <w:color w:val="000000"/>
                <w:sz w:val="18"/>
              </w:rPr>
              <w:t xml:space="preserve">Own sources of applicants </w:t>
            </w:r>
          </w:p>
        </w:tc>
        <w:tc>
          <w:tcPr>
            <w:tcW w:w="1417" w:type="dxa"/>
            <w:noWrap/>
            <w:vAlign w:val="center"/>
          </w:tcPr>
          <w:p w14:paraId="768263DA" w14:textId="77777777" w:rsidR="006D3AD5" w:rsidRPr="002C224A" w:rsidRDefault="006D3AD5" w:rsidP="00443B8F">
            <w:pPr>
              <w:jc w:val="right"/>
              <w:rPr>
                <w:color w:val="000000"/>
                <w:sz w:val="18"/>
                <w:szCs w:val="18"/>
              </w:rPr>
            </w:pPr>
            <w:r>
              <w:rPr>
                <w:color w:val="000000"/>
                <w:sz w:val="18"/>
              </w:rPr>
              <w:t>20.00 %</w:t>
            </w:r>
          </w:p>
        </w:tc>
      </w:tr>
      <w:tr w:rsidR="006D3AD5" w:rsidRPr="002C224A" w14:paraId="2849F9BE" w14:textId="77777777" w:rsidTr="00443B8F">
        <w:trPr>
          <w:trHeight w:val="240"/>
          <w:jc w:val="center"/>
        </w:trPr>
        <w:tc>
          <w:tcPr>
            <w:tcW w:w="4252" w:type="dxa"/>
            <w:noWrap/>
            <w:vAlign w:val="center"/>
          </w:tcPr>
          <w:p w14:paraId="6CD70875" w14:textId="77777777" w:rsidR="006D3AD5" w:rsidRPr="002C224A" w:rsidRDefault="006D3AD5" w:rsidP="00443B8F">
            <w:pPr>
              <w:jc w:val="left"/>
              <w:rPr>
                <w:color w:val="000000"/>
                <w:sz w:val="18"/>
                <w:szCs w:val="18"/>
              </w:rPr>
            </w:pPr>
            <w:r>
              <w:rPr>
                <w:color w:val="000000"/>
                <w:sz w:val="18"/>
              </w:rPr>
              <w:t>Percentage of involvement of the co-financing subject</w:t>
            </w:r>
          </w:p>
        </w:tc>
        <w:tc>
          <w:tcPr>
            <w:tcW w:w="1417" w:type="dxa"/>
            <w:noWrap/>
            <w:vAlign w:val="center"/>
          </w:tcPr>
          <w:p w14:paraId="106C5D75" w14:textId="77777777" w:rsidR="006D3AD5" w:rsidRPr="002C224A" w:rsidRDefault="006D3AD5" w:rsidP="00443B8F">
            <w:pPr>
              <w:jc w:val="right"/>
              <w:rPr>
                <w:color w:val="000000"/>
                <w:sz w:val="18"/>
                <w:szCs w:val="18"/>
              </w:rPr>
            </w:pPr>
            <w:r>
              <w:rPr>
                <w:color w:val="000000"/>
                <w:sz w:val="18"/>
              </w:rPr>
              <w:t>40.00 %</w:t>
            </w:r>
          </w:p>
        </w:tc>
      </w:tr>
      <w:tr w:rsidR="006D3AD5" w:rsidRPr="002C224A" w14:paraId="63AD6E16" w14:textId="77777777" w:rsidTr="00443B8F">
        <w:trPr>
          <w:trHeight w:val="240"/>
          <w:jc w:val="center"/>
        </w:trPr>
        <w:tc>
          <w:tcPr>
            <w:tcW w:w="4252" w:type="dxa"/>
            <w:noWrap/>
            <w:vAlign w:val="center"/>
          </w:tcPr>
          <w:p w14:paraId="38FEB641" w14:textId="77777777" w:rsidR="006D3AD5" w:rsidRPr="002C224A" w:rsidRDefault="006D3AD5" w:rsidP="00443B8F">
            <w:pPr>
              <w:jc w:val="left"/>
              <w:rPr>
                <w:color w:val="000000"/>
                <w:sz w:val="18"/>
                <w:szCs w:val="18"/>
              </w:rPr>
            </w:pPr>
            <w:r>
              <w:rPr>
                <w:color w:val="000000"/>
                <w:sz w:val="18"/>
              </w:rPr>
              <w:t>Loan maturity</w:t>
            </w:r>
          </w:p>
        </w:tc>
        <w:tc>
          <w:tcPr>
            <w:tcW w:w="1417" w:type="dxa"/>
            <w:noWrap/>
            <w:vAlign w:val="center"/>
          </w:tcPr>
          <w:p w14:paraId="1EA2B95A" w14:textId="77777777" w:rsidR="006D3AD5" w:rsidRPr="002C224A" w:rsidRDefault="006D3AD5" w:rsidP="00443B8F">
            <w:pPr>
              <w:jc w:val="right"/>
              <w:rPr>
                <w:color w:val="000000"/>
                <w:sz w:val="18"/>
                <w:szCs w:val="18"/>
              </w:rPr>
            </w:pPr>
            <w:r>
              <w:rPr>
                <w:color w:val="000000"/>
                <w:sz w:val="18"/>
              </w:rPr>
              <w:t>8</w:t>
            </w:r>
          </w:p>
        </w:tc>
      </w:tr>
    </w:tbl>
    <w:p w14:paraId="0F652B45" w14:textId="2CF442DD" w:rsidR="006D3AD5" w:rsidRPr="002C224A" w:rsidRDefault="006D3AD5" w:rsidP="006D3AD5">
      <w:pPr>
        <w:pStyle w:val="Titulek"/>
      </w:pPr>
      <w:r>
        <w:t xml:space="preserve">Table </w:t>
      </w:r>
      <w:r w:rsidR="008E5253">
        <w:t>13</w:t>
      </w:r>
      <w:r w:rsidR="00B90ACD">
        <w:t>2</w:t>
      </w:r>
      <w:r>
        <w:t>: Model results</w:t>
      </w:r>
    </w:p>
    <w:tbl>
      <w:tblPr>
        <w:tblW w:w="987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821"/>
        <w:gridCol w:w="1134"/>
        <w:gridCol w:w="1180"/>
        <w:gridCol w:w="1372"/>
        <w:gridCol w:w="1372"/>
      </w:tblGrid>
      <w:tr w:rsidR="006D3AD5" w:rsidRPr="002C224A" w14:paraId="0FAB6FDE" w14:textId="77777777" w:rsidTr="00443B8F">
        <w:trPr>
          <w:trHeight w:val="240"/>
          <w:jc w:val="center"/>
        </w:trPr>
        <w:tc>
          <w:tcPr>
            <w:tcW w:w="4821" w:type="dxa"/>
            <w:noWrap/>
            <w:vAlign w:val="center"/>
          </w:tcPr>
          <w:p w14:paraId="3739B169" w14:textId="77777777" w:rsidR="006D3AD5" w:rsidRPr="00A50943" w:rsidRDefault="006D3AD5" w:rsidP="00443B8F">
            <w:pPr>
              <w:jc w:val="left"/>
              <w:rPr>
                <w:color w:val="000000"/>
                <w:sz w:val="18"/>
                <w:szCs w:val="18"/>
              </w:rPr>
            </w:pPr>
          </w:p>
        </w:tc>
        <w:tc>
          <w:tcPr>
            <w:tcW w:w="1134" w:type="dxa"/>
            <w:noWrap/>
            <w:vAlign w:val="center"/>
          </w:tcPr>
          <w:p w14:paraId="3B57DD97" w14:textId="77777777" w:rsidR="006D3AD5" w:rsidRPr="002C224A" w:rsidRDefault="006D3AD5" w:rsidP="00443B8F">
            <w:pPr>
              <w:jc w:val="right"/>
              <w:rPr>
                <w:color w:val="000000"/>
                <w:sz w:val="18"/>
                <w:szCs w:val="18"/>
              </w:rPr>
            </w:pPr>
            <w:r>
              <w:rPr>
                <w:color w:val="000000"/>
                <w:sz w:val="18"/>
              </w:rPr>
              <w:t>Scenario 1</w:t>
            </w:r>
          </w:p>
        </w:tc>
        <w:tc>
          <w:tcPr>
            <w:tcW w:w="1180" w:type="dxa"/>
          </w:tcPr>
          <w:p w14:paraId="34DCB888" w14:textId="77777777" w:rsidR="006D3AD5" w:rsidRPr="002C224A" w:rsidRDefault="006D3AD5" w:rsidP="00443B8F">
            <w:pPr>
              <w:jc w:val="right"/>
              <w:rPr>
                <w:color w:val="000000"/>
                <w:sz w:val="18"/>
                <w:szCs w:val="18"/>
              </w:rPr>
            </w:pPr>
            <w:r>
              <w:rPr>
                <w:color w:val="000000"/>
                <w:sz w:val="18"/>
              </w:rPr>
              <w:t>Scenario 2</w:t>
            </w:r>
          </w:p>
        </w:tc>
        <w:tc>
          <w:tcPr>
            <w:tcW w:w="1372" w:type="dxa"/>
          </w:tcPr>
          <w:p w14:paraId="12A0089C" w14:textId="77777777" w:rsidR="006D3AD5" w:rsidRPr="002C224A" w:rsidRDefault="006D3AD5" w:rsidP="00443B8F">
            <w:pPr>
              <w:jc w:val="right"/>
              <w:rPr>
                <w:color w:val="000000"/>
                <w:sz w:val="18"/>
                <w:szCs w:val="18"/>
              </w:rPr>
            </w:pPr>
            <w:r>
              <w:rPr>
                <w:color w:val="000000"/>
                <w:sz w:val="18"/>
              </w:rPr>
              <w:t>Scenario 3</w:t>
            </w:r>
          </w:p>
        </w:tc>
        <w:tc>
          <w:tcPr>
            <w:tcW w:w="1372" w:type="dxa"/>
          </w:tcPr>
          <w:p w14:paraId="2076FBED" w14:textId="77777777" w:rsidR="006D3AD5" w:rsidRPr="002C224A" w:rsidRDefault="006D3AD5" w:rsidP="00443B8F">
            <w:pPr>
              <w:jc w:val="right"/>
              <w:rPr>
                <w:color w:val="000000"/>
                <w:sz w:val="18"/>
                <w:szCs w:val="18"/>
              </w:rPr>
            </w:pPr>
            <w:r>
              <w:rPr>
                <w:color w:val="000000"/>
                <w:sz w:val="18"/>
              </w:rPr>
              <w:t>Scenario 4</w:t>
            </w:r>
            <w:r>
              <w:rPr>
                <w:rStyle w:val="Znakapoznpodarou"/>
                <w:color w:val="000000"/>
              </w:rPr>
              <w:footnoteReference w:id="68"/>
            </w:r>
          </w:p>
        </w:tc>
      </w:tr>
      <w:tr w:rsidR="006D3AD5" w:rsidRPr="002C224A" w14:paraId="03538FE8" w14:textId="77777777" w:rsidTr="00443B8F">
        <w:trPr>
          <w:trHeight w:val="240"/>
          <w:jc w:val="center"/>
        </w:trPr>
        <w:tc>
          <w:tcPr>
            <w:tcW w:w="4821" w:type="dxa"/>
            <w:noWrap/>
            <w:vAlign w:val="center"/>
          </w:tcPr>
          <w:p w14:paraId="3EEF570A" w14:textId="77777777" w:rsidR="006D3AD5" w:rsidRPr="002C224A" w:rsidRDefault="006D3AD5" w:rsidP="00443B8F">
            <w:pPr>
              <w:jc w:val="left"/>
              <w:rPr>
                <w:color w:val="000000"/>
                <w:sz w:val="18"/>
                <w:szCs w:val="18"/>
              </w:rPr>
            </w:pPr>
            <w:r>
              <w:rPr>
                <w:color w:val="000000"/>
                <w:sz w:val="18"/>
              </w:rPr>
              <w:t>Invested in total - milestone for 2018 (CZK millions)</w:t>
            </w:r>
          </w:p>
        </w:tc>
        <w:tc>
          <w:tcPr>
            <w:tcW w:w="1134" w:type="dxa"/>
            <w:noWrap/>
            <w:vAlign w:val="center"/>
          </w:tcPr>
          <w:p w14:paraId="7EEAE7BB" w14:textId="77777777" w:rsidR="006D3AD5" w:rsidRPr="002C224A" w:rsidRDefault="006D3AD5" w:rsidP="00443B8F">
            <w:pPr>
              <w:jc w:val="right"/>
              <w:rPr>
                <w:color w:val="000000"/>
                <w:sz w:val="18"/>
                <w:szCs w:val="18"/>
              </w:rPr>
            </w:pPr>
            <w:r>
              <w:rPr>
                <w:sz w:val="18"/>
              </w:rPr>
              <w:t>563</w:t>
            </w:r>
          </w:p>
        </w:tc>
        <w:tc>
          <w:tcPr>
            <w:tcW w:w="1180" w:type="dxa"/>
            <w:vAlign w:val="center"/>
          </w:tcPr>
          <w:p w14:paraId="14C8ED9E" w14:textId="77777777" w:rsidR="006D3AD5" w:rsidRPr="002C224A" w:rsidRDefault="006D3AD5" w:rsidP="00443B8F">
            <w:pPr>
              <w:jc w:val="right"/>
              <w:rPr>
                <w:color w:val="000000"/>
                <w:sz w:val="18"/>
                <w:szCs w:val="18"/>
              </w:rPr>
            </w:pPr>
            <w:r>
              <w:rPr>
                <w:sz w:val="18"/>
              </w:rPr>
              <w:t>563</w:t>
            </w:r>
          </w:p>
        </w:tc>
        <w:tc>
          <w:tcPr>
            <w:tcW w:w="1372" w:type="dxa"/>
            <w:vAlign w:val="center"/>
          </w:tcPr>
          <w:p w14:paraId="7B508376" w14:textId="77777777" w:rsidR="006D3AD5" w:rsidRPr="002C224A" w:rsidRDefault="006D3AD5" w:rsidP="00443B8F">
            <w:pPr>
              <w:jc w:val="right"/>
              <w:rPr>
                <w:color w:val="000000"/>
                <w:sz w:val="18"/>
                <w:szCs w:val="18"/>
              </w:rPr>
            </w:pPr>
            <w:r>
              <w:rPr>
                <w:sz w:val="18"/>
              </w:rPr>
              <w:t>534</w:t>
            </w:r>
          </w:p>
        </w:tc>
        <w:tc>
          <w:tcPr>
            <w:tcW w:w="1372" w:type="dxa"/>
            <w:vAlign w:val="center"/>
          </w:tcPr>
          <w:p w14:paraId="5AD0477E" w14:textId="77777777" w:rsidR="006D3AD5" w:rsidRPr="002C224A" w:rsidRDefault="006D3AD5" w:rsidP="00443B8F">
            <w:pPr>
              <w:jc w:val="right"/>
              <w:rPr>
                <w:sz w:val="18"/>
                <w:szCs w:val="18"/>
              </w:rPr>
            </w:pPr>
            <w:r>
              <w:rPr>
                <w:sz w:val="18"/>
              </w:rPr>
              <w:t>534</w:t>
            </w:r>
          </w:p>
        </w:tc>
      </w:tr>
      <w:tr w:rsidR="006D3AD5" w:rsidRPr="002C224A" w14:paraId="7A7CFEFA" w14:textId="77777777" w:rsidTr="00443B8F">
        <w:trPr>
          <w:trHeight w:val="240"/>
          <w:jc w:val="center"/>
        </w:trPr>
        <w:tc>
          <w:tcPr>
            <w:tcW w:w="4821" w:type="dxa"/>
            <w:noWrap/>
            <w:vAlign w:val="center"/>
          </w:tcPr>
          <w:p w14:paraId="37C476AC" w14:textId="77777777" w:rsidR="006D3AD5" w:rsidRPr="002C224A" w:rsidRDefault="006D3AD5" w:rsidP="00443B8F">
            <w:pPr>
              <w:jc w:val="left"/>
              <w:rPr>
                <w:b/>
                <w:color w:val="000000"/>
                <w:sz w:val="18"/>
                <w:szCs w:val="18"/>
              </w:rPr>
            </w:pPr>
            <w:r>
              <w:rPr>
                <w:b/>
                <w:color w:val="000000"/>
                <w:sz w:val="18"/>
              </w:rPr>
              <w:t>Invested in total - end of the period in 2023 (CZK millions)</w:t>
            </w:r>
          </w:p>
        </w:tc>
        <w:tc>
          <w:tcPr>
            <w:tcW w:w="1134" w:type="dxa"/>
            <w:noWrap/>
            <w:vAlign w:val="center"/>
          </w:tcPr>
          <w:p w14:paraId="07097197" w14:textId="77777777" w:rsidR="006D3AD5" w:rsidRPr="002C224A" w:rsidRDefault="006D3AD5" w:rsidP="00443B8F">
            <w:pPr>
              <w:jc w:val="right"/>
              <w:rPr>
                <w:b/>
                <w:color w:val="000000"/>
                <w:sz w:val="18"/>
                <w:szCs w:val="18"/>
              </w:rPr>
            </w:pPr>
            <w:r>
              <w:rPr>
                <w:b/>
                <w:sz w:val="18"/>
              </w:rPr>
              <w:t>1,300</w:t>
            </w:r>
          </w:p>
        </w:tc>
        <w:tc>
          <w:tcPr>
            <w:tcW w:w="1180" w:type="dxa"/>
            <w:vAlign w:val="center"/>
          </w:tcPr>
          <w:p w14:paraId="105774D1" w14:textId="77777777" w:rsidR="006D3AD5" w:rsidRPr="002C224A" w:rsidRDefault="006D3AD5" w:rsidP="00443B8F">
            <w:pPr>
              <w:jc w:val="right"/>
              <w:rPr>
                <w:b/>
                <w:color w:val="000000"/>
                <w:sz w:val="18"/>
                <w:szCs w:val="18"/>
              </w:rPr>
            </w:pPr>
            <w:r>
              <w:rPr>
                <w:b/>
                <w:sz w:val="18"/>
              </w:rPr>
              <w:t>1,230</w:t>
            </w:r>
          </w:p>
        </w:tc>
        <w:tc>
          <w:tcPr>
            <w:tcW w:w="1372" w:type="dxa"/>
            <w:vAlign w:val="center"/>
          </w:tcPr>
          <w:p w14:paraId="062929EE" w14:textId="77777777" w:rsidR="006D3AD5" w:rsidRPr="002C224A" w:rsidRDefault="006D3AD5" w:rsidP="00443B8F">
            <w:pPr>
              <w:jc w:val="right"/>
              <w:rPr>
                <w:b/>
                <w:color w:val="000000"/>
                <w:sz w:val="18"/>
                <w:szCs w:val="18"/>
              </w:rPr>
            </w:pPr>
            <w:r>
              <w:rPr>
                <w:b/>
                <w:sz w:val="18"/>
              </w:rPr>
              <w:t>1,198</w:t>
            </w:r>
          </w:p>
        </w:tc>
        <w:tc>
          <w:tcPr>
            <w:tcW w:w="1372" w:type="dxa"/>
            <w:vAlign w:val="center"/>
          </w:tcPr>
          <w:p w14:paraId="743A452F" w14:textId="77777777" w:rsidR="006D3AD5" w:rsidRDefault="006D3AD5" w:rsidP="00443B8F">
            <w:pPr>
              <w:jc w:val="right"/>
              <w:rPr>
                <w:b/>
                <w:sz w:val="18"/>
                <w:szCs w:val="18"/>
              </w:rPr>
            </w:pPr>
            <w:r>
              <w:rPr>
                <w:b/>
                <w:sz w:val="18"/>
              </w:rPr>
              <w:t>698</w:t>
            </w:r>
          </w:p>
        </w:tc>
      </w:tr>
      <w:tr w:rsidR="006D3AD5" w:rsidRPr="002C224A" w14:paraId="7463A9EF" w14:textId="77777777" w:rsidTr="00443B8F">
        <w:trPr>
          <w:trHeight w:val="240"/>
          <w:jc w:val="center"/>
        </w:trPr>
        <w:tc>
          <w:tcPr>
            <w:tcW w:w="4821" w:type="dxa"/>
            <w:noWrap/>
            <w:vAlign w:val="center"/>
          </w:tcPr>
          <w:p w14:paraId="284EB408" w14:textId="77777777" w:rsidR="006D3AD5" w:rsidRPr="002C224A" w:rsidRDefault="006D3AD5" w:rsidP="00443B8F">
            <w:pPr>
              <w:jc w:val="left"/>
              <w:rPr>
                <w:b/>
                <w:color w:val="000000"/>
                <w:sz w:val="18"/>
                <w:szCs w:val="18"/>
              </w:rPr>
            </w:pPr>
            <w:r>
              <w:rPr>
                <w:b/>
                <w:color w:val="000000"/>
                <w:sz w:val="18"/>
              </w:rPr>
              <w:t>Value added</w:t>
            </w:r>
          </w:p>
        </w:tc>
        <w:tc>
          <w:tcPr>
            <w:tcW w:w="1134" w:type="dxa"/>
            <w:noWrap/>
            <w:vAlign w:val="center"/>
          </w:tcPr>
          <w:p w14:paraId="6E5D7071" w14:textId="77777777" w:rsidR="006D3AD5" w:rsidRPr="002C224A" w:rsidRDefault="006D3AD5" w:rsidP="00443B8F">
            <w:pPr>
              <w:jc w:val="right"/>
              <w:rPr>
                <w:b/>
                <w:color w:val="000000"/>
                <w:sz w:val="18"/>
                <w:szCs w:val="18"/>
              </w:rPr>
            </w:pPr>
            <w:r>
              <w:rPr>
                <w:b/>
                <w:sz w:val="18"/>
              </w:rPr>
              <w:t>4.33</w:t>
            </w:r>
          </w:p>
        </w:tc>
        <w:tc>
          <w:tcPr>
            <w:tcW w:w="1180" w:type="dxa"/>
            <w:vAlign w:val="center"/>
          </w:tcPr>
          <w:p w14:paraId="11AFA194" w14:textId="77777777" w:rsidR="006D3AD5" w:rsidRPr="002C224A" w:rsidRDefault="006D3AD5" w:rsidP="00443B8F">
            <w:pPr>
              <w:jc w:val="right"/>
              <w:rPr>
                <w:b/>
                <w:color w:val="000000"/>
                <w:sz w:val="18"/>
                <w:szCs w:val="18"/>
              </w:rPr>
            </w:pPr>
            <w:r>
              <w:rPr>
                <w:b/>
                <w:sz w:val="18"/>
              </w:rPr>
              <w:t>4.10</w:t>
            </w:r>
          </w:p>
        </w:tc>
        <w:tc>
          <w:tcPr>
            <w:tcW w:w="1372" w:type="dxa"/>
            <w:vAlign w:val="center"/>
          </w:tcPr>
          <w:p w14:paraId="19D66E6E" w14:textId="77777777" w:rsidR="006D3AD5" w:rsidRPr="002C224A" w:rsidRDefault="006D3AD5" w:rsidP="00443B8F">
            <w:pPr>
              <w:jc w:val="right"/>
              <w:rPr>
                <w:b/>
                <w:color w:val="000000"/>
                <w:sz w:val="18"/>
                <w:szCs w:val="18"/>
              </w:rPr>
            </w:pPr>
            <w:r>
              <w:rPr>
                <w:b/>
                <w:color w:val="000000"/>
                <w:sz w:val="18"/>
              </w:rPr>
              <w:t>4.44</w:t>
            </w:r>
          </w:p>
        </w:tc>
        <w:tc>
          <w:tcPr>
            <w:tcW w:w="1372" w:type="dxa"/>
            <w:vAlign w:val="center"/>
          </w:tcPr>
          <w:p w14:paraId="52572643" w14:textId="77777777" w:rsidR="006D3AD5" w:rsidRPr="002C224A" w:rsidRDefault="006D3AD5" w:rsidP="00443B8F">
            <w:pPr>
              <w:jc w:val="right"/>
              <w:rPr>
                <w:b/>
                <w:color w:val="000000"/>
                <w:sz w:val="18"/>
                <w:szCs w:val="18"/>
              </w:rPr>
            </w:pPr>
            <w:r>
              <w:rPr>
                <w:b/>
                <w:color w:val="000000"/>
                <w:sz w:val="18"/>
              </w:rPr>
              <w:t>2.58</w:t>
            </w:r>
          </w:p>
        </w:tc>
      </w:tr>
      <w:tr w:rsidR="006D3AD5" w:rsidRPr="002C224A" w14:paraId="61503DBF" w14:textId="77777777" w:rsidTr="00443B8F">
        <w:trPr>
          <w:trHeight w:val="240"/>
          <w:jc w:val="center"/>
        </w:trPr>
        <w:tc>
          <w:tcPr>
            <w:tcW w:w="4821" w:type="dxa"/>
            <w:noWrap/>
            <w:vAlign w:val="center"/>
          </w:tcPr>
          <w:p w14:paraId="2E7B2E9C" w14:textId="77777777" w:rsidR="006D3AD5" w:rsidRPr="002C224A" w:rsidRDefault="006D3AD5" w:rsidP="00443B8F">
            <w:pPr>
              <w:jc w:val="left"/>
              <w:rPr>
                <w:b/>
                <w:color w:val="000000"/>
                <w:sz w:val="18"/>
                <w:szCs w:val="18"/>
              </w:rPr>
            </w:pPr>
            <w:r>
              <w:rPr>
                <w:b/>
                <w:color w:val="000000"/>
                <w:sz w:val="18"/>
              </w:rPr>
              <w:t>Leverage</w:t>
            </w:r>
          </w:p>
        </w:tc>
        <w:tc>
          <w:tcPr>
            <w:tcW w:w="1134" w:type="dxa"/>
            <w:noWrap/>
            <w:vAlign w:val="center"/>
          </w:tcPr>
          <w:p w14:paraId="46B7E905" w14:textId="77777777" w:rsidR="006D3AD5" w:rsidRPr="002C224A" w:rsidRDefault="006D3AD5" w:rsidP="00443B8F">
            <w:pPr>
              <w:jc w:val="right"/>
              <w:rPr>
                <w:b/>
                <w:color w:val="000000"/>
                <w:sz w:val="18"/>
                <w:szCs w:val="18"/>
              </w:rPr>
            </w:pPr>
            <w:r>
              <w:rPr>
                <w:b/>
                <w:sz w:val="18"/>
              </w:rPr>
              <w:t>2.00</w:t>
            </w:r>
          </w:p>
        </w:tc>
        <w:tc>
          <w:tcPr>
            <w:tcW w:w="1180" w:type="dxa"/>
            <w:vAlign w:val="center"/>
          </w:tcPr>
          <w:p w14:paraId="18733032" w14:textId="77777777" w:rsidR="006D3AD5" w:rsidRPr="002C224A" w:rsidRDefault="006D3AD5" w:rsidP="00443B8F">
            <w:pPr>
              <w:jc w:val="right"/>
              <w:rPr>
                <w:b/>
                <w:color w:val="000000"/>
                <w:sz w:val="18"/>
                <w:szCs w:val="18"/>
              </w:rPr>
            </w:pPr>
            <w:r>
              <w:rPr>
                <w:b/>
                <w:sz w:val="18"/>
              </w:rPr>
              <w:t>2.00</w:t>
            </w:r>
          </w:p>
        </w:tc>
        <w:tc>
          <w:tcPr>
            <w:tcW w:w="1372" w:type="dxa"/>
            <w:vAlign w:val="center"/>
          </w:tcPr>
          <w:p w14:paraId="160CBDAA" w14:textId="77777777" w:rsidR="006D3AD5" w:rsidRPr="002C224A" w:rsidRDefault="006D3AD5" w:rsidP="00443B8F">
            <w:pPr>
              <w:jc w:val="right"/>
              <w:rPr>
                <w:b/>
                <w:color w:val="000000"/>
                <w:sz w:val="18"/>
                <w:szCs w:val="18"/>
              </w:rPr>
            </w:pPr>
            <w:r>
              <w:rPr>
                <w:b/>
                <w:color w:val="000000"/>
                <w:sz w:val="18"/>
              </w:rPr>
              <w:t>2.00</w:t>
            </w:r>
          </w:p>
        </w:tc>
        <w:tc>
          <w:tcPr>
            <w:tcW w:w="1372" w:type="dxa"/>
            <w:vAlign w:val="center"/>
          </w:tcPr>
          <w:p w14:paraId="01D4F1E3" w14:textId="77777777" w:rsidR="006D3AD5" w:rsidRPr="002C224A" w:rsidRDefault="006D3AD5" w:rsidP="00443B8F">
            <w:pPr>
              <w:jc w:val="right"/>
              <w:rPr>
                <w:b/>
                <w:color w:val="000000"/>
                <w:sz w:val="18"/>
                <w:szCs w:val="18"/>
              </w:rPr>
            </w:pPr>
            <w:r>
              <w:rPr>
                <w:color w:val="000000"/>
                <w:sz w:val="18"/>
              </w:rPr>
              <w:t>2.00</w:t>
            </w:r>
          </w:p>
        </w:tc>
      </w:tr>
      <w:tr w:rsidR="006D3AD5" w:rsidRPr="002C224A" w14:paraId="0CFCCB3D" w14:textId="77777777" w:rsidTr="00443B8F">
        <w:trPr>
          <w:trHeight w:val="240"/>
          <w:jc w:val="center"/>
        </w:trPr>
        <w:tc>
          <w:tcPr>
            <w:tcW w:w="4821" w:type="dxa"/>
            <w:noWrap/>
            <w:vAlign w:val="center"/>
          </w:tcPr>
          <w:p w14:paraId="5E5DAFA4" w14:textId="77777777" w:rsidR="006D3AD5" w:rsidRPr="002C224A" w:rsidRDefault="006D3AD5" w:rsidP="00443B8F">
            <w:pPr>
              <w:jc w:val="left"/>
              <w:rPr>
                <w:color w:val="000000"/>
                <w:sz w:val="18"/>
                <w:szCs w:val="18"/>
              </w:rPr>
            </w:pPr>
            <w:r>
              <w:rPr>
                <w:color w:val="000000"/>
                <w:sz w:val="18"/>
              </w:rPr>
              <w:t>Total reimbursed management fees (simple - CZK millions)</w:t>
            </w:r>
          </w:p>
        </w:tc>
        <w:tc>
          <w:tcPr>
            <w:tcW w:w="1134" w:type="dxa"/>
            <w:noWrap/>
            <w:vAlign w:val="center"/>
          </w:tcPr>
          <w:p w14:paraId="4B27FC98" w14:textId="77777777" w:rsidR="006D3AD5" w:rsidRPr="002C224A" w:rsidRDefault="006D3AD5" w:rsidP="00443B8F">
            <w:pPr>
              <w:jc w:val="right"/>
              <w:rPr>
                <w:color w:val="000000"/>
                <w:sz w:val="18"/>
                <w:szCs w:val="18"/>
              </w:rPr>
            </w:pPr>
            <w:r>
              <w:rPr>
                <w:color w:val="000000"/>
                <w:sz w:val="18"/>
              </w:rPr>
              <w:t>17</w:t>
            </w:r>
          </w:p>
        </w:tc>
        <w:tc>
          <w:tcPr>
            <w:tcW w:w="1180" w:type="dxa"/>
            <w:vAlign w:val="center"/>
          </w:tcPr>
          <w:p w14:paraId="58124123" w14:textId="77777777" w:rsidR="006D3AD5" w:rsidRPr="002C224A" w:rsidRDefault="006D3AD5" w:rsidP="00443B8F">
            <w:pPr>
              <w:jc w:val="right"/>
              <w:rPr>
                <w:color w:val="000000"/>
                <w:sz w:val="18"/>
                <w:szCs w:val="18"/>
              </w:rPr>
            </w:pPr>
            <w:r>
              <w:rPr>
                <w:color w:val="000000"/>
                <w:sz w:val="18"/>
              </w:rPr>
              <w:t>17</w:t>
            </w:r>
          </w:p>
        </w:tc>
        <w:tc>
          <w:tcPr>
            <w:tcW w:w="1372" w:type="dxa"/>
            <w:vAlign w:val="center"/>
          </w:tcPr>
          <w:p w14:paraId="4F59C776" w14:textId="77777777" w:rsidR="006D3AD5" w:rsidRPr="002C224A" w:rsidRDefault="006D3AD5" w:rsidP="00443B8F">
            <w:pPr>
              <w:jc w:val="right"/>
              <w:rPr>
                <w:color w:val="000000"/>
                <w:sz w:val="18"/>
                <w:szCs w:val="18"/>
              </w:rPr>
            </w:pPr>
            <w:r>
              <w:rPr>
                <w:color w:val="000000"/>
                <w:sz w:val="18"/>
              </w:rPr>
              <w:t>17</w:t>
            </w:r>
          </w:p>
        </w:tc>
        <w:tc>
          <w:tcPr>
            <w:tcW w:w="1372" w:type="dxa"/>
            <w:vAlign w:val="center"/>
          </w:tcPr>
          <w:p w14:paraId="4245DB59" w14:textId="77777777" w:rsidR="006D3AD5" w:rsidRDefault="006D3AD5" w:rsidP="00443B8F">
            <w:pPr>
              <w:jc w:val="right"/>
              <w:rPr>
                <w:color w:val="000000"/>
                <w:sz w:val="18"/>
                <w:szCs w:val="18"/>
              </w:rPr>
            </w:pPr>
            <w:r>
              <w:rPr>
                <w:color w:val="000000"/>
                <w:sz w:val="18"/>
              </w:rPr>
              <w:t>15</w:t>
            </w:r>
          </w:p>
        </w:tc>
      </w:tr>
      <w:tr w:rsidR="006D3AD5" w:rsidRPr="002C224A" w14:paraId="0404B64E" w14:textId="77777777" w:rsidTr="00443B8F">
        <w:trPr>
          <w:trHeight w:val="240"/>
          <w:jc w:val="center"/>
        </w:trPr>
        <w:tc>
          <w:tcPr>
            <w:tcW w:w="4821" w:type="dxa"/>
            <w:noWrap/>
            <w:vAlign w:val="center"/>
          </w:tcPr>
          <w:p w14:paraId="590D97D5" w14:textId="77777777" w:rsidR="006D3AD5" w:rsidRPr="002C224A" w:rsidRDefault="006D3AD5" w:rsidP="00443B8F">
            <w:pPr>
              <w:jc w:val="left"/>
              <w:rPr>
                <w:color w:val="000000"/>
                <w:sz w:val="18"/>
                <w:szCs w:val="18"/>
              </w:rPr>
            </w:pPr>
            <w:r>
              <w:rPr>
                <w:color w:val="000000"/>
                <w:sz w:val="18"/>
              </w:rPr>
              <w:t>Share of reimbursed management fees on the fund allocation</w:t>
            </w:r>
          </w:p>
        </w:tc>
        <w:tc>
          <w:tcPr>
            <w:tcW w:w="1134" w:type="dxa"/>
            <w:noWrap/>
            <w:vAlign w:val="center"/>
          </w:tcPr>
          <w:p w14:paraId="7986BAD0" w14:textId="77777777" w:rsidR="006D3AD5" w:rsidRPr="002C224A" w:rsidRDefault="006D3AD5" w:rsidP="00443B8F">
            <w:pPr>
              <w:jc w:val="right"/>
              <w:rPr>
                <w:color w:val="000000"/>
                <w:sz w:val="18"/>
                <w:szCs w:val="18"/>
              </w:rPr>
            </w:pPr>
            <w:r>
              <w:rPr>
                <w:color w:val="000000"/>
                <w:sz w:val="18"/>
              </w:rPr>
              <w:t>5.7</w:t>
            </w:r>
          </w:p>
        </w:tc>
        <w:tc>
          <w:tcPr>
            <w:tcW w:w="1180" w:type="dxa"/>
            <w:vAlign w:val="center"/>
          </w:tcPr>
          <w:p w14:paraId="40B9C81B" w14:textId="77777777" w:rsidR="006D3AD5" w:rsidRPr="002C224A" w:rsidRDefault="006D3AD5" w:rsidP="00443B8F">
            <w:pPr>
              <w:jc w:val="right"/>
              <w:rPr>
                <w:color w:val="000000"/>
                <w:sz w:val="18"/>
                <w:szCs w:val="18"/>
              </w:rPr>
            </w:pPr>
            <w:r>
              <w:rPr>
                <w:color w:val="000000"/>
                <w:sz w:val="18"/>
              </w:rPr>
              <w:t>5.7</w:t>
            </w:r>
          </w:p>
        </w:tc>
        <w:tc>
          <w:tcPr>
            <w:tcW w:w="1372" w:type="dxa"/>
            <w:vAlign w:val="center"/>
          </w:tcPr>
          <w:p w14:paraId="323E881B" w14:textId="77777777" w:rsidR="006D3AD5" w:rsidRPr="002C224A" w:rsidRDefault="006D3AD5" w:rsidP="00443B8F">
            <w:pPr>
              <w:jc w:val="right"/>
              <w:rPr>
                <w:color w:val="000000"/>
                <w:sz w:val="18"/>
                <w:szCs w:val="18"/>
              </w:rPr>
            </w:pPr>
            <w:r>
              <w:rPr>
                <w:color w:val="000000"/>
                <w:sz w:val="18"/>
              </w:rPr>
              <w:t>5.6</w:t>
            </w:r>
          </w:p>
        </w:tc>
        <w:tc>
          <w:tcPr>
            <w:tcW w:w="1372" w:type="dxa"/>
            <w:vAlign w:val="center"/>
          </w:tcPr>
          <w:p w14:paraId="23F8348C" w14:textId="77777777" w:rsidR="006D3AD5" w:rsidRPr="002C224A" w:rsidRDefault="006D3AD5" w:rsidP="00443B8F">
            <w:pPr>
              <w:jc w:val="right"/>
              <w:rPr>
                <w:color w:val="000000"/>
                <w:sz w:val="18"/>
                <w:szCs w:val="18"/>
              </w:rPr>
            </w:pPr>
            <w:r>
              <w:rPr>
                <w:sz w:val="18"/>
              </w:rPr>
              <w:t>4.9</w:t>
            </w:r>
          </w:p>
        </w:tc>
      </w:tr>
      <w:tr w:rsidR="006D3AD5" w:rsidRPr="002C224A" w14:paraId="1CC17CC9" w14:textId="77777777" w:rsidTr="00443B8F">
        <w:trPr>
          <w:trHeight w:val="240"/>
          <w:jc w:val="center"/>
        </w:trPr>
        <w:tc>
          <w:tcPr>
            <w:tcW w:w="4821" w:type="dxa"/>
            <w:noWrap/>
            <w:vAlign w:val="center"/>
          </w:tcPr>
          <w:p w14:paraId="43D280D6" w14:textId="77777777" w:rsidR="006D3AD5" w:rsidRPr="002C224A" w:rsidRDefault="006D3AD5" w:rsidP="00443B8F">
            <w:pPr>
              <w:jc w:val="left"/>
              <w:rPr>
                <w:color w:val="000000"/>
                <w:sz w:val="18"/>
                <w:szCs w:val="18"/>
              </w:rPr>
            </w:pPr>
            <w:r>
              <w:rPr>
                <w:color w:val="000000"/>
                <w:sz w:val="18"/>
              </w:rPr>
              <w:t>Revolving effect - increase in available funds of the OP EIC (CZK millions)</w:t>
            </w:r>
          </w:p>
        </w:tc>
        <w:tc>
          <w:tcPr>
            <w:tcW w:w="1134" w:type="dxa"/>
            <w:noWrap/>
            <w:vAlign w:val="center"/>
          </w:tcPr>
          <w:p w14:paraId="7DA57BEA" w14:textId="77777777" w:rsidR="006D3AD5" w:rsidRPr="002C224A" w:rsidRDefault="006D3AD5" w:rsidP="00443B8F">
            <w:pPr>
              <w:jc w:val="right"/>
              <w:rPr>
                <w:color w:val="000000"/>
                <w:sz w:val="18"/>
                <w:szCs w:val="18"/>
              </w:rPr>
            </w:pPr>
            <w:r>
              <w:rPr>
                <w:sz w:val="18"/>
              </w:rPr>
              <w:t>220</w:t>
            </w:r>
          </w:p>
        </w:tc>
        <w:tc>
          <w:tcPr>
            <w:tcW w:w="1180" w:type="dxa"/>
            <w:vAlign w:val="center"/>
          </w:tcPr>
          <w:p w14:paraId="508FA89B" w14:textId="77777777" w:rsidR="006D3AD5" w:rsidRPr="002C224A" w:rsidRDefault="006D3AD5" w:rsidP="00443B8F">
            <w:pPr>
              <w:jc w:val="right"/>
              <w:rPr>
                <w:color w:val="000000"/>
                <w:sz w:val="18"/>
                <w:szCs w:val="18"/>
              </w:rPr>
            </w:pPr>
            <w:r>
              <w:rPr>
                <w:sz w:val="18"/>
              </w:rPr>
              <w:t>192</w:t>
            </w:r>
          </w:p>
        </w:tc>
        <w:tc>
          <w:tcPr>
            <w:tcW w:w="1372" w:type="dxa"/>
            <w:vAlign w:val="center"/>
          </w:tcPr>
          <w:p w14:paraId="32443207" w14:textId="77777777" w:rsidR="006D3AD5" w:rsidRPr="002C224A" w:rsidRDefault="006D3AD5" w:rsidP="00443B8F">
            <w:pPr>
              <w:jc w:val="right"/>
              <w:rPr>
                <w:color w:val="000000"/>
                <w:sz w:val="18"/>
                <w:szCs w:val="18"/>
              </w:rPr>
            </w:pPr>
            <w:r>
              <w:rPr>
                <w:sz w:val="18"/>
              </w:rPr>
              <w:t>197</w:t>
            </w:r>
          </w:p>
        </w:tc>
        <w:tc>
          <w:tcPr>
            <w:tcW w:w="1372" w:type="dxa"/>
            <w:vAlign w:val="center"/>
          </w:tcPr>
          <w:p w14:paraId="7D4009B6" w14:textId="77777777" w:rsidR="006D3AD5" w:rsidRDefault="006D3AD5" w:rsidP="00443B8F">
            <w:pPr>
              <w:jc w:val="right"/>
              <w:rPr>
                <w:sz w:val="18"/>
                <w:szCs w:val="18"/>
              </w:rPr>
            </w:pPr>
            <w:r>
              <w:rPr>
                <w:b/>
                <w:color w:val="000000"/>
                <w:sz w:val="18"/>
              </w:rPr>
              <w:t>-</w:t>
            </w:r>
          </w:p>
        </w:tc>
      </w:tr>
      <w:tr w:rsidR="006D3AD5" w:rsidRPr="002C224A" w14:paraId="7832E831" w14:textId="77777777" w:rsidTr="00443B8F">
        <w:trPr>
          <w:trHeight w:val="240"/>
          <w:jc w:val="center"/>
        </w:trPr>
        <w:tc>
          <w:tcPr>
            <w:tcW w:w="4821" w:type="dxa"/>
            <w:noWrap/>
            <w:vAlign w:val="center"/>
          </w:tcPr>
          <w:p w14:paraId="45DCF3A0" w14:textId="77777777" w:rsidR="006D3AD5" w:rsidRPr="00A50943" w:rsidRDefault="006D3AD5" w:rsidP="00443B8F">
            <w:pPr>
              <w:jc w:val="left"/>
              <w:rPr>
                <w:b/>
                <w:color w:val="000000"/>
                <w:sz w:val="18"/>
                <w:szCs w:val="18"/>
              </w:rPr>
            </w:pPr>
            <w:r>
              <w:rPr>
                <w:b/>
                <w:color w:val="000000"/>
                <w:sz w:val="18"/>
              </w:rPr>
              <w:t>Supported projects</w:t>
            </w:r>
            <w:r>
              <w:rPr>
                <w:rStyle w:val="Znakapoznpodarou"/>
                <w:rFonts w:ascii="Calibri" w:hAnsi="Calibri"/>
                <w:b/>
                <w:color w:val="000000"/>
              </w:rPr>
              <w:footnoteReference w:id="69"/>
            </w:r>
          </w:p>
        </w:tc>
        <w:tc>
          <w:tcPr>
            <w:tcW w:w="1134" w:type="dxa"/>
            <w:noWrap/>
            <w:vAlign w:val="center"/>
          </w:tcPr>
          <w:p w14:paraId="487B1B57" w14:textId="77777777" w:rsidR="006D3AD5" w:rsidRPr="002C224A" w:rsidRDefault="006D3AD5" w:rsidP="00443B8F">
            <w:pPr>
              <w:jc w:val="right"/>
              <w:rPr>
                <w:b/>
                <w:color w:val="000000"/>
                <w:szCs w:val="22"/>
              </w:rPr>
            </w:pPr>
            <w:r>
              <w:rPr>
                <w:b/>
                <w:color w:val="000000"/>
                <w:sz w:val="18"/>
              </w:rPr>
              <w:t>43</w:t>
            </w:r>
          </w:p>
        </w:tc>
        <w:tc>
          <w:tcPr>
            <w:tcW w:w="1180" w:type="dxa"/>
            <w:vAlign w:val="center"/>
          </w:tcPr>
          <w:p w14:paraId="35D4A6C2" w14:textId="77777777" w:rsidR="006D3AD5" w:rsidRPr="002C224A" w:rsidRDefault="006D3AD5" w:rsidP="00443B8F">
            <w:pPr>
              <w:jc w:val="right"/>
              <w:rPr>
                <w:b/>
                <w:color w:val="000000"/>
                <w:szCs w:val="22"/>
              </w:rPr>
            </w:pPr>
            <w:r>
              <w:rPr>
                <w:b/>
                <w:color w:val="000000"/>
                <w:sz w:val="18"/>
              </w:rPr>
              <w:t>41</w:t>
            </w:r>
          </w:p>
        </w:tc>
        <w:tc>
          <w:tcPr>
            <w:tcW w:w="1372" w:type="dxa"/>
            <w:vAlign w:val="center"/>
          </w:tcPr>
          <w:p w14:paraId="3A0E2543" w14:textId="77777777" w:rsidR="006D3AD5" w:rsidRPr="002C224A" w:rsidRDefault="006D3AD5" w:rsidP="00443B8F">
            <w:pPr>
              <w:jc w:val="right"/>
              <w:rPr>
                <w:b/>
                <w:color w:val="000000"/>
                <w:szCs w:val="22"/>
              </w:rPr>
            </w:pPr>
            <w:r>
              <w:rPr>
                <w:b/>
                <w:color w:val="000000"/>
                <w:sz w:val="18"/>
              </w:rPr>
              <w:t>40</w:t>
            </w:r>
          </w:p>
        </w:tc>
        <w:tc>
          <w:tcPr>
            <w:tcW w:w="1372" w:type="dxa"/>
            <w:vAlign w:val="center"/>
          </w:tcPr>
          <w:p w14:paraId="4BB84B70" w14:textId="77777777" w:rsidR="006D3AD5" w:rsidRPr="002C224A" w:rsidRDefault="006D3AD5" w:rsidP="00443B8F">
            <w:pPr>
              <w:jc w:val="right"/>
              <w:rPr>
                <w:b/>
                <w:color w:val="000000"/>
                <w:sz w:val="18"/>
                <w:szCs w:val="18"/>
              </w:rPr>
            </w:pPr>
            <w:r>
              <w:rPr>
                <w:b/>
                <w:color w:val="000000"/>
                <w:sz w:val="18"/>
              </w:rPr>
              <w:t>23</w:t>
            </w:r>
          </w:p>
        </w:tc>
      </w:tr>
    </w:tbl>
    <w:p w14:paraId="54029E34" w14:textId="77777777" w:rsidR="006D3AD5" w:rsidRPr="002C224A" w:rsidRDefault="006D3AD5" w:rsidP="006D3AD5"/>
    <w:p w14:paraId="037C1B38" w14:textId="77777777" w:rsidR="006D3AD5" w:rsidRPr="002C224A" w:rsidRDefault="006D3AD5" w:rsidP="006D3AD5">
      <w:r>
        <w:t>In case of not using the revolved funds in this period (Scenario 4) the primary investment cycle with the proposed allocation would provoke 698 million in investments with an added value of 2.58.</w:t>
      </w:r>
    </w:p>
    <w:p w14:paraId="4B2CDD27" w14:textId="77777777" w:rsidR="006D3AD5" w:rsidRPr="002C224A" w:rsidRDefault="006D3AD5" w:rsidP="006D3AD5">
      <w:pPr>
        <w:pStyle w:val="CaptionIntroductionparagraph"/>
        <w:rPr>
          <w:rFonts w:ascii="Calibri" w:hAnsi="Calibri"/>
        </w:rPr>
      </w:pPr>
    </w:p>
    <w:p w14:paraId="132D08A6" w14:textId="77777777" w:rsidR="006D3AD5" w:rsidRPr="002C224A" w:rsidRDefault="006D3AD5" w:rsidP="006D3AD5">
      <w:pPr>
        <w:pStyle w:val="Nadpis4"/>
        <w:rPr>
          <w:rFonts w:ascii="Calibri" w:hAnsi="Calibri"/>
        </w:rPr>
      </w:pPr>
      <w:r>
        <w:rPr>
          <w:rFonts w:ascii="Calibri" w:hAnsi="Calibri"/>
        </w:rPr>
        <w:t xml:space="preserve">Expected results </w:t>
      </w:r>
    </w:p>
    <w:p w14:paraId="41B175DC" w14:textId="77777777" w:rsidR="006D3AD5" w:rsidRPr="00A50943" w:rsidRDefault="006D3AD5" w:rsidP="006D3AD5"/>
    <w:p w14:paraId="5003638B" w14:textId="77777777" w:rsidR="006D3AD5" w:rsidRPr="00360BA1" w:rsidRDefault="006D3AD5" w:rsidP="006D3AD5">
      <w:pPr>
        <w:pStyle w:val="Odstavecseseznamem2"/>
        <w:overflowPunct w:val="0"/>
        <w:autoSpaceDE w:val="0"/>
        <w:autoSpaceDN w:val="0"/>
        <w:adjustRightInd w:val="0"/>
        <w:spacing w:after="160"/>
        <w:ind w:left="0"/>
        <w:jc w:val="both"/>
        <w:textAlignment w:val="baseline"/>
      </w:pPr>
      <w:r>
        <w:lastRenderedPageBreak/>
        <w:t>The next table shows the main objective indicators of the SO 3.5 defined in the operational programme.</w:t>
      </w:r>
    </w:p>
    <w:p w14:paraId="2D0EB78B" w14:textId="31B5DA60" w:rsidR="006D3AD5" w:rsidRDefault="006D3AD5" w:rsidP="006D3AD5">
      <w:pPr>
        <w:pStyle w:val="Titulek"/>
        <w:keepNext/>
      </w:pPr>
      <w:r>
        <w:t xml:space="preserve">Table </w:t>
      </w:r>
      <w:r w:rsidR="008E5253">
        <w:t>13</w:t>
      </w:r>
      <w:r w:rsidR="00B90ACD">
        <w:t>3</w:t>
      </w:r>
      <w:r>
        <w:t>: SO 3.5 result indicators</w:t>
      </w:r>
    </w:p>
    <w:tbl>
      <w:tblPr>
        <w:tblW w:w="9186" w:type="dxa"/>
        <w:tblCellMar>
          <w:left w:w="57" w:type="dxa"/>
          <w:right w:w="57" w:type="dxa"/>
        </w:tblCellMar>
        <w:tblLook w:val="01E0" w:firstRow="1" w:lastRow="1" w:firstColumn="1" w:lastColumn="1" w:noHBand="0" w:noVBand="0"/>
      </w:tblPr>
      <w:tblGrid>
        <w:gridCol w:w="1924"/>
        <w:gridCol w:w="1392"/>
        <w:gridCol w:w="1171"/>
        <w:gridCol w:w="1051"/>
        <w:gridCol w:w="783"/>
        <w:gridCol w:w="880"/>
        <w:gridCol w:w="951"/>
        <w:gridCol w:w="1034"/>
      </w:tblGrid>
      <w:tr w:rsidR="006D3AD5" w:rsidRPr="00360BA1" w14:paraId="2E918766" w14:textId="77777777" w:rsidTr="00443B8F">
        <w:trPr>
          <w:trHeight w:hRule="exact" w:val="1010"/>
        </w:trPr>
        <w:tc>
          <w:tcPr>
            <w:tcW w:w="2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8A4267D" w14:textId="77777777" w:rsidR="006D3AD5" w:rsidRPr="00360BA1" w:rsidRDefault="006D3AD5" w:rsidP="00443B8F">
            <w:pPr>
              <w:pStyle w:val="Tabulka"/>
              <w:keepNext/>
              <w:keepLines/>
              <w:rPr>
                <w:rFonts w:ascii="Calibri" w:hAnsi="Calibri" w:cs="Calibri"/>
                <w:b/>
              </w:rPr>
            </w:pPr>
            <w:r>
              <w:rPr>
                <w:rFonts w:ascii="Calibri" w:hAnsi="Calibri"/>
                <w:b/>
              </w:rPr>
              <w:t>Indicator</w:t>
            </w:r>
          </w:p>
        </w:tc>
        <w:tc>
          <w:tcPr>
            <w:tcW w:w="103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C655ED4" w14:textId="77777777" w:rsidR="006D3AD5" w:rsidRPr="00360BA1" w:rsidRDefault="006D3AD5" w:rsidP="00443B8F">
            <w:pPr>
              <w:pStyle w:val="Tabulka"/>
              <w:keepNext/>
              <w:keepLines/>
              <w:rPr>
                <w:rFonts w:ascii="Calibri" w:hAnsi="Calibri" w:cs="Calibri"/>
                <w:b/>
              </w:rPr>
            </w:pPr>
            <w:r>
              <w:rPr>
                <w:rFonts w:ascii="Calibri" w:hAnsi="Calibri"/>
                <w:b/>
              </w:rPr>
              <w:t>Unit of measurement</w:t>
            </w:r>
          </w:p>
        </w:tc>
        <w:tc>
          <w:tcPr>
            <w:tcW w:w="120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7F3C78E" w14:textId="77777777" w:rsidR="006D3AD5" w:rsidRPr="00360BA1" w:rsidRDefault="006D3AD5" w:rsidP="00443B8F">
            <w:pPr>
              <w:pStyle w:val="Tabulka"/>
              <w:keepNext/>
              <w:keepLines/>
              <w:rPr>
                <w:rFonts w:ascii="Calibri" w:hAnsi="Calibri" w:cs="Calibri"/>
                <w:b/>
              </w:rPr>
            </w:pPr>
            <w:r>
              <w:rPr>
                <w:rFonts w:ascii="Calibri" w:hAnsi="Calibri"/>
                <w:b/>
              </w:rPr>
              <w:t>Category of region</w:t>
            </w:r>
          </w:p>
        </w:tc>
        <w:tc>
          <w:tcPr>
            <w:tcW w:w="110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E3B5292" w14:textId="77777777" w:rsidR="006D3AD5" w:rsidRPr="00360BA1" w:rsidRDefault="006D3AD5" w:rsidP="00443B8F">
            <w:pPr>
              <w:pStyle w:val="Tabulka"/>
              <w:keepNext/>
              <w:keepLines/>
              <w:rPr>
                <w:rFonts w:ascii="Calibri" w:hAnsi="Calibri" w:cs="Calibri"/>
                <w:b/>
              </w:rPr>
            </w:pPr>
            <w:r>
              <w:rPr>
                <w:rFonts w:ascii="Calibri" w:hAnsi="Calibri"/>
                <w:b/>
              </w:rPr>
              <w:t>Initial value</w:t>
            </w:r>
          </w:p>
        </w:tc>
        <w:tc>
          <w:tcPr>
            <w:tcW w:w="81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4DBAFE3" w14:textId="77777777" w:rsidR="006D3AD5" w:rsidRPr="00360BA1" w:rsidRDefault="006D3AD5" w:rsidP="00443B8F">
            <w:pPr>
              <w:pStyle w:val="Tabulka"/>
              <w:keepNext/>
              <w:keepLines/>
              <w:rPr>
                <w:rFonts w:ascii="Calibri" w:hAnsi="Calibri" w:cs="Calibri"/>
                <w:b/>
              </w:rPr>
            </w:pPr>
            <w:r>
              <w:rPr>
                <w:rFonts w:ascii="Calibri" w:hAnsi="Calibri"/>
                <w:b/>
              </w:rPr>
              <w:t>Initial year</w:t>
            </w:r>
          </w:p>
        </w:tc>
        <w:tc>
          <w:tcPr>
            <w:tcW w:w="89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AF77341" w14:textId="77777777" w:rsidR="006D3AD5" w:rsidRPr="00360BA1" w:rsidRDefault="006D3AD5" w:rsidP="00443B8F">
            <w:pPr>
              <w:pStyle w:val="Tabulka"/>
              <w:keepNext/>
              <w:keepLines/>
              <w:rPr>
                <w:rFonts w:ascii="Calibri" w:hAnsi="Calibri" w:cs="Calibri"/>
                <w:b/>
              </w:rPr>
            </w:pPr>
            <w:r>
              <w:rPr>
                <w:rFonts w:ascii="Calibri" w:hAnsi="Calibri"/>
                <w:b/>
              </w:rPr>
              <w:t>Target value (2023)</w:t>
            </w:r>
          </w:p>
        </w:tc>
        <w:tc>
          <w:tcPr>
            <w:tcW w:w="10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20D4BA5" w14:textId="77777777" w:rsidR="006D3AD5" w:rsidRPr="00360BA1" w:rsidRDefault="006D3AD5" w:rsidP="00443B8F">
            <w:pPr>
              <w:pStyle w:val="Tabulka"/>
              <w:keepNext/>
              <w:keepLines/>
              <w:rPr>
                <w:rFonts w:ascii="Calibri" w:hAnsi="Calibri" w:cs="Calibri"/>
                <w:b/>
              </w:rPr>
            </w:pPr>
            <w:r>
              <w:rPr>
                <w:rFonts w:ascii="Calibri" w:hAnsi="Calibri"/>
                <w:b/>
              </w:rPr>
              <w:t>Data source</w:t>
            </w:r>
          </w:p>
        </w:tc>
        <w:tc>
          <w:tcPr>
            <w:tcW w:w="9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31BDA47" w14:textId="77777777" w:rsidR="006D3AD5" w:rsidRDefault="006D3AD5" w:rsidP="00443B8F">
            <w:pPr>
              <w:pStyle w:val="Tabulka"/>
              <w:keepNext/>
              <w:keepLines/>
              <w:rPr>
                <w:rFonts w:ascii="Calibri" w:hAnsi="Calibri" w:cs="Calibri"/>
                <w:b/>
              </w:rPr>
            </w:pPr>
            <w:r>
              <w:rPr>
                <w:rFonts w:ascii="Calibri" w:hAnsi="Calibri"/>
                <w:b/>
              </w:rPr>
              <w:t>Reporting frequency</w:t>
            </w:r>
          </w:p>
        </w:tc>
      </w:tr>
      <w:tr w:rsidR="006D3AD5" w:rsidRPr="00360BA1" w14:paraId="439FC8B3" w14:textId="77777777" w:rsidTr="00443B8F">
        <w:trPr>
          <w:trHeight w:val="510"/>
        </w:trPr>
        <w:tc>
          <w:tcPr>
            <w:tcW w:w="2170" w:type="dxa"/>
            <w:tcBorders>
              <w:top w:val="single" w:sz="4" w:space="0" w:color="000000"/>
              <w:left w:val="single" w:sz="4" w:space="0" w:color="000000"/>
              <w:bottom w:val="single" w:sz="4" w:space="0" w:color="000000"/>
              <w:right w:val="single" w:sz="4" w:space="0" w:color="000000"/>
            </w:tcBorders>
            <w:vAlign w:val="center"/>
          </w:tcPr>
          <w:p w14:paraId="200410F9" w14:textId="77777777" w:rsidR="006D3AD5" w:rsidRPr="00C10770" w:rsidRDefault="006D3AD5" w:rsidP="00443B8F">
            <w:pPr>
              <w:pStyle w:val="Tabulka"/>
              <w:rPr>
                <w:rFonts w:ascii="Calibri" w:hAnsi="Calibri" w:cs="Calibri"/>
              </w:rPr>
            </w:pPr>
            <w:r>
              <w:rPr>
                <w:rFonts w:ascii="Calibri" w:hAnsi="Calibri"/>
              </w:rPr>
              <w:t>Primary energy</w:t>
            </w:r>
          </w:p>
          <w:p w14:paraId="570BEDC8" w14:textId="77777777" w:rsidR="006D3AD5" w:rsidRPr="00C10770" w:rsidRDefault="006D3AD5" w:rsidP="00443B8F">
            <w:pPr>
              <w:pStyle w:val="Tabulka"/>
              <w:rPr>
                <w:rFonts w:ascii="Calibri" w:hAnsi="Calibri" w:cs="Calibri"/>
              </w:rPr>
            </w:pPr>
            <w:r>
              <w:rPr>
                <w:rFonts w:ascii="Calibri" w:hAnsi="Calibri"/>
              </w:rPr>
              <w:t>sources (heating</w:t>
            </w:r>
          </w:p>
          <w:p w14:paraId="7FADFCE0" w14:textId="77777777" w:rsidR="006D3AD5" w:rsidRPr="00360BA1" w:rsidRDefault="006D3AD5" w:rsidP="00443B8F">
            <w:pPr>
              <w:pStyle w:val="Tabulka"/>
              <w:rPr>
                <w:rFonts w:ascii="Calibri" w:hAnsi="Calibri" w:cs="Calibri"/>
              </w:rPr>
            </w:pPr>
            <w:r>
              <w:rPr>
                <w:rFonts w:ascii="Calibri" w:hAnsi="Calibri"/>
              </w:rPr>
              <w:t>industry)</w:t>
            </w:r>
          </w:p>
        </w:tc>
        <w:tc>
          <w:tcPr>
            <w:tcW w:w="1033" w:type="dxa"/>
            <w:tcBorders>
              <w:top w:val="single" w:sz="4" w:space="0" w:color="000000"/>
              <w:left w:val="single" w:sz="4" w:space="0" w:color="000000"/>
              <w:bottom w:val="single" w:sz="4" w:space="0" w:color="000000"/>
              <w:right w:val="single" w:sz="4" w:space="0" w:color="000000"/>
            </w:tcBorders>
            <w:vAlign w:val="center"/>
          </w:tcPr>
          <w:p w14:paraId="50CB1ACE" w14:textId="77777777" w:rsidR="006D3AD5" w:rsidRPr="00360BA1" w:rsidRDefault="006D3AD5" w:rsidP="00443B8F">
            <w:pPr>
              <w:pStyle w:val="Tabulka"/>
              <w:rPr>
                <w:rFonts w:ascii="Calibri" w:hAnsi="Calibri" w:cs="Calibri"/>
              </w:rPr>
            </w:pPr>
            <w:r>
              <w:rPr>
                <w:rFonts w:ascii="Calibri" w:hAnsi="Calibri"/>
              </w:rPr>
              <w:t>TJ</w:t>
            </w:r>
          </w:p>
        </w:tc>
        <w:tc>
          <w:tcPr>
            <w:tcW w:w="1200" w:type="dxa"/>
            <w:tcBorders>
              <w:top w:val="single" w:sz="4" w:space="0" w:color="000000"/>
              <w:left w:val="single" w:sz="4" w:space="0" w:color="000000"/>
              <w:bottom w:val="single" w:sz="4" w:space="0" w:color="000000"/>
              <w:right w:val="single" w:sz="4" w:space="0" w:color="000000"/>
            </w:tcBorders>
            <w:vAlign w:val="center"/>
          </w:tcPr>
          <w:p w14:paraId="1AD02D60" w14:textId="77777777" w:rsidR="006D3AD5" w:rsidRPr="00360BA1" w:rsidRDefault="006D3AD5" w:rsidP="00443B8F">
            <w:pPr>
              <w:pStyle w:val="Tabulka"/>
              <w:rPr>
                <w:rFonts w:ascii="Calibri" w:hAnsi="Calibri" w:cs="Calibri"/>
              </w:rPr>
            </w:pPr>
            <w:r>
              <w:rPr>
                <w:rFonts w:ascii="Calibri" w:hAnsi="Calibri"/>
              </w:rPr>
              <w:t>Less developed regions</w:t>
            </w:r>
          </w:p>
        </w:tc>
        <w:tc>
          <w:tcPr>
            <w:tcW w:w="1104" w:type="dxa"/>
            <w:tcBorders>
              <w:top w:val="single" w:sz="4" w:space="0" w:color="000000"/>
              <w:left w:val="single" w:sz="4" w:space="0" w:color="000000"/>
              <w:bottom w:val="single" w:sz="4" w:space="0" w:color="000000"/>
              <w:right w:val="single" w:sz="4" w:space="0" w:color="000000"/>
            </w:tcBorders>
            <w:vAlign w:val="center"/>
          </w:tcPr>
          <w:p w14:paraId="3F697BDD" w14:textId="77777777" w:rsidR="006D3AD5" w:rsidRPr="00360BA1" w:rsidRDefault="006D3AD5" w:rsidP="00443B8F">
            <w:pPr>
              <w:pStyle w:val="Tabulka"/>
              <w:rPr>
                <w:rFonts w:ascii="Calibri" w:hAnsi="Calibri" w:cs="Calibri"/>
              </w:rPr>
            </w:pPr>
            <w:r>
              <w:rPr>
                <w:rFonts w:ascii="Calibri" w:hAnsi="Calibri"/>
              </w:rPr>
              <w:t>380,000</w:t>
            </w:r>
          </w:p>
        </w:tc>
        <w:tc>
          <w:tcPr>
            <w:tcW w:w="819" w:type="dxa"/>
            <w:tcBorders>
              <w:top w:val="single" w:sz="4" w:space="0" w:color="000000"/>
              <w:left w:val="single" w:sz="4" w:space="0" w:color="000000"/>
              <w:bottom w:val="single" w:sz="4" w:space="0" w:color="000000"/>
              <w:right w:val="single" w:sz="4" w:space="0" w:color="000000"/>
            </w:tcBorders>
            <w:vAlign w:val="center"/>
          </w:tcPr>
          <w:p w14:paraId="4CC1ABC5" w14:textId="77777777" w:rsidR="006D3AD5" w:rsidRPr="00360BA1" w:rsidRDefault="006D3AD5" w:rsidP="00443B8F">
            <w:pPr>
              <w:pStyle w:val="Tabulka"/>
              <w:rPr>
                <w:rFonts w:ascii="Calibri" w:hAnsi="Calibri" w:cs="Calibri"/>
              </w:rPr>
            </w:pPr>
            <w:r>
              <w:rPr>
                <w:rFonts w:ascii="Calibri" w:hAnsi="Calibri"/>
              </w:rPr>
              <w:t>2012</w:t>
            </w:r>
          </w:p>
        </w:tc>
        <w:tc>
          <w:tcPr>
            <w:tcW w:w="890" w:type="dxa"/>
            <w:tcBorders>
              <w:top w:val="single" w:sz="4" w:space="0" w:color="000000"/>
              <w:left w:val="single" w:sz="4" w:space="0" w:color="000000"/>
              <w:bottom w:val="single" w:sz="4" w:space="0" w:color="000000"/>
              <w:right w:val="single" w:sz="4" w:space="0" w:color="000000"/>
            </w:tcBorders>
            <w:vAlign w:val="center"/>
          </w:tcPr>
          <w:p w14:paraId="3CE78047" w14:textId="77777777" w:rsidR="006D3AD5" w:rsidRPr="00360BA1" w:rsidRDefault="006D3AD5" w:rsidP="00443B8F">
            <w:pPr>
              <w:pStyle w:val="Tabulka"/>
              <w:rPr>
                <w:rFonts w:ascii="Calibri" w:hAnsi="Calibri" w:cs="Calibri"/>
              </w:rPr>
            </w:pPr>
            <w:r>
              <w:rPr>
                <w:rFonts w:ascii="Calibri" w:hAnsi="Calibri"/>
              </w:rPr>
              <w:t>378,000</w:t>
            </w:r>
          </w:p>
        </w:tc>
        <w:tc>
          <w:tcPr>
            <w:tcW w:w="1008" w:type="dxa"/>
            <w:tcBorders>
              <w:top w:val="single" w:sz="4" w:space="0" w:color="000000"/>
              <w:left w:val="single" w:sz="4" w:space="0" w:color="000000"/>
              <w:bottom w:val="single" w:sz="4" w:space="0" w:color="000000"/>
              <w:right w:val="single" w:sz="4" w:space="0" w:color="000000"/>
            </w:tcBorders>
            <w:vAlign w:val="center"/>
          </w:tcPr>
          <w:p w14:paraId="18310A39" w14:textId="77777777" w:rsidR="006D3AD5" w:rsidRPr="00360BA1" w:rsidRDefault="006D3AD5" w:rsidP="00443B8F">
            <w:pPr>
              <w:pStyle w:val="Tabulka"/>
              <w:rPr>
                <w:rFonts w:ascii="Calibri" w:hAnsi="Calibri" w:cs="Calibri"/>
              </w:rPr>
            </w:pPr>
            <w:r>
              <w:rPr>
                <w:rFonts w:ascii="Calibri" w:hAnsi="Calibri"/>
              </w:rPr>
              <w:t>CSO</w:t>
            </w:r>
          </w:p>
        </w:tc>
        <w:tc>
          <w:tcPr>
            <w:tcW w:w="962" w:type="dxa"/>
            <w:tcBorders>
              <w:top w:val="single" w:sz="4" w:space="0" w:color="000000"/>
              <w:left w:val="single" w:sz="4" w:space="0" w:color="000000"/>
              <w:bottom w:val="single" w:sz="4" w:space="0" w:color="000000"/>
              <w:right w:val="single" w:sz="4" w:space="0" w:color="000000"/>
            </w:tcBorders>
            <w:vAlign w:val="center"/>
          </w:tcPr>
          <w:p w14:paraId="2C61EBCC" w14:textId="77777777" w:rsidR="006D3AD5" w:rsidRPr="00A52D1B" w:rsidRDefault="006D3AD5" w:rsidP="00443B8F">
            <w:pPr>
              <w:pStyle w:val="Tabulka"/>
              <w:rPr>
                <w:rFonts w:ascii="Calibri" w:hAnsi="Calibri" w:cs="Calibri"/>
              </w:rPr>
            </w:pPr>
            <w:r>
              <w:rPr>
                <w:rFonts w:ascii="Calibri" w:hAnsi="Calibri"/>
              </w:rPr>
              <w:t>per year</w:t>
            </w:r>
          </w:p>
        </w:tc>
      </w:tr>
    </w:tbl>
    <w:p w14:paraId="63E361D4" w14:textId="77777777" w:rsidR="006D3AD5" w:rsidRDefault="006D3AD5" w:rsidP="006D3AD5">
      <w:pPr>
        <w:pStyle w:val="Odstavecseseznamem2"/>
        <w:overflowPunct w:val="0"/>
        <w:autoSpaceDE w:val="0"/>
        <w:autoSpaceDN w:val="0"/>
        <w:adjustRightInd w:val="0"/>
        <w:spacing w:after="160"/>
        <w:ind w:left="0"/>
        <w:jc w:val="both"/>
        <w:textAlignment w:val="baseline"/>
      </w:pPr>
    </w:p>
    <w:p w14:paraId="252CE3F3" w14:textId="77777777" w:rsidR="006D3AD5" w:rsidRDefault="006D3AD5" w:rsidP="006D3AD5">
      <w:pPr>
        <w:pStyle w:val="Odstavecseseznamem2"/>
        <w:overflowPunct w:val="0"/>
        <w:autoSpaceDE w:val="0"/>
        <w:autoSpaceDN w:val="0"/>
        <w:adjustRightInd w:val="0"/>
        <w:spacing w:after="160"/>
        <w:ind w:left="0"/>
        <w:jc w:val="both"/>
        <w:textAlignment w:val="baseline"/>
      </w:pPr>
      <w:r>
        <w:t>Financial instruments should participate in fulfilling these target values by reaching the target values of the following indicators general quantification of which was based on the model scenarios described above.</w:t>
      </w:r>
    </w:p>
    <w:p w14:paraId="4631A443" w14:textId="77777777" w:rsidR="006D3AD5" w:rsidRPr="002C224A" w:rsidRDefault="006D3AD5" w:rsidP="006D3AD5"/>
    <w:p w14:paraId="79778703" w14:textId="2887504B" w:rsidR="006D3AD5" w:rsidRPr="00A50943" w:rsidRDefault="006D3AD5" w:rsidP="006D3AD5">
      <w:pPr>
        <w:pStyle w:val="Titulek"/>
      </w:pPr>
      <w:r>
        <w:t xml:space="preserve">Table </w:t>
      </w:r>
      <w:r w:rsidR="008E5253">
        <w:t>13</w:t>
      </w:r>
      <w:r w:rsidR="00B90ACD">
        <w:t>4</w:t>
      </w:r>
      <w:r>
        <w:t>: FI target values</w:t>
      </w:r>
    </w:p>
    <w:tbl>
      <w:tblPr>
        <w:tblW w:w="0" w:type="auto"/>
        <w:tblCellMar>
          <w:left w:w="57" w:type="dxa"/>
          <w:right w:w="57" w:type="dxa"/>
        </w:tblCellMar>
        <w:tblLook w:val="01E0" w:firstRow="1" w:lastRow="1" w:firstColumn="1" w:lastColumn="1" w:noHBand="0" w:noVBand="0"/>
      </w:tblPr>
      <w:tblGrid>
        <w:gridCol w:w="4127"/>
        <w:gridCol w:w="1773"/>
        <w:gridCol w:w="1691"/>
        <w:gridCol w:w="1471"/>
      </w:tblGrid>
      <w:tr w:rsidR="006D3AD5" w:rsidRPr="002C224A" w14:paraId="57DA28F5" w14:textId="77777777" w:rsidTr="00443B8F">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8374C6" w14:textId="77777777" w:rsidR="006D3AD5" w:rsidRPr="002C224A" w:rsidRDefault="006D3AD5" w:rsidP="00443B8F">
            <w:pPr>
              <w:pStyle w:val="Tabulka"/>
              <w:keepNext/>
              <w:keepLines/>
              <w:rPr>
                <w:rFonts w:ascii="Calibri" w:hAnsi="Calibri" w:cs="Calibri"/>
                <w:b/>
              </w:rPr>
            </w:pPr>
            <w:r>
              <w:rPr>
                <w:rFonts w:ascii="Calibri" w:hAnsi="Calibri"/>
                <w:b/>
              </w:rPr>
              <w:t>Indicator</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323C558" w14:textId="77777777" w:rsidR="006D3AD5" w:rsidRPr="002C224A" w:rsidRDefault="006D3AD5" w:rsidP="00443B8F">
            <w:pPr>
              <w:pStyle w:val="Tabulka"/>
              <w:keepNext/>
              <w:keepLines/>
              <w:rPr>
                <w:rFonts w:ascii="Calibri" w:hAnsi="Calibri" w:cs="Calibri"/>
                <w:b/>
              </w:rPr>
            </w:pPr>
            <w:r>
              <w:rPr>
                <w:rFonts w:ascii="Calibri" w:hAnsi="Calibri"/>
                <w:b/>
              </w:rPr>
              <w:t>Unit of measurement</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568CB9" w14:textId="77777777" w:rsidR="006D3AD5" w:rsidRPr="002C224A" w:rsidRDefault="006D3AD5" w:rsidP="00443B8F">
            <w:pPr>
              <w:pStyle w:val="Tabulka"/>
              <w:keepNext/>
              <w:keepLines/>
              <w:rPr>
                <w:rFonts w:ascii="Calibri" w:hAnsi="Calibri" w:cs="Calibri"/>
                <w:b/>
              </w:rPr>
            </w:pPr>
            <w:r>
              <w:rPr>
                <w:rFonts w:ascii="Calibri" w:hAnsi="Calibri"/>
                <w:b/>
              </w:rPr>
              <w:t>Category of region</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961612F" w14:textId="77777777" w:rsidR="006D3AD5" w:rsidRPr="002C224A" w:rsidRDefault="006D3AD5" w:rsidP="00443B8F">
            <w:pPr>
              <w:pStyle w:val="Tabulka"/>
              <w:keepNext/>
              <w:keepLines/>
              <w:rPr>
                <w:rFonts w:ascii="Calibri" w:hAnsi="Calibri" w:cs="Calibri"/>
                <w:b/>
              </w:rPr>
            </w:pPr>
            <w:r>
              <w:rPr>
                <w:rFonts w:ascii="Calibri" w:hAnsi="Calibri"/>
                <w:b/>
              </w:rPr>
              <w:t>Target value in the OP EIC (2023)</w:t>
            </w:r>
          </w:p>
        </w:tc>
      </w:tr>
      <w:tr w:rsidR="006D3AD5" w:rsidRPr="002C224A" w14:paraId="6FCDC3D7"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7621385" w14:textId="77777777" w:rsidR="006D3AD5" w:rsidRPr="002C224A" w:rsidRDefault="006D3AD5" w:rsidP="00443B8F">
            <w:pPr>
              <w:pStyle w:val="Tabulka"/>
              <w:keepNext/>
              <w:keepLines/>
              <w:jc w:val="left"/>
              <w:rPr>
                <w:rFonts w:ascii="Calibri" w:hAnsi="Calibri" w:cs="Calibri"/>
              </w:rPr>
            </w:pPr>
            <w:r>
              <w:rPr>
                <w:rFonts w:ascii="Calibri" w:hAnsi="Calibri"/>
              </w:rPr>
              <w:t>Number of companies drawing financial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3893D153" w14:textId="77777777" w:rsidR="006D3AD5" w:rsidRPr="002C224A" w:rsidRDefault="006D3AD5" w:rsidP="00443B8F">
            <w:pPr>
              <w:pStyle w:val="Tabulka"/>
              <w:keepNext/>
              <w:keepLines/>
              <w:rPr>
                <w:rFonts w:ascii="Calibri" w:hAnsi="Calibri" w:cs="Calibri"/>
              </w:rPr>
            </w:pPr>
            <w:r>
              <w:rPr>
                <w:rFonts w:ascii="Calibri" w:hAnsi="Calibri"/>
              </w:rPr>
              <w:t>Companies</w:t>
            </w:r>
          </w:p>
        </w:tc>
        <w:tc>
          <w:tcPr>
            <w:tcW w:w="0" w:type="auto"/>
            <w:tcBorders>
              <w:top w:val="single" w:sz="4" w:space="0" w:color="000000"/>
              <w:left w:val="single" w:sz="4" w:space="0" w:color="000000"/>
              <w:bottom w:val="single" w:sz="4" w:space="0" w:color="000000"/>
              <w:right w:val="single" w:sz="4" w:space="0" w:color="000000"/>
            </w:tcBorders>
            <w:vAlign w:val="center"/>
          </w:tcPr>
          <w:p w14:paraId="19D2283C" w14:textId="77777777" w:rsidR="006D3AD5" w:rsidRPr="002C224A" w:rsidRDefault="006D3AD5" w:rsidP="00443B8F">
            <w:pPr>
              <w:pStyle w:val="Tabulka"/>
              <w:keepNext/>
              <w:keepLines/>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2E5E396D" w14:textId="77777777" w:rsidR="006D3AD5" w:rsidRPr="002C224A" w:rsidRDefault="006D3AD5" w:rsidP="00443B8F">
            <w:pPr>
              <w:pStyle w:val="Tabulka"/>
              <w:keepNext/>
              <w:keepLines/>
              <w:rPr>
                <w:rFonts w:ascii="Calibri" w:hAnsi="Calibri" w:cs="Calibri"/>
              </w:rPr>
            </w:pPr>
            <w:r>
              <w:rPr>
                <w:rFonts w:ascii="Calibri" w:hAnsi="Calibri"/>
              </w:rPr>
              <w:t>12/-20:</w:t>
            </w:r>
            <w:r>
              <w:rPr>
                <w:rStyle w:val="Znakapoznpodarou"/>
                <w:rFonts w:ascii="Calibri" w:hAnsi="Calibri"/>
              </w:rPr>
              <w:footnoteReference w:id="70"/>
            </w:r>
          </w:p>
        </w:tc>
      </w:tr>
      <w:tr w:rsidR="006D3AD5" w:rsidRPr="002C224A" w14:paraId="44635098" w14:textId="77777777" w:rsidTr="00443B8F">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3DF069E" w14:textId="77777777" w:rsidR="006D3AD5" w:rsidRPr="002C224A" w:rsidRDefault="006D3AD5" w:rsidP="00443B8F">
            <w:pPr>
              <w:pStyle w:val="Tabulka"/>
              <w:keepNext/>
              <w:keepLines/>
              <w:jc w:val="left"/>
              <w:rPr>
                <w:rFonts w:ascii="Calibri" w:hAnsi="Calibri" w:cs="Calibri"/>
              </w:rPr>
            </w:pPr>
            <w:r>
              <w:rPr>
                <w:rFonts w:ascii="Calibri" w:hAnsi="Calibri"/>
              </w:rPr>
              <w:t>Private investments in projects with public support (other than grants)</w:t>
            </w:r>
          </w:p>
        </w:tc>
        <w:tc>
          <w:tcPr>
            <w:tcW w:w="0" w:type="auto"/>
            <w:tcBorders>
              <w:top w:val="single" w:sz="4" w:space="0" w:color="000000"/>
              <w:left w:val="single" w:sz="4" w:space="0" w:color="000000"/>
              <w:bottom w:val="single" w:sz="4" w:space="0" w:color="000000"/>
              <w:right w:val="single" w:sz="4" w:space="0" w:color="000000"/>
            </w:tcBorders>
            <w:vAlign w:val="center"/>
          </w:tcPr>
          <w:p w14:paraId="5E0DAA72" w14:textId="77777777" w:rsidR="006D3AD5" w:rsidRPr="002C224A" w:rsidRDefault="006D3AD5" w:rsidP="00443B8F">
            <w:pPr>
              <w:pStyle w:val="Tabulka"/>
              <w:keepNext/>
              <w:keepLines/>
              <w:rPr>
                <w:rFonts w:ascii="Calibri" w:hAnsi="Calibri" w:cs="Calibri"/>
              </w:rPr>
            </w:pPr>
            <w:r>
              <w:rPr>
                <w:rFonts w:ascii="Calibri" w:hAnsi="Calibri"/>
              </w:rPr>
              <w:t>CZK millions</w:t>
            </w:r>
          </w:p>
        </w:tc>
        <w:tc>
          <w:tcPr>
            <w:tcW w:w="0" w:type="auto"/>
            <w:tcBorders>
              <w:top w:val="single" w:sz="4" w:space="0" w:color="000000"/>
              <w:left w:val="single" w:sz="4" w:space="0" w:color="000000"/>
              <w:bottom w:val="single" w:sz="4" w:space="0" w:color="000000"/>
              <w:right w:val="single" w:sz="4" w:space="0" w:color="000000"/>
            </w:tcBorders>
            <w:vAlign w:val="center"/>
          </w:tcPr>
          <w:p w14:paraId="4D50C974" w14:textId="77777777" w:rsidR="006D3AD5" w:rsidRPr="002C224A" w:rsidRDefault="006D3AD5" w:rsidP="00443B8F">
            <w:pPr>
              <w:pStyle w:val="Tabulka"/>
              <w:keepNext/>
              <w:keepLines/>
              <w:rPr>
                <w:rFonts w:ascii="Calibri" w:hAnsi="Calibri" w:cs="Calibri"/>
              </w:rPr>
            </w:pPr>
            <w:r>
              <w:rPr>
                <w:rFonts w:ascii="Calibri" w:hAnsi="Calibri"/>
              </w:rPr>
              <w:t>Less developed regions</w:t>
            </w:r>
          </w:p>
        </w:tc>
        <w:tc>
          <w:tcPr>
            <w:tcW w:w="1471" w:type="dxa"/>
            <w:tcBorders>
              <w:top w:val="single" w:sz="4" w:space="0" w:color="000000"/>
              <w:left w:val="single" w:sz="4" w:space="0" w:color="000000"/>
              <w:bottom w:val="single" w:sz="4" w:space="0" w:color="000000"/>
              <w:right w:val="single" w:sz="4" w:space="0" w:color="000000"/>
            </w:tcBorders>
            <w:vAlign w:val="center"/>
          </w:tcPr>
          <w:p w14:paraId="2F4D5284" w14:textId="77777777" w:rsidR="006D3AD5" w:rsidRPr="002C224A" w:rsidRDefault="006D3AD5" w:rsidP="00443B8F">
            <w:pPr>
              <w:pStyle w:val="Tabulka"/>
              <w:keepNext/>
              <w:keepLines/>
              <w:rPr>
                <w:rFonts w:ascii="Calibri" w:hAnsi="Calibri" w:cs="Calibri"/>
              </w:rPr>
            </w:pPr>
            <w:r>
              <w:rPr>
                <w:rFonts w:ascii="Calibri" w:hAnsi="Calibri"/>
              </w:rPr>
              <w:t>600-900</w:t>
            </w:r>
          </w:p>
        </w:tc>
      </w:tr>
    </w:tbl>
    <w:p w14:paraId="3117AB5D" w14:textId="77777777" w:rsidR="006D3AD5" w:rsidRPr="002C224A" w:rsidRDefault="006D3AD5" w:rsidP="006D3AD5"/>
    <w:p w14:paraId="7415E7F2" w14:textId="77777777" w:rsidR="006D3AD5" w:rsidRPr="00E46303" w:rsidRDefault="006D3AD5" w:rsidP="006D3AD5">
      <w:pPr>
        <w:pStyle w:val="Odstavecseseznamem2"/>
        <w:overflowPunct w:val="0"/>
        <w:autoSpaceDE w:val="0"/>
        <w:autoSpaceDN w:val="0"/>
        <w:adjustRightInd w:val="0"/>
        <w:spacing w:after="160"/>
        <w:ind w:left="0"/>
        <w:jc w:val="both"/>
        <w:textAlignment w:val="baseline"/>
      </w:pPr>
      <w:r>
        <w:t>The following indicators will be analysed to monitor the contribution of the financial instrument on the OP objectives based on the MoRD National indicator register (indicators that will be observed on the final recipients project level are marked with an asterisk):</w:t>
      </w:r>
    </w:p>
    <w:p w14:paraId="077034F7" w14:textId="77777777" w:rsidR="006D3AD5" w:rsidRPr="002C224A" w:rsidRDefault="006D3AD5" w:rsidP="006D3AD5">
      <w:pPr>
        <w:pStyle w:val="Odstavecseseznamem2"/>
        <w:overflowPunct w:val="0"/>
        <w:autoSpaceDE w:val="0"/>
        <w:autoSpaceDN w:val="0"/>
        <w:adjustRightInd w:val="0"/>
        <w:spacing w:after="160"/>
        <w:ind w:left="0"/>
        <w:jc w:val="both"/>
        <w:textAlignment w:val="baseline"/>
      </w:pPr>
    </w:p>
    <w:p w14:paraId="76AC998E" w14:textId="77777777" w:rsidR="006D3AD5" w:rsidRDefault="006D3AD5" w:rsidP="006D3AD5">
      <w:pPr>
        <w:pStyle w:val="Odstavecseseznamem2"/>
        <w:numPr>
          <w:ilvl w:val="0"/>
          <w:numId w:val="60"/>
        </w:numPr>
        <w:spacing w:after="160"/>
      </w:pPr>
      <w:r>
        <w:t>36111 The number of eliminated emissions of primary particles and precursors of secondary particles within supported projects*</w:t>
      </w:r>
    </w:p>
    <w:p w14:paraId="568BD4C5" w14:textId="77777777" w:rsidR="006D3AD5" w:rsidRDefault="006D3AD5" w:rsidP="006D3AD5">
      <w:pPr>
        <w:pStyle w:val="Odstavecseseznamem2"/>
        <w:numPr>
          <w:ilvl w:val="0"/>
          <w:numId w:val="60"/>
        </w:numPr>
        <w:spacing w:after="160"/>
      </w:pPr>
      <w:r>
        <w:t>36010 Expected yearly reduction of greenhouse gases emissions*</w:t>
      </w:r>
    </w:p>
    <w:p w14:paraId="4D6E70E4" w14:textId="77777777" w:rsidR="006D3AD5" w:rsidRDefault="006D3AD5" w:rsidP="006D3AD5">
      <w:pPr>
        <w:pStyle w:val="Odstavecseseznamem2"/>
        <w:numPr>
          <w:ilvl w:val="0"/>
          <w:numId w:val="60"/>
        </w:numPr>
        <w:spacing w:after="160"/>
      </w:pPr>
      <w:r>
        <w:t>34701 New or reconstructed CPEH*</w:t>
      </w:r>
    </w:p>
    <w:p w14:paraId="20EDC72D" w14:textId="77777777" w:rsidR="006D3AD5" w:rsidRDefault="006D3AD5" w:rsidP="006D3AD5">
      <w:pPr>
        <w:pStyle w:val="Odstavecseseznamem2"/>
        <w:numPr>
          <w:ilvl w:val="0"/>
          <w:numId w:val="60"/>
        </w:numPr>
        <w:spacing w:after="160"/>
      </w:pPr>
      <w:r>
        <w:t>32601 Primary energy savings*</w:t>
      </w:r>
    </w:p>
    <w:p w14:paraId="5CFED5D9" w14:textId="77777777" w:rsidR="006D3AD5" w:rsidRDefault="006D3AD5" w:rsidP="006D3AD5">
      <w:pPr>
        <w:pStyle w:val="Odstavecseseznamem2"/>
        <w:numPr>
          <w:ilvl w:val="0"/>
          <w:numId w:val="60"/>
        </w:numPr>
        <w:spacing w:after="160"/>
      </w:pPr>
      <w:r>
        <w:t>10103 Number of companies drawing financial support other than grants*</w:t>
      </w:r>
    </w:p>
    <w:p w14:paraId="375ED121" w14:textId="77777777" w:rsidR="006D3AD5" w:rsidRDefault="006D3AD5" w:rsidP="006D3AD5">
      <w:pPr>
        <w:pStyle w:val="Odstavecseseznamem2"/>
        <w:numPr>
          <w:ilvl w:val="0"/>
          <w:numId w:val="60"/>
        </w:numPr>
        <w:spacing w:after="160"/>
      </w:pPr>
      <w:r>
        <w:t>10301 Private investments corresponding to the public support of companies (other than grants)</w:t>
      </w:r>
    </w:p>
    <w:p w14:paraId="4B89BD06" w14:textId="77777777" w:rsidR="006D3AD5" w:rsidRDefault="006D3AD5" w:rsidP="006D3AD5">
      <w:pPr>
        <w:pStyle w:val="Odstavecseseznamem2"/>
        <w:numPr>
          <w:ilvl w:val="0"/>
          <w:numId w:val="60"/>
        </w:numPr>
        <w:spacing w:after="160"/>
      </w:pPr>
      <w:r>
        <w:t>required for fulfilment:*</w:t>
      </w:r>
    </w:p>
    <w:p w14:paraId="7E256771" w14:textId="77777777" w:rsidR="006D3AD5" w:rsidRDefault="006D3AD5" w:rsidP="006D3AD5">
      <w:pPr>
        <w:pStyle w:val="Odstavecseseznamem2"/>
        <w:numPr>
          <w:ilvl w:val="0"/>
          <w:numId w:val="60"/>
        </w:numPr>
        <w:spacing w:after="160"/>
      </w:pPr>
      <w:r>
        <w:t>10000 The number of companies drawing the support</w:t>
      </w:r>
    </w:p>
    <w:p w14:paraId="7BFE5933" w14:textId="77777777" w:rsidR="006D3AD5" w:rsidRDefault="006D3AD5" w:rsidP="006D3AD5">
      <w:pPr>
        <w:pStyle w:val="Odstavecseseznamem2"/>
        <w:numPr>
          <w:ilvl w:val="0"/>
          <w:numId w:val="60"/>
        </w:numPr>
        <w:spacing w:after="160"/>
      </w:pPr>
      <w:r>
        <w:t>34700 Energy production from CPEH</w:t>
      </w:r>
    </w:p>
    <w:p w14:paraId="67B1032B" w14:textId="77777777" w:rsidR="006D3AD5" w:rsidRDefault="006D3AD5" w:rsidP="006D3AD5">
      <w:pPr>
        <w:pStyle w:val="Odstavecseseznamem2"/>
        <w:numPr>
          <w:ilvl w:val="0"/>
          <w:numId w:val="60"/>
        </w:numPr>
        <w:spacing w:after="160"/>
      </w:pPr>
      <w:r>
        <w:t>32602 Primary energy sources (heating industry)</w:t>
      </w:r>
    </w:p>
    <w:p w14:paraId="0CD37C64" w14:textId="77777777" w:rsidR="006D3AD5" w:rsidRPr="002C224A" w:rsidRDefault="006D3AD5" w:rsidP="006D3AD5"/>
    <w:p w14:paraId="2857ADCB" w14:textId="77777777" w:rsidR="006D3AD5" w:rsidRPr="002C224A" w:rsidRDefault="006D3AD5" w:rsidP="006D3AD5">
      <w:pPr>
        <w:pStyle w:val="Nadpis4"/>
        <w:rPr>
          <w:rFonts w:ascii="Calibri" w:hAnsi="Calibri"/>
        </w:rPr>
      </w:pPr>
      <w:r>
        <w:rPr>
          <w:rFonts w:ascii="Calibri" w:hAnsi="Calibri"/>
        </w:rPr>
        <w:lastRenderedPageBreak/>
        <w:t>Partial summary</w:t>
      </w:r>
    </w:p>
    <w:p w14:paraId="46B317B1" w14:textId="77777777" w:rsidR="006D3AD5" w:rsidRPr="00A50943" w:rsidRDefault="006D3AD5" w:rsidP="006D3AD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282"/>
        <w:gridCol w:w="6788"/>
      </w:tblGrid>
      <w:tr w:rsidR="006D3AD5" w:rsidRPr="002C224A" w14:paraId="35C731E0" w14:textId="77777777" w:rsidTr="00443B8F">
        <w:tc>
          <w:tcPr>
            <w:tcW w:w="2282" w:type="dxa"/>
            <w:shd w:val="clear" w:color="auto" w:fill="ECFFC3"/>
          </w:tcPr>
          <w:p w14:paraId="5FA0BE0F" w14:textId="77777777" w:rsidR="006D3AD5" w:rsidRPr="002C224A" w:rsidRDefault="006D3AD5" w:rsidP="00443B8F">
            <w:pPr>
              <w:rPr>
                <w:b/>
              </w:rPr>
            </w:pPr>
          </w:p>
        </w:tc>
        <w:tc>
          <w:tcPr>
            <w:tcW w:w="6788" w:type="dxa"/>
            <w:shd w:val="clear" w:color="auto" w:fill="ECFFC3"/>
          </w:tcPr>
          <w:p w14:paraId="34A840B5" w14:textId="77777777" w:rsidR="006D3AD5" w:rsidRPr="002C224A" w:rsidRDefault="006D3AD5" w:rsidP="00443B8F">
            <w:pPr>
              <w:ind w:left="38"/>
              <w:rPr>
                <w:b/>
              </w:rPr>
            </w:pPr>
          </w:p>
        </w:tc>
      </w:tr>
      <w:tr w:rsidR="006D3AD5" w:rsidRPr="002C224A" w14:paraId="4CA3D6AF" w14:textId="77777777" w:rsidTr="00443B8F">
        <w:tc>
          <w:tcPr>
            <w:tcW w:w="2282" w:type="dxa"/>
            <w:shd w:val="clear" w:color="auto" w:fill="92D400"/>
            <w:noWrap/>
          </w:tcPr>
          <w:p w14:paraId="35D13B36" w14:textId="77777777" w:rsidR="006D3AD5" w:rsidRPr="002C224A" w:rsidRDefault="006D3AD5" w:rsidP="00443B8F">
            <w:pPr>
              <w:rPr>
                <w:b/>
                <w:color w:val="FFFFFF"/>
              </w:rPr>
            </w:pPr>
            <w:r>
              <w:rPr>
                <w:b/>
                <w:color w:val="FFFFFF"/>
              </w:rPr>
              <w:t>Objectives of the financial instrument</w:t>
            </w:r>
          </w:p>
        </w:tc>
        <w:tc>
          <w:tcPr>
            <w:tcW w:w="6788" w:type="dxa"/>
            <w:shd w:val="clear" w:color="auto" w:fill="FFFFFF"/>
            <w:noWrap/>
          </w:tcPr>
          <w:p w14:paraId="36D9627B" w14:textId="07C41DD8" w:rsidR="006D3AD5" w:rsidRPr="002C224A" w:rsidRDefault="006D3AD5" w:rsidP="00443B8F">
            <w:r>
              <w:t xml:space="preserve">To support investments into CPEH reconstructions and installation, increase access to financing for </w:t>
            </w:r>
            <w:r w:rsidR="0042403A">
              <w:t>SME</w:t>
            </w:r>
            <w:r>
              <w:t>s and reduce financial costs and increase returns of investments into CPEH.</w:t>
            </w:r>
          </w:p>
        </w:tc>
      </w:tr>
      <w:tr w:rsidR="006D3AD5" w:rsidRPr="002C224A" w14:paraId="2EBF3BCC" w14:textId="77777777" w:rsidTr="00443B8F">
        <w:tc>
          <w:tcPr>
            <w:tcW w:w="2282" w:type="dxa"/>
            <w:shd w:val="clear" w:color="auto" w:fill="92D400"/>
            <w:noWrap/>
          </w:tcPr>
          <w:p w14:paraId="446FD4C9" w14:textId="77777777" w:rsidR="006D3AD5" w:rsidRPr="002C224A" w:rsidRDefault="006D3AD5" w:rsidP="00443B8F">
            <w:pPr>
              <w:jc w:val="left"/>
              <w:rPr>
                <w:b/>
                <w:color w:val="FFFFFF"/>
              </w:rPr>
            </w:pPr>
            <w:r>
              <w:rPr>
                <w:b/>
                <w:color w:val="FFFFFF"/>
              </w:rPr>
              <w:t>Definition and criteria of eligible projects</w:t>
            </w:r>
          </w:p>
        </w:tc>
        <w:tc>
          <w:tcPr>
            <w:tcW w:w="6788" w:type="dxa"/>
            <w:shd w:val="clear" w:color="auto" w:fill="FFFFFF"/>
            <w:noWrap/>
          </w:tcPr>
          <w:p w14:paraId="1142FB5D" w14:textId="77777777" w:rsidR="006D3AD5" w:rsidRPr="002C224A" w:rsidRDefault="006D3AD5" w:rsidP="00443B8F">
            <w:pPr>
              <w:pStyle w:val="Odstavecseseznamem1"/>
              <w:overflowPunct/>
              <w:autoSpaceDE/>
              <w:autoSpaceDN/>
              <w:adjustRightInd/>
              <w:ind w:left="0"/>
              <w:contextualSpacing w:val="0"/>
              <w:textAlignment w:val="auto"/>
            </w:pPr>
            <w:r>
              <w:t>Gas CPEH systems establishment and efficiency upgrades</w:t>
            </w:r>
          </w:p>
          <w:p w14:paraId="51B1D82E" w14:textId="77777777" w:rsidR="006D3AD5" w:rsidRPr="002C224A" w:rsidRDefault="006D3AD5" w:rsidP="00443B8F">
            <w:pPr>
              <w:spacing w:line="250" w:lineRule="atLeast"/>
              <w:contextualSpacing/>
              <w:jc w:val="left"/>
            </w:pPr>
          </w:p>
        </w:tc>
      </w:tr>
      <w:tr w:rsidR="006D3AD5" w:rsidRPr="002C224A" w14:paraId="770BC707" w14:textId="77777777" w:rsidTr="00443B8F">
        <w:tc>
          <w:tcPr>
            <w:tcW w:w="2282" w:type="dxa"/>
            <w:shd w:val="clear" w:color="auto" w:fill="92D400"/>
            <w:noWrap/>
          </w:tcPr>
          <w:p w14:paraId="7965C7D7" w14:textId="77777777" w:rsidR="006D3AD5" w:rsidRPr="002C224A" w:rsidRDefault="006D3AD5" w:rsidP="00443B8F">
            <w:pPr>
              <w:rPr>
                <w:b/>
                <w:color w:val="FFFFFF"/>
              </w:rPr>
            </w:pPr>
            <w:r>
              <w:rPr>
                <w:b/>
                <w:color w:val="FFFFFF"/>
              </w:rPr>
              <w:t>Support form</w:t>
            </w:r>
          </w:p>
        </w:tc>
        <w:tc>
          <w:tcPr>
            <w:tcW w:w="6788" w:type="dxa"/>
            <w:shd w:val="clear" w:color="auto" w:fill="FFFFFF"/>
            <w:noWrap/>
          </w:tcPr>
          <w:p w14:paraId="50B06EED" w14:textId="77777777" w:rsidR="006D3AD5" w:rsidRPr="002C224A" w:rsidRDefault="006D3AD5" w:rsidP="00443B8F">
            <w:pPr>
              <w:spacing w:after="120"/>
              <w:rPr>
                <w:rFonts w:cs="Calibri"/>
                <w:szCs w:val="22"/>
              </w:rPr>
            </w:pPr>
            <w:r>
              <w:t>Combined support.</w:t>
            </w:r>
          </w:p>
          <w:p w14:paraId="1B9C62A0" w14:textId="77777777" w:rsidR="006D3AD5" w:rsidRPr="002C224A" w:rsidRDefault="006D3AD5" w:rsidP="00443B8F">
            <w:pPr>
              <w:spacing w:after="120"/>
              <w:rPr>
                <w:rFonts w:cs="Calibri"/>
                <w:szCs w:val="22"/>
              </w:rPr>
            </w:pPr>
            <w:r>
              <w:t>The soft loan with lower interest rate and longer due period, potentially with longer principal repayment deferment.</w:t>
            </w:r>
          </w:p>
          <w:p w14:paraId="59805683" w14:textId="77777777" w:rsidR="006D3AD5" w:rsidRPr="002C224A" w:rsidRDefault="006D3AD5" w:rsidP="00443B8F">
            <w:pPr>
              <w:spacing w:after="120"/>
              <w:rPr>
                <w:rFonts w:cs="Calibri"/>
                <w:szCs w:val="22"/>
              </w:rPr>
            </w:pPr>
            <w:r>
              <w:t>Financial subsidy for interest reimbursement (interest rate grant - financial subsidy) conditional to achieving required results.</w:t>
            </w:r>
          </w:p>
          <w:p w14:paraId="2B83B6E2" w14:textId="77777777" w:rsidR="006D3AD5" w:rsidRPr="002C224A" w:rsidRDefault="006D3AD5" w:rsidP="00443B8F">
            <w:pPr>
              <w:rPr>
                <w:b/>
                <w:color w:val="FF0000"/>
              </w:rPr>
            </w:pPr>
            <w:r>
              <w:t>Reimbursement of costs for the energy audit and validation of savings (financial subsidy).</w:t>
            </w:r>
          </w:p>
        </w:tc>
      </w:tr>
      <w:tr w:rsidR="006D3AD5" w:rsidRPr="002C224A" w14:paraId="79E038D3" w14:textId="77777777" w:rsidTr="00443B8F">
        <w:tc>
          <w:tcPr>
            <w:tcW w:w="2282" w:type="dxa"/>
            <w:shd w:val="clear" w:color="auto" w:fill="92D400"/>
            <w:noWrap/>
          </w:tcPr>
          <w:p w14:paraId="19DF49F6" w14:textId="77777777" w:rsidR="006D3AD5" w:rsidRPr="002C224A" w:rsidRDefault="006D3AD5" w:rsidP="00443B8F">
            <w:pPr>
              <w:rPr>
                <w:b/>
                <w:color w:val="FFFFFF"/>
              </w:rPr>
            </w:pPr>
            <w:r>
              <w:rPr>
                <w:b/>
                <w:color w:val="FFFFFF"/>
              </w:rPr>
              <w:t>Support amount</w:t>
            </w:r>
          </w:p>
        </w:tc>
        <w:tc>
          <w:tcPr>
            <w:tcW w:w="6788" w:type="dxa"/>
            <w:shd w:val="clear" w:color="auto" w:fill="FFFFFF"/>
            <w:noWrap/>
          </w:tcPr>
          <w:p w14:paraId="262523EE" w14:textId="77777777" w:rsidR="006D3AD5" w:rsidRPr="002C224A" w:rsidRDefault="006D3AD5" w:rsidP="00443B8F">
            <w:r>
              <w:t>Loan and interest rate subsidy will range from CZK 0.5 to 250 million.</w:t>
            </w:r>
          </w:p>
        </w:tc>
      </w:tr>
      <w:tr w:rsidR="006D3AD5" w:rsidRPr="002C224A" w14:paraId="66F317A7" w14:textId="77777777" w:rsidTr="00443B8F">
        <w:tc>
          <w:tcPr>
            <w:tcW w:w="2282" w:type="dxa"/>
            <w:shd w:val="clear" w:color="auto" w:fill="92D400"/>
            <w:noWrap/>
          </w:tcPr>
          <w:p w14:paraId="29F0EEEA" w14:textId="77777777" w:rsidR="006D3AD5" w:rsidRPr="002C224A" w:rsidRDefault="006D3AD5" w:rsidP="00443B8F">
            <w:pPr>
              <w:rPr>
                <w:b/>
                <w:color w:val="FFFFFF"/>
              </w:rPr>
            </w:pPr>
            <w:r>
              <w:rPr>
                <w:b/>
                <w:color w:val="FFFFFF"/>
              </w:rPr>
              <w:t>Basic parameters of the provided support</w:t>
            </w:r>
          </w:p>
        </w:tc>
        <w:tc>
          <w:tcPr>
            <w:tcW w:w="6788" w:type="dxa"/>
            <w:shd w:val="clear" w:color="auto" w:fill="FFFFFF"/>
            <w:noWrap/>
          </w:tcPr>
          <w:p w14:paraId="1B0A4F04" w14:textId="77777777" w:rsidR="006D3AD5" w:rsidRPr="002C224A" w:rsidRDefault="006D3AD5" w:rsidP="00443B8F">
            <w:r>
              <w:t>We recommend lowering the interest rate for the final recipient to half of the market interest rate. To reach such a low interest rate it is necessary for the fund interest rate to be as low as possible.</w:t>
            </w:r>
          </w:p>
          <w:p w14:paraId="75861548" w14:textId="77777777" w:rsidR="006D3AD5" w:rsidRPr="002C224A" w:rsidRDefault="006D3AD5" w:rsidP="00443B8F"/>
          <w:p w14:paraId="33EB5A47" w14:textId="52C14EFC" w:rsidR="006D3AD5" w:rsidRPr="002C224A" w:rsidRDefault="00AE65A1" w:rsidP="00443B8F">
            <w:r>
              <w:t>The soft loan should be provided in parallel with commercial loan of a private credit institution and a co-financing of the final recipient. The share of commercial loan is rec</w:t>
            </w:r>
            <w:r w:rsidR="006D3AD5">
              <w:t>ommended at 50-100% of the soft loan.</w:t>
            </w:r>
          </w:p>
        </w:tc>
      </w:tr>
      <w:tr w:rsidR="006D3AD5" w:rsidRPr="002C224A" w14:paraId="114578E2" w14:textId="77777777" w:rsidTr="00443B8F">
        <w:tc>
          <w:tcPr>
            <w:tcW w:w="2282" w:type="dxa"/>
            <w:shd w:val="clear" w:color="auto" w:fill="92D400"/>
            <w:noWrap/>
          </w:tcPr>
          <w:p w14:paraId="16DF54E9" w14:textId="77777777" w:rsidR="006D3AD5" w:rsidRPr="002C224A" w:rsidRDefault="006D3AD5" w:rsidP="00443B8F">
            <w:pPr>
              <w:rPr>
                <w:b/>
                <w:color w:val="FFFFFF"/>
              </w:rPr>
            </w:pPr>
            <w:r>
              <w:rPr>
                <w:b/>
                <w:color w:val="FFFFFF"/>
              </w:rPr>
              <w:t>Steps for activation of private financial sources</w:t>
            </w:r>
          </w:p>
        </w:tc>
        <w:tc>
          <w:tcPr>
            <w:tcW w:w="6788" w:type="dxa"/>
            <w:shd w:val="clear" w:color="auto" w:fill="FFFFFF"/>
            <w:noWrap/>
          </w:tcPr>
          <w:p w14:paraId="10C9300F" w14:textId="77777777" w:rsidR="006D3AD5" w:rsidRPr="002C224A" w:rsidRDefault="006D3AD5" w:rsidP="00443B8F">
            <w:r>
              <w:t>Preferential remuneration is not suitable. Private credit institutions will be involved in accordance with market conditions, the soft loan instrument will have a secondary lien and therefore it will enable for using further commercial loans.</w:t>
            </w:r>
          </w:p>
        </w:tc>
      </w:tr>
      <w:tr w:rsidR="006D3AD5" w:rsidRPr="002C224A" w14:paraId="165F2A01" w14:textId="77777777" w:rsidTr="00443B8F">
        <w:tc>
          <w:tcPr>
            <w:tcW w:w="2282" w:type="dxa"/>
            <w:shd w:val="clear" w:color="auto" w:fill="92D400"/>
            <w:noWrap/>
          </w:tcPr>
          <w:p w14:paraId="313B29E1" w14:textId="77777777" w:rsidR="006D3AD5" w:rsidRPr="002C224A" w:rsidRDefault="006D3AD5" w:rsidP="00443B8F">
            <w:pPr>
              <w:rPr>
                <w:b/>
                <w:color w:val="FFFFFF"/>
              </w:rPr>
            </w:pPr>
            <w:r>
              <w:rPr>
                <w:b/>
                <w:color w:val="FFFFFF"/>
              </w:rPr>
              <w:t>Expected allocation</w:t>
            </w:r>
          </w:p>
        </w:tc>
        <w:tc>
          <w:tcPr>
            <w:tcW w:w="6788" w:type="dxa"/>
            <w:shd w:val="clear" w:color="auto" w:fill="FFFFFF"/>
            <w:noWrap/>
          </w:tcPr>
          <w:p w14:paraId="45C263EC" w14:textId="77777777" w:rsidR="006D3AD5" w:rsidRPr="002C224A" w:rsidRDefault="006D3AD5" w:rsidP="00443B8F">
            <w:r>
              <w:t xml:space="preserve"> For supporting the CPEH we recommend using the FI in the range of CZK 900-1100 million.</w:t>
            </w:r>
          </w:p>
          <w:p w14:paraId="4D801DA4" w14:textId="77777777" w:rsidR="006D3AD5" w:rsidRPr="002C224A" w:rsidRDefault="006D3AD5" w:rsidP="00443B8F"/>
          <w:p w14:paraId="46FDEC4D" w14:textId="77777777" w:rsidR="006D3AD5" w:rsidRPr="002C224A" w:rsidRDefault="006D3AD5" w:rsidP="00443B8F">
            <w:r>
              <w:t>In case of practical combinability of a soft loan with a subsidy support up to the limit of a public support it is possible to extend the FI allocation.</w:t>
            </w:r>
          </w:p>
        </w:tc>
      </w:tr>
    </w:tbl>
    <w:p w14:paraId="5BDB2EA5" w14:textId="6A2028A8" w:rsidR="006D3AD5" w:rsidRPr="002C224A" w:rsidRDefault="006D3AD5" w:rsidP="006D3AD5">
      <w:pPr>
        <w:pStyle w:val="Titulek"/>
      </w:pPr>
      <w:r>
        <w:t xml:space="preserve">Table </w:t>
      </w:r>
      <w:r w:rsidR="008E5253">
        <w:t>13</w:t>
      </w:r>
      <w:r w:rsidR="00B90ACD">
        <w:t>5</w:t>
      </w:r>
      <w:r>
        <w:t>: Summary of the SO 3.5 FI</w:t>
      </w:r>
    </w:p>
    <w:p w14:paraId="02995852" w14:textId="77777777" w:rsidR="006D3AD5" w:rsidRPr="002C224A" w:rsidRDefault="006D3AD5" w:rsidP="006D3AD5">
      <w:pPr>
        <w:pStyle w:val="Nadpis3"/>
        <w:rPr>
          <w:rFonts w:ascii="Calibri" w:hAnsi="Calibri"/>
        </w:rPr>
      </w:pPr>
      <w:bookmarkStart w:id="1425" w:name="_Toc416800516"/>
      <w:bookmarkStart w:id="1426" w:name="_Toc419183287"/>
      <w:bookmarkStart w:id="1427" w:name="_Toc422312153"/>
      <w:r>
        <w:rPr>
          <w:rFonts w:ascii="Calibri" w:hAnsi="Calibri"/>
        </w:rPr>
        <w:t>Specific objective 4.1</w:t>
      </w:r>
      <w:bookmarkEnd w:id="1425"/>
      <w:bookmarkEnd w:id="1426"/>
      <w:bookmarkEnd w:id="1427"/>
    </w:p>
    <w:p w14:paraId="53377B80" w14:textId="77777777" w:rsidR="00455073" w:rsidRDefault="00455073" w:rsidP="006D3AD5">
      <w:pPr>
        <w:rPr>
          <w:lang w:val="en-US"/>
        </w:rPr>
      </w:pPr>
      <w:r w:rsidRPr="00561B12">
        <w:rPr>
          <w:lang w:val="en-US"/>
        </w:rPr>
        <w:t xml:space="preserve">The ex-ante assessment </w:t>
      </w:r>
      <w:r>
        <w:rPr>
          <w:lang w:val="en-US"/>
        </w:rPr>
        <w:t>u</w:t>
      </w:r>
      <w:r w:rsidRPr="00561B12">
        <w:rPr>
          <w:lang w:val="en-US"/>
        </w:rPr>
        <w:t>nder the market analysis of SO 4.1 concluded that the potential of financial instruments in SO 4.1 is very limited and does not cover defined target areas of OP EIC</w:t>
      </w:r>
      <w:r>
        <w:rPr>
          <w:lang w:val="en-US"/>
        </w:rPr>
        <w:t xml:space="preserve"> sufficiently</w:t>
      </w:r>
      <w:r w:rsidRPr="00561B12">
        <w:rPr>
          <w:lang w:val="en-US"/>
        </w:rPr>
        <w:t>. The ex-ante assessment does not find the application of the FI effective and proposes to apply the grant support according to good practice in the Federal Republic of Germany (under the condition of the thorough revision of the white spots</w:t>
      </w:r>
      <w:r>
        <w:rPr>
          <w:lang w:val="en-US"/>
        </w:rPr>
        <w:t xml:space="preserve"> mapping of the CTO).</w:t>
      </w:r>
    </w:p>
    <w:p w14:paraId="4B171613" w14:textId="77777777" w:rsidR="00455073" w:rsidRDefault="00455073" w:rsidP="006D3AD5">
      <w:pPr>
        <w:rPr>
          <w:lang w:val="en-US"/>
        </w:rPr>
      </w:pPr>
    </w:p>
    <w:p w14:paraId="3E5D13ED" w14:textId="77777777" w:rsidR="00455073" w:rsidRPr="00DE38E2" w:rsidRDefault="00455073" w:rsidP="00455073">
      <w:pPr>
        <w:rPr>
          <w:lang w:val="en-US"/>
        </w:rPr>
      </w:pPr>
      <w:r w:rsidRPr="00DE38E2">
        <w:rPr>
          <w:lang w:val="en-US"/>
        </w:rPr>
        <w:t>FI in the area of building the NGA networks can be complementary implemented outside of OP EIC</w:t>
      </w:r>
      <w:r>
        <w:rPr>
          <w:lang w:val="en-US"/>
        </w:rPr>
        <w:t xml:space="preserve"> – if there will be an interest to further</w:t>
      </w:r>
      <w:r w:rsidRPr="00DE38E2">
        <w:rPr>
          <w:lang w:val="en-US"/>
        </w:rPr>
        <w:t xml:space="preserve"> increa</w:t>
      </w:r>
      <w:r>
        <w:rPr>
          <w:lang w:val="en-US"/>
        </w:rPr>
        <w:t>se</w:t>
      </w:r>
      <w:r w:rsidRPr="00DE38E2">
        <w:rPr>
          <w:lang w:val="en-US"/>
        </w:rPr>
        <w:t xml:space="preserve"> the investments in </w:t>
      </w:r>
      <w:r>
        <w:rPr>
          <w:lang w:val="en-US"/>
        </w:rPr>
        <w:t>the</w:t>
      </w:r>
      <w:r w:rsidRPr="00DE38E2">
        <w:rPr>
          <w:lang w:val="en-US"/>
        </w:rPr>
        <w:t xml:space="preserve"> field </w:t>
      </w:r>
      <w:r>
        <w:rPr>
          <w:lang w:val="en-US"/>
        </w:rPr>
        <w:t>of broadband in the Czech Republic in the areas outside the scope of OP EIC. FI can be used in the areas</w:t>
      </w:r>
      <w:r w:rsidRPr="00DE38E2">
        <w:rPr>
          <w:lang w:val="en-US"/>
        </w:rPr>
        <w:t xml:space="preserve"> that show higher </w:t>
      </w:r>
      <w:r>
        <w:rPr>
          <w:lang w:val="en-US"/>
        </w:rPr>
        <w:t>rate of return</w:t>
      </w:r>
      <w:r w:rsidRPr="00DE38E2">
        <w:rPr>
          <w:lang w:val="en-US"/>
        </w:rPr>
        <w:t xml:space="preserve"> and market potential. </w:t>
      </w:r>
      <w:r>
        <w:rPr>
          <w:lang w:val="en-US"/>
        </w:rPr>
        <w:t>Bellow we</w:t>
      </w:r>
      <w:r w:rsidRPr="00DE38E2">
        <w:rPr>
          <w:lang w:val="en-US"/>
        </w:rPr>
        <w:t xml:space="preserve"> </w:t>
      </w:r>
      <w:r>
        <w:rPr>
          <w:lang w:val="en-US"/>
        </w:rPr>
        <w:t xml:space="preserve">indicate possible models </w:t>
      </w:r>
      <w:r w:rsidRPr="00DE38E2">
        <w:rPr>
          <w:lang w:val="en-US"/>
        </w:rPr>
        <w:t xml:space="preserve">of </w:t>
      </w:r>
      <w:r>
        <w:rPr>
          <w:lang w:val="en-US"/>
        </w:rPr>
        <w:t>the applicable</w:t>
      </w:r>
      <w:r w:rsidRPr="00DE38E2">
        <w:rPr>
          <w:lang w:val="en-US"/>
        </w:rPr>
        <w:t xml:space="preserve"> instruments</w:t>
      </w:r>
      <w:r>
        <w:rPr>
          <w:lang w:val="en-US"/>
        </w:rPr>
        <w:t xml:space="preserve"> in this regard</w:t>
      </w:r>
      <w:r w:rsidRPr="00DE38E2">
        <w:rPr>
          <w:lang w:val="en-US"/>
        </w:rPr>
        <w:t xml:space="preserve"> – e.g. </w:t>
      </w:r>
      <w:r>
        <w:rPr>
          <w:lang w:val="en-US"/>
        </w:rPr>
        <w:t>for the purpose of the</w:t>
      </w:r>
      <w:r w:rsidRPr="00DE38E2">
        <w:rPr>
          <w:lang w:val="en-US"/>
        </w:rPr>
        <w:t xml:space="preserve"> Investment plan for Europe. MIT will put the</w:t>
      </w:r>
      <w:r w:rsidRPr="00312A2E">
        <w:rPr>
          <w:lang w:val="en-US"/>
        </w:rPr>
        <w:t xml:space="preserve"> </w:t>
      </w:r>
      <w:r w:rsidRPr="00DE38E2">
        <w:rPr>
          <w:lang w:val="en-US"/>
        </w:rPr>
        <w:t>proposal</w:t>
      </w:r>
      <w:r>
        <w:rPr>
          <w:lang w:val="en-US"/>
        </w:rPr>
        <w:t xml:space="preserve"> of</w:t>
      </w:r>
      <w:r w:rsidRPr="00DE38E2">
        <w:rPr>
          <w:lang w:val="en-US"/>
        </w:rPr>
        <w:t xml:space="preserve"> </w:t>
      </w:r>
      <w:r>
        <w:rPr>
          <w:lang w:val="en-US"/>
        </w:rPr>
        <w:t>a</w:t>
      </w:r>
      <w:r w:rsidRPr="00DE38E2">
        <w:rPr>
          <w:lang w:val="en-US"/>
        </w:rPr>
        <w:t xml:space="preserve"> financial instrument for NGA on the reference list of </w:t>
      </w:r>
      <w:r>
        <w:rPr>
          <w:lang w:val="en-US"/>
        </w:rPr>
        <w:t xml:space="preserve">the </w:t>
      </w:r>
      <w:r w:rsidRPr="00DE38E2">
        <w:rPr>
          <w:lang w:val="en-US"/>
        </w:rPr>
        <w:t>projects for European fund for strategic investments that is prepared for the government of the Czech Republic together with the Ministry of Finance.</w:t>
      </w:r>
    </w:p>
    <w:p w14:paraId="113C61B3" w14:textId="77777777" w:rsidR="006D3AD5" w:rsidRPr="002C224A" w:rsidRDefault="006D3AD5" w:rsidP="006D3AD5"/>
    <w:p w14:paraId="0E434C44" w14:textId="77777777" w:rsidR="006D3AD5" w:rsidRPr="002C224A" w:rsidRDefault="006D3AD5" w:rsidP="006D3AD5">
      <w:pPr>
        <w:pStyle w:val="Nadpis4"/>
        <w:rPr>
          <w:rFonts w:ascii="Calibri" w:hAnsi="Calibri"/>
        </w:rPr>
      </w:pPr>
      <w:r>
        <w:rPr>
          <w:rFonts w:ascii="Calibri" w:hAnsi="Calibri"/>
        </w:rPr>
        <w:t>Indicative possibilities for implementation of the NGA financial instrument (except for the support from ESIF)</w:t>
      </w:r>
    </w:p>
    <w:p w14:paraId="46D17EFB" w14:textId="77777777" w:rsidR="006D3AD5" w:rsidRPr="002C224A" w:rsidRDefault="006D3AD5" w:rsidP="006D3AD5">
      <w:pPr>
        <w:pStyle w:val="CaptionIntroductionparagraph"/>
        <w:rPr>
          <w:rFonts w:ascii="Calibri" w:hAnsi="Calibri"/>
          <w:sz w:val="20"/>
        </w:rPr>
      </w:pPr>
    </w:p>
    <w:p w14:paraId="6E013873" w14:textId="77777777" w:rsidR="006D3AD5" w:rsidRPr="002C224A" w:rsidRDefault="006D3AD5" w:rsidP="006D3AD5">
      <w:pPr>
        <w:pStyle w:val="Neslovannadpisy"/>
        <w:rPr>
          <w:bCs/>
          <w:iCs/>
        </w:rPr>
      </w:pPr>
      <w:r>
        <w:t>Credit instrument</w:t>
      </w:r>
    </w:p>
    <w:p w14:paraId="3FDF88BE" w14:textId="55C0C761" w:rsidR="006D3AD5" w:rsidRPr="00A50943" w:rsidRDefault="003D62D4" w:rsidP="006D3AD5">
      <w:pPr>
        <w:keepNext/>
        <w:jc w:val="center"/>
      </w:pPr>
      <w:r w:rsidRPr="008517EA">
        <w:rPr>
          <w:noProof/>
          <w:szCs w:val="22"/>
        </w:rPr>
        <w:drawing>
          <wp:anchor distT="0" distB="0" distL="114300" distR="114300" simplePos="0" relativeHeight="251674112" behindDoc="0" locked="0" layoutInCell="1" allowOverlap="1" wp14:anchorId="68F927B3" wp14:editId="3974EF9F">
            <wp:simplePos x="0" y="0"/>
            <wp:positionH relativeFrom="margin">
              <wp:posOffset>0</wp:posOffset>
            </wp:positionH>
            <wp:positionV relativeFrom="paragraph">
              <wp:posOffset>172720</wp:posOffset>
            </wp:positionV>
            <wp:extent cx="5353050" cy="3691890"/>
            <wp:effectExtent l="0" t="0" r="0" b="3810"/>
            <wp:wrapTopAndBottom/>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056"/>
                    <a:stretch/>
                  </pic:blipFill>
                  <pic:spPr bwMode="auto">
                    <a:xfrm>
                      <a:off x="0" y="0"/>
                      <a:ext cx="5356770" cy="369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DA953" w14:textId="6DC02F8A" w:rsidR="006D3AD5" w:rsidRPr="002C224A" w:rsidRDefault="006D3AD5" w:rsidP="00685AEF">
      <w:pPr>
        <w:pStyle w:val="Titulek"/>
      </w:pPr>
      <w:r>
        <w:t xml:space="preserve">Figure </w:t>
      </w:r>
      <w:r w:rsidR="00B8502D">
        <w:t>62</w:t>
      </w:r>
      <w:r>
        <w:t xml:space="preserve">: Possible scheme </w:t>
      </w:r>
      <w:r w:rsidR="006D5134">
        <w:t>for soft loan instrument</w:t>
      </w:r>
      <w:r>
        <w:t xml:space="preserve"> for the NGA </w:t>
      </w:r>
    </w:p>
    <w:p w14:paraId="3EA5E038" w14:textId="77777777" w:rsidR="006D3AD5" w:rsidRPr="002C224A" w:rsidRDefault="006D3AD5" w:rsidP="006D3AD5">
      <w:pPr>
        <w:pStyle w:val="BodyText1"/>
        <w:rPr>
          <w:rFonts w:ascii="Calibri" w:hAnsi="Calibri"/>
          <w:b/>
          <w:bCs/>
          <w:iCs/>
        </w:rPr>
      </w:pPr>
    </w:p>
    <w:p w14:paraId="7C97A2FA" w14:textId="77777777" w:rsidR="006D3AD5" w:rsidRPr="00A50943" w:rsidRDefault="006D3AD5" w:rsidP="006D3AD5">
      <w:pPr>
        <w:pStyle w:val="Neslovannadpisy"/>
      </w:pPr>
      <w:r>
        <w:t>Equity instrument</w:t>
      </w:r>
    </w:p>
    <w:p w14:paraId="60543A78" w14:textId="77777777" w:rsidR="006D3AD5" w:rsidRPr="002C224A" w:rsidRDefault="006D3AD5" w:rsidP="006D3AD5">
      <w:pPr>
        <w:pStyle w:val="BodyText1"/>
        <w:rPr>
          <w:rFonts w:ascii="Calibri" w:hAnsi="Calibri"/>
          <w:b/>
          <w:bCs/>
          <w:iCs/>
        </w:rPr>
      </w:pPr>
    </w:p>
    <w:p w14:paraId="1A53EBEE" w14:textId="5D05537F" w:rsidR="006D3AD5" w:rsidRPr="002C224A" w:rsidRDefault="006D3AD5" w:rsidP="00685AEF">
      <w:pPr>
        <w:pStyle w:val="BodyText1"/>
        <w:rPr>
          <w:rFonts w:ascii="Calibri" w:hAnsi="Calibri"/>
          <w:b/>
          <w:bCs/>
          <w:iCs/>
        </w:rPr>
      </w:pPr>
      <w:r>
        <w:rPr>
          <w:rFonts w:ascii="Calibri" w:hAnsi="Calibri"/>
          <w:noProof/>
          <w:lang w:eastAsia="cs-CZ"/>
        </w:rPr>
        <w:drawing>
          <wp:anchor distT="0" distB="0" distL="114300" distR="114300" simplePos="0" relativeHeight="251690496" behindDoc="0" locked="0" layoutInCell="1" allowOverlap="1" wp14:anchorId="0525D82F" wp14:editId="2CD0B039">
            <wp:simplePos x="1562100" y="6848475"/>
            <wp:positionH relativeFrom="column">
              <wp:posOffset>1557020</wp:posOffset>
            </wp:positionH>
            <wp:positionV relativeFrom="paragraph">
              <wp:align>top</wp:align>
            </wp:positionV>
            <wp:extent cx="4433570" cy="2296795"/>
            <wp:effectExtent l="0" t="0" r="5080" b="0"/>
            <wp:wrapSquare wrapText="bothSides"/>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3570" cy="2296795"/>
                    </a:xfrm>
                    <a:prstGeom prst="rect">
                      <a:avLst/>
                    </a:prstGeom>
                    <a:noFill/>
                    <a:ln>
                      <a:noFill/>
                    </a:ln>
                  </pic:spPr>
                </pic:pic>
              </a:graphicData>
            </a:graphic>
          </wp:anchor>
        </w:drawing>
      </w:r>
      <w:r w:rsidR="00B8502D">
        <w:rPr>
          <w:rFonts w:ascii="Calibri" w:hAnsi="Calibri"/>
          <w:b/>
          <w:bCs/>
          <w:iCs/>
        </w:rPr>
        <w:br w:type="textWrapping" w:clear="all"/>
      </w:r>
    </w:p>
    <w:p w14:paraId="070CEBB4" w14:textId="57A387C1" w:rsidR="006D5134" w:rsidRPr="002C224A" w:rsidRDefault="006D5134" w:rsidP="00685AEF">
      <w:pPr>
        <w:pStyle w:val="Titulek"/>
      </w:pPr>
      <w:r>
        <w:t xml:space="preserve">Figure </w:t>
      </w:r>
      <w:r w:rsidR="00B8502D">
        <w:t>63</w:t>
      </w:r>
      <w:r>
        <w:t>: Possible scheme of ekvity instrument for the NGA</w:t>
      </w:r>
    </w:p>
    <w:p w14:paraId="208ED73D" w14:textId="00ECC0D1" w:rsidR="006D3AD5" w:rsidRPr="00A50943" w:rsidRDefault="006D3AD5" w:rsidP="006D3AD5">
      <w:pPr>
        <w:jc w:val="center"/>
        <w:rPr>
          <w:rFonts w:cs="Arial"/>
          <w:b/>
          <w:bCs/>
          <w:iCs/>
          <w:sz w:val="19"/>
          <w:szCs w:val="24"/>
        </w:rPr>
      </w:pPr>
    </w:p>
    <w:p w14:paraId="2EA86DF7" w14:textId="66289BEA" w:rsidR="003D62D4" w:rsidRDefault="003D62D4" w:rsidP="00685AEF">
      <w:pPr>
        <w:keepNext/>
        <w:jc w:val="left"/>
      </w:pPr>
      <w:r>
        <w:lastRenderedPageBreak/>
        <w:t>Explanatory note:</w:t>
      </w:r>
    </w:p>
    <w:p w14:paraId="370A6EBE" w14:textId="47E5EABC" w:rsidR="003D62D4" w:rsidRPr="00685AEF" w:rsidRDefault="003D62D4" w:rsidP="00685AEF">
      <w:pPr>
        <w:pStyle w:val="Odstavecseseznamem"/>
        <w:keepNext/>
        <w:numPr>
          <w:ilvl w:val="0"/>
          <w:numId w:val="64"/>
        </w:numPr>
        <w:jc w:val="left"/>
        <w:rPr>
          <w:lang w:val="en-US"/>
        </w:rPr>
      </w:pPr>
      <w:r w:rsidRPr="00685AEF">
        <w:rPr>
          <w:lang w:val="en-US"/>
        </w:rPr>
        <w:t xml:space="preserve">Request for the equity </w:t>
      </w:r>
      <w:r w:rsidR="001053F4" w:rsidRPr="001053F4">
        <w:rPr>
          <w:lang w:val="en-US"/>
        </w:rPr>
        <w:t>investment</w:t>
      </w:r>
      <w:r w:rsidR="001053F4">
        <w:rPr>
          <w:lang w:val="en-US"/>
        </w:rPr>
        <w:t>;</w:t>
      </w:r>
    </w:p>
    <w:p w14:paraId="0D170373" w14:textId="5A6B0C55" w:rsidR="001053F4" w:rsidRDefault="001053F4" w:rsidP="00685AEF">
      <w:pPr>
        <w:pStyle w:val="Odstavecseseznamem"/>
        <w:keepNext/>
        <w:numPr>
          <w:ilvl w:val="0"/>
          <w:numId w:val="64"/>
        </w:numPr>
        <w:jc w:val="left"/>
        <w:rPr>
          <w:lang w:val="en-US"/>
        </w:rPr>
      </w:pPr>
      <w:r>
        <w:rPr>
          <w:lang w:val="en-US"/>
        </w:rPr>
        <w:t>a</w:t>
      </w:r>
      <w:r w:rsidR="003D62D4" w:rsidRPr="00685AEF">
        <w:rPr>
          <w:lang w:val="en-US"/>
        </w:rPr>
        <w:t xml:space="preserve">ssessment of the </w:t>
      </w:r>
      <w:r w:rsidRPr="00685AEF">
        <w:rPr>
          <w:lang w:val="en-US"/>
        </w:rPr>
        <w:t xml:space="preserve">project, </w:t>
      </w:r>
      <w:r w:rsidRPr="001053F4">
        <w:rPr>
          <w:lang w:val="en-US"/>
        </w:rPr>
        <w:t>recommendation</w:t>
      </w:r>
      <w:r w:rsidRPr="00685AEF">
        <w:rPr>
          <w:lang w:val="en-US"/>
        </w:rPr>
        <w:t xml:space="preserve"> </w:t>
      </w:r>
      <w:r>
        <w:rPr>
          <w:lang w:val="en-US"/>
        </w:rPr>
        <w:t>for the investment;</w:t>
      </w:r>
    </w:p>
    <w:p w14:paraId="56CD40D1" w14:textId="57C4F125" w:rsidR="001053F4" w:rsidRDefault="001053F4" w:rsidP="00685AEF">
      <w:pPr>
        <w:pStyle w:val="Odstavecseseznamem"/>
        <w:keepNext/>
        <w:numPr>
          <w:ilvl w:val="0"/>
          <w:numId w:val="64"/>
        </w:numPr>
        <w:jc w:val="left"/>
        <w:rPr>
          <w:lang w:val="en-US"/>
        </w:rPr>
      </w:pPr>
      <w:r>
        <w:rPr>
          <w:lang w:val="en-US"/>
        </w:rPr>
        <w:t>authorization of the investment by the investment council;</w:t>
      </w:r>
    </w:p>
    <w:p w14:paraId="7AE4AE81" w14:textId="3963F13B" w:rsidR="001053F4" w:rsidRDefault="001053F4" w:rsidP="00685AEF">
      <w:pPr>
        <w:pStyle w:val="Odstavecseseznamem"/>
        <w:keepNext/>
        <w:numPr>
          <w:ilvl w:val="0"/>
          <w:numId w:val="64"/>
        </w:numPr>
        <w:jc w:val="left"/>
        <w:rPr>
          <w:lang w:val="en-US"/>
        </w:rPr>
      </w:pPr>
      <w:r>
        <w:rPr>
          <w:lang w:val="en-US"/>
        </w:rPr>
        <w:t>agreement with the final recipient;</w:t>
      </w:r>
    </w:p>
    <w:p w14:paraId="6D94D42A" w14:textId="77777777" w:rsidR="001053F4" w:rsidRDefault="001053F4" w:rsidP="00685AEF">
      <w:pPr>
        <w:pStyle w:val="Odstavecseseznamem"/>
        <w:keepNext/>
        <w:numPr>
          <w:ilvl w:val="0"/>
          <w:numId w:val="64"/>
        </w:numPr>
        <w:jc w:val="left"/>
        <w:rPr>
          <w:lang w:val="en-US"/>
        </w:rPr>
      </w:pPr>
      <w:r>
        <w:rPr>
          <w:lang w:val="en-US"/>
        </w:rPr>
        <w:t>addressing of the potencial private investors;</w:t>
      </w:r>
    </w:p>
    <w:p w14:paraId="6428790B" w14:textId="45F88AE4" w:rsidR="001053F4" w:rsidRDefault="001053F4" w:rsidP="00685AEF">
      <w:pPr>
        <w:pStyle w:val="Odstavecseseznamem"/>
        <w:keepNext/>
        <w:numPr>
          <w:ilvl w:val="0"/>
          <w:numId w:val="64"/>
        </w:numPr>
        <w:jc w:val="left"/>
        <w:rPr>
          <w:lang w:val="en-US"/>
        </w:rPr>
      </w:pPr>
      <w:r>
        <w:rPr>
          <w:lang w:val="en-US"/>
        </w:rPr>
        <w:t>investments of the private investors in the company;</w:t>
      </w:r>
    </w:p>
    <w:p w14:paraId="79F0F4AA" w14:textId="43CDB729" w:rsidR="001053F4" w:rsidRDefault="001053F4" w:rsidP="00685AEF">
      <w:pPr>
        <w:pStyle w:val="Odstavecseseznamem"/>
        <w:keepNext/>
        <w:numPr>
          <w:ilvl w:val="0"/>
          <w:numId w:val="64"/>
        </w:numPr>
        <w:jc w:val="left"/>
        <w:rPr>
          <w:lang w:val="en-US"/>
        </w:rPr>
      </w:pPr>
      <w:r>
        <w:rPr>
          <w:lang w:val="en-US"/>
        </w:rPr>
        <w:t>investments of the fund (OPEIC);</w:t>
      </w:r>
    </w:p>
    <w:p w14:paraId="5C0CA672" w14:textId="3799658F" w:rsidR="001053F4" w:rsidRDefault="001053F4" w:rsidP="00685AEF">
      <w:pPr>
        <w:pStyle w:val="Odstavecseseznamem"/>
        <w:keepNext/>
        <w:numPr>
          <w:ilvl w:val="0"/>
          <w:numId w:val="64"/>
        </w:numPr>
        <w:jc w:val="left"/>
        <w:rPr>
          <w:lang w:val="en-US"/>
        </w:rPr>
      </w:pPr>
      <w:r>
        <w:rPr>
          <w:lang w:val="en-US"/>
        </w:rPr>
        <w:t>possible additional commercial credit;</w:t>
      </w:r>
    </w:p>
    <w:p w14:paraId="12D9EF20" w14:textId="77777777" w:rsidR="001053F4" w:rsidRDefault="001053F4" w:rsidP="00685AEF">
      <w:pPr>
        <w:pStyle w:val="Odstavecseseznamem"/>
        <w:keepNext/>
        <w:numPr>
          <w:ilvl w:val="0"/>
          <w:numId w:val="64"/>
        </w:numPr>
        <w:jc w:val="left"/>
        <w:rPr>
          <w:lang w:val="en-US"/>
        </w:rPr>
      </w:pPr>
      <w:r>
        <w:rPr>
          <w:lang w:val="en-US"/>
        </w:rPr>
        <w:t>realization;</w:t>
      </w:r>
    </w:p>
    <w:p w14:paraId="0EE0A995" w14:textId="77777777" w:rsidR="001053F4" w:rsidRDefault="001053F4" w:rsidP="00685AEF">
      <w:pPr>
        <w:pStyle w:val="Odstavecseseznamem"/>
        <w:keepNext/>
        <w:numPr>
          <w:ilvl w:val="0"/>
          <w:numId w:val="64"/>
        </w:numPr>
        <w:jc w:val="left"/>
        <w:rPr>
          <w:lang w:val="en-US"/>
        </w:rPr>
      </w:pPr>
      <w:r>
        <w:rPr>
          <w:lang w:val="en-US"/>
        </w:rPr>
        <w:t>profit payment</w:t>
      </w:r>
    </w:p>
    <w:p w14:paraId="22E40778" w14:textId="66FD539E" w:rsidR="006D3AD5" w:rsidRPr="00685AEF" w:rsidRDefault="001053F4" w:rsidP="00685AEF">
      <w:pPr>
        <w:pStyle w:val="Odstavecseseznamem"/>
        <w:keepNext/>
        <w:numPr>
          <w:ilvl w:val="0"/>
          <w:numId w:val="64"/>
        </w:numPr>
        <w:jc w:val="left"/>
        <w:rPr>
          <w:lang w:val="en-US"/>
        </w:rPr>
      </w:pPr>
      <w:r>
        <w:rPr>
          <w:lang w:val="en-US"/>
        </w:rPr>
        <w:t>exit of the fund</w:t>
      </w:r>
      <w:r w:rsidR="00EB4A14">
        <w:rPr>
          <w:lang w:val="en-US"/>
        </w:rPr>
        <w:t xml:space="preserve"> from the SPV</w:t>
      </w:r>
    </w:p>
    <w:p w14:paraId="7C046375" w14:textId="77777777" w:rsidR="006D3AD5" w:rsidRPr="00A50943" w:rsidRDefault="006D3AD5" w:rsidP="006D3AD5"/>
    <w:p w14:paraId="7D6FB1A3" w14:textId="1507D831" w:rsidR="006D3AD5" w:rsidRPr="002C224A" w:rsidRDefault="006D3AD5" w:rsidP="006D3AD5"/>
    <w:p w14:paraId="40FEA909" w14:textId="77777777" w:rsidR="006D3AD5" w:rsidRPr="002C224A" w:rsidRDefault="006D3AD5" w:rsidP="006D3AD5">
      <w:pPr>
        <w:pStyle w:val="Nadpis2"/>
        <w:rPr>
          <w:rFonts w:ascii="Calibri" w:hAnsi="Calibri"/>
        </w:rPr>
      </w:pPr>
      <w:bookmarkStart w:id="1428" w:name="_Toc416909766"/>
      <w:bookmarkStart w:id="1429" w:name="_Toc417545149"/>
      <w:bookmarkStart w:id="1430" w:name="_Toc416384081"/>
      <w:bookmarkStart w:id="1431" w:name="_Toc416384082"/>
      <w:bookmarkStart w:id="1432" w:name="_Toc416384083"/>
      <w:bookmarkStart w:id="1433" w:name="_Toc416384084"/>
      <w:bookmarkStart w:id="1434" w:name="_Toc416384085"/>
      <w:bookmarkStart w:id="1435" w:name="_Toc416384086"/>
      <w:bookmarkStart w:id="1436" w:name="_Toc416384087"/>
      <w:bookmarkStart w:id="1437" w:name="_Toc416384088"/>
      <w:bookmarkStart w:id="1438" w:name="_Toc416384089"/>
      <w:bookmarkStart w:id="1439" w:name="_Toc416384090"/>
      <w:bookmarkStart w:id="1440" w:name="_Toc416384091"/>
      <w:bookmarkStart w:id="1441" w:name="_Toc416384092"/>
      <w:bookmarkStart w:id="1442" w:name="_Toc416384093"/>
      <w:bookmarkStart w:id="1443" w:name="_Toc416384094"/>
      <w:bookmarkStart w:id="1444" w:name="_Toc416384095"/>
      <w:bookmarkStart w:id="1445" w:name="_Toc416384096"/>
      <w:bookmarkStart w:id="1446" w:name="_Toc416384097"/>
      <w:bookmarkStart w:id="1447" w:name="_Toc416384098"/>
      <w:bookmarkStart w:id="1448" w:name="_Toc416384099"/>
      <w:bookmarkStart w:id="1449" w:name="_Toc416384100"/>
      <w:bookmarkStart w:id="1450" w:name="_Toc416384101"/>
      <w:bookmarkStart w:id="1451" w:name="_Toc419183289"/>
      <w:bookmarkStart w:id="1452" w:name="_Toc422312154"/>
      <w:bookmarkStart w:id="1453" w:name="_Toc414464618"/>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Pr>
          <w:rFonts w:ascii="Calibri" w:hAnsi="Calibri"/>
        </w:rPr>
        <w:t>Implementation of financial instruments</w:t>
      </w:r>
      <w:bookmarkEnd w:id="1451"/>
      <w:bookmarkEnd w:id="1452"/>
    </w:p>
    <w:p w14:paraId="04A78AA0" w14:textId="77777777" w:rsidR="006D3AD5" w:rsidRPr="002C224A" w:rsidRDefault="006D3AD5" w:rsidP="006D3AD5">
      <w:pPr>
        <w:pStyle w:val="Nadpis3"/>
        <w:rPr>
          <w:rFonts w:ascii="Calibri" w:hAnsi="Calibri"/>
        </w:rPr>
      </w:pPr>
      <w:bookmarkStart w:id="1454" w:name="_Toc419183290"/>
      <w:bookmarkStart w:id="1455" w:name="_Toc416909768"/>
      <w:bookmarkStart w:id="1456" w:name="_Toc419183291"/>
      <w:bookmarkStart w:id="1457" w:name="_Toc422312155"/>
      <w:bookmarkEnd w:id="1454"/>
      <w:r>
        <w:rPr>
          <w:rFonts w:ascii="Calibri" w:hAnsi="Calibri"/>
        </w:rPr>
        <w:t>Selection of implementation structure</w:t>
      </w:r>
      <w:bookmarkEnd w:id="1455"/>
      <w:bookmarkEnd w:id="1456"/>
      <w:bookmarkEnd w:id="1457"/>
    </w:p>
    <w:p w14:paraId="2A7DD320" w14:textId="77777777" w:rsidR="006D3AD5" w:rsidRPr="002C224A" w:rsidRDefault="006D3AD5" w:rsidP="006D3AD5">
      <w:r>
        <w:t>Possibilities for implementation structure is included within the General regulation in the Article 38. The financial instruments may be set up at Union level and managed directly or indirectly by the Commission, or set up at national, regional, transnational or cross-border level and managed by or under the responsibility of the Managing Authority.</w:t>
      </w:r>
    </w:p>
    <w:p w14:paraId="3819328A" w14:textId="77777777" w:rsidR="006D3AD5" w:rsidRPr="002C224A" w:rsidRDefault="006D3AD5" w:rsidP="006D3AD5"/>
    <w:p w14:paraId="39B4AFA6" w14:textId="77777777" w:rsidR="006D3AD5" w:rsidRPr="002C224A" w:rsidRDefault="006D3AD5" w:rsidP="006D3AD5">
      <w:r>
        <w:t>The financial instrument on the EU level is mainly represented by guarantee and security financial instruments, the so called SME initiative, prepared in accordance with Articles 39 and 40 of the General Regulation. Within the SME Initiative the operating programmes funds bear the first piece loss risk, mezzanine risk is held by the COSME Union programme and the EIF / EIB are the last in the line. The SME Initiative financial instruments are standardized on the EU level, the EIF in the managerial position selects financial intermediaries in individual member states that are interested in the initiative.</w:t>
      </w:r>
    </w:p>
    <w:p w14:paraId="63C35323" w14:textId="77777777" w:rsidR="006D3AD5" w:rsidRPr="002C224A" w:rsidRDefault="006D3AD5" w:rsidP="006D3AD5"/>
    <w:p w14:paraId="57594BC4" w14:textId="77777777" w:rsidR="006D3AD5" w:rsidRPr="002C224A" w:rsidRDefault="006D3AD5" w:rsidP="006D3AD5">
      <w:r>
        <w:rPr>
          <w:b/>
        </w:rPr>
        <w:t>The OP EIC managing authority does not consider giving funds into financial instruments established on the Union level.</w:t>
      </w:r>
      <w:r>
        <w:t xml:space="preserve"> This option is not included in the Partnership Agreement and OP EIC either. Therefore, considering the national scope of the OP EIC, financial instruments under this Operational Programme will be established at the national level (except for the territory of the Capital of Prague). The general guidelines of the EC states that instruments on the Union level are suitable for use especially in cases when the managing authority does not have sufficient technical capacities or where the critical mass for creating separate financial instrument is missing and where there are standardized FI on the Union level at the same time if the OP objectives align. These conditions are not fulfilled within the OP EIC implementation.</w:t>
      </w:r>
    </w:p>
    <w:p w14:paraId="17BC872E" w14:textId="77777777" w:rsidR="006D3AD5" w:rsidRPr="002C224A" w:rsidRDefault="006D3AD5" w:rsidP="006D3AD5"/>
    <w:p w14:paraId="369AB58C" w14:textId="77777777" w:rsidR="006D3AD5" w:rsidRPr="002C224A" w:rsidRDefault="006D3AD5" w:rsidP="006D3AD5">
      <w:r>
        <w:rPr>
          <w:b/>
        </w:rPr>
        <w:t>The OP EIC managing authority considers using a combination of the OP EIC financial instruments with the sources of the prepared European Fund for Strategic Investments (EFSI) in scope of the so-called Investment Plan for Europe.</w:t>
      </w:r>
      <w:r>
        <w:t xml:space="preserve"> The preliminary evaluation recommends to further consult financial instruments for small and medium-sized enterprises with EIF and EIB from the perspective of their potential involvement in the Investment Plan for Europe. The division of risk in the EFSI mechanism would in particular allow for an increase in the leverage effect of the OP EIC financial instruments and for financing portfolios with higher risks. The EFSI scheme may under the current draft Regulation involve also national development banks, i.e. Czech-Moravian Guarantee and Development Bank in the Czech Republic.</w:t>
      </w:r>
    </w:p>
    <w:p w14:paraId="68337A6C" w14:textId="77777777" w:rsidR="006D3AD5" w:rsidRPr="002C224A" w:rsidRDefault="006D3AD5" w:rsidP="006D3AD5"/>
    <w:p w14:paraId="19EC74C7" w14:textId="77777777" w:rsidR="006D3AD5" w:rsidRPr="002C224A" w:rsidRDefault="006D3AD5" w:rsidP="006D3AD5">
      <w:r>
        <w:t>For financial instruments set up at national level the managing authority may use:</w:t>
      </w:r>
    </w:p>
    <w:p w14:paraId="1F48AD38" w14:textId="77777777" w:rsidR="006D3AD5" w:rsidRPr="002C224A" w:rsidRDefault="006D3AD5" w:rsidP="006D3AD5">
      <w:pPr>
        <w:numPr>
          <w:ilvl w:val="0"/>
          <w:numId w:val="47"/>
        </w:numPr>
      </w:pPr>
      <w:r>
        <w:lastRenderedPageBreak/>
        <w:t>instruments complying with the standard terms and conditions laid down by the Commission (so-called off-the-shelf financial instruments) or</w:t>
      </w:r>
    </w:p>
    <w:p w14:paraId="4229F64A" w14:textId="77777777" w:rsidR="006D3AD5" w:rsidRPr="002C224A" w:rsidRDefault="006D3AD5" w:rsidP="006D3AD5">
      <w:pPr>
        <w:numPr>
          <w:ilvl w:val="0"/>
          <w:numId w:val="47"/>
        </w:numPr>
      </w:pPr>
      <w:r>
        <w:t>already existing or newly created financial instruments which are specifically designed to achieve the specific objectives set out under the relevant priority (so-called tailor-made financial instruments).</w:t>
      </w:r>
    </w:p>
    <w:p w14:paraId="5EDA5085" w14:textId="77777777" w:rsidR="006D3AD5" w:rsidRPr="002C224A" w:rsidRDefault="006D3AD5" w:rsidP="006D3AD5"/>
    <w:p w14:paraId="784FDDC6" w14:textId="77777777" w:rsidR="006D3AD5" w:rsidRPr="002C224A" w:rsidRDefault="006D3AD5" w:rsidP="006D3AD5">
      <w:r>
        <w:t>Off-the-shelf financial instruments are described in more detail in the Implementing regulation of the Commission (EU) no. 964/2014</w:t>
      </w:r>
      <w:r>
        <w:rPr>
          <w:rStyle w:val="Znakapoznpodarou"/>
          <w:rFonts w:ascii="Calibri" w:hAnsi="Calibri"/>
        </w:rPr>
        <w:footnoteReference w:id="71"/>
      </w:r>
      <w:r>
        <w:t>. This regulation describes three standardized financial instruments two of which are related to thematic objectives supported by the OP EIC:</w:t>
      </w:r>
    </w:p>
    <w:p w14:paraId="2AFBDE81" w14:textId="77777777" w:rsidR="006D3AD5" w:rsidRPr="002C224A" w:rsidRDefault="006D3AD5" w:rsidP="006D3AD5">
      <w:pPr>
        <w:ind w:left="360"/>
      </w:pPr>
    </w:p>
    <w:p w14:paraId="1B93D228" w14:textId="77777777" w:rsidR="006D3AD5" w:rsidRPr="002C224A" w:rsidRDefault="006D3AD5" w:rsidP="006D3AD5">
      <w:pPr>
        <w:numPr>
          <w:ilvl w:val="0"/>
          <w:numId w:val="47"/>
        </w:numPr>
      </w:pPr>
      <w:r>
        <w:t>Risk Sharing Loan</w:t>
      </w:r>
    </w:p>
    <w:p w14:paraId="10F21376" w14:textId="77777777" w:rsidR="006D3AD5" w:rsidRPr="002C224A" w:rsidRDefault="006D3AD5" w:rsidP="006D3AD5">
      <w:pPr>
        <w:numPr>
          <w:ilvl w:val="0"/>
          <w:numId w:val="47"/>
        </w:numPr>
      </w:pPr>
      <w:r>
        <w:t>Capped Portfolio Guarantee</w:t>
      </w:r>
    </w:p>
    <w:p w14:paraId="31E161EC" w14:textId="77777777" w:rsidR="006D3AD5" w:rsidRPr="002C224A" w:rsidRDefault="006D3AD5" w:rsidP="006D3AD5"/>
    <w:p w14:paraId="2E765C39" w14:textId="77777777" w:rsidR="006D3AD5" w:rsidRPr="002C224A" w:rsidRDefault="006D3AD5" w:rsidP="006D3AD5">
      <w:pPr>
        <w:rPr>
          <w:b/>
        </w:rPr>
      </w:pPr>
      <w:r>
        <w:rPr>
          <w:b/>
        </w:rPr>
        <w:t>Standardized financial instruments were found to be unsatisfactory for identified needs due to these reasons:</w:t>
      </w:r>
    </w:p>
    <w:p w14:paraId="0DBCC71C" w14:textId="77777777" w:rsidR="006D3AD5" w:rsidRPr="002C224A" w:rsidRDefault="006D3AD5" w:rsidP="006D3AD5">
      <w:pPr>
        <w:numPr>
          <w:ilvl w:val="0"/>
          <w:numId w:val="47"/>
        </w:numPr>
      </w:pPr>
      <w:r>
        <w:t>Identified financial instruments represent in case of loans and guarantees a combination of several support forms (financial instrument and the interest rate subsidies, alternatively grant for project technical preparation) in relation to the conducted market situation analysis which is not possible with these two off-the-shelf financial instruments.</w:t>
      </w:r>
    </w:p>
    <w:p w14:paraId="1E2F2CD4" w14:textId="77777777" w:rsidR="006D3AD5" w:rsidRPr="002C224A" w:rsidRDefault="006D3AD5" w:rsidP="006D3AD5">
      <w:pPr>
        <w:numPr>
          <w:ilvl w:val="0"/>
          <w:numId w:val="47"/>
        </w:numPr>
      </w:pPr>
      <w:r>
        <w:t>In case of soft loans they are connected with the requirement for pooling of private and public sources including ESIF sources at the financial intermediary. Based on the structured discussions with representatives of the financing side this is not a preferred cooperation variant from the financial market subjects perspective.</w:t>
      </w:r>
    </w:p>
    <w:p w14:paraId="12D78893" w14:textId="77777777" w:rsidR="006D3AD5" w:rsidRPr="002C224A" w:rsidRDefault="006D3AD5" w:rsidP="006D3AD5">
      <w:pPr>
        <w:numPr>
          <w:ilvl w:val="0"/>
          <w:numId w:val="47"/>
        </w:numPr>
      </w:pPr>
      <w:r>
        <w:t>In case of guarantee instruments the usage of an off-the-shelf financial instruments would lead to limiting the guarantee provision to larger subjects on the financial market as this off-the-shelf instrument is designed purely as a portfolio guarantee so it would be available only to such financial intermediaries that would be able to create sufficiently large portfolio of projects of risk sharing.</w:t>
      </w:r>
    </w:p>
    <w:p w14:paraId="719F34C9" w14:textId="77777777" w:rsidR="006D3AD5" w:rsidRPr="002C224A" w:rsidRDefault="006D3AD5" w:rsidP="006D3AD5">
      <w:pPr>
        <w:numPr>
          <w:ilvl w:val="0"/>
          <w:numId w:val="47"/>
        </w:numPr>
      </w:pPr>
      <w:r>
        <w:t xml:space="preserve">In case of venture equity the need for a more targeted support was identified. Even though this preliminary evaluation recommends to include the fund of funds into the venture equity support, more suitable implementation mechanisms were identified. Such mechanisms would help to achieve the intervention objectives better than an off-the-shelf financial instrument, e.g. by enabling possible </w:t>
      </w:r>
      <w:r>
        <w:rPr>
          <w:i/>
        </w:rPr>
        <w:t xml:space="preserve">ad hoc </w:t>
      </w:r>
      <w:r>
        <w:t>co-investments on the level of individual projects of final recipients, inclusion of specific support for the pre-seed stage or support in the form of quasi-equity investments.</w:t>
      </w:r>
    </w:p>
    <w:p w14:paraId="03B8E481" w14:textId="77777777" w:rsidR="006D3AD5" w:rsidRPr="002C224A" w:rsidRDefault="006D3AD5" w:rsidP="006D3AD5">
      <w:pPr>
        <w:numPr>
          <w:ilvl w:val="0"/>
          <w:numId w:val="47"/>
        </w:numPr>
      </w:pPr>
      <w:r>
        <w:t>Off the shelf instruments are designed as a de minimis support, e.g. they exclude all final recipients with exhausted de minimis limit.</w:t>
      </w:r>
    </w:p>
    <w:p w14:paraId="6722E87A" w14:textId="77777777" w:rsidR="006D3AD5" w:rsidRPr="002C224A" w:rsidRDefault="006D3AD5" w:rsidP="006D3AD5"/>
    <w:p w14:paraId="413D7254" w14:textId="77777777" w:rsidR="006D3AD5" w:rsidRPr="002C224A" w:rsidRDefault="006D3AD5" w:rsidP="006D3AD5">
      <w:pPr>
        <w:rPr>
          <w:b/>
        </w:rPr>
      </w:pPr>
      <w:r>
        <w:rPr>
          <w:b/>
        </w:rPr>
        <w:t>All the financial instruments proposed under this ex ante assessment are therefore tailor-made instruments.</w:t>
      </w:r>
    </w:p>
    <w:p w14:paraId="6D57CA78" w14:textId="77777777" w:rsidR="006D3AD5" w:rsidRPr="002C224A" w:rsidRDefault="006D3AD5" w:rsidP="006D3AD5"/>
    <w:p w14:paraId="5BFF4225" w14:textId="1F4EC2C6" w:rsidR="006D3AD5" w:rsidRPr="002C224A" w:rsidRDefault="006D3AD5" w:rsidP="006D3AD5">
      <w:pPr>
        <w:rPr>
          <w:b/>
        </w:rPr>
      </w:pPr>
      <w:r>
        <w:rPr>
          <w:b/>
        </w:rPr>
        <w:t xml:space="preserve">The General Regulation also states the following options of implementing the financial instruments in terms of their management (type of </w:t>
      </w:r>
      <w:r w:rsidR="003213A1">
        <w:rPr>
          <w:b/>
        </w:rPr>
        <w:t>recipient</w:t>
      </w:r>
      <w:r>
        <w:rPr>
          <w:b/>
        </w:rPr>
        <w:t>):</w:t>
      </w:r>
    </w:p>
    <w:p w14:paraId="6A997CA6" w14:textId="77777777" w:rsidR="006D3AD5" w:rsidRPr="002C224A" w:rsidRDefault="006D3AD5" w:rsidP="006D3AD5">
      <w:pPr>
        <w:numPr>
          <w:ilvl w:val="0"/>
          <w:numId w:val="46"/>
        </w:numPr>
      </w:pPr>
      <w:r>
        <w:t>invest in the capital of existing or newly created legal entities, including those financed from other ESI Funds, dedicated to implementing financial instruments consistent with the objectives of the respective ESI Funds, which will undertake implementation tasks; the support to such entities shall be limited to the amounts necessary to implement new investments and in a manner that is consistent with the objectives of the General Regulation;</w:t>
      </w:r>
    </w:p>
    <w:p w14:paraId="1D4FEC23" w14:textId="77777777" w:rsidR="006D3AD5" w:rsidRPr="002C224A" w:rsidRDefault="006D3AD5" w:rsidP="006D3AD5">
      <w:pPr>
        <w:numPr>
          <w:ilvl w:val="0"/>
          <w:numId w:val="46"/>
        </w:numPr>
      </w:pPr>
      <w:r>
        <w:t>entrust implementation tasks to:</w:t>
      </w:r>
    </w:p>
    <w:p w14:paraId="1E22A98C" w14:textId="77777777" w:rsidR="006D3AD5" w:rsidRPr="002C224A" w:rsidRDefault="006D3AD5" w:rsidP="006D3AD5">
      <w:pPr>
        <w:numPr>
          <w:ilvl w:val="1"/>
          <w:numId w:val="46"/>
        </w:numPr>
      </w:pPr>
      <w:r>
        <w:lastRenderedPageBreak/>
        <w:t>i) EIB;</w:t>
      </w:r>
    </w:p>
    <w:p w14:paraId="32CF277E" w14:textId="77777777" w:rsidR="006D3AD5" w:rsidRPr="002C224A" w:rsidRDefault="006D3AD5" w:rsidP="006D3AD5">
      <w:pPr>
        <w:numPr>
          <w:ilvl w:val="1"/>
          <w:numId w:val="46"/>
        </w:numPr>
      </w:pPr>
      <w:r>
        <w:t>ii) international financial institutions in which a Member State is a shareholder, or financial institutions established in a Member State aiming at the achievement of public interest under the control of a public authority;</w:t>
      </w:r>
    </w:p>
    <w:p w14:paraId="502AD920" w14:textId="77777777" w:rsidR="006D3AD5" w:rsidRPr="002C224A" w:rsidRDefault="006D3AD5" w:rsidP="006D3AD5">
      <w:pPr>
        <w:numPr>
          <w:ilvl w:val="1"/>
          <w:numId w:val="46"/>
        </w:numPr>
      </w:pPr>
      <w:r>
        <w:t>iii) a body governed by public or private law;</w:t>
      </w:r>
    </w:p>
    <w:p w14:paraId="16D87DFD" w14:textId="77777777" w:rsidR="006D3AD5" w:rsidRPr="002C224A" w:rsidRDefault="006D3AD5" w:rsidP="006D3AD5">
      <w:pPr>
        <w:numPr>
          <w:ilvl w:val="0"/>
          <w:numId w:val="46"/>
        </w:numPr>
      </w:pPr>
      <w:r>
        <w:t>in the case of financial instruments consisting solely of loans or guarantees the managing authority may undertake implementation tasks directly.</w:t>
      </w:r>
    </w:p>
    <w:p w14:paraId="0A6612D4" w14:textId="77777777" w:rsidR="006D3AD5" w:rsidRPr="002C224A" w:rsidRDefault="006D3AD5" w:rsidP="006D3AD5"/>
    <w:p w14:paraId="08ED002C" w14:textId="77777777" w:rsidR="006D3AD5" w:rsidRPr="002C224A" w:rsidRDefault="006D3AD5" w:rsidP="006D3AD5">
      <w:r>
        <w:t>Both in EU and the Czech Republic there are financial instruments as the form of support for business and other activities in public interest. It is therefore possible to base the selection of implementation variants on up to date experience.</w:t>
      </w:r>
    </w:p>
    <w:p w14:paraId="072C5175" w14:textId="77777777" w:rsidR="006D3AD5" w:rsidRPr="002C224A" w:rsidRDefault="006D3AD5" w:rsidP="006D3AD5"/>
    <w:p w14:paraId="4A3DB531" w14:textId="77777777" w:rsidR="006D3AD5" w:rsidRPr="002C224A" w:rsidRDefault="006D3AD5" w:rsidP="006D3AD5">
      <w:r>
        <w:t>The Ministry of Industry and Trade has a long-term experience with CMGDB as the manager of financial instruments. The CMGDB also has functional internal mechanisms of a banking institution, it works in the Czech financial market for a long time and therefore it knows the characteristics and needs important for suitable detailed setting of parameters of individual financial products within financial instruments. Its experience is aimed mainly at the small and medium-sized enterprises which are the final recipient for most of the financial instruments in this preliminary evaluation.</w:t>
      </w:r>
    </w:p>
    <w:p w14:paraId="3C5D01C7" w14:textId="77777777" w:rsidR="006D3AD5" w:rsidRPr="002C224A" w:rsidRDefault="006D3AD5" w:rsidP="006D3AD5"/>
    <w:p w14:paraId="5719F520" w14:textId="32E12BE9" w:rsidR="006D3AD5" w:rsidRPr="002C224A" w:rsidRDefault="006D3AD5" w:rsidP="006D3AD5">
      <w:r>
        <w:t xml:space="preserve">The CMGDB supported the </w:t>
      </w:r>
      <w:r w:rsidR="0042403A">
        <w:t>SME</w:t>
      </w:r>
      <w:r>
        <w:t>s in the form of guarantees and soft loans and in direct support by almost CZK 120 billion in the last 20 years. More than 4,000 projects were supported from the EU structural funds. The bank during its activities as a financial manager secured financing of the infrastructure development projects in the total value of CZK 141 billion. The bank services were used during its existence by more than 51 thousand clients, especially businesses, municipalities, natural persons, ministries, state funds and regions.</w:t>
      </w:r>
    </w:p>
    <w:p w14:paraId="19DDB18E" w14:textId="77777777" w:rsidR="006D3AD5" w:rsidRPr="002C224A" w:rsidRDefault="006D3AD5" w:rsidP="006D3AD5"/>
    <w:p w14:paraId="68F161C3" w14:textId="77777777" w:rsidR="006D3AD5" w:rsidRPr="002C224A" w:rsidRDefault="006D3AD5" w:rsidP="006D3AD5">
      <w:r>
        <w:t>Investments into equity of current or newly established legal persons comes into consideration in relation to current experience in the area of equity investments, especially venture equity. In the 2012-2014 period the venture equity support scheme was prepared within the OP EI for which the MIT established the ČRUIF company. Similar implementation schemes exist in other countries as well. It is therefore logical that the OP EI managing authority wants to follow-up on the scheme prepared in the past.</w:t>
      </w:r>
    </w:p>
    <w:p w14:paraId="0F405321" w14:textId="77777777" w:rsidR="006D3AD5" w:rsidRPr="002C224A" w:rsidRDefault="006D3AD5" w:rsidP="006D3AD5"/>
    <w:p w14:paraId="31C1D1EF" w14:textId="77777777" w:rsidR="006D3AD5" w:rsidRPr="002C224A" w:rsidRDefault="006D3AD5" w:rsidP="006D3AD5">
      <w:r>
        <w:t>The following table presents the results of a SWOT analysis of possibilities for financial instruments management mentioned above:</w:t>
      </w:r>
    </w:p>
    <w:p w14:paraId="739F9975" w14:textId="77777777" w:rsidR="006D3AD5" w:rsidRPr="002C224A" w:rsidRDefault="006D3AD5" w:rsidP="006D3AD5"/>
    <w:tbl>
      <w:tblPr>
        <w:tblW w:w="0" w:type="auto"/>
        <w:tblBorders>
          <w:bottom w:val="single" w:sz="4" w:space="0" w:color="72C7E7"/>
          <w:insideH w:val="single" w:sz="4" w:space="0" w:color="72C7E7"/>
        </w:tblBorders>
        <w:tblCellMar>
          <w:top w:w="28" w:type="dxa"/>
          <w:left w:w="28" w:type="dxa"/>
          <w:bottom w:w="28" w:type="dxa"/>
          <w:right w:w="28" w:type="dxa"/>
        </w:tblCellMar>
        <w:tblLook w:val="01E0" w:firstRow="1" w:lastRow="1" w:firstColumn="1" w:lastColumn="1" w:noHBand="0" w:noVBand="0"/>
      </w:tblPr>
      <w:tblGrid>
        <w:gridCol w:w="3020"/>
        <w:gridCol w:w="3026"/>
        <w:gridCol w:w="3026"/>
      </w:tblGrid>
      <w:tr w:rsidR="006D3AD5" w:rsidRPr="002C224A" w14:paraId="71858B1F" w14:textId="77777777" w:rsidTr="00443B8F">
        <w:tc>
          <w:tcPr>
            <w:tcW w:w="3070" w:type="dxa"/>
            <w:shd w:val="clear" w:color="auto" w:fill="72C7E7"/>
          </w:tcPr>
          <w:p w14:paraId="4CCF2353" w14:textId="77777777" w:rsidR="006D3AD5" w:rsidRPr="002C224A" w:rsidRDefault="006D3AD5" w:rsidP="00443B8F">
            <w:pPr>
              <w:rPr>
                <w:b/>
                <w:color w:val="FFFFFF"/>
                <w:sz w:val="19"/>
              </w:rPr>
            </w:pPr>
          </w:p>
        </w:tc>
        <w:tc>
          <w:tcPr>
            <w:tcW w:w="3071" w:type="dxa"/>
            <w:shd w:val="clear" w:color="auto" w:fill="72C7E7"/>
          </w:tcPr>
          <w:p w14:paraId="418B10E0" w14:textId="77777777" w:rsidR="006D3AD5" w:rsidRPr="002C224A" w:rsidRDefault="006D3AD5" w:rsidP="00443B8F">
            <w:pPr>
              <w:rPr>
                <w:b/>
                <w:color w:val="FFFFFF"/>
                <w:sz w:val="19"/>
              </w:rPr>
            </w:pPr>
            <w:r>
              <w:rPr>
                <w:b/>
                <w:color w:val="FFFFFF"/>
                <w:sz w:val="19"/>
              </w:rPr>
              <w:t>Strengths</w:t>
            </w:r>
          </w:p>
        </w:tc>
        <w:tc>
          <w:tcPr>
            <w:tcW w:w="3071" w:type="dxa"/>
            <w:shd w:val="clear" w:color="auto" w:fill="72C7E7"/>
          </w:tcPr>
          <w:p w14:paraId="0F134688" w14:textId="77777777" w:rsidR="006D3AD5" w:rsidRPr="002C224A" w:rsidRDefault="006D3AD5" w:rsidP="00443B8F">
            <w:pPr>
              <w:rPr>
                <w:b/>
                <w:color w:val="FFFFFF"/>
                <w:sz w:val="19"/>
              </w:rPr>
            </w:pPr>
            <w:r>
              <w:rPr>
                <w:b/>
                <w:color w:val="FFFFFF"/>
                <w:sz w:val="19"/>
              </w:rPr>
              <w:t>Weaknesses</w:t>
            </w:r>
          </w:p>
        </w:tc>
      </w:tr>
      <w:tr w:rsidR="006D3AD5" w:rsidRPr="002C224A" w14:paraId="5C59A1F2" w14:textId="77777777" w:rsidTr="00443B8F">
        <w:tc>
          <w:tcPr>
            <w:tcW w:w="3070" w:type="dxa"/>
            <w:shd w:val="clear" w:color="auto" w:fill="FFFFFF"/>
          </w:tcPr>
          <w:p w14:paraId="2B371B8D" w14:textId="77777777" w:rsidR="006D3AD5" w:rsidRPr="002C224A" w:rsidRDefault="006D3AD5" w:rsidP="00443B8F">
            <w:pPr>
              <w:jc w:val="left"/>
              <w:rPr>
                <w:b/>
                <w:sz w:val="19"/>
              </w:rPr>
            </w:pPr>
            <w:r>
              <w:rPr>
                <w:b/>
                <w:sz w:val="19"/>
              </w:rPr>
              <w:t>Investments into the legal persons equity</w:t>
            </w:r>
          </w:p>
        </w:tc>
        <w:tc>
          <w:tcPr>
            <w:tcW w:w="3071" w:type="dxa"/>
            <w:shd w:val="clear" w:color="auto" w:fill="FFFFFF"/>
          </w:tcPr>
          <w:p w14:paraId="7C28AA4A" w14:textId="77777777" w:rsidR="006D3AD5" w:rsidRPr="002C224A" w:rsidRDefault="006D3AD5" w:rsidP="00443B8F">
            <w:pPr>
              <w:rPr>
                <w:sz w:val="19"/>
              </w:rPr>
            </w:pPr>
            <w:r>
              <w:rPr>
                <w:sz w:val="19"/>
              </w:rPr>
              <w:t xml:space="preserve">This variant of implementation arrangement is suitable especially for equity investments that are a very specific support typically separated from credit and guarantee financial instruments (e.g. within the EIB Group this type of investments is done by a specialized EIF, for KfW it is secured by HTGF etc.). The strength of this implementation variant is especially the possibility to accumulate the necessary know-how in the state management area for this type of support that does not function in the Czech Republic yet. </w:t>
            </w:r>
          </w:p>
        </w:tc>
        <w:tc>
          <w:tcPr>
            <w:tcW w:w="3071" w:type="dxa"/>
            <w:shd w:val="clear" w:color="auto" w:fill="FFFFFF"/>
          </w:tcPr>
          <w:p w14:paraId="3F19D052" w14:textId="77777777" w:rsidR="006D3AD5" w:rsidRPr="002C224A" w:rsidRDefault="006D3AD5" w:rsidP="00443B8F">
            <w:pPr>
              <w:rPr>
                <w:sz w:val="19"/>
              </w:rPr>
            </w:pPr>
            <w:r>
              <w:rPr>
                <w:sz w:val="19"/>
              </w:rPr>
              <w:t>In case of other forms of financial instruments apart from equity investments that are dedicated this variant is ineffective based on the conclusions of the Block I as it would require to establish a new financial institution with sufficient material and technical and administrative capacity for implementation of thousands of business cases (with regard to expected results of proposed financial instruments).</w:t>
            </w:r>
          </w:p>
        </w:tc>
      </w:tr>
      <w:tr w:rsidR="006D3AD5" w:rsidRPr="002C224A" w14:paraId="64C03906" w14:textId="77777777" w:rsidTr="00443B8F">
        <w:tc>
          <w:tcPr>
            <w:tcW w:w="3070" w:type="dxa"/>
            <w:shd w:val="clear" w:color="auto" w:fill="FFFFFF"/>
          </w:tcPr>
          <w:p w14:paraId="75A697AE" w14:textId="77777777" w:rsidR="006D3AD5" w:rsidRPr="002C224A" w:rsidRDefault="006D3AD5" w:rsidP="00443B8F">
            <w:pPr>
              <w:jc w:val="left"/>
              <w:rPr>
                <w:b/>
                <w:sz w:val="19"/>
              </w:rPr>
            </w:pPr>
            <w:r>
              <w:rPr>
                <w:b/>
                <w:sz w:val="19"/>
              </w:rPr>
              <w:lastRenderedPageBreak/>
              <w:t>EIB</w:t>
            </w:r>
          </w:p>
        </w:tc>
        <w:tc>
          <w:tcPr>
            <w:tcW w:w="3071" w:type="dxa"/>
            <w:shd w:val="clear" w:color="auto" w:fill="FFFFFF"/>
          </w:tcPr>
          <w:p w14:paraId="1315D517" w14:textId="77777777" w:rsidR="006D3AD5" w:rsidRPr="002C224A" w:rsidRDefault="006D3AD5" w:rsidP="00443B8F">
            <w:pPr>
              <w:rPr>
                <w:sz w:val="19"/>
              </w:rPr>
            </w:pPr>
            <w:r>
              <w:rPr>
                <w:sz w:val="19"/>
              </w:rPr>
              <w:t xml:space="preserve">The EIB Group has a very strong know-how in the area of implementation of financial sources from the EU budget sources, not only from the ESIF but also from the Union and community programmes. The advantage is the possibility to give the implementation tasks based on a direct order which could accelerate the preparation phase. The EIB Group cooperates. </w:t>
            </w:r>
          </w:p>
        </w:tc>
        <w:tc>
          <w:tcPr>
            <w:tcW w:w="3071" w:type="dxa"/>
            <w:shd w:val="clear" w:color="auto" w:fill="auto"/>
          </w:tcPr>
          <w:p w14:paraId="479C95F7" w14:textId="77777777" w:rsidR="006D3AD5" w:rsidRPr="001D237C" w:rsidRDefault="006D3AD5" w:rsidP="00443B8F">
            <w:pPr>
              <w:rPr>
                <w:sz w:val="19"/>
              </w:rPr>
            </w:pPr>
            <w:r>
              <w:rPr>
                <w:sz w:val="19"/>
              </w:rPr>
              <w:t>The weakness could be a longer preparation period and the need for mutual adaptation for different legal environment. The EIB does not have any branch in the Czech Republic. The EIB Groups cooperates on different projects so it is possible that the EIB would not have to find out what are the specifics of the Czech financial market. A possible barrier in collaboration could be a missing "track record" of closer collaboration with the EIB on the governmental level in the ESIF area. Weak side of this variant is also the need to resolve schemes continuation after the EIB exit where the CR does not have to have sufficient know-how for the management of the given instrument.</w:t>
            </w:r>
          </w:p>
          <w:p w14:paraId="5D3210ED" w14:textId="77777777" w:rsidR="006D3AD5" w:rsidRPr="001D237C" w:rsidRDefault="006D3AD5" w:rsidP="00443B8F">
            <w:pPr>
              <w:rPr>
                <w:sz w:val="19"/>
              </w:rPr>
            </w:pPr>
          </w:p>
        </w:tc>
      </w:tr>
      <w:tr w:rsidR="006D3AD5" w:rsidRPr="002C224A" w14:paraId="3EB1E23F" w14:textId="77777777" w:rsidTr="00443B8F">
        <w:tc>
          <w:tcPr>
            <w:tcW w:w="3070" w:type="dxa"/>
            <w:shd w:val="clear" w:color="auto" w:fill="FFFFFF"/>
          </w:tcPr>
          <w:p w14:paraId="3D588EB8" w14:textId="77777777" w:rsidR="006D3AD5" w:rsidRPr="002C224A" w:rsidRDefault="006D3AD5" w:rsidP="00443B8F">
            <w:pPr>
              <w:jc w:val="left"/>
              <w:rPr>
                <w:b/>
                <w:sz w:val="19"/>
              </w:rPr>
            </w:pPr>
            <w:r>
              <w:rPr>
                <w:b/>
                <w:sz w:val="19"/>
              </w:rPr>
              <w:t>International or national Specialized financial institution</w:t>
            </w:r>
          </w:p>
        </w:tc>
        <w:tc>
          <w:tcPr>
            <w:tcW w:w="3071" w:type="dxa"/>
            <w:shd w:val="clear" w:color="auto" w:fill="FFFFFF"/>
          </w:tcPr>
          <w:p w14:paraId="09680622" w14:textId="77777777" w:rsidR="006D3AD5" w:rsidRPr="002C224A" w:rsidRDefault="006D3AD5" w:rsidP="00443B8F">
            <w:pPr>
              <w:rPr>
                <w:sz w:val="19"/>
              </w:rPr>
            </w:pPr>
            <w:r>
              <w:rPr>
                <w:sz w:val="19"/>
              </w:rPr>
              <w:t>The Czech Republic collaborates on management and activities of a lot of other international financial institutions but none of them is focused on European structural and investment funds. A specialized national financial institution is for example the CMGDB which has been providing support in the form of financial instrument since 1992 and is a national development bank 100% owned by the Czech Republic. Apart from the CMGDB the Czech Republic also has shares in several other national financial institutions.</w:t>
            </w:r>
          </w:p>
        </w:tc>
        <w:tc>
          <w:tcPr>
            <w:tcW w:w="3071" w:type="dxa"/>
            <w:shd w:val="clear" w:color="auto" w:fill="auto"/>
          </w:tcPr>
          <w:p w14:paraId="76BFFF4B" w14:textId="68FD7E7B" w:rsidR="006D3AD5" w:rsidRPr="001D237C" w:rsidRDefault="006D3AD5" w:rsidP="00B225B7">
            <w:pPr>
              <w:rPr>
                <w:sz w:val="19"/>
              </w:rPr>
            </w:pPr>
            <w:r>
              <w:rPr>
                <w:sz w:val="19"/>
              </w:rPr>
              <w:t>The weakness of most national and international financial institutions in which the Czech Republic has a share in is the fact that they are not focused on providing support from the ESIF. The weakness of the CMGDB were especially problems with implementation</w:t>
            </w:r>
            <w:r w:rsidR="005F4EBD">
              <w:rPr>
                <w:sz w:val="19"/>
              </w:rPr>
              <w:t xml:space="preserve"> of the FI in OPEI – the MA inspection and the audit of EK solved the uncertainity wheter the CMGDB is a recipient of the support ort he financial intermediary. This problém was solved with a change of the ownership structure of the CMGDB</w:t>
            </w:r>
            <w:r>
              <w:rPr>
                <w:sz w:val="19"/>
              </w:rPr>
              <w:t xml:space="preserve">. </w:t>
            </w:r>
          </w:p>
        </w:tc>
      </w:tr>
      <w:tr w:rsidR="006D3AD5" w:rsidRPr="002C224A" w14:paraId="131B52B9" w14:textId="77777777" w:rsidTr="00443B8F">
        <w:tc>
          <w:tcPr>
            <w:tcW w:w="3070" w:type="dxa"/>
            <w:shd w:val="clear" w:color="auto" w:fill="FFFFFF"/>
          </w:tcPr>
          <w:p w14:paraId="49416A6C" w14:textId="77777777" w:rsidR="006D3AD5" w:rsidRPr="002C224A" w:rsidRDefault="006D3AD5" w:rsidP="00443B8F">
            <w:pPr>
              <w:jc w:val="left"/>
              <w:rPr>
                <w:b/>
                <w:sz w:val="19"/>
              </w:rPr>
            </w:pPr>
            <w:r>
              <w:rPr>
                <w:b/>
                <w:sz w:val="19"/>
              </w:rPr>
              <w:t>Statutory or private subject</w:t>
            </w:r>
          </w:p>
        </w:tc>
        <w:tc>
          <w:tcPr>
            <w:tcW w:w="3071" w:type="dxa"/>
            <w:shd w:val="clear" w:color="auto" w:fill="FFFFFF"/>
          </w:tcPr>
          <w:p w14:paraId="6D9C7B69" w14:textId="77777777" w:rsidR="006D3AD5" w:rsidRPr="002C224A" w:rsidRDefault="006D3AD5" w:rsidP="00443B8F">
            <w:pPr>
              <w:rPr>
                <w:sz w:val="19"/>
              </w:rPr>
            </w:pPr>
            <w:r>
              <w:rPr>
                <w:sz w:val="19"/>
              </w:rPr>
              <w:t>This form of assigning implementation tasks can potentially bring management cost savings because the implementation tasks are usually assigned by for example an open tender.</w:t>
            </w:r>
          </w:p>
        </w:tc>
        <w:tc>
          <w:tcPr>
            <w:tcW w:w="3071" w:type="dxa"/>
            <w:shd w:val="clear" w:color="auto" w:fill="auto"/>
          </w:tcPr>
          <w:p w14:paraId="2737649B" w14:textId="3BD65A84" w:rsidR="006D3AD5" w:rsidRPr="001D237C" w:rsidRDefault="006D3AD5" w:rsidP="00443B8F">
            <w:pPr>
              <w:rPr>
                <w:sz w:val="19"/>
              </w:rPr>
            </w:pPr>
            <w:r>
              <w:rPr>
                <w:sz w:val="19"/>
              </w:rPr>
              <w:t xml:space="preserve">Experience with preparation of support of OPEI venture equity and preparation of JESSICA DOP Central Moravia and OPEI credit instruments in the 2007-2013 period point out to risks of significant schedule delays related to the selection of the financial instrument </w:t>
            </w:r>
            <w:r w:rsidR="003213A1">
              <w:rPr>
                <w:sz w:val="19"/>
              </w:rPr>
              <w:t>recipient</w:t>
            </w:r>
            <w:r>
              <w:rPr>
                <w:sz w:val="19"/>
              </w:rPr>
              <w:t xml:space="preserve"> in an open tender that could potentially jeopardize the feasibility of the financial instrument which happened in case of the mentioned instruments that were never launched. The only financial instrument that successfully used the process of public tendering was the JESSICA IOP instrument.</w:t>
            </w:r>
          </w:p>
        </w:tc>
      </w:tr>
      <w:tr w:rsidR="006D3AD5" w:rsidRPr="002C224A" w14:paraId="00AB0431" w14:textId="77777777" w:rsidTr="00443B8F">
        <w:tc>
          <w:tcPr>
            <w:tcW w:w="3070" w:type="dxa"/>
            <w:shd w:val="clear" w:color="auto" w:fill="FFFFFF"/>
          </w:tcPr>
          <w:p w14:paraId="1A413077" w14:textId="77777777" w:rsidR="006D3AD5" w:rsidRPr="002C224A" w:rsidRDefault="006D3AD5" w:rsidP="00443B8F">
            <w:pPr>
              <w:rPr>
                <w:b/>
                <w:sz w:val="19"/>
              </w:rPr>
            </w:pPr>
            <w:r>
              <w:rPr>
                <w:b/>
                <w:sz w:val="19"/>
              </w:rPr>
              <w:t>Managing Authority</w:t>
            </w:r>
          </w:p>
        </w:tc>
        <w:tc>
          <w:tcPr>
            <w:tcW w:w="3071" w:type="dxa"/>
            <w:shd w:val="clear" w:color="auto" w:fill="FFFFFF"/>
          </w:tcPr>
          <w:p w14:paraId="51ED13FB" w14:textId="77777777" w:rsidR="006D3AD5" w:rsidRPr="002C224A" w:rsidRDefault="006D3AD5" w:rsidP="00443B8F">
            <w:pPr>
              <w:rPr>
                <w:sz w:val="19"/>
              </w:rPr>
            </w:pPr>
            <w:r>
              <w:rPr>
                <w:sz w:val="19"/>
              </w:rPr>
              <w:t>The advantage of this implementation variant could exist in case where the financial instruments are considered a supplementary support and is provided in small amounts (e.g. in the ESF support areas).</w:t>
            </w:r>
          </w:p>
        </w:tc>
        <w:tc>
          <w:tcPr>
            <w:tcW w:w="3071" w:type="dxa"/>
            <w:shd w:val="clear" w:color="auto" w:fill="FFFFFF"/>
          </w:tcPr>
          <w:p w14:paraId="0F245A5B" w14:textId="77777777" w:rsidR="006D3AD5" w:rsidRPr="002C224A" w:rsidRDefault="006D3AD5" w:rsidP="00443B8F">
            <w:pPr>
              <w:rPr>
                <w:sz w:val="19"/>
              </w:rPr>
            </w:pPr>
            <w:r>
              <w:rPr>
                <w:sz w:val="19"/>
              </w:rPr>
              <w:t xml:space="preserve">The national legislation does not allow the central state administration body such as the Ministry of Industry and Trade to provide loans and guarantees. The CzechInvest agency for support of business and investments does not provide services in the area of providing support in </w:t>
            </w:r>
            <w:r>
              <w:rPr>
                <w:sz w:val="19"/>
              </w:rPr>
              <w:lastRenderedPageBreak/>
              <w:t>form of financial instruments. As an agency for investments and an intermediary subject for subsidy programmes it does not have necessary experience, technical facilities and administrative capacities to handle implementation tasks related to financial instruments.</w:t>
            </w:r>
          </w:p>
        </w:tc>
      </w:tr>
    </w:tbl>
    <w:p w14:paraId="3BCC88F1" w14:textId="77777777" w:rsidR="006D3AD5" w:rsidRPr="002C224A" w:rsidRDefault="006D3AD5" w:rsidP="006D3AD5"/>
    <w:tbl>
      <w:tblPr>
        <w:tblW w:w="0" w:type="auto"/>
        <w:tblBorders>
          <w:bottom w:val="single" w:sz="4" w:space="0" w:color="72C7E7"/>
          <w:insideH w:val="single" w:sz="4" w:space="0" w:color="72C7E7"/>
        </w:tblBorders>
        <w:tblCellMar>
          <w:top w:w="28" w:type="dxa"/>
          <w:left w:w="28" w:type="dxa"/>
          <w:bottom w:w="28" w:type="dxa"/>
          <w:right w:w="28" w:type="dxa"/>
        </w:tblCellMar>
        <w:tblLook w:val="01E0" w:firstRow="1" w:lastRow="1" w:firstColumn="1" w:lastColumn="1" w:noHBand="0" w:noVBand="0"/>
      </w:tblPr>
      <w:tblGrid>
        <w:gridCol w:w="3020"/>
        <w:gridCol w:w="3026"/>
        <w:gridCol w:w="3026"/>
      </w:tblGrid>
      <w:tr w:rsidR="006D3AD5" w:rsidRPr="002C224A" w14:paraId="2CFF9889" w14:textId="77777777" w:rsidTr="00443B8F">
        <w:tc>
          <w:tcPr>
            <w:tcW w:w="3070" w:type="dxa"/>
            <w:shd w:val="clear" w:color="auto" w:fill="72C7E7"/>
          </w:tcPr>
          <w:p w14:paraId="30AE67C9" w14:textId="77777777" w:rsidR="006D3AD5" w:rsidRPr="002C224A" w:rsidRDefault="006D3AD5" w:rsidP="00443B8F">
            <w:pPr>
              <w:rPr>
                <w:b/>
                <w:color w:val="FFFFFF"/>
                <w:sz w:val="19"/>
              </w:rPr>
            </w:pPr>
          </w:p>
        </w:tc>
        <w:tc>
          <w:tcPr>
            <w:tcW w:w="3071" w:type="dxa"/>
            <w:shd w:val="clear" w:color="auto" w:fill="72C7E7"/>
          </w:tcPr>
          <w:p w14:paraId="2DD04DFB" w14:textId="77777777" w:rsidR="006D3AD5" w:rsidRPr="002C224A" w:rsidRDefault="006D3AD5" w:rsidP="00443B8F">
            <w:pPr>
              <w:rPr>
                <w:b/>
                <w:color w:val="FFFFFF"/>
                <w:sz w:val="19"/>
              </w:rPr>
            </w:pPr>
            <w:r>
              <w:rPr>
                <w:b/>
                <w:color w:val="FFFFFF"/>
                <w:sz w:val="19"/>
              </w:rPr>
              <w:t>Opportunities</w:t>
            </w:r>
          </w:p>
        </w:tc>
        <w:tc>
          <w:tcPr>
            <w:tcW w:w="3071" w:type="dxa"/>
            <w:shd w:val="clear" w:color="auto" w:fill="72C7E7"/>
          </w:tcPr>
          <w:p w14:paraId="2B4C665C" w14:textId="77777777" w:rsidR="006D3AD5" w:rsidRPr="002C224A" w:rsidRDefault="006D3AD5" w:rsidP="00443B8F">
            <w:pPr>
              <w:rPr>
                <w:b/>
                <w:color w:val="FFFFFF"/>
                <w:sz w:val="19"/>
              </w:rPr>
            </w:pPr>
            <w:r>
              <w:rPr>
                <w:b/>
                <w:color w:val="FFFFFF"/>
                <w:sz w:val="19"/>
              </w:rPr>
              <w:t>Threats</w:t>
            </w:r>
          </w:p>
        </w:tc>
      </w:tr>
      <w:tr w:rsidR="006D3AD5" w:rsidRPr="002C224A" w14:paraId="43F05BA1" w14:textId="77777777" w:rsidTr="00443B8F">
        <w:tc>
          <w:tcPr>
            <w:tcW w:w="3070" w:type="dxa"/>
            <w:shd w:val="clear" w:color="auto" w:fill="FFFFFF"/>
          </w:tcPr>
          <w:p w14:paraId="648B93B0" w14:textId="77777777" w:rsidR="006D3AD5" w:rsidRPr="002C224A" w:rsidRDefault="006D3AD5" w:rsidP="00443B8F">
            <w:pPr>
              <w:jc w:val="left"/>
              <w:rPr>
                <w:b/>
                <w:sz w:val="19"/>
              </w:rPr>
            </w:pPr>
            <w:r>
              <w:rPr>
                <w:b/>
                <w:sz w:val="19"/>
              </w:rPr>
              <w:t>Investments into the legal persons equity</w:t>
            </w:r>
          </w:p>
        </w:tc>
        <w:tc>
          <w:tcPr>
            <w:tcW w:w="3071" w:type="dxa"/>
            <w:shd w:val="clear" w:color="auto" w:fill="FFFFFF"/>
          </w:tcPr>
          <w:p w14:paraId="59ADB18F" w14:textId="77777777" w:rsidR="006D3AD5" w:rsidRPr="002C224A" w:rsidRDefault="006D3AD5" w:rsidP="00443B8F">
            <w:pPr>
              <w:rPr>
                <w:sz w:val="19"/>
              </w:rPr>
            </w:pPr>
            <w:r>
              <w:rPr>
                <w:sz w:val="19"/>
              </w:rPr>
              <w:t>The opportunity lies especially in the creation of the know-how in the area of support of the venture equity and startups that could be used by the Czech Republic even after the conclusion of the programming period.</w:t>
            </w:r>
          </w:p>
        </w:tc>
        <w:tc>
          <w:tcPr>
            <w:tcW w:w="3071" w:type="dxa"/>
            <w:shd w:val="clear" w:color="auto" w:fill="FFFFFF"/>
          </w:tcPr>
          <w:p w14:paraId="7781A6FE" w14:textId="77777777" w:rsidR="006D3AD5" w:rsidRPr="002C224A" w:rsidRDefault="006D3AD5" w:rsidP="00443B8F">
            <w:pPr>
              <w:rPr>
                <w:sz w:val="19"/>
              </w:rPr>
            </w:pPr>
            <w:r>
              <w:rPr>
                <w:sz w:val="19"/>
              </w:rPr>
              <w:t>Repetition of the scenario from the 2007-2013 period where the financial instrument of the venture equity was not launched at all mainly due to delays of an administrative procedure of the OPC. This could be prevented by collaboration with the EIF and in-house solution for financial instruments management.</w:t>
            </w:r>
          </w:p>
        </w:tc>
      </w:tr>
      <w:tr w:rsidR="006D3AD5" w:rsidRPr="002C224A" w14:paraId="40A3ED06" w14:textId="77777777" w:rsidTr="00443B8F">
        <w:tc>
          <w:tcPr>
            <w:tcW w:w="3070" w:type="dxa"/>
            <w:shd w:val="clear" w:color="auto" w:fill="FFFFFF"/>
          </w:tcPr>
          <w:p w14:paraId="76F804FA" w14:textId="77777777" w:rsidR="006D3AD5" w:rsidRPr="002C224A" w:rsidRDefault="006D3AD5" w:rsidP="00443B8F">
            <w:pPr>
              <w:jc w:val="left"/>
              <w:rPr>
                <w:b/>
                <w:sz w:val="19"/>
              </w:rPr>
            </w:pPr>
            <w:r>
              <w:rPr>
                <w:b/>
                <w:sz w:val="19"/>
              </w:rPr>
              <w:t>EIB</w:t>
            </w:r>
          </w:p>
        </w:tc>
        <w:tc>
          <w:tcPr>
            <w:tcW w:w="3071" w:type="dxa"/>
            <w:shd w:val="clear" w:color="auto" w:fill="FFFFFF"/>
          </w:tcPr>
          <w:p w14:paraId="23E3F4B1" w14:textId="77777777" w:rsidR="006D3AD5" w:rsidRPr="002C224A" w:rsidRDefault="006D3AD5" w:rsidP="00443B8F">
            <w:pPr>
              <w:rPr>
                <w:sz w:val="19"/>
              </w:rPr>
            </w:pPr>
            <w:r>
              <w:rPr>
                <w:sz w:val="19"/>
              </w:rPr>
              <w:t>Transfer or the know-how of an international financial institution with an undeniable experience in the area of the ESIF financial instruments. The know-how transfer can be achieved for example by creating a common team for the FI preparation with the EIB / EIF.</w:t>
            </w:r>
          </w:p>
        </w:tc>
        <w:tc>
          <w:tcPr>
            <w:tcW w:w="3071" w:type="dxa"/>
            <w:shd w:val="clear" w:color="auto" w:fill="FFFFFF"/>
          </w:tcPr>
          <w:p w14:paraId="7B2EE62A" w14:textId="77777777" w:rsidR="006D3AD5" w:rsidRPr="002C224A" w:rsidRDefault="006D3AD5" w:rsidP="00443B8F">
            <w:pPr>
              <w:rPr>
                <w:sz w:val="19"/>
              </w:rPr>
            </w:pPr>
            <w:r>
              <w:rPr>
                <w:sz w:val="19"/>
              </w:rPr>
              <w:t>Lengthy process of preparing the financial instruments connected with the need of EIB / EIF adaptation to situation in the Czech Republic and OP EIC.</w:t>
            </w:r>
          </w:p>
          <w:p w14:paraId="5140DE7B" w14:textId="77777777" w:rsidR="006D3AD5" w:rsidRPr="002C224A" w:rsidRDefault="006D3AD5" w:rsidP="00443B8F">
            <w:pPr>
              <w:rPr>
                <w:sz w:val="19"/>
              </w:rPr>
            </w:pPr>
            <w:r>
              <w:rPr>
                <w:sz w:val="19"/>
              </w:rPr>
              <w:t>The EIB / EIF exit stage is risky as well where it is possible that the state administration of the Czech Republic would not have sufficient know-how for continuation of transferred activities which could lead to problems for example with concluding the financial instrument.</w:t>
            </w:r>
          </w:p>
        </w:tc>
      </w:tr>
      <w:tr w:rsidR="006D3AD5" w:rsidRPr="002C224A" w14:paraId="7A540095" w14:textId="77777777" w:rsidTr="00443B8F">
        <w:tc>
          <w:tcPr>
            <w:tcW w:w="3070" w:type="dxa"/>
            <w:shd w:val="clear" w:color="auto" w:fill="FFFFFF"/>
          </w:tcPr>
          <w:p w14:paraId="6BC8DEF0" w14:textId="77777777" w:rsidR="006D3AD5" w:rsidRPr="002C224A" w:rsidRDefault="006D3AD5" w:rsidP="00443B8F">
            <w:pPr>
              <w:jc w:val="left"/>
              <w:rPr>
                <w:b/>
                <w:sz w:val="19"/>
              </w:rPr>
            </w:pPr>
            <w:r>
              <w:rPr>
                <w:b/>
                <w:sz w:val="19"/>
              </w:rPr>
              <w:t>International or national Specialized financial institution</w:t>
            </w:r>
          </w:p>
        </w:tc>
        <w:tc>
          <w:tcPr>
            <w:tcW w:w="3071" w:type="dxa"/>
            <w:shd w:val="clear" w:color="auto" w:fill="FFFFFF"/>
          </w:tcPr>
          <w:p w14:paraId="141D7C46" w14:textId="77777777" w:rsidR="006D3AD5" w:rsidRPr="002C224A" w:rsidRDefault="006D3AD5" w:rsidP="00443B8F">
            <w:pPr>
              <w:rPr>
                <w:sz w:val="19"/>
              </w:rPr>
            </w:pPr>
            <w:r>
              <w:rPr>
                <w:sz w:val="19"/>
              </w:rPr>
              <w:t>The opportunity in this case is especially the creation of a national know-how for implementation of financial instruments even after the end of the programming period. In this regard the effort of the government for activation of the CMGDB as an investment bank of the Czech Republic following the example of successful foreign development bank is important as well.</w:t>
            </w:r>
          </w:p>
        </w:tc>
        <w:tc>
          <w:tcPr>
            <w:tcW w:w="3071" w:type="dxa"/>
            <w:shd w:val="clear" w:color="auto" w:fill="FFFFFF"/>
          </w:tcPr>
          <w:p w14:paraId="4A35503D" w14:textId="77777777" w:rsidR="006D3AD5" w:rsidRPr="002C224A" w:rsidRDefault="006D3AD5" w:rsidP="00443B8F">
            <w:pPr>
              <w:rPr>
                <w:sz w:val="19"/>
              </w:rPr>
            </w:pPr>
            <w:r>
              <w:rPr>
                <w:sz w:val="19"/>
              </w:rPr>
              <w:t>Repetition of the scenario from the 2007-2013 period where OP EI financial instruments were launched at first but faced severe problems during the EC audit. This could be prevented by more rigorous control and monitoring of processes, e.g. by introduction of an investment committee with closer coordination with the EC.</w:t>
            </w:r>
          </w:p>
        </w:tc>
      </w:tr>
      <w:tr w:rsidR="006D3AD5" w:rsidRPr="002C224A" w14:paraId="5C658F89" w14:textId="77777777" w:rsidTr="00443B8F">
        <w:tc>
          <w:tcPr>
            <w:tcW w:w="3070" w:type="dxa"/>
            <w:shd w:val="clear" w:color="auto" w:fill="FFFFFF"/>
          </w:tcPr>
          <w:p w14:paraId="03A75ED3" w14:textId="77777777" w:rsidR="006D3AD5" w:rsidRPr="002C224A" w:rsidRDefault="006D3AD5" w:rsidP="00443B8F">
            <w:pPr>
              <w:jc w:val="left"/>
              <w:rPr>
                <w:b/>
                <w:sz w:val="19"/>
              </w:rPr>
            </w:pPr>
            <w:r>
              <w:rPr>
                <w:b/>
                <w:sz w:val="19"/>
              </w:rPr>
              <w:t>Statutory or private subject</w:t>
            </w:r>
          </w:p>
        </w:tc>
        <w:tc>
          <w:tcPr>
            <w:tcW w:w="3071" w:type="dxa"/>
            <w:shd w:val="clear" w:color="auto" w:fill="FFFFFF"/>
          </w:tcPr>
          <w:p w14:paraId="46ED8085" w14:textId="77777777" w:rsidR="006D3AD5" w:rsidRPr="002C224A" w:rsidRDefault="006D3AD5" w:rsidP="00443B8F">
            <w:pPr>
              <w:rPr>
                <w:sz w:val="19"/>
              </w:rPr>
            </w:pPr>
            <w:r>
              <w:rPr>
                <w:sz w:val="19"/>
              </w:rPr>
              <w:t>The opportunity in this area lies especially in the quasi-PPP cooperation of state and private financial instrument manager that could lead to mutual transfer of know-how.</w:t>
            </w:r>
          </w:p>
        </w:tc>
        <w:tc>
          <w:tcPr>
            <w:tcW w:w="3071" w:type="dxa"/>
            <w:shd w:val="clear" w:color="auto" w:fill="FFFFFF"/>
          </w:tcPr>
          <w:p w14:paraId="20684D2E" w14:textId="77777777" w:rsidR="006D3AD5" w:rsidRPr="002C224A" w:rsidRDefault="006D3AD5" w:rsidP="00443B8F">
            <w:pPr>
              <w:rPr>
                <w:sz w:val="19"/>
              </w:rPr>
            </w:pPr>
            <w:r>
              <w:rPr>
                <w:sz w:val="19"/>
              </w:rPr>
              <w:t>The threat emerging from weaknesses is especially significant time delay during the preparation stage of the financial instrument that could even lead to non-realization of planned schemes.</w:t>
            </w:r>
          </w:p>
        </w:tc>
      </w:tr>
      <w:tr w:rsidR="006D3AD5" w:rsidRPr="002C224A" w14:paraId="18D7A4C5" w14:textId="77777777" w:rsidTr="00443B8F">
        <w:tc>
          <w:tcPr>
            <w:tcW w:w="3070" w:type="dxa"/>
            <w:shd w:val="clear" w:color="auto" w:fill="FFFFFF"/>
          </w:tcPr>
          <w:p w14:paraId="3F4072F4" w14:textId="77777777" w:rsidR="006D3AD5" w:rsidRPr="002C224A" w:rsidRDefault="006D3AD5" w:rsidP="00443B8F">
            <w:pPr>
              <w:rPr>
                <w:b/>
                <w:sz w:val="19"/>
              </w:rPr>
            </w:pPr>
            <w:r>
              <w:rPr>
                <w:b/>
                <w:sz w:val="19"/>
              </w:rPr>
              <w:t>Managing Authority</w:t>
            </w:r>
          </w:p>
        </w:tc>
        <w:tc>
          <w:tcPr>
            <w:tcW w:w="3071" w:type="dxa"/>
            <w:shd w:val="clear" w:color="auto" w:fill="FFFFFF"/>
          </w:tcPr>
          <w:p w14:paraId="2686E1F8" w14:textId="77777777" w:rsidR="006D3AD5" w:rsidRPr="002C224A" w:rsidRDefault="006D3AD5" w:rsidP="00443B8F">
            <w:pPr>
              <w:rPr>
                <w:sz w:val="19"/>
              </w:rPr>
            </w:pPr>
            <w:r>
              <w:rPr>
                <w:sz w:val="19"/>
              </w:rPr>
              <w:t>In case of OP EIC it is impossible to identify any opportunity due to weaknesses.</w:t>
            </w:r>
          </w:p>
        </w:tc>
        <w:tc>
          <w:tcPr>
            <w:tcW w:w="3071" w:type="dxa"/>
            <w:shd w:val="clear" w:color="auto" w:fill="FFFFFF"/>
          </w:tcPr>
          <w:p w14:paraId="1F97AD14" w14:textId="77777777" w:rsidR="006D3AD5" w:rsidRPr="002C224A" w:rsidRDefault="006D3AD5" w:rsidP="00443B8F">
            <w:pPr>
              <w:rPr>
                <w:sz w:val="19"/>
              </w:rPr>
            </w:pPr>
            <w:r>
              <w:rPr>
                <w:sz w:val="19"/>
              </w:rPr>
              <w:t>The threat rising from weaknesses are problems rising from setting up the implementation structure and subsequent risk for fulfilment of the n+3 rule.</w:t>
            </w:r>
          </w:p>
        </w:tc>
      </w:tr>
    </w:tbl>
    <w:p w14:paraId="23D8DE81" w14:textId="5FEA231C" w:rsidR="006D3AD5" w:rsidRPr="002C224A" w:rsidRDefault="006D3AD5" w:rsidP="006D3AD5">
      <w:pPr>
        <w:pStyle w:val="Titulek"/>
      </w:pPr>
      <w:r>
        <w:t xml:space="preserve">Table </w:t>
      </w:r>
      <w:r w:rsidR="008E5253">
        <w:t>13</w:t>
      </w:r>
      <w:r w:rsidR="00B90ACD">
        <w:t>6</w:t>
      </w:r>
      <w:r>
        <w:t>: Results of a SWOT analysis of possibilities for financial instruments management mentioned above</w:t>
      </w:r>
    </w:p>
    <w:p w14:paraId="51DCB289" w14:textId="77777777" w:rsidR="006D3AD5" w:rsidRPr="002C224A" w:rsidRDefault="006D3AD5" w:rsidP="006D3AD5">
      <w:pPr>
        <w:pStyle w:val="Titulek"/>
      </w:pPr>
    </w:p>
    <w:p w14:paraId="1ABA0A0A" w14:textId="77777777" w:rsidR="006D3AD5" w:rsidRPr="002C224A" w:rsidRDefault="006D3AD5" w:rsidP="006D3AD5">
      <w:r>
        <w:lastRenderedPageBreak/>
        <w:t>Based on the findings of the SWOT analysis and past experience and in relation to the Czech Government Resolution No. 85 dated 9 February 2015, which plans a centralized management of financial instruments at the Czech-Moravian Guarantee and Development Bank, the ex ante assessment of the financial instruments recommends:</w:t>
      </w:r>
    </w:p>
    <w:p w14:paraId="6E1FD40F" w14:textId="77777777" w:rsidR="006D3AD5" w:rsidRPr="002C224A" w:rsidRDefault="006D3AD5" w:rsidP="006D3AD5"/>
    <w:p w14:paraId="67FDE216" w14:textId="77777777" w:rsidR="00825090" w:rsidRDefault="006D3AD5" w:rsidP="008A0C1F">
      <w:pPr>
        <w:numPr>
          <w:ilvl w:val="0"/>
          <w:numId w:val="48"/>
        </w:numPr>
        <w:rPr>
          <w:b/>
        </w:rPr>
      </w:pPr>
      <w:r>
        <w:rPr>
          <w:b/>
        </w:rPr>
        <w:t>in the case of financial instruments involving soft loans and guarantees to entrust the Czech-Moravian Guarantee and Development Bank</w:t>
      </w:r>
      <w:r>
        <w:t xml:space="preserve"> with the implementation tasks in accordance with Article 38(4)(b)(ii) and in compliance with s. 18(1)(e) of Act No. 137/2006 Coll., on Public Procurement and s. 5(1)(b) of Act No. 47/2002 Coll., on Support to SMEs,</w:t>
      </w:r>
    </w:p>
    <w:p w14:paraId="3E0DBBA3" w14:textId="5D02B33C" w:rsidR="00B247B7" w:rsidRPr="00B247B7" w:rsidRDefault="00886309" w:rsidP="00886309">
      <w:pPr>
        <w:numPr>
          <w:ilvl w:val="0"/>
          <w:numId w:val="48"/>
        </w:numPr>
      </w:pPr>
      <w:r w:rsidRPr="00B91A82">
        <w:rPr>
          <w:b/>
        </w:rPr>
        <w:t xml:space="preserve">in the case of financial instruments involving equity investments </w:t>
      </w:r>
      <w:r>
        <w:rPr>
          <w:b/>
        </w:rPr>
        <w:t xml:space="preserve">in SO </w:t>
      </w:r>
      <w:r w:rsidR="00B247B7">
        <w:rPr>
          <w:b/>
        </w:rPr>
        <w:t xml:space="preserve">1.2 and </w:t>
      </w:r>
      <w:r>
        <w:rPr>
          <w:b/>
        </w:rPr>
        <w:t>2.1</w:t>
      </w:r>
      <w:r w:rsidR="00B247B7" w:rsidRPr="00B247B7">
        <w:rPr>
          <w:b/>
        </w:rPr>
        <w:t xml:space="preserve"> </w:t>
      </w:r>
      <w:r w:rsidR="00B247B7">
        <w:rPr>
          <w:b/>
        </w:rPr>
        <w:t xml:space="preserve">to </w:t>
      </w:r>
      <w:r w:rsidR="00B247B7" w:rsidRPr="00B91A82">
        <w:rPr>
          <w:b/>
        </w:rPr>
        <w:t>invest in the capital of existing or newly created legal entities</w:t>
      </w:r>
      <w:r w:rsidR="00B247B7" w:rsidRPr="00B91A82">
        <w:t xml:space="preserve"> in accordance with Article 38(4)(a) and in compliance with s. 18(1)(e) of Act No. 137/2006 Coll., on Public Procurement</w:t>
      </w:r>
      <w:r w:rsidR="00B247B7">
        <w:t xml:space="preserve"> or alternatively</w:t>
      </w:r>
      <w:r w:rsidR="00B247B7" w:rsidRPr="00B247B7">
        <w:rPr>
          <w:b/>
        </w:rPr>
        <w:t xml:space="preserve"> </w:t>
      </w:r>
      <w:r w:rsidR="00B247B7" w:rsidRPr="00B91A82">
        <w:rPr>
          <w:b/>
        </w:rPr>
        <w:t>to entrust EIB (EIF</w:t>
      </w:r>
      <w:r w:rsidR="00B247B7">
        <w:rPr>
          <w:b/>
        </w:rPr>
        <w:t>)</w:t>
      </w:r>
      <w:r w:rsidR="00B247B7" w:rsidRPr="00B91A82">
        <w:rPr>
          <w:b/>
        </w:rPr>
        <w:t xml:space="preserve"> with the implementation tasks in acco</w:t>
      </w:r>
      <w:r w:rsidR="00B247B7">
        <w:rPr>
          <w:b/>
        </w:rPr>
        <w:t>rdance with Article 38(4)(b)(i).</w:t>
      </w:r>
      <w:r w:rsidR="00B247B7" w:rsidRPr="00B247B7">
        <w:rPr>
          <w:b/>
        </w:rPr>
        <w:t xml:space="preserve"> </w:t>
      </w:r>
      <w:r w:rsidR="00B247B7">
        <w:rPr>
          <w:b/>
        </w:rPr>
        <w:t>T</w:t>
      </w:r>
      <w:r w:rsidR="00B247B7" w:rsidRPr="00B91A82">
        <w:rPr>
          <w:b/>
        </w:rPr>
        <w:t>he ex ante assessment suggests</w:t>
      </w:r>
      <w:r w:rsidR="00521B33">
        <w:rPr>
          <w:b/>
        </w:rPr>
        <w:t xml:space="preserve"> to</w:t>
      </w:r>
      <w:r w:rsidR="00B247B7" w:rsidRPr="00B91A82">
        <w:rPr>
          <w:b/>
        </w:rPr>
        <w:t xml:space="preserve"> creat</w:t>
      </w:r>
      <w:r w:rsidR="00521B33">
        <w:rPr>
          <w:b/>
        </w:rPr>
        <w:t>e</w:t>
      </w:r>
      <w:r w:rsidR="00B247B7" w:rsidRPr="00B91A82">
        <w:rPr>
          <w:b/>
        </w:rPr>
        <w:t xml:space="preserve"> a new national entity</w:t>
      </w:r>
      <w:r w:rsidR="00521B33">
        <w:rPr>
          <w:b/>
        </w:rPr>
        <w:t xml:space="preserve"> (</w:t>
      </w:r>
      <w:r w:rsidR="00521B33" w:rsidRPr="00437EFF">
        <w:rPr>
          <w:b/>
          <w:bCs/>
        </w:rPr>
        <w:t>Národní inovační fond, investiční společnost, a.s.</w:t>
      </w:r>
      <w:r w:rsidR="00521B33">
        <w:rPr>
          <w:b/>
        </w:rPr>
        <w:t>)</w:t>
      </w:r>
      <w:r w:rsidR="00B247B7" w:rsidRPr="00B91A82">
        <w:rPr>
          <w:b/>
        </w:rPr>
        <w:t xml:space="preserve">, but especially at the beginning of the implementation it recommends to cooperate with the EIF through </w:t>
      </w:r>
      <w:r w:rsidR="00B247B7">
        <w:rPr>
          <w:b/>
        </w:rPr>
        <w:t>direct</w:t>
      </w:r>
      <w:r w:rsidR="00521B33">
        <w:rPr>
          <w:b/>
        </w:rPr>
        <w:t xml:space="preserve"> time-limited</w:t>
      </w:r>
      <w:r w:rsidR="00B247B7">
        <w:rPr>
          <w:b/>
        </w:rPr>
        <w:t xml:space="preserve"> </w:t>
      </w:r>
      <w:r w:rsidR="00B247B7" w:rsidRPr="00B91A82">
        <w:rPr>
          <w:b/>
        </w:rPr>
        <w:t>management</w:t>
      </w:r>
      <w:r w:rsidR="00B247B7">
        <w:rPr>
          <w:b/>
        </w:rPr>
        <w:t xml:space="preserve"> of the established fund</w:t>
      </w:r>
      <w:r w:rsidR="00521B33">
        <w:rPr>
          <w:b/>
        </w:rPr>
        <w:t xml:space="preserve"> or through advisory (e.g. by setting of the selection proces and cooperation with financial intermediaries and co-investors) – depending on the specific conditions of the agreement with EIF.</w:t>
      </w:r>
    </w:p>
    <w:p w14:paraId="78A7D725" w14:textId="77777777" w:rsidR="00825090" w:rsidRPr="001D237C" w:rsidRDefault="00825090" w:rsidP="008A0C1F"/>
    <w:p w14:paraId="30C5273D" w14:textId="3F5FBF83" w:rsidR="006D3AD5" w:rsidRPr="001D237C" w:rsidRDefault="006D3AD5" w:rsidP="006D3AD5">
      <w:r>
        <w:t xml:space="preserve">According to the General Regulation, financial instruments may be implemented separately, or financial instruments are implemented through a fund of funds. The MIT has no experience with implementing financial instruments through a fund of funds, however, currently they are engaged in negotiations with the Ministry of Finance regarding a feasibility study on centralizing the implementation of financial instruments through a National Fund of Funds of the Czech-Moravian Guarantee and Development Bank.  </w:t>
      </w:r>
      <w:r>
        <w:rPr>
          <w:b/>
        </w:rPr>
        <w:t>With regard to the conclusions of the draft investment strategy for the individual specific objectives the ex ante assessment recommends</w:t>
      </w:r>
      <w:r>
        <w:t xml:space="preserve">: </w:t>
      </w:r>
    </w:p>
    <w:p w14:paraId="167F15D2" w14:textId="77777777" w:rsidR="006D3AD5" w:rsidRPr="001D237C" w:rsidRDefault="006D3AD5" w:rsidP="006D3AD5"/>
    <w:p w14:paraId="2474D7C8" w14:textId="2C156DAD" w:rsidR="006D3AD5" w:rsidRPr="001D237C" w:rsidRDefault="006D3AD5" w:rsidP="006D3AD5">
      <w:pPr>
        <w:numPr>
          <w:ilvl w:val="0"/>
          <w:numId w:val="48"/>
        </w:numPr>
      </w:pPr>
      <w:r>
        <w:rPr>
          <w:b/>
        </w:rPr>
        <w:t xml:space="preserve">in the case of loan financial instruments (typically combined with an interest rate subsidy or a grant for technical preparation of the project) to conclude a funding agreement for the creation of a loan fund with the </w:t>
      </w:r>
      <w:r w:rsidR="003213A1">
        <w:rPr>
          <w:b/>
        </w:rPr>
        <w:t>recipient</w:t>
      </w:r>
      <w:r>
        <w:t>. The loan fund will be internally divided according to individual priority axes and specific objectives. Due to the fact that cooperation with other financial institutions, based on the conclusions of the draft investment strategy, is not planned in terms of involvement of financial intermediaries, but as a framework coordination, the ex ante assessment concludes that this cooperation does not constitute a fund of funds, but an individual financial instrument. The scheme should allow for an integration into a centralized national fund of funds, if available during the programming period. However, considering the specific tailor-made implementation arrangements and conclusions of the audit by the EC in the period 2007–2013, the ex ante assessment recommends to discuss the structure of an OP EIC fund with the European Commission before the launch thereof.</w:t>
      </w:r>
    </w:p>
    <w:p w14:paraId="3186D9DE" w14:textId="77777777" w:rsidR="006D3AD5" w:rsidRPr="001D237C" w:rsidRDefault="006D3AD5" w:rsidP="006D3AD5">
      <w:pPr>
        <w:ind w:left="360"/>
      </w:pPr>
    </w:p>
    <w:p w14:paraId="1D60D4B2" w14:textId="77777777" w:rsidR="006D3AD5" w:rsidRPr="001D237C" w:rsidRDefault="006D3AD5" w:rsidP="006D3AD5">
      <w:pPr>
        <w:numPr>
          <w:ilvl w:val="0"/>
          <w:numId w:val="48"/>
        </w:numPr>
      </w:pPr>
      <w:r>
        <w:rPr>
          <w:b/>
        </w:rPr>
        <w:t>in the case of guarantee of financial instruments (typically combined with an interest rate subsidy) to conclude a funding agreement in order to create a guarantee fund with the recipient</w:t>
      </w:r>
      <w:r>
        <w:t>. The loan fund will be internally divided according to individual priority axes and specific objectives. According to conclusions of this ex ante assessment it constitutes an individual financial instrument. The scheme should allow for an integration into a centralized national fund of funds, if available during the programming period. However, considering the specific tailor-made implementation arrangements and conclusions of the audit by the EC in the period 2007–2013, the ex ante assessment recommends to discuss the structure of an OP EIC guarantee fund with the European Commission before the launch thereof.</w:t>
      </w:r>
    </w:p>
    <w:p w14:paraId="26CC693D" w14:textId="77777777" w:rsidR="006D3AD5" w:rsidRPr="001D237C" w:rsidRDefault="006D3AD5" w:rsidP="006D3AD5"/>
    <w:p w14:paraId="27428842" w14:textId="1CBF35E7" w:rsidR="00886309" w:rsidRDefault="00886309" w:rsidP="00886309">
      <w:pPr>
        <w:numPr>
          <w:ilvl w:val="0"/>
          <w:numId w:val="48"/>
        </w:numPr>
      </w:pPr>
      <w:r w:rsidRPr="00B33F22">
        <w:rPr>
          <w:b/>
        </w:rPr>
        <w:lastRenderedPageBreak/>
        <w:t xml:space="preserve">in the case of equity investment financial instruments, to conclude </w:t>
      </w:r>
      <w:r w:rsidR="00521B33">
        <w:rPr>
          <w:b/>
        </w:rPr>
        <w:t xml:space="preserve">one or </w:t>
      </w:r>
      <w:r w:rsidRPr="00B33F22">
        <w:rPr>
          <w:b/>
        </w:rPr>
        <w:t xml:space="preserve">two funding agreements.  </w:t>
      </w:r>
      <w:r w:rsidR="00521B33">
        <w:rPr>
          <w:b/>
        </w:rPr>
        <w:t>The first should be closed</w:t>
      </w:r>
      <w:r w:rsidRPr="00B33F22">
        <w:rPr>
          <w:b/>
        </w:rPr>
        <w:t xml:space="preserve"> with the EIF</w:t>
      </w:r>
      <w:r w:rsidR="00521B33">
        <w:rPr>
          <w:b/>
        </w:rPr>
        <w:t xml:space="preserve"> in case of entrusting the management of the </w:t>
      </w:r>
      <w:r w:rsidR="00DE56AA">
        <w:rPr>
          <w:b/>
        </w:rPr>
        <w:t>venture capital</w:t>
      </w:r>
      <w:r w:rsidR="00521B33">
        <w:rPr>
          <w:b/>
        </w:rPr>
        <w:t xml:space="preserve"> fund</w:t>
      </w:r>
      <w:r w:rsidR="00DE56AA">
        <w:rPr>
          <w:b/>
        </w:rPr>
        <w:t xml:space="preserve"> in the beginning of the programming period</w:t>
      </w:r>
      <w:r w:rsidR="00521B33">
        <w:rPr>
          <w:b/>
        </w:rPr>
        <w:t>.</w:t>
      </w:r>
      <w:r w:rsidRPr="00B33F22">
        <w:rPr>
          <w:b/>
        </w:rPr>
        <w:t xml:space="preserve"> </w:t>
      </w:r>
      <w:r w:rsidR="00DE56AA">
        <w:rPr>
          <w:b/>
        </w:rPr>
        <w:t>T</w:t>
      </w:r>
      <w:r w:rsidRPr="00B33F22">
        <w:rPr>
          <w:b/>
        </w:rPr>
        <w:t>he second</w:t>
      </w:r>
      <w:r w:rsidR="00DE56AA">
        <w:rPr>
          <w:b/>
        </w:rPr>
        <w:t xml:space="preserve"> should be closed</w:t>
      </w:r>
      <w:r w:rsidRPr="00B33F22">
        <w:rPr>
          <w:b/>
        </w:rPr>
        <w:t xml:space="preserve"> with the newly established subject (</w:t>
      </w:r>
      <w:r w:rsidRPr="00B33F22">
        <w:rPr>
          <w:b/>
          <w:bCs/>
        </w:rPr>
        <w:t>Národní inovační fond, investiční společnost, a.s.</w:t>
      </w:r>
      <w:r w:rsidRPr="00B33F22">
        <w:rPr>
          <w:b/>
        </w:rPr>
        <w:t>)</w:t>
      </w:r>
      <w:r w:rsidR="00DE56AA">
        <w:rPr>
          <w:b/>
        </w:rPr>
        <w:t>.</w:t>
      </w:r>
      <w:r w:rsidRPr="00B33F22">
        <w:rPr>
          <w:b/>
        </w:rPr>
        <w:t xml:space="preserve"> </w:t>
      </w:r>
      <w:r>
        <w:t>C</w:t>
      </w:r>
      <w:r w:rsidRPr="00B91A82">
        <w:t>onsidering the specific tailor-made implementation arrangements the ex ante assessment recommends to discuss the structure of an OP EIC equity investment fund with the European Commission before the launch thereof.</w:t>
      </w:r>
    </w:p>
    <w:p w14:paraId="598BDFF1" w14:textId="77777777" w:rsidR="00B225B7" w:rsidRDefault="00B225B7" w:rsidP="00685AEF">
      <w:pPr>
        <w:pStyle w:val="Odstavecseseznamem"/>
      </w:pPr>
    </w:p>
    <w:p w14:paraId="60DB8838" w14:textId="77777777" w:rsidR="00B225B7" w:rsidRDefault="00B225B7" w:rsidP="00685AEF">
      <w:r>
        <w:t>Reimbursement of the management costs and fees and the amount for the recipient and possibly the financial intermediary should comply with the applicable legislation, particularly with Article 13 et seq. of Commission Delegated Regulation (EU) No 480/2014.</w:t>
      </w:r>
    </w:p>
    <w:p w14:paraId="67CDE1B4" w14:textId="77777777" w:rsidR="006D3AD5" w:rsidRPr="001D237C" w:rsidRDefault="006D3AD5" w:rsidP="006D3AD5"/>
    <w:p w14:paraId="60589E17" w14:textId="77777777" w:rsidR="006D3AD5" w:rsidRPr="001D237C" w:rsidRDefault="006D3AD5" w:rsidP="006D3AD5">
      <w:pPr>
        <w:rPr>
          <w:b/>
        </w:rPr>
      </w:pPr>
      <w:r>
        <w:rPr>
          <w:b/>
        </w:rPr>
        <w:t xml:space="preserve">The preliminary evaluation of financial instruments recommends discussing the method for implementation structure with the European Commission in regard to these specific conclusions. </w:t>
      </w:r>
    </w:p>
    <w:p w14:paraId="42B5C12E" w14:textId="77777777" w:rsidR="006D3AD5" w:rsidRPr="001D237C" w:rsidRDefault="006D3AD5" w:rsidP="006D3AD5">
      <w:pPr>
        <w:pStyle w:val="Nadpis3"/>
        <w:rPr>
          <w:rFonts w:ascii="Calibri" w:hAnsi="Calibri"/>
        </w:rPr>
      </w:pPr>
      <w:bookmarkStart w:id="1458" w:name="_Toc419183292"/>
      <w:bookmarkStart w:id="1459" w:name="_Toc422312156"/>
      <w:r>
        <w:rPr>
          <w:rFonts w:ascii="Calibri" w:hAnsi="Calibri"/>
        </w:rPr>
        <w:t>Method of securing financial and subject monitoring of financial instruments implementation</w:t>
      </w:r>
      <w:bookmarkEnd w:id="1458"/>
      <w:bookmarkEnd w:id="1459"/>
    </w:p>
    <w:p w14:paraId="51C0DFF8" w14:textId="77777777" w:rsidR="006D3AD5" w:rsidRPr="001D237C" w:rsidRDefault="006D3AD5" w:rsidP="006D3AD5">
      <w:r>
        <w:t>The necessities of financial and subject monitoring of financial instruments on the national level are defined especially in the Monitoring methodology 2014-2020 of the National authority for coordination and in Methodical guidelines for financial flows. Basic principles within the OP EIC are further described in an optional annex no. 3 and in methodical documentation of the OP EIC which is being prepared at this time.</w:t>
      </w:r>
    </w:p>
    <w:p w14:paraId="6F5D1A43" w14:textId="77777777" w:rsidR="006D3AD5" w:rsidRPr="001D237C" w:rsidRDefault="006D3AD5" w:rsidP="006D3AD5"/>
    <w:p w14:paraId="61C56F21" w14:textId="73B81E7E" w:rsidR="006D3AD5" w:rsidRPr="001D237C" w:rsidRDefault="006D3AD5" w:rsidP="006D3AD5">
      <w:r>
        <w:t>Requirements for data collection and both regular and ad hoc subject and financial monitoring in accordance with indicators proposed in the preliminary evaluation will be defined in financing agreement between the managing authority and the recipient. The recipient (FI manager) will be responsible for data collection from the final recipients. The MA will be responsible for monitoring of reports</w:t>
      </w:r>
      <w:r w:rsidR="00D645C1">
        <w:t xml:space="preserve"> from the recipient and</w:t>
      </w:r>
      <w:r>
        <w:t xml:space="preserve"> conducting audits.</w:t>
      </w:r>
    </w:p>
    <w:p w14:paraId="6E452951" w14:textId="77777777" w:rsidR="006D3AD5" w:rsidRPr="001D237C" w:rsidRDefault="006D3AD5" w:rsidP="006D3AD5"/>
    <w:p w14:paraId="241A11F2" w14:textId="6101C9D6" w:rsidR="006D3AD5" w:rsidRPr="001D237C" w:rsidRDefault="006D3AD5" w:rsidP="006D3AD5">
      <w:r>
        <w:t xml:space="preserve">In case of FI the project sustainability is in accordance with Article 71 of the General Regulation defined especially by capacity of the final recipient to meet their obligations in regard to the FI (ability to pay). The preliminary evaluation therefore does not recommend defining </w:t>
      </w:r>
      <w:r w:rsidR="00CD1C3D">
        <w:t>any</w:t>
      </w:r>
      <w:r>
        <w:t>binding indicators for final recipients to meet.</w:t>
      </w:r>
    </w:p>
    <w:p w14:paraId="172F4117" w14:textId="77777777" w:rsidR="006D3AD5" w:rsidRPr="001D237C" w:rsidRDefault="006D3AD5" w:rsidP="006D3AD5"/>
    <w:p w14:paraId="0AE0D079" w14:textId="194D485B" w:rsidR="006D3AD5" w:rsidRPr="002C224A" w:rsidRDefault="006D3AD5" w:rsidP="006D3AD5">
      <w:r>
        <w:t>The preliminary evaluation therefore recommends the so called MS2014+ solution "without call", i.e. the registration of data on implementing the financial instruments including data on projects of final recipients based on a data sentence or by direct upload of data</w:t>
      </w:r>
      <w:r w:rsidR="0088461F">
        <w:t xml:space="preserve"> about the projects of final recipients</w:t>
      </w:r>
      <w:r>
        <w:t xml:space="preserve"> into the MS2014+ database.</w:t>
      </w:r>
      <w:r w:rsidR="0088461F">
        <w:t xml:space="preserve"> Credit institutions or investment funds involved in the implementation of the FI dispose of their own audited information systems.</w:t>
      </w:r>
    </w:p>
    <w:p w14:paraId="0BD0BC07" w14:textId="77777777" w:rsidR="0088461F" w:rsidRPr="002C224A" w:rsidRDefault="0088461F" w:rsidP="006D3AD5"/>
    <w:p w14:paraId="3C1F0F37" w14:textId="77777777" w:rsidR="006D3AD5" w:rsidRPr="002C224A" w:rsidRDefault="006D3AD5" w:rsidP="006D3AD5">
      <w:pPr>
        <w:pStyle w:val="Nadpis2"/>
        <w:rPr>
          <w:rFonts w:ascii="Calibri" w:hAnsi="Calibri"/>
        </w:rPr>
      </w:pPr>
      <w:bookmarkStart w:id="1460" w:name="_Toc419183293"/>
      <w:bookmarkStart w:id="1461" w:name="_Toc422312157"/>
      <w:r>
        <w:rPr>
          <w:rFonts w:ascii="Calibri" w:hAnsi="Calibri"/>
        </w:rPr>
        <w:t>Summarizing conclusions of the investment strategy proposal</w:t>
      </w:r>
      <w:bookmarkEnd w:id="1460"/>
      <w:bookmarkEnd w:id="1461"/>
    </w:p>
    <w:p w14:paraId="0E9776BE" w14:textId="77777777" w:rsidR="006D3AD5" w:rsidRPr="002C224A" w:rsidRDefault="006D3AD5" w:rsidP="006D3AD5">
      <w:pPr>
        <w:pStyle w:val="Nadpis3"/>
        <w:rPr>
          <w:rFonts w:ascii="Calibri" w:hAnsi="Calibri"/>
        </w:rPr>
      </w:pPr>
      <w:bookmarkStart w:id="1462" w:name="_Toc419183294"/>
      <w:bookmarkStart w:id="1463" w:name="_Toc422312158"/>
      <w:r>
        <w:rPr>
          <w:rFonts w:ascii="Calibri" w:hAnsi="Calibri"/>
        </w:rPr>
        <w:t>Combination of financial instruments with other forms of support</w:t>
      </w:r>
      <w:bookmarkEnd w:id="1462"/>
      <w:bookmarkEnd w:id="1463"/>
    </w:p>
    <w:p w14:paraId="63B30E9E" w14:textId="77777777" w:rsidR="006D3AD5" w:rsidRPr="001D237C" w:rsidRDefault="006D3AD5" w:rsidP="006D3AD5">
      <w:r>
        <w:t>Financial instruments can be combined with grants, subsidies of interest rates and subsidies of guarantee fees in accordance with Article 37, Sections 7 and 8 of the General Regulation. In accordance with these two sections we can divide the possible FI combination with other forms of support into two cases:</w:t>
      </w:r>
    </w:p>
    <w:p w14:paraId="6744BB0F" w14:textId="44DD777E" w:rsidR="006D3AD5" w:rsidRPr="001D237C" w:rsidRDefault="006D3AD5" w:rsidP="006D3AD5">
      <w:pPr>
        <w:numPr>
          <w:ilvl w:val="0"/>
          <w:numId w:val="63"/>
        </w:numPr>
        <w:rPr>
          <w:rFonts w:cs="EUAlbertina"/>
          <w:color w:val="000000"/>
          <w:szCs w:val="19"/>
        </w:rPr>
      </w:pPr>
      <w:r>
        <w:rPr>
          <w:b/>
        </w:rPr>
        <w:t xml:space="preserve">FI combined with another form of support within one operation </w:t>
      </w:r>
      <w:r>
        <w:t xml:space="preserve">– this involves subsidy for the technical preparation of the projects, subsidy for interest rate and subsidy for guarantee </w:t>
      </w:r>
      <w:r>
        <w:lastRenderedPageBreak/>
        <w:t>fee. This supplementary support will be intended for the same final recipient as the FI and it will be provided by the FI manager or the MA itself.</w:t>
      </w:r>
    </w:p>
    <w:p w14:paraId="52C90B5C" w14:textId="75A586BA" w:rsidR="006D3AD5" w:rsidRPr="001D237C" w:rsidRDefault="006D3AD5" w:rsidP="006D3AD5">
      <w:pPr>
        <w:numPr>
          <w:ilvl w:val="0"/>
          <w:numId w:val="63"/>
        </w:numPr>
        <w:rPr>
          <w:b/>
        </w:rPr>
      </w:pPr>
      <w:r>
        <w:rPr>
          <w:b/>
        </w:rPr>
        <w:t>FI and further support from the ESIF are combined within one or more SO as separate operations.</w:t>
      </w:r>
      <w:r>
        <w:t xml:space="preserve"> The support must be focused on different eligible costs and must not exceed limits for public support. This case involves the combination of the FI with subsidy support apart from cases listed under the item 1) and involves also the combination with the so called repayable assistance. </w:t>
      </w:r>
      <w:r w:rsidR="00770916">
        <w:t>According to CSR, t</w:t>
      </w:r>
      <w:r>
        <w:t xml:space="preserve">he FI must not be used for pre-financing the </w:t>
      </w:r>
      <w:r w:rsidR="00770916">
        <w:t xml:space="preserve">grant </w:t>
      </w:r>
      <w:r>
        <w:t xml:space="preserve">and the </w:t>
      </w:r>
      <w:r w:rsidR="00770916">
        <w:t xml:space="preserve">grant </w:t>
      </w:r>
      <w:r>
        <w:t>must not be used for payment of instalment of the FI support.</w:t>
      </w:r>
      <w:r w:rsidR="00770916">
        <w:t xml:space="preserve"> From the point of view of the Czech</w:t>
      </w:r>
      <w:r>
        <w:t xml:space="preserve"> </w:t>
      </w:r>
      <w:r w:rsidR="00770916">
        <w:t xml:space="preserve">legal definition we understand grant as a subvention or a financial contribution (not a financial contribution to subsidy the interest rate). </w:t>
      </w:r>
      <w:r>
        <w:t xml:space="preserve">In the following text such combination will be simply called </w:t>
      </w:r>
      <w:r>
        <w:rPr>
          <w:b/>
        </w:rPr>
        <w:t>a combination of FI with a subsidy</w:t>
      </w:r>
      <w:r w:rsidR="0002475B">
        <w:rPr>
          <w:b/>
        </w:rPr>
        <w:t xml:space="preserve"> (grant)</w:t>
      </w:r>
      <w:r>
        <w:rPr>
          <w:b/>
        </w:rPr>
        <w:t>.</w:t>
      </w:r>
    </w:p>
    <w:p w14:paraId="05C5AB42" w14:textId="77777777" w:rsidR="006D3AD5" w:rsidRPr="001D237C" w:rsidRDefault="006D3AD5" w:rsidP="006D3AD5">
      <w:pPr>
        <w:pStyle w:val="Odstavecseseznamem1"/>
        <w:overflowPunct/>
        <w:autoSpaceDE/>
        <w:autoSpaceDN/>
        <w:adjustRightInd/>
        <w:spacing w:after="120"/>
        <w:ind w:left="0"/>
        <w:textAlignment w:val="auto"/>
      </w:pPr>
    </w:p>
    <w:p w14:paraId="0B47A67F" w14:textId="6A2E8E85" w:rsidR="006D3AD5" w:rsidRDefault="006D3AD5" w:rsidP="006D3AD5">
      <w:pPr>
        <w:pStyle w:val="Odstavecseseznamem1"/>
        <w:overflowPunct/>
        <w:autoSpaceDE/>
        <w:autoSpaceDN/>
        <w:adjustRightInd/>
        <w:spacing w:after="120"/>
        <w:ind w:left="0"/>
        <w:textAlignment w:val="auto"/>
        <w:rPr>
          <w:b/>
        </w:rPr>
      </w:pPr>
      <w:r>
        <w:rPr>
          <w:b/>
        </w:rPr>
        <w:t>The combination of FI with other forms of support in accordance with item 1) is recommended with regard to identified market failures and we recommend their application with all proposed specific objectives, see detailed</w:t>
      </w:r>
      <w:r w:rsidR="0002475B">
        <w:rPr>
          <w:b/>
        </w:rPr>
        <w:t xml:space="preserve"> FI</w:t>
      </w:r>
      <w:r>
        <w:rPr>
          <w:b/>
        </w:rPr>
        <w:t xml:space="preserve"> description. The combination of subsidy with the FI in accordance with item 2) could be potentially used in case of SOs 1.2, 2.3, 3.1, 3.2 and 3.5 where it could extend the possible use of the FI and its effective connection with subsidized projects.</w:t>
      </w:r>
    </w:p>
    <w:p w14:paraId="2DE02DCF" w14:textId="77777777" w:rsidR="00AD3384" w:rsidRDefault="00AD3384" w:rsidP="00685AEF"/>
    <w:p w14:paraId="13CB0689" w14:textId="77777777" w:rsidR="00AD3384" w:rsidRPr="00C11FB4" w:rsidRDefault="00AD3384" w:rsidP="00685AEF">
      <w:pPr>
        <w:rPr>
          <w:lang w:val="en-US"/>
        </w:rPr>
      </w:pPr>
      <w:r w:rsidRPr="00C11FB4">
        <w:rPr>
          <w:lang w:val="en-US"/>
        </w:rPr>
        <w:t xml:space="preserve">In the time of creating the ex-ante assessment, only the draft of the guide of the Commission on repayable assistance and draft of the </w:t>
      </w:r>
      <w:r>
        <w:rPr>
          <w:lang w:val="en-US"/>
        </w:rPr>
        <w:t>guide</w:t>
      </w:r>
      <w:r w:rsidRPr="00C11FB4">
        <w:rPr>
          <w:lang w:val="en-US"/>
        </w:rPr>
        <w:t xml:space="preserve"> of the Commission on combination of different forms of support were available. </w:t>
      </w:r>
      <w:r>
        <w:rPr>
          <w:lang w:val="en-US"/>
        </w:rPr>
        <w:t>The t</w:t>
      </w:r>
      <w:r w:rsidRPr="00C11FB4">
        <w:rPr>
          <w:lang w:val="en-US"/>
        </w:rPr>
        <w:t xml:space="preserve">ext of the ex-ante assessment </w:t>
      </w:r>
      <w:r>
        <w:rPr>
          <w:lang w:val="en-US"/>
        </w:rPr>
        <w:t xml:space="preserve">is </w:t>
      </w:r>
      <w:r w:rsidRPr="00C11FB4">
        <w:rPr>
          <w:lang w:val="en-US"/>
        </w:rPr>
        <w:t xml:space="preserve">therefore in terms of the possible combinations of </w:t>
      </w:r>
      <w:r>
        <w:rPr>
          <w:lang w:val="en-US"/>
        </w:rPr>
        <w:t>different support</w:t>
      </w:r>
      <w:r w:rsidRPr="00C11FB4">
        <w:rPr>
          <w:lang w:val="en-US"/>
        </w:rPr>
        <w:t xml:space="preserve"> </w:t>
      </w:r>
      <w:r>
        <w:rPr>
          <w:lang w:val="en-US"/>
        </w:rPr>
        <w:t>based only on these drafts</w:t>
      </w:r>
      <w:r w:rsidRPr="00C11FB4">
        <w:rPr>
          <w:lang w:val="en-US"/>
        </w:rPr>
        <w:t xml:space="preserve"> which can be modified in the future.</w:t>
      </w:r>
    </w:p>
    <w:p w14:paraId="56CB0D5C" w14:textId="77777777" w:rsidR="006D3AD5" w:rsidRPr="001D237C" w:rsidRDefault="006D3AD5" w:rsidP="006D3AD5">
      <w:pPr>
        <w:pStyle w:val="Odstavecseseznamem1"/>
        <w:overflowPunct/>
        <w:autoSpaceDE/>
        <w:autoSpaceDN/>
        <w:adjustRightInd/>
        <w:spacing w:after="120"/>
        <w:ind w:left="0"/>
        <w:textAlignment w:val="auto"/>
      </w:pPr>
    </w:p>
    <w:p w14:paraId="46CC573E" w14:textId="77777777" w:rsidR="006D3AD5" w:rsidRPr="001D237C" w:rsidRDefault="006D3AD5" w:rsidP="006D3AD5">
      <w:pPr>
        <w:pStyle w:val="Nadpis4"/>
      </w:pPr>
      <w:bookmarkStart w:id="1464" w:name="_Toc419183295"/>
      <w:r>
        <w:t>Model operation description from the final recipient perspective</w:t>
      </w:r>
      <w:bookmarkEnd w:id="1464"/>
    </w:p>
    <w:p w14:paraId="283BB0AE" w14:textId="77777777" w:rsidR="006D3AD5" w:rsidRPr="002C224A" w:rsidRDefault="006D3AD5" w:rsidP="006D3AD5">
      <w:pPr>
        <w:rPr>
          <w:rFonts w:cs="EUAlbertina"/>
          <w:color w:val="000000"/>
          <w:szCs w:val="19"/>
        </w:rPr>
      </w:pPr>
      <w:r>
        <w:t>In the observed cases we propose to use the FI allocation in ratio for provision of the soft loan and classic subsidy support or repayable assistance in such a way that rules for limiting the public support intensity are met (in accordance with gross grant equivalent calculation).</w:t>
      </w:r>
      <w:r>
        <w:rPr>
          <w:color w:val="000000"/>
        </w:rPr>
        <w:t xml:space="preserve"> The mechanism for combined instrument operation is illustrated by a simplified model graphic representation (except for the SO 1.2).</w:t>
      </w:r>
    </w:p>
    <w:p w14:paraId="14F5BDCF" w14:textId="77777777" w:rsidR="006D3AD5" w:rsidRPr="002C224A" w:rsidRDefault="006D3AD5" w:rsidP="006D3AD5">
      <w:pPr>
        <w:rPr>
          <w:rFonts w:cs="EUAlbertina"/>
          <w:color w:val="000000"/>
          <w:szCs w:val="19"/>
        </w:rPr>
      </w:pPr>
    </w:p>
    <w:p w14:paraId="327F6353" w14:textId="171E7563" w:rsidR="006D3AD5" w:rsidRPr="002C224A" w:rsidRDefault="006D3AD5" w:rsidP="006D3AD5">
      <w:pPr>
        <w:pStyle w:val="Titulek"/>
        <w:jc w:val="center"/>
      </w:pPr>
      <w:r>
        <w:rPr>
          <w:noProof/>
          <w:lang w:eastAsia="cs-CZ"/>
        </w:rPr>
        <w:drawing>
          <wp:inline distT="0" distB="0" distL="0" distR="0" wp14:anchorId="265ED240" wp14:editId="1EB4AEBA">
            <wp:extent cx="5699125" cy="2062480"/>
            <wp:effectExtent l="19050" t="19050" r="15875" b="1397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9125" cy="2062480"/>
                    </a:xfrm>
                    <a:prstGeom prst="rect">
                      <a:avLst/>
                    </a:prstGeom>
                    <a:noFill/>
                    <a:ln w="9525" cmpd="sng">
                      <a:solidFill>
                        <a:srgbClr val="1F497D"/>
                      </a:solidFill>
                      <a:miter lim="800000"/>
                      <a:headEnd/>
                      <a:tailEnd/>
                    </a:ln>
                    <a:effectLst/>
                  </pic:spPr>
                </pic:pic>
              </a:graphicData>
            </a:graphic>
          </wp:inline>
        </w:drawing>
      </w:r>
      <w:r>
        <w:t xml:space="preserve">Figure </w:t>
      </w:r>
      <w:r w:rsidR="005E6BCD">
        <w:t>64</w:t>
      </w:r>
      <w:r>
        <w:t>: Example of a combination of a financial instrument and subsidy</w:t>
      </w:r>
    </w:p>
    <w:p w14:paraId="5C1238AC" w14:textId="77777777" w:rsidR="006D3AD5" w:rsidRPr="00A50943" w:rsidRDefault="006D3AD5" w:rsidP="006D3AD5"/>
    <w:p w14:paraId="4215104D" w14:textId="77777777" w:rsidR="006D3AD5" w:rsidRPr="001D237C" w:rsidRDefault="006D3AD5" w:rsidP="006D3AD5">
      <w:r>
        <w:t>With the presented model example it is evident that two effects occur:</w:t>
      </w:r>
    </w:p>
    <w:p w14:paraId="3D1F3071" w14:textId="77777777" w:rsidR="006D3AD5" w:rsidRPr="001D237C" w:rsidRDefault="006D3AD5" w:rsidP="006D3AD5">
      <w:pPr>
        <w:pStyle w:val="Odstavecseseznamem1"/>
        <w:numPr>
          <w:ilvl w:val="0"/>
          <w:numId w:val="52"/>
        </w:numPr>
        <w:overflowPunct/>
        <w:autoSpaceDE/>
        <w:autoSpaceDN/>
        <w:adjustRightInd/>
        <w:spacing w:after="120"/>
        <w:textAlignment w:val="auto"/>
      </w:pPr>
      <w:r>
        <w:t>On one hand the support really provided to the final recipient is lower. This drop is from the maximum limit of grant equivalent of 60% of investment costs. Because 80% of the support comprises the soft loan the real public support is lower.</w:t>
      </w:r>
    </w:p>
    <w:p w14:paraId="70922A0D" w14:textId="77777777" w:rsidR="006D3AD5" w:rsidRPr="001D237C" w:rsidRDefault="006D3AD5" w:rsidP="006D3AD5">
      <w:pPr>
        <w:pStyle w:val="Odstavecseseznamem1"/>
        <w:numPr>
          <w:ilvl w:val="0"/>
          <w:numId w:val="52"/>
        </w:numPr>
        <w:overflowPunct/>
        <w:autoSpaceDE/>
        <w:autoSpaceDN/>
        <w:adjustRightInd/>
        <w:spacing w:after="120"/>
        <w:textAlignment w:val="auto"/>
      </w:pPr>
      <w:r>
        <w:lastRenderedPageBreak/>
        <w:t>On the other hand the combined instrument can newly be used for a higher percentage of investment costs so the whole investment planning is easier for the final recipient including co-financing.</w:t>
      </w:r>
    </w:p>
    <w:p w14:paraId="32642E1C" w14:textId="794C3C62" w:rsidR="006D3AD5" w:rsidRPr="001D237C" w:rsidRDefault="006D3AD5" w:rsidP="006D3AD5">
      <w:r>
        <w:t xml:space="preserve">In the end the final recipient is supported by smaller real subsidy but the conditions are still more advantageous than with fully independent financing or than with using commercial credit. The specific values of such advantages summarize the comparison of the advantage provided to the final recipient on a typical example - see individual parts in the chapter 5 of this report. </w:t>
      </w:r>
      <w:r>
        <w:rPr>
          <w:b/>
        </w:rPr>
        <w:t>The subsidy part within the financial instrument should ensure that projects with typically longer economical return period than is acceptable by market criteria will be activated or that an economically less costly substitute for the investment realization exists that does not support the OP EIC objectives fulfilment. The combined support will therefore enable using returning sources that could be used in the next period.</w:t>
      </w:r>
    </w:p>
    <w:p w14:paraId="4849A58A" w14:textId="77777777" w:rsidR="006D3AD5" w:rsidRPr="001D237C" w:rsidRDefault="006D3AD5" w:rsidP="006D3AD5">
      <w:pPr>
        <w:pStyle w:val="Nadpis4"/>
      </w:pPr>
      <w:bookmarkStart w:id="1465" w:name="_Toc419183296"/>
      <w:r>
        <w:t>Description of operation of a combined instrument from the provider perspective</w:t>
      </w:r>
      <w:bookmarkEnd w:id="1465"/>
      <w:r>
        <w:t xml:space="preserve"> and its risks</w:t>
      </w:r>
    </w:p>
    <w:p w14:paraId="4C606FE8" w14:textId="7CB5713C" w:rsidR="006D3AD5" w:rsidRDefault="006D3AD5" w:rsidP="006D3AD5">
      <w:r>
        <w:t>The potential usage of combin</w:t>
      </w:r>
      <w:r w:rsidR="00F34BA2">
        <w:t>ation of</w:t>
      </w:r>
      <w:r>
        <w:t xml:space="preserve"> various supports is possible within the ESIF but it is necessary to evaluate whether this situation is not in conflict with rules of the General Regulation. The condition of separate operations and different eligible costs</w:t>
      </w:r>
      <w:r w:rsidR="00F11115">
        <w:t xml:space="preserve"> in the case of combination with the grant or repayable assistance</w:t>
      </w:r>
      <w:r>
        <w:t xml:space="preserve"> could in individual specific objectives present a significant barrier for technical realization of such support and purposeful division of project into the subsidy part and the FI part. Further realization of such combination outside the SO 1.2 is recommended by the preliminary evaluation for use only based on the established implementation structure, detailed evaluation of technical feasibility and MA experience with implementation of current independent FIs within OP EIC.</w:t>
      </w:r>
    </w:p>
    <w:p w14:paraId="3CE37CFF" w14:textId="77777777" w:rsidR="00274266" w:rsidRDefault="00274266" w:rsidP="006D3AD5"/>
    <w:p w14:paraId="56E0BE3B" w14:textId="77777777" w:rsidR="00274266" w:rsidRPr="009A1550" w:rsidRDefault="00274266" w:rsidP="00274266">
      <w:pPr>
        <w:rPr>
          <w:lang w:val="en-US"/>
        </w:rPr>
      </w:pPr>
      <w:r w:rsidRPr="009A1550">
        <w:rPr>
          <w:lang w:val="en-US"/>
        </w:rPr>
        <w:t xml:space="preserve">Apart from the direct combination of the support by the single projects it is possible to consider other indirect variants of the combination, e.g. through the time differentiation of calls for proposals </w:t>
      </w:r>
      <w:r>
        <w:rPr>
          <w:lang w:val="en-US"/>
        </w:rPr>
        <w:t>–</w:t>
      </w:r>
      <w:r w:rsidRPr="009A1550">
        <w:rPr>
          <w:lang w:val="en-US"/>
        </w:rPr>
        <w:t xml:space="preserve"> </w:t>
      </w:r>
      <w:r>
        <w:rPr>
          <w:lang w:val="en-US"/>
        </w:rPr>
        <w:t xml:space="preserve">at first on grants and then on FN </w:t>
      </w:r>
      <w:r w:rsidRPr="009A1550">
        <w:rPr>
          <w:lang w:val="en-US"/>
        </w:rPr>
        <w:t xml:space="preserve">on the same activities. </w:t>
      </w:r>
      <w:r>
        <w:rPr>
          <w:lang w:val="en-US"/>
        </w:rPr>
        <w:t>Synergy calls represent another possible way of combination</w:t>
      </w:r>
      <w:r w:rsidRPr="009A1550">
        <w:rPr>
          <w:lang w:val="en-US"/>
        </w:rPr>
        <w:t xml:space="preserve"> within the same specific objective</w:t>
      </w:r>
      <w:r>
        <w:rPr>
          <w:lang w:val="en-US"/>
        </w:rPr>
        <w:t>.</w:t>
      </w:r>
      <w:r w:rsidRPr="009A1550">
        <w:rPr>
          <w:lang w:val="en-US"/>
        </w:rPr>
        <w:t xml:space="preserve"> </w:t>
      </w:r>
      <w:r>
        <w:rPr>
          <w:lang w:val="en-US"/>
        </w:rPr>
        <w:t>The call</w:t>
      </w:r>
      <w:r w:rsidRPr="009A1550">
        <w:rPr>
          <w:lang w:val="en-US"/>
        </w:rPr>
        <w:t xml:space="preserve"> for grant </w:t>
      </w:r>
      <w:r>
        <w:rPr>
          <w:lang w:val="en-US"/>
        </w:rPr>
        <w:t>would favor</w:t>
      </w:r>
      <w:r w:rsidRPr="009A1550">
        <w:rPr>
          <w:lang w:val="en-US"/>
        </w:rPr>
        <w:t xml:space="preserve"> the applicant</w:t>
      </w:r>
      <w:r>
        <w:rPr>
          <w:lang w:val="en-US"/>
        </w:rPr>
        <w:t>s</w:t>
      </w:r>
      <w:r w:rsidRPr="009A1550">
        <w:rPr>
          <w:lang w:val="en-US"/>
        </w:rPr>
        <w:t xml:space="preserve"> participating </w:t>
      </w:r>
      <w:r>
        <w:rPr>
          <w:lang w:val="en-US"/>
        </w:rPr>
        <w:t xml:space="preserve">also </w:t>
      </w:r>
      <w:r w:rsidRPr="009A1550">
        <w:rPr>
          <w:lang w:val="en-US"/>
        </w:rPr>
        <w:t xml:space="preserve">in </w:t>
      </w:r>
      <w:r>
        <w:rPr>
          <w:lang w:val="en-US"/>
        </w:rPr>
        <w:t xml:space="preserve">the </w:t>
      </w:r>
      <w:r w:rsidRPr="008E12C5">
        <w:rPr>
          <w:lang w:val="en-US"/>
        </w:rPr>
        <w:t xml:space="preserve">parallel </w:t>
      </w:r>
      <w:r w:rsidRPr="009A1550">
        <w:rPr>
          <w:lang w:val="en-US"/>
        </w:rPr>
        <w:t xml:space="preserve">financial instrument call by awarding extra </w:t>
      </w:r>
      <w:r>
        <w:rPr>
          <w:lang w:val="en-US"/>
        </w:rPr>
        <w:t>preferential</w:t>
      </w:r>
      <w:r w:rsidRPr="009A1550">
        <w:rPr>
          <w:lang w:val="en-US"/>
        </w:rPr>
        <w:t xml:space="preserve"> points. This option would be feasible within the current version of the Commission's methodological instruction only in case</w:t>
      </w:r>
      <w:r>
        <w:rPr>
          <w:lang w:val="en-US"/>
        </w:rPr>
        <w:t xml:space="preserve"> of projects where</w:t>
      </w:r>
      <w:r w:rsidRPr="009A1550">
        <w:rPr>
          <w:lang w:val="en-US"/>
        </w:rPr>
        <w:t xml:space="preserve"> eligible costs</w:t>
      </w:r>
      <w:r>
        <w:rPr>
          <w:lang w:val="en-US"/>
        </w:rPr>
        <w:t xml:space="preserve"> of the project can be separated into two different operations.</w:t>
      </w:r>
    </w:p>
    <w:p w14:paraId="2AB1E9C7" w14:textId="77777777" w:rsidR="006D3AD5" w:rsidRPr="001D237C" w:rsidRDefault="006D3AD5" w:rsidP="006D3AD5"/>
    <w:p w14:paraId="0662509D" w14:textId="77777777" w:rsidR="006D3AD5" w:rsidRPr="001D237C" w:rsidRDefault="006D3AD5" w:rsidP="006D3AD5">
      <w:pPr>
        <w:rPr>
          <w:b/>
        </w:rPr>
      </w:pPr>
      <w:r>
        <w:rPr>
          <w:b/>
        </w:rPr>
        <w:t>Proof-of-concept (SO 1.2)</w:t>
      </w:r>
    </w:p>
    <w:p w14:paraId="04BB37EF" w14:textId="6FAD3CB5" w:rsidR="006D3AD5" w:rsidRDefault="006D3AD5" w:rsidP="006D3AD5">
      <w:r>
        <w:t>In case of the Proof-of-concept programme (Pre-seed fund of the OP EIC) the combination of subsidy support with the FI is simplified by the logical succession of both steps</w:t>
      </w:r>
      <w:r w:rsidR="00C25E5C">
        <w:t xml:space="preserve"> and possibility of a clear division between eligible costs for the FI and the grant</w:t>
      </w:r>
      <w:r>
        <w:t>. In the first stage of the POC the projects can draw subsidy support to prove their feasibility and commercial potential that would enable their valuation. Successful projects can subsequently apply for support from the FI of the Pre-seed fund. The separation of operations is fully in accordance with the General Regulation and it effectively combines returnable and non-returnable support.</w:t>
      </w:r>
    </w:p>
    <w:p w14:paraId="76F8253D" w14:textId="77777777" w:rsidR="007A67F5" w:rsidRDefault="007A67F5" w:rsidP="006D3AD5"/>
    <w:p w14:paraId="712E3357" w14:textId="51A2F595" w:rsidR="007A67F5" w:rsidRPr="00685AEF" w:rsidRDefault="007A67F5" w:rsidP="007A67F5">
      <w:pPr>
        <w:rPr>
          <w:b/>
        </w:rPr>
      </w:pPr>
      <w:r w:rsidRPr="00685AEF">
        <w:rPr>
          <w:b/>
        </w:rPr>
        <w:t>Access of SMEs to funding (</w:t>
      </w:r>
      <w:r w:rsidR="00685AEF">
        <w:rPr>
          <w:b/>
        </w:rPr>
        <w:t xml:space="preserve">SO </w:t>
      </w:r>
      <w:r w:rsidRPr="00685AEF">
        <w:rPr>
          <w:b/>
        </w:rPr>
        <w:t>2.1)</w:t>
      </w:r>
    </w:p>
    <w:p w14:paraId="147495FB" w14:textId="0E1BAB9C" w:rsidR="007A67F5" w:rsidRPr="008550EE" w:rsidRDefault="007A67F5" w:rsidP="007A67F5">
      <w:pPr>
        <w:rPr>
          <w:lang w:val="en-US"/>
        </w:rPr>
      </w:pPr>
      <w:r w:rsidRPr="008550EE">
        <w:rPr>
          <w:lang w:val="en-US"/>
        </w:rPr>
        <w:t xml:space="preserve">The proposed FN for </w:t>
      </w:r>
      <w:r w:rsidR="00685AEF">
        <w:rPr>
          <w:lang w:val="en-US"/>
        </w:rPr>
        <w:t xml:space="preserve">SO </w:t>
      </w:r>
      <w:r w:rsidRPr="008550EE">
        <w:rPr>
          <w:lang w:val="en-US"/>
        </w:rPr>
        <w:t xml:space="preserve">2.1 – soft loans and guarantees – should be (based on the conclusions of the ex-ante assessment) combined with an interest rate subsidies, eventually with the subsidy of price guarantee. According to the technological character of the projects it is basically impossible to differ the costs potentially eligible for the grant and the costs eligible for a financial instrument. This does not enable the combination of grant and financial instruments to the same eligible costs. At the same time, the technical preparation of the project in </w:t>
      </w:r>
      <w:r w:rsidR="00685AEF">
        <w:rPr>
          <w:lang w:val="en-US"/>
        </w:rPr>
        <w:t xml:space="preserve">SO </w:t>
      </w:r>
      <w:r w:rsidRPr="008550EE">
        <w:rPr>
          <w:lang w:val="en-US"/>
        </w:rPr>
        <w:t xml:space="preserve">2.1 is not linked to specific costs. Therefore, the combination with grant for these instruments is not suggested, not even for the technical preparation of the project. On the contrary, the interest rate subsidy is suggested for both, soft loans and </w:t>
      </w:r>
      <w:r w:rsidRPr="008550EE">
        <w:rPr>
          <w:lang w:val="en-US"/>
        </w:rPr>
        <w:lastRenderedPageBreak/>
        <w:t xml:space="preserve">guarantees. Providing a guarantee improves the final recipient's access to funding, but not the price of the funding itself. </w:t>
      </w:r>
      <w:r>
        <w:rPr>
          <w:lang w:val="en-US"/>
        </w:rPr>
        <w:t>T</w:t>
      </w:r>
      <w:r w:rsidRPr="008550EE">
        <w:rPr>
          <w:lang w:val="en-US"/>
        </w:rPr>
        <w:t>herefore it is appropriate to allow a combination of interest rate subsidies even in the case of guarantees.</w:t>
      </w:r>
    </w:p>
    <w:p w14:paraId="28B98BA0" w14:textId="77777777" w:rsidR="007A67F5" w:rsidRDefault="007A67F5" w:rsidP="006D3AD5"/>
    <w:p w14:paraId="3FC465A2" w14:textId="77777777" w:rsidR="007A67F5" w:rsidRPr="00C72A14" w:rsidRDefault="007A67F5">
      <w:pPr>
        <w:rPr>
          <w:lang w:val="en-US"/>
        </w:rPr>
      </w:pPr>
      <w:r w:rsidRPr="00C72A14">
        <w:rPr>
          <w:lang w:val="en-US"/>
        </w:rPr>
        <w:t xml:space="preserve">In case of FN of venture capital, there is a need to </w:t>
      </w:r>
      <w:hyperlink r:id="rId68" w:history="1">
        <w:r w:rsidRPr="00C72A14">
          <w:rPr>
            <w:lang w:val="en-US"/>
          </w:rPr>
          <w:t>perceive</w:t>
        </w:r>
      </w:hyperlink>
      <w:r w:rsidRPr="00C72A14">
        <w:rPr>
          <w:lang w:val="en-US"/>
        </w:rPr>
        <w:t xml:space="preserve"> support in the wider context of the </w:t>
      </w:r>
      <w:hyperlink r:id="rId69" w:history="1">
        <w:r w:rsidRPr="00C72A14">
          <w:rPr>
            <w:lang w:val="en-US"/>
          </w:rPr>
          <w:t>contemporary</w:t>
        </w:r>
      </w:hyperlink>
      <w:r w:rsidRPr="00C72A14">
        <w:rPr>
          <w:lang w:val="en-US"/>
        </w:rPr>
        <w:t xml:space="preserve"> situation of innovative ecosystem in the Czech Republic. Therefore, it is important to enable the continuity of this financial instrument with SO 1.2 in </w:t>
      </w:r>
      <w:r>
        <w:rPr>
          <w:lang w:val="en-US"/>
        </w:rPr>
        <w:t xml:space="preserve">the </w:t>
      </w:r>
      <w:r w:rsidRPr="00C72A14">
        <w:rPr>
          <w:lang w:val="en-US"/>
        </w:rPr>
        <w:t>aspect of absorption capacity (</w:t>
      </w:r>
      <w:r>
        <w:rPr>
          <w:lang w:val="en-US"/>
        </w:rPr>
        <w:t>s</w:t>
      </w:r>
      <w:r w:rsidRPr="00C72A14">
        <w:rPr>
          <w:lang w:val="en-US"/>
        </w:rPr>
        <w:t>upport</w:t>
      </w:r>
      <w:r>
        <w:rPr>
          <w:lang w:val="en-US"/>
        </w:rPr>
        <w:t xml:space="preserve"> of</w:t>
      </w:r>
      <w:r w:rsidRPr="00C72A14">
        <w:rPr>
          <w:lang w:val="en-US"/>
        </w:rPr>
        <w:t xml:space="preserve"> SO 2.1</w:t>
      </w:r>
      <w:r>
        <w:rPr>
          <w:lang w:val="en-US"/>
        </w:rPr>
        <w:t xml:space="preserve"> should be allowed for exited </w:t>
      </w:r>
      <w:r w:rsidRPr="00C72A14">
        <w:rPr>
          <w:lang w:val="en-US"/>
        </w:rPr>
        <w:t>projects</w:t>
      </w:r>
      <w:r>
        <w:rPr>
          <w:lang w:val="en-US"/>
        </w:rPr>
        <w:t xml:space="preserve"> of</w:t>
      </w:r>
      <w:r w:rsidRPr="00C72A14">
        <w:rPr>
          <w:lang w:val="en-US"/>
        </w:rPr>
        <w:t xml:space="preserve"> </w:t>
      </w:r>
      <w:r>
        <w:rPr>
          <w:lang w:val="en-US"/>
        </w:rPr>
        <w:t>POC in SO 1.2 i</w:t>
      </w:r>
      <w:r w:rsidRPr="00C72A14">
        <w:rPr>
          <w:lang w:val="en-US"/>
        </w:rPr>
        <w:t>n the case of comme</w:t>
      </w:r>
      <w:r>
        <w:rPr>
          <w:lang w:val="en-US"/>
        </w:rPr>
        <w:t xml:space="preserve">rcialization in the form of </w:t>
      </w:r>
      <w:r w:rsidRPr="00C72A14">
        <w:rPr>
          <w:lang w:val="en-US"/>
        </w:rPr>
        <w:t>spin-off). It is also suitable to combine the capital investment with other grant support (specialized consulting services SO 1.2 and 2.2, support for reimbursement of scouting for investors, support to facilitate the exit), but in the form of separate operation</w:t>
      </w:r>
      <w:r>
        <w:rPr>
          <w:lang w:val="en-US"/>
        </w:rPr>
        <w:t>s</w:t>
      </w:r>
      <w:r w:rsidRPr="00C72A14">
        <w:rPr>
          <w:lang w:val="en-US"/>
        </w:rPr>
        <w:t xml:space="preserve">. Only in the case of reimbursement </w:t>
      </w:r>
      <w:r>
        <w:rPr>
          <w:lang w:val="en-US"/>
        </w:rPr>
        <w:t>of</w:t>
      </w:r>
      <w:r w:rsidRPr="00C72A14">
        <w:rPr>
          <w:lang w:val="en-US"/>
        </w:rPr>
        <w:t xml:space="preserve"> scouting costs and facilitation of the exit, these costs </w:t>
      </w:r>
      <w:r>
        <w:rPr>
          <w:lang w:val="en-US"/>
        </w:rPr>
        <w:t>can be</w:t>
      </w:r>
      <w:r w:rsidRPr="00C72A14">
        <w:rPr>
          <w:lang w:val="en-US"/>
        </w:rPr>
        <w:t xml:space="preserve"> perceived as the technical preparation of the project of the final recipient and therefore can be combined in the same operation with the capital investment.</w:t>
      </w:r>
    </w:p>
    <w:p w14:paraId="42AE9CDB" w14:textId="77777777" w:rsidR="007A67F5" w:rsidRDefault="007A67F5" w:rsidP="006D3AD5"/>
    <w:p w14:paraId="1D5D7556" w14:textId="77777777" w:rsidR="006D3AD5" w:rsidRDefault="006D3AD5" w:rsidP="006D3AD5">
      <w:pPr>
        <w:rPr>
          <w:b/>
        </w:rPr>
      </w:pPr>
    </w:p>
    <w:p w14:paraId="256B2FD9" w14:textId="77777777" w:rsidR="006D3AD5" w:rsidRPr="001D237C" w:rsidRDefault="006D3AD5" w:rsidP="006D3AD5">
      <w:pPr>
        <w:rPr>
          <w:b/>
        </w:rPr>
      </w:pPr>
      <w:r>
        <w:rPr>
          <w:b/>
        </w:rPr>
        <w:t>Increase the usability of infrastructure for business (SO 2.3)</w:t>
      </w:r>
    </w:p>
    <w:p w14:paraId="66E0112F" w14:textId="3C89FFD9" w:rsidR="007A67F5" w:rsidRPr="00372F22" w:rsidRDefault="006D3AD5" w:rsidP="007A67F5">
      <w:pPr>
        <w:rPr>
          <w:lang w:val="en-US"/>
        </w:rPr>
      </w:pPr>
      <w:r>
        <w:t xml:space="preserve">The proposed subsidy element or repayable assistance should cover additional costs related mainly with adaptation of the estate into the so called green area state so this support should be bound mainly with the initial stage of the project. </w:t>
      </w:r>
      <w:r>
        <w:rPr>
          <w:b/>
        </w:rPr>
        <w:t>This element should only be provided to projects that strive for regeneration of the given BF and should not be provided to projects for reconstructions of utilized real estates (buildings with conducted economic activity of the applicant).</w:t>
      </w:r>
      <w:r>
        <w:t xml:space="preserve"> The amount of the subsidy element should be divided into bands </w:t>
      </w:r>
      <w:r w:rsidR="007A67F5">
        <w:t>a</w:t>
      </w:r>
      <w:r>
        <w:t xml:space="preserve">nd connected with evaluation criteria that would define the amount the project is eligible to receive. </w:t>
      </w:r>
      <w:r w:rsidR="007A67F5" w:rsidRPr="00372F22">
        <w:rPr>
          <w:lang w:val="en-US"/>
        </w:rPr>
        <w:t>The use of FI should enable the combination with the grant support for the technical preparation of the project of the final recipient. The technical preparation is expected to account for significant costs within the total amount of project costs of the standard project.</w:t>
      </w:r>
    </w:p>
    <w:p w14:paraId="46463523" w14:textId="77777777" w:rsidR="006D3AD5" w:rsidRPr="002C224A" w:rsidRDefault="006D3AD5" w:rsidP="006D3AD5"/>
    <w:p w14:paraId="0E71537D" w14:textId="77777777" w:rsidR="006D3AD5" w:rsidRPr="001D237C" w:rsidRDefault="006D3AD5" w:rsidP="006D3AD5">
      <w:pPr>
        <w:rPr>
          <w:b/>
        </w:rPr>
      </w:pPr>
      <w:r>
        <w:rPr>
          <w:b/>
        </w:rPr>
        <w:t>To increase energy effectiveness of the business sector and increase usage of energy services (SO 3.2)</w:t>
      </w:r>
    </w:p>
    <w:p w14:paraId="2C9C98BC" w14:textId="1F4AF97D" w:rsidR="006D3AD5" w:rsidRPr="002C224A" w:rsidRDefault="006D3AD5" w:rsidP="006D3AD5">
      <w:r>
        <w:t>The combination of the subsidy with soft loans is suitable for use with more complex projects with longer returns for which the purely FI support would mean significant loss of absorption capacity. The subsidy element should motivate the recipient to adopt complex measures for improvements in energy effectiveness. Separation of operations could function on the basis of division the project measures to eligible costs supported by subsidies and eligible costs supported by the financial instrument.</w:t>
      </w:r>
      <w:r>
        <w:rPr>
          <w:b/>
        </w:rPr>
        <w:t xml:space="preserve"> The amount of the subsidy element should be divided into bands and connected with evaluation criteria (saved energy) that would define the amount the project is eligible to receive.</w:t>
      </w:r>
    </w:p>
    <w:p w14:paraId="0E9C323A" w14:textId="77777777" w:rsidR="006D3AD5" w:rsidRDefault="006D3AD5" w:rsidP="006D3AD5">
      <w:pPr>
        <w:rPr>
          <w:b/>
        </w:rPr>
      </w:pPr>
    </w:p>
    <w:p w14:paraId="193F8AF4" w14:textId="77777777" w:rsidR="006D3AD5" w:rsidRPr="001D237C" w:rsidRDefault="006D3AD5" w:rsidP="006D3AD5">
      <w:pPr>
        <w:rPr>
          <w:b/>
        </w:rPr>
      </w:pPr>
      <w:r>
        <w:rPr>
          <w:b/>
        </w:rPr>
        <w:t>To increase the effectiveness of heating supply systems (SO 3.5)</w:t>
      </w:r>
    </w:p>
    <w:p w14:paraId="4683BC94" w14:textId="173C62F9" w:rsidR="00B81A1D" w:rsidRDefault="00B81A1D" w:rsidP="006D3AD5">
      <w:r w:rsidRPr="00B81A1D">
        <w:t>Combination of grant support with FI may extend the absorption capacity in the area of CHP also to less economically returnable projects, depending on development of EU funds drawing.</w:t>
      </w:r>
    </w:p>
    <w:p w14:paraId="6ADD5A99" w14:textId="65DFAEC9" w:rsidR="006D3AD5" w:rsidRDefault="006D3AD5" w:rsidP="006D3AD5">
      <w:r w:rsidRPr="00685AEF">
        <w:t xml:space="preserve">The amount of the subsidy element </w:t>
      </w:r>
      <w:r w:rsidR="00B81A1D">
        <w:t xml:space="preserve">in case of application of this combination </w:t>
      </w:r>
      <w:r w:rsidRPr="00685AEF">
        <w:t xml:space="preserve">should be divided into bands </w:t>
      </w:r>
      <w:r w:rsidR="00B81A1D" w:rsidRPr="00685AEF">
        <w:t xml:space="preserve">and </w:t>
      </w:r>
      <w:r w:rsidRPr="00685AEF">
        <w:t>connected with evaluation criteria that would decide on the amount of support the project is eligible the receive based on the location of the project realization (relation with the population density and distance between CPEH and distribution point).</w:t>
      </w:r>
    </w:p>
    <w:p w14:paraId="59129943" w14:textId="77777777" w:rsidR="001F0554" w:rsidRPr="00B81A1D" w:rsidRDefault="001F0554" w:rsidP="006D3AD5"/>
    <w:p w14:paraId="62685F08" w14:textId="77777777" w:rsidR="001F0554" w:rsidRPr="00372F22" w:rsidRDefault="001F0554" w:rsidP="001F0554">
      <w:pPr>
        <w:rPr>
          <w:lang w:val="en-US"/>
        </w:rPr>
      </w:pPr>
      <w:r w:rsidRPr="00372F22">
        <w:rPr>
          <w:lang w:val="en-US"/>
        </w:rPr>
        <w:t>The use of FI should enable the combination with the grant support for the technical preparation of the project of the final recipient. The technical preparation is expected to account for significant costs within the total amount of project costs of the standard project.</w:t>
      </w:r>
    </w:p>
    <w:p w14:paraId="48E9A148" w14:textId="77777777" w:rsidR="006D3AD5" w:rsidRPr="002C224A" w:rsidRDefault="006D3AD5" w:rsidP="006D3AD5"/>
    <w:p w14:paraId="45DD312E" w14:textId="77777777" w:rsidR="006D3AD5" w:rsidRPr="002C224A" w:rsidRDefault="006D3AD5" w:rsidP="006D3AD5">
      <w:pPr>
        <w:pStyle w:val="Nadpis3"/>
        <w:rPr>
          <w:rFonts w:ascii="Calibri" w:hAnsi="Calibri"/>
        </w:rPr>
      </w:pPr>
      <w:bookmarkStart w:id="1466" w:name="_Toc419183297"/>
      <w:bookmarkStart w:id="1467" w:name="_Toc422312159"/>
      <w:r>
        <w:rPr>
          <w:rFonts w:ascii="Calibri" w:hAnsi="Calibri"/>
        </w:rPr>
        <w:lastRenderedPageBreak/>
        <w:t>Regional dimensions and integrated approaches</w:t>
      </w:r>
      <w:bookmarkEnd w:id="1466"/>
      <w:bookmarkEnd w:id="1467"/>
      <w:r>
        <w:rPr>
          <w:rFonts w:ascii="Calibri" w:hAnsi="Calibri"/>
        </w:rPr>
        <w:t xml:space="preserve"> </w:t>
      </w:r>
    </w:p>
    <w:p w14:paraId="51B48C60" w14:textId="77777777" w:rsidR="006D3AD5" w:rsidRPr="002C224A" w:rsidRDefault="006D3AD5" w:rsidP="006D3AD5">
      <w:r>
        <w:t>The regional dimension of the financial instrument support is represented by the priority orientation of the SO 2.3 financial instrument for the brownfield revitalization in economically problematic regions with high unemployment rates in the Ústecký and Moravian-Silesian regions that are affected the most by previous industrial activities in the form of high number of brownfield locations. At the same time these regions have long-term structural problems.</w:t>
      </w:r>
    </w:p>
    <w:p w14:paraId="167A107A" w14:textId="77777777" w:rsidR="006D3AD5" w:rsidRPr="002C224A" w:rsidRDefault="006D3AD5" w:rsidP="006D3AD5">
      <w:pPr>
        <w:pStyle w:val="Nadpis3"/>
        <w:rPr>
          <w:rFonts w:ascii="Calibri" w:hAnsi="Calibri"/>
        </w:rPr>
      </w:pPr>
      <w:bookmarkStart w:id="1468" w:name="_Toc419183298"/>
      <w:bookmarkStart w:id="1469" w:name="_Toc422312160"/>
      <w:r>
        <w:rPr>
          <w:rFonts w:ascii="Calibri" w:hAnsi="Calibri"/>
        </w:rPr>
        <w:t>Horizontal principles</w:t>
      </w:r>
      <w:bookmarkEnd w:id="1468"/>
      <w:bookmarkEnd w:id="1469"/>
    </w:p>
    <w:p w14:paraId="63D6C460" w14:textId="77777777" w:rsidR="006D3AD5" w:rsidRPr="002C224A" w:rsidRDefault="006D3AD5" w:rsidP="006D3AD5">
      <w:pPr>
        <w:pStyle w:val="Nadpis4"/>
        <w:rPr>
          <w:rFonts w:ascii="Calibri" w:hAnsi="Calibri"/>
        </w:rPr>
      </w:pPr>
      <w:r>
        <w:rPr>
          <w:rFonts w:ascii="Calibri" w:hAnsi="Calibri"/>
        </w:rPr>
        <w:t>Sustainable development</w:t>
      </w:r>
    </w:p>
    <w:p w14:paraId="41388F96" w14:textId="77777777" w:rsidR="006D3AD5" w:rsidRPr="002C224A" w:rsidRDefault="006D3AD5" w:rsidP="006D3AD5">
      <w:bookmarkStart w:id="1470" w:name="_Toc417682953"/>
      <w:r>
        <w:t>Sustainable development is such development that enables to improve the standard of living of people and their well-being within the limits of ecosystem capacity while maintaining natural resources and biological diversity for both current and future generations. In accordance with Section 8 of the General Regulation the member states and the Commission should ensure during the preparation and implementation of agreements on partnerships and programmes the support for environmental protection, effective resources utilization, measures for reduction of climate changes and adaptation to this change, resistance to disasters and risk prevention. The situation in individual sustainable development areas in the Czech Republic is observed by a set of indicators.</w:t>
      </w:r>
      <w:bookmarkEnd w:id="1470"/>
    </w:p>
    <w:p w14:paraId="31E938DF" w14:textId="77777777" w:rsidR="006D3AD5" w:rsidRPr="002C224A" w:rsidRDefault="006D3AD5" w:rsidP="006D3AD5">
      <w:bookmarkStart w:id="1471" w:name="_Toc417682954"/>
      <w:r>
        <w:t>The obligation to observe the sustainable development is defined in the support condition specifications for final recipients that will include sections regarding the horizontal indicators of the proposed project. Environmental effects will be evaluated during evaluations of intervention including construction works, technology purchases, equipment, devices, i.e. activities with high probability of negative effect on the environment or effective usage of resources (especially energy sources). Investments into realization of such interventions will have to meet the highest standards. As a matter of principle within the operating programme and implementation of its individual priority axes no projects with negative impact on sustainable development shall be supported. The adherence to principles of sustainable development will be required at each level of each project and it will be evaluated during the acceptability evaluation of the project.</w:t>
      </w:r>
      <w:bookmarkEnd w:id="1471"/>
    </w:p>
    <w:p w14:paraId="5B379282" w14:textId="77777777" w:rsidR="006D3AD5" w:rsidRPr="002C224A" w:rsidRDefault="006D3AD5" w:rsidP="006D3AD5">
      <w:pPr>
        <w:pStyle w:val="Nadpis4"/>
        <w:rPr>
          <w:rFonts w:ascii="Calibri" w:hAnsi="Calibri"/>
        </w:rPr>
      </w:pPr>
      <w:r>
        <w:rPr>
          <w:rFonts w:ascii="Calibri" w:hAnsi="Calibri"/>
        </w:rPr>
        <w:t>Equal opportunities and prohibition of discrimination</w:t>
      </w:r>
    </w:p>
    <w:p w14:paraId="7DFC7AB6" w14:textId="77777777" w:rsidR="006D3AD5" w:rsidRPr="002C224A" w:rsidRDefault="006D3AD5" w:rsidP="006D3AD5">
      <w:bookmarkStart w:id="1472" w:name="_Toc417682956"/>
      <w:r>
        <w:t>Based on the Article 7 of the General Regulation member states and the Commission will accept suitable measures so that no discrimination based on gender, race or origin, religion, health, age or sexual orientation can take place during the preparation and implementation of programmes. The horizontal principle of equal opportunities and protection against discrimination serve the purpose of reaching the goal of social justice and cohesion and is based on the support of social inclusion, observance of basic human rights and maintaining cultural diversity.</w:t>
      </w:r>
      <w:bookmarkEnd w:id="1472"/>
    </w:p>
    <w:p w14:paraId="59FC9120" w14:textId="77777777" w:rsidR="006D3AD5" w:rsidRPr="002C224A" w:rsidRDefault="006D3AD5" w:rsidP="006D3AD5"/>
    <w:p w14:paraId="49585FF3" w14:textId="77777777" w:rsidR="006D3AD5" w:rsidRPr="002C224A" w:rsidRDefault="006D3AD5" w:rsidP="006D3AD5">
      <w:bookmarkStart w:id="1473" w:name="_Toc417682957"/>
      <w:r>
        <w:t>The discrimination prohibition in accordance with Czech and European law and support of equal opportunities belong among the basic principles for OP EIC realization and will be respected and supported across all priority axes and investment priorities. During the realization of OP EIC financial instruments the contribution to equal treatment will be taken into consideration so that all social groups have the same access to ERDF funds.</w:t>
      </w:r>
      <w:bookmarkEnd w:id="1473"/>
      <w:r>
        <w:t xml:space="preserve"> </w:t>
      </w:r>
    </w:p>
    <w:p w14:paraId="5E65D99F" w14:textId="77777777" w:rsidR="006D3AD5" w:rsidRPr="002C224A" w:rsidRDefault="006D3AD5" w:rsidP="006D3AD5"/>
    <w:p w14:paraId="045A9BA1" w14:textId="77777777" w:rsidR="006D3AD5" w:rsidRPr="002C224A" w:rsidRDefault="006D3AD5" w:rsidP="006D3AD5">
      <w:bookmarkStart w:id="1474" w:name="_Toc417682958"/>
      <w:r>
        <w:t>As with the sustainable development the requirement for adherence to equal opportunities and treatment will be stated in the requirements for support provision within individual support programmes. Within the priority axis 2 of the specific objective 2.1 the privilege will be given to projects of such entrepreneurs who prove that the realization of the project will create and sustain new work places and in this way contribute to employability of people from endangered groups (handicapped persons, mothers with children and other carers, elderly people, persons from ethnic minority groups including Romany people, foreigners etc.).</w:t>
      </w:r>
      <w:bookmarkEnd w:id="1474"/>
    </w:p>
    <w:p w14:paraId="2311346D" w14:textId="77777777" w:rsidR="006D3AD5" w:rsidRPr="002C224A" w:rsidRDefault="006D3AD5" w:rsidP="006D3AD5"/>
    <w:p w14:paraId="194DD9AF" w14:textId="5AA4C3C6" w:rsidR="000B553B" w:rsidRPr="002C224A" w:rsidRDefault="006D3AD5" w:rsidP="000B553B">
      <w:bookmarkStart w:id="1475" w:name="_Toc417682959"/>
      <w:r>
        <w:lastRenderedPageBreak/>
        <w:t>Given the aim of the OP EIC (business support, innovations in the business sector, energy savings, ICT infrastructure) it has no special programmes focused on specific disadvantaged groups. This area is resolved by other operating programmes using mainly the European social fund.</w:t>
      </w:r>
      <w:bookmarkEnd w:id="1475"/>
      <w:r w:rsidR="000B553B">
        <w:t xml:space="preserve"> Nevertheless, </w:t>
      </w:r>
      <w:r w:rsidR="000B553B">
        <w:t xml:space="preserve">FI OP EIC should support also the social dimension of </w:t>
      </w:r>
      <w:r w:rsidR="000B553B" w:rsidRPr="0012136C">
        <w:t>entrepreneurship</w:t>
      </w:r>
      <w:r w:rsidR="000B553B">
        <w:t xml:space="preserve"> in agreement with the text of the programme document of OP EIC and the </w:t>
      </w:r>
      <w:r w:rsidR="000B553B">
        <w:rPr>
          <w:rFonts w:cs="Calibri"/>
          <w:color w:val="222222"/>
          <w:szCs w:val="22"/>
        </w:rPr>
        <w:t>Small and medium enterprises support strategy 20</w:t>
      </w:r>
      <w:r w:rsidR="000B553B" w:rsidRPr="000B553B">
        <w:rPr>
          <w:rFonts w:cs="Calibri"/>
          <w:color w:val="222222"/>
          <w:szCs w:val="22"/>
        </w:rPr>
        <w:t>14–2020</w:t>
      </w:r>
      <w:r w:rsidR="000B553B">
        <w:rPr>
          <w:rFonts w:cs="Calibri"/>
          <w:color w:val="222222"/>
          <w:szCs w:val="22"/>
        </w:rPr>
        <w:t>, primarily the FI of bank loan guarantees and soft loans in SO 2.1.</w:t>
      </w:r>
    </w:p>
    <w:p w14:paraId="4C78BC55" w14:textId="77777777" w:rsidR="006D3AD5" w:rsidRPr="002C224A" w:rsidRDefault="006D3AD5" w:rsidP="006D3AD5"/>
    <w:p w14:paraId="4EDDE1AB" w14:textId="77777777" w:rsidR="006D3AD5" w:rsidRPr="002C224A" w:rsidRDefault="006D3AD5" w:rsidP="006D3AD5">
      <w:pPr>
        <w:rPr>
          <w:b/>
          <w:bCs/>
        </w:rPr>
      </w:pPr>
      <w:bookmarkStart w:id="1476" w:name="_Toc417682961"/>
      <w:r>
        <w:rPr>
          <w:b/>
        </w:rPr>
        <w:t>The horizontal topic of equality of men and women is demanded by the Article 7 of the General Regulation. In accordance with this article the member states and the Commission will ensure the support of men and women equality and inclusion from the gender equality point of view during the preparation and implementation of the programmes.</w:t>
      </w:r>
      <w:bookmarkEnd w:id="1476"/>
    </w:p>
    <w:p w14:paraId="31274054" w14:textId="77777777" w:rsidR="006D3AD5" w:rsidRPr="002C224A" w:rsidRDefault="006D3AD5" w:rsidP="006D3AD5">
      <w:pPr>
        <w:rPr>
          <w:b/>
          <w:bCs/>
        </w:rPr>
      </w:pPr>
    </w:p>
    <w:p w14:paraId="49DB9CDF" w14:textId="77777777" w:rsidR="006D3AD5" w:rsidRPr="002C224A" w:rsidRDefault="006D3AD5" w:rsidP="006D3AD5">
      <w:pPr>
        <w:rPr>
          <w:b/>
          <w:bCs/>
        </w:rPr>
      </w:pPr>
      <w:bookmarkStart w:id="1477" w:name="_Toc417682962"/>
      <w:r>
        <w:rPr>
          <w:b/>
        </w:rPr>
        <w:t>Indicators on the programme and specific objective levels that are directly connected with respecting equal opportunities (e.g. number of newly created work places) will be observed from the gender perspective as well.</w:t>
      </w:r>
      <w:bookmarkEnd w:id="1477"/>
    </w:p>
    <w:p w14:paraId="091E065C" w14:textId="77777777" w:rsidR="006D3AD5" w:rsidRPr="00A50943" w:rsidRDefault="006D3AD5" w:rsidP="006D3AD5"/>
    <w:p w14:paraId="5FE6A7C0" w14:textId="77777777" w:rsidR="006D3AD5" w:rsidRPr="002C224A" w:rsidRDefault="006D3AD5" w:rsidP="006D3AD5">
      <w:pPr>
        <w:pStyle w:val="Nadpis2"/>
        <w:rPr>
          <w:rFonts w:ascii="Calibri" w:hAnsi="Calibri"/>
        </w:rPr>
      </w:pPr>
      <w:bookmarkStart w:id="1478" w:name="_Toc419183299"/>
      <w:bookmarkStart w:id="1479" w:name="_Toc422312161"/>
      <w:r>
        <w:rPr>
          <w:rFonts w:ascii="Calibri" w:hAnsi="Calibri"/>
        </w:rPr>
        <w:t>Verifiability of the preliminary evaluation conclusions</w:t>
      </w:r>
      <w:bookmarkEnd w:id="1478"/>
      <w:bookmarkEnd w:id="1479"/>
    </w:p>
    <w:p w14:paraId="2EBE50A9" w14:textId="77777777" w:rsidR="006D3AD5" w:rsidRPr="00A50943" w:rsidRDefault="006D3AD5" w:rsidP="006D3AD5">
      <w:r>
        <w:t>The conclusions of the preliminary evaluation could be revised due to changed market conditions or more specifically due to conditions that differ from the expectations that led to original conclusions, due to new facts and due to changes in legislation. The conclusions of the preliminary evaluation can be adjusted based on experience with real implementation of the FI within the OP EIC.</w:t>
      </w:r>
    </w:p>
    <w:p w14:paraId="56292A0D" w14:textId="77777777" w:rsidR="006D3AD5" w:rsidRPr="002C224A" w:rsidRDefault="006D3AD5" w:rsidP="006D3AD5"/>
    <w:p w14:paraId="043F1995" w14:textId="77777777" w:rsidR="006D3AD5" w:rsidRPr="002C224A" w:rsidRDefault="006D3AD5" w:rsidP="006D3AD5">
      <w:r>
        <w:t xml:space="preserve">The managing authority, recipient, financial intermediary, financial instrument investment committee or conducted yearly, </w:t>
      </w:r>
      <w:r>
        <w:rPr>
          <w:i/>
        </w:rPr>
        <w:t xml:space="preserve">ad hoc </w:t>
      </w:r>
      <w:r>
        <w:t>or mid-term evaluation could propose its revision due to different development from expectations described in this preliminary evaluation.</w:t>
      </w:r>
    </w:p>
    <w:p w14:paraId="03C508FA" w14:textId="77777777" w:rsidR="006D3AD5" w:rsidRPr="002C224A" w:rsidRDefault="006D3AD5" w:rsidP="006D3AD5"/>
    <w:p w14:paraId="38F619DD" w14:textId="77777777" w:rsidR="006D3AD5" w:rsidRPr="002C224A" w:rsidRDefault="006D3AD5" w:rsidP="006D3AD5">
      <w:r>
        <w:t>The managing authority subsequently concludes whether the preliminary evaluation characterized current market conditions in the time of implementation and if need be makes proper updates.</w:t>
      </w:r>
    </w:p>
    <w:p w14:paraId="544B1238" w14:textId="77777777" w:rsidR="006D3AD5" w:rsidRPr="002C224A" w:rsidRDefault="006D3AD5" w:rsidP="006D3AD5"/>
    <w:p w14:paraId="5F06CD80" w14:textId="77777777" w:rsidR="006D3AD5" w:rsidRPr="002C224A" w:rsidRDefault="006D3AD5" w:rsidP="006D3AD5"/>
    <w:p w14:paraId="23069B91" w14:textId="77777777" w:rsidR="006D3AD5" w:rsidRPr="002C224A" w:rsidRDefault="006D3AD5" w:rsidP="006D3AD5"/>
    <w:p w14:paraId="4F8ACB03" w14:textId="1EBAADF1" w:rsidR="006D3AD5" w:rsidRPr="002C224A" w:rsidRDefault="006D3AD5" w:rsidP="006D3AD5">
      <w:pPr>
        <w:pStyle w:val="Nadpis1"/>
        <w:rPr>
          <w:rFonts w:ascii="Calibri" w:hAnsi="Calibri"/>
        </w:rPr>
      </w:pPr>
      <w:r>
        <w:br w:type="page"/>
      </w:r>
      <w:bookmarkStart w:id="1480" w:name="_Toc416909783"/>
      <w:bookmarkStart w:id="1481" w:name="_Toc417545164"/>
      <w:bookmarkStart w:id="1482" w:name="_Toc416909784"/>
      <w:bookmarkStart w:id="1483" w:name="_Toc417545165"/>
      <w:bookmarkStart w:id="1484" w:name="_Toc416909785"/>
      <w:bookmarkStart w:id="1485" w:name="_Toc417545166"/>
      <w:bookmarkStart w:id="1486" w:name="_Toc416909786"/>
      <w:bookmarkStart w:id="1487" w:name="_Toc417545167"/>
      <w:bookmarkStart w:id="1488" w:name="_Toc416909788"/>
      <w:bookmarkStart w:id="1489" w:name="_Toc417545169"/>
      <w:bookmarkStart w:id="1490" w:name="_Toc416909789"/>
      <w:bookmarkStart w:id="1491" w:name="_Toc417545170"/>
      <w:bookmarkStart w:id="1492" w:name="_Toc416909793"/>
      <w:bookmarkStart w:id="1493" w:name="_Toc417545174"/>
      <w:bookmarkStart w:id="1494" w:name="_Toc416909794"/>
      <w:bookmarkStart w:id="1495" w:name="_Toc417545175"/>
      <w:bookmarkStart w:id="1496" w:name="_Toc416909796"/>
      <w:bookmarkStart w:id="1497" w:name="_Toc417545177"/>
      <w:bookmarkStart w:id="1498" w:name="_Toc416909797"/>
      <w:bookmarkStart w:id="1499" w:name="_Toc417545178"/>
      <w:bookmarkStart w:id="1500" w:name="_Toc416909798"/>
      <w:bookmarkStart w:id="1501" w:name="_Toc417545179"/>
      <w:bookmarkStart w:id="1502" w:name="_Toc416909799"/>
      <w:bookmarkStart w:id="1503" w:name="_Toc417545180"/>
      <w:bookmarkStart w:id="1504" w:name="_Toc416909801"/>
      <w:bookmarkStart w:id="1505" w:name="_Toc417545182"/>
      <w:bookmarkStart w:id="1506" w:name="_Toc416909807"/>
      <w:bookmarkStart w:id="1507" w:name="_Toc417545188"/>
      <w:bookmarkStart w:id="1508" w:name="_Toc416909808"/>
      <w:bookmarkStart w:id="1509" w:name="_Toc417545189"/>
      <w:bookmarkStart w:id="1510" w:name="_Toc416909809"/>
      <w:bookmarkStart w:id="1511" w:name="_Toc417545190"/>
      <w:bookmarkStart w:id="1512" w:name="_Toc416909810"/>
      <w:bookmarkStart w:id="1513" w:name="_Toc417545191"/>
      <w:bookmarkStart w:id="1514" w:name="_Toc416384134"/>
      <w:bookmarkStart w:id="1515" w:name="_Toc416384135"/>
      <w:bookmarkStart w:id="1516" w:name="_Toc416448085"/>
      <w:bookmarkStart w:id="1517" w:name="_Toc416384136"/>
      <w:bookmarkStart w:id="1518" w:name="_Toc416448086"/>
      <w:bookmarkStart w:id="1519" w:name="_Toc416384137"/>
      <w:bookmarkStart w:id="1520" w:name="_Toc416448087"/>
      <w:bookmarkStart w:id="1521" w:name="_Toc416384138"/>
      <w:bookmarkStart w:id="1522" w:name="_Toc416448088"/>
      <w:bookmarkStart w:id="1523" w:name="_Toc416384139"/>
      <w:bookmarkStart w:id="1524" w:name="_Toc416448089"/>
      <w:bookmarkStart w:id="1525" w:name="_Toc416384140"/>
      <w:bookmarkStart w:id="1526" w:name="_Toc416448090"/>
      <w:bookmarkStart w:id="1527" w:name="_Toc416384141"/>
      <w:bookmarkStart w:id="1528" w:name="_Toc416448091"/>
      <w:bookmarkStart w:id="1529" w:name="_Toc416384142"/>
      <w:bookmarkStart w:id="1530" w:name="_Toc416448092"/>
      <w:bookmarkStart w:id="1531" w:name="_Toc416384143"/>
      <w:bookmarkStart w:id="1532" w:name="_Toc416448093"/>
      <w:bookmarkStart w:id="1533" w:name="_Toc416384144"/>
      <w:bookmarkStart w:id="1534" w:name="_Toc416448094"/>
      <w:bookmarkStart w:id="1535" w:name="_Toc416384145"/>
      <w:bookmarkStart w:id="1536" w:name="_Toc416448095"/>
      <w:bookmarkStart w:id="1537" w:name="_Toc416384147"/>
      <w:bookmarkStart w:id="1538" w:name="_Toc416448097"/>
      <w:bookmarkStart w:id="1539" w:name="_Toc416909825"/>
      <w:bookmarkStart w:id="1540" w:name="_Toc417545206"/>
      <w:bookmarkStart w:id="1541" w:name="_Toc416909828"/>
      <w:bookmarkStart w:id="1542" w:name="_Toc417545209"/>
      <w:bookmarkStart w:id="1543" w:name="_Toc416909850"/>
      <w:bookmarkStart w:id="1544" w:name="_Toc417545231"/>
      <w:bookmarkStart w:id="1545" w:name="_Toc416909881"/>
      <w:bookmarkStart w:id="1546" w:name="_Toc417545262"/>
      <w:bookmarkStart w:id="1547" w:name="_Toc416909882"/>
      <w:bookmarkStart w:id="1548" w:name="_Toc417545263"/>
      <w:bookmarkStart w:id="1549" w:name="_Toc416909883"/>
      <w:bookmarkStart w:id="1550" w:name="_Toc417545264"/>
      <w:bookmarkStart w:id="1551" w:name="_Toc416909949"/>
      <w:bookmarkStart w:id="1552" w:name="_Toc417545330"/>
      <w:bookmarkStart w:id="1553" w:name="_Toc419183300"/>
      <w:bookmarkStart w:id="1554" w:name="_Toc422312162"/>
      <w:bookmarkEnd w:id="1453"/>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Pr>
          <w:rFonts w:ascii="Calibri" w:hAnsi="Calibri"/>
        </w:rPr>
        <w:lastRenderedPageBreak/>
        <w:t>Technical annex</w:t>
      </w:r>
      <w:bookmarkEnd w:id="1553"/>
      <w:bookmarkEnd w:id="1554"/>
    </w:p>
    <w:p w14:paraId="1A9B1AEB" w14:textId="77777777" w:rsidR="006D3AD5" w:rsidRPr="002C224A" w:rsidRDefault="006D3AD5" w:rsidP="006D3AD5">
      <w:pPr>
        <w:pStyle w:val="Nadpis2"/>
        <w:rPr>
          <w:rFonts w:ascii="Calibri" w:hAnsi="Calibri"/>
        </w:rPr>
      </w:pPr>
      <w:bookmarkStart w:id="1555" w:name="_Toc419183301"/>
      <w:bookmarkStart w:id="1556" w:name="_Toc422312163"/>
      <w:r>
        <w:rPr>
          <w:rFonts w:ascii="Calibri" w:hAnsi="Calibri"/>
        </w:rPr>
        <w:t>Questionnaire surveys</w:t>
      </w:r>
      <w:bookmarkEnd w:id="1555"/>
      <w:bookmarkEnd w:id="1556"/>
    </w:p>
    <w:p w14:paraId="4B646144" w14:textId="77777777" w:rsidR="006D3AD5" w:rsidRPr="002C224A" w:rsidRDefault="006D3AD5" w:rsidP="006D3AD5">
      <w:pPr>
        <w:pStyle w:val="Nadpis3"/>
        <w:rPr>
          <w:rFonts w:ascii="Calibri" w:hAnsi="Calibri"/>
        </w:rPr>
      </w:pPr>
      <w:bookmarkStart w:id="1557" w:name="_Toc419183302"/>
      <w:bookmarkStart w:id="1558" w:name="_Toc422312164"/>
      <w:r>
        <w:rPr>
          <w:rFonts w:ascii="Calibri" w:hAnsi="Calibri"/>
        </w:rPr>
        <w:t>Basic information on surveys</w:t>
      </w:r>
      <w:bookmarkEnd w:id="1557"/>
      <w:bookmarkEnd w:id="1558"/>
    </w:p>
    <w:p w14:paraId="64F45ADF" w14:textId="77777777" w:rsidR="006D3AD5" w:rsidRPr="002C224A" w:rsidRDefault="006D3AD5" w:rsidP="006D3AD5">
      <w:r>
        <w:t>To support and to improve the accuracy of analytic conclusions and proposals the supplier used questionnaire surveys. The two surveys were aiming to:</w:t>
      </w:r>
    </w:p>
    <w:p w14:paraId="0D4F0FCE" w14:textId="77777777" w:rsidR="006D3AD5" w:rsidRPr="002C224A" w:rsidRDefault="006D3AD5" w:rsidP="006D3AD5">
      <w:pPr>
        <w:pStyle w:val="Odstavecseseznamem1"/>
        <w:numPr>
          <w:ilvl w:val="0"/>
          <w:numId w:val="44"/>
        </w:numPr>
        <w:overflowPunct/>
        <w:autoSpaceDE/>
        <w:autoSpaceDN/>
        <w:adjustRightInd/>
        <w:spacing w:after="120"/>
        <w:textAlignment w:val="auto"/>
      </w:pPr>
      <w:r>
        <w:t>Map the experience of respondents with previous investment activities with focus on conditions and accessibility of external financing.</w:t>
      </w:r>
    </w:p>
    <w:p w14:paraId="2D1E0FCE" w14:textId="77777777" w:rsidR="006D3AD5" w:rsidRPr="002C224A" w:rsidRDefault="006D3AD5" w:rsidP="006D3AD5">
      <w:pPr>
        <w:pStyle w:val="Odstavecseseznamem1"/>
        <w:numPr>
          <w:ilvl w:val="0"/>
          <w:numId w:val="44"/>
        </w:numPr>
        <w:overflowPunct/>
        <w:autoSpaceDE/>
        <w:autoSpaceDN/>
        <w:adjustRightInd/>
        <w:spacing w:after="120"/>
        <w:textAlignment w:val="auto"/>
      </w:pPr>
      <w:r>
        <w:t>Map the planned investment projects of respondents in the next years with connection to prepared OP EIC support programmes.</w:t>
      </w:r>
    </w:p>
    <w:p w14:paraId="75510DA0" w14:textId="77777777" w:rsidR="006D3AD5" w:rsidRPr="002C224A" w:rsidRDefault="006D3AD5" w:rsidP="006D3AD5">
      <w:pPr>
        <w:pStyle w:val="Odstavecseseznamem1"/>
        <w:numPr>
          <w:ilvl w:val="0"/>
          <w:numId w:val="44"/>
        </w:numPr>
        <w:overflowPunct/>
        <w:autoSpaceDE/>
        <w:autoSpaceDN/>
        <w:adjustRightInd/>
        <w:spacing w:after="120"/>
        <w:textAlignment w:val="auto"/>
      </w:pPr>
      <w:r>
        <w:t>Map potential demand for OP EIC support in case it would be provided in one of the considered financial instrument forms, in particular:</w:t>
      </w:r>
    </w:p>
    <w:p w14:paraId="4184B161" w14:textId="77777777" w:rsidR="006D3AD5" w:rsidRPr="002C224A" w:rsidRDefault="006D3AD5" w:rsidP="006D3AD5">
      <w:pPr>
        <w:pStyle w:val="Odstavecseseznamem1"/>
        <w:numPr>
          <w:ilvl w:val="1"/>
          <w:numId w:val="44"/>
        </w:numPr>
        <w:overflowPunct/>
        <w:autoSpaceDE/>
        <w:autoSpaceDN/>
        <w:adjustRightInd/>
        <w:spacing w:after="120"/>
        <w:textAlignment w:val="auto"/>
      </w:pPr>
      <w:r>
        <w:t>Soft loan</w:t>
      </w:r>
    </w:p>
    <w:p w14:paraId="1A95B2A1" w14:textId="77777777" w:rsidR="006D3AD5" w:rsidRPr="002C224A" w:rsidRDefault="006D3AD5" w:rsidP="006D3AD5">
      <w:pPr>
        <w:pStyle w:val="Odstavecseseznamem1"/>
        <w:numPr>
          <w:ilvl w:val="1"/>
          <w:numId w:val="44"/>
        </w:numPr>
        <w:overflowPunct/>
        <w:autoSpaceDE/>
        <w:autoSpaceDN/>
        <w:adjustRightInd/>
        <w:spacing w:after="120"/>
        <w:textAlignment w:val="auto"/>
      </w:pPr>
      <w:r>
        <w:t>Soft loan with a subsidy element</w:t>
      </w:r>
    </w:p>
    <w:p w14:paraId="7BF27C89" w14:textId="77777777" w:rsidR="006D3AD5" w:rsidRPr="002C224A" w:rsidRDefault="006D3AD5" w:rsidP="006D3AD5">
      <w:pPr>
        <w:pStyle w:val="Odstavecseseznamem1"/>
        <w:numPr>
          <w:ilvl w:val="1"/>
          <w:numId w:val="44"/>
        </w:numPr>
        <w:overflowPunct/>
        <w:autoSpaceDE/>
        <w:autoSpaceDN/>
        <w:adjustRightInd/>
        <w:spacing w:after="120"/>
        <w:textAlignment w:val="auto"/>
      </w:pPr>
      <w:r>
        <w:t>Guarantee for a commercial loan</w:t>
      </w:r>
    </w:p>
    <w:p w14:paraId="20A0A0DD" w14:textId="77777777" w:rsidR="006D3AD5" w:rsidRPr="002C224A" w:rsidRDefault="006D3AD5" w:rsidP="006D3AD5">
      <w:pPr>
        <w:pStyle w:val="Odstavecseseznamem1"/>
        <w:numPr>
          <w:ilvl w:val="1"/>
          <w:numId w:val="44"/>
        </w:numPr>
        <w:overflowPunct/>
        <w:autoSpaceDE/>
        <w:autoSpaceDN/>
        <w:adjustRightInd/>
        <w:spacing w:after="120"/>
        <w:textAlignment w:val="auto"/>
      </w:pPr>
      <w:r>
        <w:t>Equity investment.</w:t>
      </w:r>
    </w:p>
    <w:p w14:paraId="4D47F2F6" w14:textId="77777777" w:rsidR="006D3AD5" w:rsidRPr="002C224A" w:rsidRDefault="006D3AD5" w:rsidP="006D3AD5">
      <w:r>
        <w:t>Within the ex-ante analysis project two surveys wre made.</w:t>
      </w:r>
    </w:p>
    <w:p w14:paraId="5C409571" w14:textId="77777777" w:rsidR="006D3AD5" w:rsidRPr="002C224A" w:rsidRDefault="006D3AD5" w:rsidP="006D3AD5">
      <w:pPr>
        <w:pStyle w:val="Neslovannadpisy"/>
      </w:pPr>
    </w:p>
    <w:p w14:paraId="34B1F43B" w14:textId="472076DD" w:rsidR="006D3AD5" w:rsidRPr="002C224A" w:rsidRDefault="006D3AD5" w:rsidP="006D3AD5">
      <w:pPr>
        <w:pStyle w:val="Titulek"/>
      </w:pPr>
      <w:r>
        <w:t xml:space="preserve">Table </w:t>
      </w:r>
      <w:r w:rsidR="008E5253">
        <w:t>13</w:t>
      </w:r>
      <w:r w:rsidR="00B90ACD">
        <w:t>7</w:t>
      </w:r>
      <w:r>
        <w:t>: Survey no. 1 – Focus on the OP EIC as a whole</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438"/>
        <w:gridCol w:w="6788"/>
      </w:tblGrid>
      <w:tr w:rsidR="006D3AD5" w:rsidRPr="002C224A" w14:paraId="764399CC" w14:textId="77777777" w:rsidTr="00443B8F">
        <w:tc>
          <w:tcPr>
            <w:tcW w:w="9226" w:type="dxa"/>
            <w:gridSpan w:val="2"/>
            <w:shd w:val="clear" w:color="auto" w:fill="ECFFC3"/>
          </w:tcPr>
          <w:p w14:paraId="29F34FA8" w14:textId="77777777" w:rsidR="006D3AD5" w:rsidRPr="002C224A" w:rsidRDefault="006D3AD5" w:rsidP="00443B8F">
            <w:pPr>
              <w:ind w:left="38"/>
              <w:rPr>
                <w:b/>
              </w:rPr>
            </w:pPr>
            <w:r>
              <w:rPr>
                <w:b/>
              </w:rPr>
              <w:t>Survey no. 1 – Focus on the OP EIC as a whole</w:t>
            </w:r>
          </w:p>
        </w:tc>
      </w:tr>
      <w:tr w:rsidR="006D3AD5" w:rsidRPr="002C224A" w14:paraId="31F2BDEA" w14:textId="77777777" w:rsidTr="00443B8F">
        <w:tc>
          <w:tcPr>
            <w:tcW w:w="2438" w:type="dxa"/>
            <w:shd w:val="clear" w:color="auto" w:fill="92D400"/>
            <w:noWrap/>
          </w:tcPr>
          <w:p w14:paraId="1A70290A" w14:textId="77777777" w:rsidR="006D3AD5" w:rsidRPr="002C224A" w:rsidRDefault="006D3AD5" w:rsidP="00443B8F">
            <w:pPr>
              <w:jc w:val="left"/>
              <w:rPr>
                <w:b/>
                <w:color w:val="FFFFFF"/>
              </w:rPr>
            </w:pPr>
            <w:r>
              <w:rPr>
                <w:b/>
                <w:color w:val="FFFFFF"/>
              </w:rPr>
              <w:t>Thematic focus</w:t>
            </w:r>
          </w:p>
        </w:tc>
        <w:tc>
          <w:tcPr>
            <w:tcW w:w="6788" w:type="dxa"/>
            <w:shd w:val="clear" w:color="auto" w:fill="FFFFFF"/>
            <w:noWrap/>
          </w:tcPr>
          <w:p w14:paraId="5BE316E9" w14:textId="77777777" w:rsidR="006D3AD5" w:rsidRPr="002C224A" w:rsidRDefault="006D3AD5" w:rsidP="00443B8F">
            <w:r>
              <w:t>SO 1.1, 2.1, 2.3, 3.1, 3.2, 3.5, 4</w:t>
            </w:r>
          </w:p>
        </w:tc>
      </w:tr>
      <w:tr w:rsidR="006D3AD5" w:rsidRPr="002C224A" w14:paraId="4AE0CBA7" w14:textId="77777777" w:rsidTr="00443B8F">
        <w:tc>
          <w:tcPr>
            <w:tcW w:w="2438" w:type="dxa"/>
            <w:shd w:val="clear" w:color="auto" w:fill="92D400"/>
            <w:noWrap/>
          </w:tcPr>
          <w:p w14:paraId="486C889B" w14:textId="77777777" w:rsidR="006D3AD5" w:rsidRPr="002C224A" w:rsidRDefault="006D3AD5" w:rsidP="00443B8F">
            <w:pPr>
              <w:jc w:val="left"/>
              <w:rPr>
                <w:b/>
                <w:color w:val="FFFFFF"/>
              </w:rPr>
            </w:pPr>
            <w:r>
              <w:rPr>
                <w:b/>
                <w:color w:val="FFFFFF"/>
              </w:rPr>
              <w:t>Date of execution of the survey</w:t>
            </w:r>
          </w:p>
        </w:tc>
        <w:tc>
          <w:tcPr>
            <w:tcW w:w="6788" w:type="dxa"/>
            <w:shd w:val="clear" w:color="auto" w:fill="FFFFFF"/>
            <w:noWrap/>
          </w:tcPr>
          <w:p w14:paraId="06C190E8" w14:textId="77777777" w:rsidR="006D3AD5" w:rsidRPr="002C224A" w:rsidRDefault="006D3AD5" w:rsidP="00443B8F">
            <w:pPr>
              <w:rPr>
                <w:i/>
              </w:rPr>
            </w:pPr>
            <w:r>
              <w:rPr>
                <w:i/>
              </w:rPr>
              <w:t>From 22nd to 31st January 2015</w:t>
            </w:r>
          </w:p>
        </w:tc>
      </w:tr>
      <w:tr w:rsidR="006D3AD5" w:rsidRPr="002C224A" w14:paraId="5106FCEF" w14:textId="77777777" w:rsidTr="00443B8F">
        <w:tc>
          <w:tcPr>
            <w:tcW w:w="2438" w:type="dxa"/>
            <w:shd w:val="clear" w:color="auto" w:fill="92D400"/>
            <w:noWrap/>
          </w:tcPr>
          <w:p w14:paraId="2CF1A86D" w14:textId="77777777" w:rsidR="006D3AD5" w:rsidRPr="002C224A" w:rsidRDefault="006D3AD5" w:rsidP="00443B8F">
            <w:pPr>
              <w:jc w:val="left"/>
              <w:rPr>
                <w:b/>
                <w:color w:val="FFFFFF"/>
              </w:rPr>
            </w:pPr>
            <w:r>
              <w:rPr>
                <w:b/>
                <w:color w:val="FFFFFF"/>
              </w:rPr>
              <w:t>Number of reached people</w:t>
            </w:r>
          </w:p>
        </w:tc>
        <w:tc>
          <w:tcPr>
            <w:tcW w:w="6788" w:type="dxa"/>
            <w:shd w:val="clear" w:color="auto" w:fill="FFFFFF"/>
            <w:noWrap/>
          </w:tcPr>
          <w:p w14:paraId="4DD72082" w14:textId="77777777" w:rsidR="006D3AD5" w:rsidRPr="002C224A" w:rsidRDefault="006D3AD5" w:rsidP="00443B8F">
            <w:pPr>
              <w:rPr>
                <w:i/>
              </w:rPr>
            </w:pPr>
            <w:r>
              <w:rPr>
                <w:i/>
              </w:rPr>
              <w:t>15,000</w:t>
            </w:r>
          </w:p>
        </w:tc>
      </w:tr>
      <w:tr w:rsidR="006D3AD5" w:rsidRPr="002C224A" w14:paraId="7E153238" w14:textId="77777777" w:rsidTr="00443B8F">
        <w:tc>
          <w:tcPr>
            <w:tcW w:w="2438" w:type="dxa"/>
            <w:shd w:val="clear" w:color="auto" w:fill="92D400"/>
            <w:noWrap/>
          </w:tcPr>
          <w:p w14:paraId="14223145" w14:textId="77777777" w:rsidR="006D3AD5" w:rsidRPr="002C224A" w:rsidRDefault="006D3AD5" w:rsidP="00443B8F">
            <w:pPr>
              <w:jc w:val="left"/>
              <w:rPr>
                <w:b/>
                <w:color w:val="FFFFFF"/>
              </w:rPr>
            </w:pPr>
            <w:r>
              <w:rPr>
                <w:b/>
                <w:color w:val="FFFFFF"/>
              </w:rPr>
              <w:t>Selection of reached people</w:t>
            </w:r>
          </w:p>
        </w:tc>
        <w:tc>
          <w:tcPr>
            <w:tcW w:w="6788" w:type="dxa"/>
            <w:shd w:val="clear" w:color="auto" w:fill="FFFFFF"/>
            <w:noWrap/>
          </w:tcPr>
          <w:p w14:paraId="7EC8F2BD" w14:textId="77777777" w:rsidR="006D3AD5" w:rsidRPr="002C224A" w:rsidRDefault="006D3AD5" w:rsidP="00443B8F">
            <w:pPr>
              <w:rPr>
                <w:i/>
              </w:rPr>
            </w:pPr>
            <w:r>
              <w:rPr>
                <w:i/>
              </w:rPr>
              <w:t>Database of contacts gathered during the last support period</w:t>
            </w:r>
          </w:p>
        </w:tc>
      </w:tr>
      <w:tr w:rsidR="006D3AD5" w:rsidRPr="002C224A" w14:paraId="043FE0E4" w14:textId="77777777" w:rsidTr="00443B8F">
        <w:tc>
          <w:tcPr>
            <w:tcW w:w="2438" w:type="dxa"/>
            <w:shd w:val="clear" w:color="auto" w:fill="92D400"/>
            <w:noWrap/>
          </w:tcPr>
          <w:p w14:paraId="0E348E66" w14:textId="77777777" w:rsidR="006D3AD5" w:rsidRPr="002C224A" w:rsidRDefault="006D3AD5" w:rsidP="00443B8F">
            <w:pPr>
              <w:jc w:val="left"/>
              <w:rPr>
                <w:b/>
                <w:color w:val="FFFFFF"/>
              </w:rPr>
            </w:pPr>
            <w:r>
              <w:rPr>
                <w:b/>
                <w:color w:val="FFFFFF"/>
              </w:rPr>
              <w:t>Form of addressing</w:t>
            </w:r>
          </w:p>
        </w:tc>
        <w:tc>
          <w:tcPr>
            <w:tcW w:w="6788" w:type="dxa"/>
            <w:shd w:val="clear" w:color="auto" w:fill="FFFFFF"/>
            <w:noWrap/>
          </w:tcPr>
          <w:p w14:paraId="1147A2DE" w14:textId="77777777" w:rsidR="006D3AD5" w:rsidRPr="002C224A" w:rsidRDefault="006D3AD5" w:rsidP="00443B8F">
            <w:pPr>
              <w:rPr>
                <w:i/>
              </w:rPr>
            </w:pPr>
            <w:r>
              <w:rPr>
                <w:i/>
              </w:rPr>
              <w:t>Directly by e-mail</w:t>
            </w:r>
          </w:p>
        </w:tc>
      </w:tr>
      <w:tr w:rsidR="006D3AD5" w:rsidRPr="002C224A" w14:paraId="01AF0E2D" w14:textId="77777777" w:rsidTr="00443B8F">
        <w:tc>
          <w:tcPr>
            <w:tcW w:w="2438" w:type="dxa"/>
            <w:shd w:val="clear" w:color="auto" w:fill="92D400"/>
            <w:noWrap/>
          </w:tcPr>
          <w:p w14:paraId="21A32DD2" w14:textId="77777777" w:rsidR="006D3AD5" w:rsidRPr="002C224A" w:rsidRDefault="006D3AD5" w:rsidP="00443B8F">
            <w:pPr>
              <w:jc w:val="left"/>
              <w:rPr>
                <w:b/>
                <w:color w:val="FFFFFF"/>
              </w:rPr>
            </w:pPr>
            <w:r>
              <w:rPr>
                <w:b/>
                <w:color w:val="FFFFFF"/>
              </w:rPr>
              <w:t>Number of answers</w:t>
            </w:r>
          </w:p>
        </w:tc>
        <w:tc>
          <w:tcPr>
            <w:tcW w:w="6788" w:type="dxa"/>
            <w:shd w:val="clear" w:color="auto" w:fill="FFFFFF"/>
            <w:noWrap/>
          </w:tcPr>
          <w:p w14:paraId="0C21A477" w14:textId="77777777" w:rsidR="006D3AD5" w:rsidRPr="002C224A" w:rsidRDefault="006D3AD5" w:rsidP="00443B8F">
            <w:pPr>
              <w:rPr>
                <w:i/>
              </w:rPr>
            </w:pPr>
            <w:r>
              <w:rPr>
                <w:i/>
              </w:rPr>
              <w:t>1,077</w:t>
            </w:r>
          </w:p>
        </w:tc>
      </w:tr>
      <w:tr w:rsidR="006D3AD5" w:rsidRPr="002C224A" w14:paraId="526082CD" w14:textId="77777777" w:rsidTr="00443B8F">
        <w:tc>
          <w:tcPr>
            <w:tcW w:w="2438" w:type="dxa"/>
            <w:shd w:val="clear" w:color="auto" w:fill="92D400"/>
            <w:noWrap/>
          </w:tcPr>
          <w:p w14:paraId="33BF7684" w14:textId="77777777" w:rsidR="006D3AD5" w:rsidRPr="002C224A" w:rsidRDefault="006D3AD5" w:rsidP="00443B8F">
            <w:pPr>
              <w:jc w:val="left"/>
              <w:rPr>
                <w:b/>
                <w:color w:val="FFFFFF"/>
              </w:rPr>
            </w:pPr>
            <w:r>
              <w:rPr>
                <w:b/>
                <w:color w:val="FFFFFF"/>
              </w:rPr>
              <w:t>Supplementary comment</w:t>
            </w:r>
          </w:p>
        </w:tc>
        <w:tc>
          <w:tcPr>
            <w:tcW w:w="6788" w:type="dxa"/>
            <w:shd w:val="clear" w:color="auto" w:fill="FFFFFF"/>
            <w:noWrap/>
          </w:tcPr>
          <w:p w14:paraId="53327933" w14:textId="77777777" w:rsidR="006D3AD5" w:rsidRPr="002C224A" w:rsidRDefault="006D3AD5" w:rsidP="00443B8F">
            <w:pPr>
              <w:rPr>
                <w:i/>
              </w:rPr>
            </w:pPr>
          </w:p>
        </w:tc>
      </w:tr>
    </w:tbl>
    <w:p w14:paraId="5893B4F5" w14:textId="77777777" w:rsidR="001F0554" w:rsidRPr="0068191E" w:rsidRDefault="001F0554" w:rsidP="001F0554">
      <w:pPr>
        <w:rPr>
          <w:lang w:val="en-US"/>
        </w:rPr>
      </w:pPr>
      <w:r w:rsidRPr="0068191E">
        <w:rPr>
          <w:lang w:val="en-US"/>
        </w:rPr>
        <w:t>The sample of answers contains 18</w:t>
      </w:r>
      <w:r>
        <w:rPr>
          <w:lang w:val="en-US"/>
        </w:rPr>
        <w:t xml:space="preserve"> </w:t>
      </w:r>
      <w:r w:rsidRPr="0068191E">
        <w:rPr>
          <w:lang w:val="en-US"/>
        </w:rPr>
        <w:t>% of micro-enterprises, 43</w:t>
      </w:r>
      <w:r>
        <w:rPr>
          <w:lang w:val="en-US"/>
        </w:rPr>
        <w:t xml:space="preserve"> </w:t>
      </w:r>
      <w:r w:rsidRPr="0068191E">
        <w:rPr>
          <w:lang w:val="en-US"/>
        </w:rPr>
        <w:t>% of small, 29</w:t>
      </w:r>
      <w:r>
        <w:rPr>
          <w:lang w:val="en-US"/>
        </w:rPr>
        <w:t xml:space="preserve"> </w:t>
      </w:r>
      <w:r w:rsidRPr="0068191E">
        <w:rPr>
          <w:lang w:val="en-US"/>
        </w:rPr>
        <w:t>% medium and 10</w:t>
      </w:r>
      <w:r>
        <w:rPr>
          <w:lang w:val="en-US"/>
        </w:rPr>
        <w:t xml:space="preserve"> </w:t>
      </w:r>
      <w:r w:rsidRPr="0068191E">
        <w:rPr>
          <w:lang w:val="en-US"/>
        </w:rPr>
        <w:t>% large enterprises. All regions except of the City of Prague are represented. The most represented se</w:t>
      </w:r>
      <w:r>
        <w:rPr>
          <w:lang w:val="en-US"/>
        </w:rPr>
        <w:t>ctor is</w:t>
      </w:r>
      <w:r w:rsidRPr="0068191E">
        <w:rPr>
          <w:lang w:val="en-US"/>
        </w:rPr>
        <w:t xml:space="preserve"> manufacturing </w:t>
      </w:r>
      <w:r>
        <w:rPr>
          <w:lang w:val="en-US"/>
        </w:rPr>
        <w:t>(52 %)</w:t>
      </w:r>
      <w:r w:rsidRPr="0068191E">
        <w:rPr>
          <w:lang w:val="en-US"/>
        </w:rPr>
        <w:t xml:space="preserve"> followed by the construction sector (11</w:t>
      </w:r>
      <w:r>
        <w:rPr>
          <w:lang w:val="en-US"/>
        </w:rPr>
        <w:t xml:space="preserve"> </w:t>
      </w:r>
      <w:r w:rsidRPr="0068191E">
        <w:rPr>
          <w:lang w:val="en-US"/>
        </w:rPr>
        <w:t>%), information and communication activities (10</w:t>
      </w:r>
      <w:r>
        <w:rPr>
          <w:lang w:val="en-US"/>
        </w:rPr>
        <w:t xml:space="preserve"> </w:t>
      </w:r>
      <w:r w:rsidRPr="0068191E">
        <w:rPr>
          <w:lang w:val="en-US"/>
        </w:rPr>
        <w:t>%) and professional, scientific and technical activities (9</w:t>
      </w:r>
      <w:r>
        <w:rPr>
          <w:lang w:val="en-US"/>
        </w:rPr>
        <w:t xml:space="preserve"> </w:t>
      </w:r>
      <w:r w:rsidRPr="0068191E">
        <w:rPr>
          <w:lang w:val="en-US"/>
        </w:rPr>
        <w:t>%).</w:t>
      </w:r>
    </w:p>
    <w:p w14:paraId="5B86D42E" w14:textId="77777777" w:rsidR="006D3AD5" w:rsidRPr="002C224A" w:rsidRDefault="006D3AD5" w:rsidP="006D3AD5"/>
    <w:p w14:paraId="5E86BD27" w14:textId="77777777" w:rsidR="006D3AD5" w:rsidRPr="002C224A" w:rsidRDefault="006D3AD5" w:rsidP="006D3AD5"/>
    <w:p w14:paraId="72137634" w14:textId="437CE110" w:rsidR="006D3AD5" w:rsidRPr="002C224A" w:rsidRDefault="006D3AD5" w:rsidP="006D3AD5">
      <w:pPr>
        <w:pStyle w:val="Titulek"/>
      </w:pPr>
      <w:r>
        <w:t xml:space="preserve">Table </w:t>
      </w:r>
      <w:r w:rsidR="008E5253">
        <w:t>13</w:t>
      </w:r>
      <w:r w:rsidR="00B90ACD">
        <w:t>8</w:t>
      </w:r>
      <w:r>
        <w:t>: Survey no. 2 - Focus on the support of business project of starting up companies</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firstRow="1" w:lastRow="0" w:firstColumn="1" w:lastColumn="0" w:noHBand="0" w:noVBand="0"/>
      </w:tblPr>
      <w:tblGrid>
        <w:gridCol w:w="2438"/>
        <w:gridCol w:w="6788"/>
      </w:tblGrid>
      <w:tr w:rsidR="006D3AD5" w:rsidRPr="002C224A" w14:paraId="7F8DA1D4" w14:textId="77777777" w:rsidTr="00443B8F">
        <w:tc>
          <w:tcPr>
            <w:tcW w:w="9226" w:type="dxa"/>
            <w:gridSpan w:val="2"/>
            <w:shd w:val="clear" w:color="auto" w:fill="ECFFC3"/>
          </w:tcPr>
          <w:p w14:paraId="6FAA9E73" w14:textId="77777777" w:rsidR="006D3AD5" w:rsidRPr="00A50943" w:rsidRDefault="006D3AD5" w:rsidP="00443B8F">
            <w:pPr>
              <w:ind w:left="38"/>
              <w:rPr>
                <w:b/>
              </w:rPr>
            </w:pPr>
            <w:r>
              <w:rPr>
                <w:b/>
              </w:rPr>
              <w:t>Survey no. 2 - Focus on the support of business project of starting up companies</w:t>
            </w:r>
          </w:p>
        </w:tc>
      </w:tr>
      <w:tr w:rsidR="006D3AD5" w:rsidRPr="002C224A" w14:paraId="280F26EF" w14:textId="77777777" w:rsidTr="00443B8F">
        <w:tc>
          <w:tcPr>
            <w:tcW w:w="2438" w:type="dxa"/>
            <w:shd w:val="clear" w:color="auto" w:fill="92D400"/>
            <w:noWrap/>
          </w:tcPr>
          <w:p w14:paraId="77862C30" w14:textId="77777777" w:rsidR="006D3AD5" w:rsidRPr="002C224A" w:rsidRDefault="006D3AD5" w:rsidP="00443B8F">
            <w:pPr>
              <w:jc w:val="left"/>
              <w:rPr>
                <w:b/>
                <w:color w:val="FFFFFF"/>
              </w:rPr>
            </w:pPr>
            <w:r>
              <w:rPr>
                <w:b/>
                <w:color w:val="FFFFFF"/>
              </w:rPr>
              <w:t>Thematic focus</w:t>
            </w:r>
          </w:p>
        </w:tc>
        <w:tc>
          <w:tcPr>
            <w:tcW w:w="6788" w:type="dxa"/>
            <w:shd w:val="clear" w:color="auto" w:fill="FFFFFF"/>
            <w:noWrap/>
          </w:tcPr>
          <w:p w14:paraId="715A161C" w14:textId="77777777" w:rsidR="006D3AD5" w:rsidRPr="002C224A" w:rsidRDefault="006D3AD5" w:rsidP="00443B8F">
            <w:r>
              <w:rPr>
                <w:i/>
              </w:rPr>
              <w:t xml:space="preserve">Will be added by the MIT </w:t>
            </w:r>
            <w:r>
              <w:t>– SO 2.1</w:t>
            </w:r>
          </w:p>
        </w:tc>
      </w:tr>
      <w:tr w:rsidR="006D3AD5" w:rsidRPr="002C224A" w14:paraId="2A1B1DD2" w14:textId="77777777" w:rsidTr="00443B8F">
        <w:tc>
          <w:tcPr>
            <w:tcW w:w="2438" w:type="dxa"/>
            <w:shd w:val="clear" w:color="auto" w:fill="92D400"/>
            <w:noWrap/>
          </w:tcPr>
          <w:p w14:paraId="685574EA" w14:textId="77777777" w:rsidR="006D3AD5" w:rsidRPr="002C224A" w:rsidRDefault="006D3AD5" w:rsidP="00443B8F">
            <w:pPr>
              <w:jc w:val="left"/>
              <w:rPr>
                <w:b/>
                <w:color w:val="FFFFFF"/>
              </w:rPr>
            </w:pPr>
            <w:r>
              <w:rPr>
                <w:b/>
                <w:color w:val="FFFFFF"/>
              </w:rPr>
              <w:t>Date of execution of the survey</w:t>
            </w:r>
          </w:p>
        </w:tc>
        <w:tc>
          <w:tcPr>
            <w:tcW w:w="6788" w:type="dxa"/>
            <w:shd w:val="clear" w:color="auto" w:fill="FFFFFF"/>
            <w:noWrap/>
          </w:tcPr>
          <w:p w14:paraId="317329E6" w14:textId="77777777" w:rsidR="006D3AD5" w:rsidRPr="002C224A" w:rsidRDefault="006D3AD5" w:rsidP="00443B8F">
            <w:pPr>
              <w:rPr>
                <w:i/>
              </w:rPr>
            </w:pPr>
            <w:r>
              <w:rPr>
                <w:i/>
              </w:rPr>
              <w:t>From 30th January to 15th February 2015</w:t>
            </w:r>
          </w:p>
        </w:tc>
      </w:tr>
      <w:tr w:rsidR="006D3AD5" w:rsidRPr="002C224A" w14:paraId="42AC7124" w14:textId="77777777" w:rsidTr="00443B8F">
        <w:tc>
          <w:tcPr>
            <w:tcW w:w="2438" w:type="dxa"/>
            <w:shd w:val="clear" w:color="auto" w:fill="92D400"/>
            <w:noWrap/>
          </w:tcPr>
          <w:p w14:paraId="6D53BCC8" w14:textId="77777777" w:rsidR="006D3AD5" w:rsidRPr="002C224A" w:rsidRDefault="006D3AD5" w:rsidP="00443B8F">
            <w:pPr>
              <w:jc w:val="left"/>
              <w:rPr>
                <w:b/>
                <w:color w:val="FFFFFF"/>
              </w:rPr>
            </w:pPr>
            <w:r>
              <w:rPr>
                <w:b/>
                <w:color w:val="FFFFFF"/>
              </w:rPr>
              <w:t>Number of reached people</w:t>
            </w:r>
          </w:p>
        </w:tc>
        <w:tc>
          <w:tcPr>
            <w:tcW w:w="6788" w:type="dxa"/>
            <w:shd w:val="clear" w:color="auto" w:fill="FFFFFF"/>
            <w:noWrap/>
          </w:tcPr>
          <w:p w14:paraId="407E270A" w14:textId="77777777" w:rsidR="006D3AD5" w:rsidRPr="002C224A" w:rsidRDefault="006D3AD5" w:rsidP="00443B8F">
            <w:pPr>
              <w:rPr>
                <w:i/>
              </w:rPr>
            </w:pPr>
            <w:r>
              <w:rPr>
                <w:i/>
              </w:rPr>
              <w:t>55 organizations from colleges, incubators, accelerators, technology centres, technology transfer centres etc. that passed the survey to their contacts.</w:t>
            </w:r>
          </w:p>
        </w:tc>
      </w:tr>
      <w:tr w:rsidR="006D3AD5" w:rsidRPr="002C224A" w14:paraId="73DC85B9" w14:textId="77777777" w:rsidTr="00443B8F">
        <w:tc>
          <w:tcPr>
            <w:tcW w:w="2438" w:type="dxa"/>
            <w:shd w:val="clear" w:color="auto" w:fill="92D400"/>
            <w:noWrap/>
          </w:tcPr>
          <w:p w14:paraId="6C7D48FE" w14:textId="77777777" w:rsidR="006D3AD5" w:rsidRPr="002C224A" w:rsidRDefault="006D3AD5" w:rsidP="00443B8F">
            <w:pPr>
              <w:jc w:val="left"/>
              <w:rPr>
                <w:b/>
                <w:color w:val="FFFFFF"/>
              </w:rPr>
            </w:pPr>
            <w:r>
              <w:rPr>
                <w:b/>
                <w:color w:val="FFFFFF"/>
              </w:rPr>
              <w:t>Selection of reached people</w:t>
            </w:r>
          </w:p>
        </w:tc>
        <w:tc>
          <w:tcPr>
            <w:tcW w:w="6788" w:type="dxa"/>
            <w:shd w:val="clear" w:color="auto" w:fill="FFFFFF"/>
            <w:noWrap/>
          </w:tcPr>
          <w:p w14:paraId="1D662D17" w14:textId="77777777" w:rsidR="006D3AD5" w:rsidRPr="002C224A" w:rsidRDefault="006D3AD5" w:rsidP="00443B8F">
            <w:pPr>
              <w:rPr>
                <w:i/>
              </w:rPr>
            </w:pPr>
            <w:r>
              <w:rPr>
                <w:i/>
              </w:rPr>
              <w:t>Startups and spinoffs from the environment of infrastructure for support of startup businesses and RD commercialization</w:t>
            </w:r>
          </w:p>
        </w:tc>
      </w:tr>
      <w:tr w:rsidR="006D3AD5" w:rsidRPr="002C224A" w14:paraId="1193B03C" w14:textId="77777777" w:rsidTr="00443B8F">
        <w:tc>
          <w:tcPr>
            <w:tcW w:w="2438" w:type="dxa"/>
            <w:shd w:val="clear" w:color="auto" w:fill="92D400"/>
            <w:noWrap/>
          </w:tcPr>
          <w:p w14:paraId="6E02F726" w14:textId="77777777" w:rsidR="006D3AD5" w:rsidRPr="002C224A" w:rsidRDefault="006D3AD5" w:rsidP="00443B8F">
            <w:pPr>
              <w:jc w:val="left"/>
              <w:rPr>
                <w:b/>
                <w:color w:val="FFFFFF"/>
              </w:rPr>
            </w:pPr>
            <w:r>
              <w:rPr>
                <w:b/>
                <w:color w:val="FFFFFF"/>
              </w:rPr>
              <w:lastRenderedPageBreak/>
              <w:t>Form of addressing</w:t>
            </w:r>
          </w:p>
        </w:tc>
        <w:tc>
          <w:tcPr>
            <w:tcW w:w="6788" w:type="dxa"/>
            <w:shd w:val="clear" w:color="auto" w:fill="FFFFFF"/>
            <w:noWrap/>
          </w:tcPr>
          <w:p w14:paraId="02D07135" w14:textId="77777777" w:rsidR="006D3AD5" w:rsidRPr="002C224A" w:rsidRDefault="006D3AD5" w:rsidP="00443B8F">
            <w:pPr>
              <w:rPr>
                <w:i/>
              </w:rPr>
            </w:pPr>
            <w:r>
              <w:rPr>
                <w:i/>
              </w:rPr>
              <w:t>E-mail to intermediary subjects who then addressed target startups. News in internet media.</w:t>
            </w:r>
          </w:p>
        </w:tc>
      </w:tr>
      <w:tr w:rsidR="006D3AD5" w:rsidRPr="002C224A" w14:paraId="1387007F" w14:textId="77777777" w:rsidTr="00443B8F">
        <w:tc>
          <w:tcPr>
            <w:tcW w:w="2438" w:type="dxa"/>
            <w:shd w:val="clear" w:color="auto" w:fill="92D400"/>
            <w:noWrap/>
          </w:tcPr>
          <w:p w14:paraId="69DCA731" w14:textId="77777777" w:rsidR="006D3AD5" w:rsidRPr="002C224A" w:rsidRDefault="006D3AD5" w:rsidP="00443B8F">
            <w:pPr>
              <w:jc w:val="left"/>
              <w:rPr>
                <w:b/>
                <w:color w:val="FFFFFF"/>
              </w:rPr>
            </w:pPr>
            <w:r>
              <w:rPr>
                <w:b/>
                <w:color w:val="FFFFFF"/>
              </w:rPr>
              <w:t>Number of answers</w:t>
            </w:r>
          </w:p>
        </w:tc>
        <w:tc>
          <w:tcPr>
            <w:tcW w:w="6788" w:type="dxa"/>
            <w:shd w:val="clear" w:color="auto" w:fill="FFFFFF"/>
            <w:noWrap/>
          </w:tcPr>
          <w:p w14:paraId="5106F8E3" w14:textId="77777777" w:rsidR="006D3AD5" w:rsidRPr="002C224A" w:rsidRDefault="006D3AD5" w:rsidP="00443B8F">
            <w:pPr>
              <w:rPr>
                <w:i/>
              </w:rPr>
            </w:pPr>
            <w:r>
              <w:rPr>
                <w:i/>
              </w:rPr>
              <w:t>76</w:t>
            </w:r>
          </w:p>
        </w:tc>
      </w:tr>
      <w:tr w:rsidR="006D3AD5" w:rsidRPr="002C224A" w14:paraId="131196B4" w14:textId="77777777" w:rsidTr="00443B8F">
        <w:tc>
          <w:tcPr>
            <w:tcW w:w="2438" w:type="dxa"/>
            <w:shd w:val="clear" w:color="auto" w:fill="92D400"/>
            <w:noWrap/>
          </w:tcPr>
          <w:p w14:paraId="3D2ACE6C" w14:textId="77777777" w:rsidR="006D3AD5" w:rsidRPr="002C224A" w:rsidRDefault="006D3AD5" w:rsidP="00443B8F">
            <w:pPr>
              <w:jc w:val="left"/>
              <w:rPr>
                <w:b/>
                <w:color w:val="FFFFFF"/>
              </w:rPr>
            </w:pPr>
            <w:r>
              <w:rPr>
                <w:b/>
                <w:color w:val="FFFFFF"/>
              </w:rPr>
              <w:t>Supplementary comment</w:t>
            </w:r>
          </w:p>
        </w:tc>
        <w:tc>
          <w:tcPr>
            <w:tcW w:w="6788" w:type="dxa"/>
            <w:shd w:val="clear" w:color="auto" w:fill="FFFFFF"/>
            <w:noWrap/>
          </w:tcPr>
          <w:p w14:paraId="2E3DC73F" w14:textId="77777777" w:rsidR="006D3AD5" w:rsidRPr="002C224A" w:rsidRDefault="006D3AD5" w:rsidP="00443B8F">
            <w:pPr>
              <w:rPr>
                <w:i/>
              </w:rPr>
            </w:pPr>
          </w:p>
        </w:tc>
      </w:tr>
    </w:tbl>
    <w:p w14:paraId="3A6DDF86" w14:textId="348274CB" w:rsidR="001F0554" w:rsidRPr="00B13B66" w:rsidRDefault="001F0554" w:rsidP="001F0554">
      <w:pPr>
        <w:rPr>
          <w:lang w:val="en-US"/>
        </w:rPr>
      </w:pPr>
      <w:r w:rsidRPr="00B13B66">
        <w:rPr>
          <w:lang w:val="en-US"/>
        </w:rPr>
        <w:t xml:space="preserve">72% of the responses are represented by the companies established after 2010, the sample includes 78% of micro and 16% of small enterprises. It contains respondents from all regions of Czech Republic </w:t>
      </w:r>
      <w:hyperlink r:id="rId70" w:history="1">
        <w:r w:rsidRPr="00B13B66">
          <w:rPr>
            <w:lang w:val="en-US"/>
          </w:rPr>
          <w:t>except</w:t>
        </w:r>
      </w:hyperlink>
      <w:r w:rsidRPr="00B13B66">
        <w:rPr>
          <w:lang w:val="en-US"/>
        </w:rPr>
        <w:t xml:space="preserve"> </w:t>
      </w:r>
      <w:hyperlink r:id="rId71" w:history="1">
        <w:r w:rsidRPr="00B13B66">
          <w:rPr>
            <w:lang w:val="en-US"/>
          </w:rPr>
          <w:t>of</w:t>
        </w:r>
      </w:hyperlink>
      <w:r w:rsidRPr="00B13B66">
        <w:rPr>
          <w:lang w:val="en-US"/>
        </w:rPr>
        <w:t xml:space="preserve"> the City of Prague, </w:t>
      </w:r>
      <w:hyperlink r:id="rId72" w:history="1">
        <w:r w:rsidRPr="00B13B66">
          <w:rPr>
            <w:lang w:val="en-US"/>
          </w:rPr>
          <w:t>most</w:t>
        </w:r>
      </w:hyperlink>
      <w:r w:rsidRPr="00B13B66">
        <w:rPr>
          <w:lang w:val="en-US"/>
        </w:rPr>
        <w:t xml:space="preserve"> </w:t>
      </w:r>
      <w:hyperlink r:id="rId73" w:history="1">
        <w:r w:rsidRPr="00B13B66">
          <w:rPr>
            <w:lang w:val="en-US"/>
          </w:rPr>
          <w:t>significant</w:t>
        </w:r>
      </w:hyperlink>
      <w:r w:rsidRPr="00B13B66">
        <w:rPr>
          <w:lang w:val="en-US"/>
        </w:rPr>
        <w:t>ly by Central Bohemian region (37 %) and South Moravian region (29 %) followed by the Moravian-Silesian and Pilsner region (18 %</w:t>
      </w:r>
      <w:r w:rsidR="00066D0F">
        <w:rPr>
          <w:rStyle w:val="Znakapoznpodarou"/>
          <w:lang w:val="en-US"/>
        </w:rPr>
        <w:footnoteReference w:id="72"/>
      </w:r>
      <w:r w:rsidRPr="00B13B66">
        <w:rPr>
          <w:lang w:val="en-US"/>
        </w:rPr>
        <w:t>).</w:t>
      </w:r>
    </w:p>
    <w:p w14:paraId="24CF3090" w14:textId="77777777" w:rsidR="006D3AD5" w:rsidRPr="002C224A" w:rsidRDefault="006D3AD5" w:rsidP="006D3AD5"/>
    <w:p w14:paraId="3B86CE7E" w14:textId="77777777" w:rsidR="006D3AD5" w:rsidRPr="002C224A" w:rsidRDefault="006D3AD5" w:rsidP="006D3AD5">
      <w:pPr>
        <w:pStyle w:val="Nadpis3"/>
        <w:rPr>
          <w:rFonts w:ascii="Calibri" w:hAnsi="Calibri"/>
        </w:rPr>
      </w:pPr>
      <w:bookmarkStart w:id="1559" w:name="_Toc419183303"/>
      <w:bookmarkStart w:id="1560" w:name="_Toc422312165"/>
      <w:r>
        <w:rPr>
          <w:rFonts w:ascii="Calibri" w:hAnsi="Calibri"/>
        </w:rPr>
        <w:t>Conclusions from the survey</w:t>
      </w:r>
      <w:bookmarkEnd w:id="1559"/>
      <w:bookmarkEnd w:id="1560"/>
    </w:p>
    <w:p w14:paraId="3DAC8ADF" w14:textId="77777777" w:rsidR="006D3AD5" w:rsidRPr="00A50943" w:rsidRDefault="006D3AD5" w:rsidP="006D3AD5">
      <w:pPr>
        <w:pStyle w:val="Neslovannadpisy"/>
      </w:pPr>
      <w:r>
        <w:t>Survey no. 1 – Focus on the OP EIC as a whole</w:t>
      </w:r>
    </w:p>
    <w:p w14:paraId="1F585159" w14:textId="77777777" w:rsidR="006D3AD5" w:rsidRPr="002C224A" w:rsidRDefault="006D3AD5" w:rsidP="006D3AD5">
      <w:r>
        <w:t>Among the key conclusions from the survey belong:</w:t>
      </w:r>
    </w:p>
    <w:p w14:paraId="1A358FFC" w14:textId="77777777" w:rsidR="006D3AD5" w:rsidRPr="002C224A" w:rsidRDefault="006D3AD5" w:rsidP="006D3AD5">
      <w:pPr>
        <w:pStyle w:val="Odstavecseseznamem1"/>
        <w:numPr>
          <w:ilvl w:val="0"/>
          <w:numId w:val="45"/>
        </w:numPr>
        <w:overflowPunct/>
        <w:autoSpaceDE/>
        <w:autoSpaceDN/>
        <w:adjustRightInd/>
        <w:spacing w:after="120"/>
        <w:textAlignment w:val="auto"/>
      </w:pPr>
      <w:r>
        <w:t xml:space="preserve">Average interest rate for external financing was 3.9% p.a. </w:t>
      </w:r>
    </w:p>
    <w:p w14:paraId="13E1896C" w14:textId="77777777" w:rsidR="006D3AD5" w:rsidRPr="002C224A" w:rsidRDefault="006D3AD5" w:rsidP="006D3AD5">
      <w:pPr>
        <w:pStyle w:val="Odstavecseseznamem1"/>
        <w:numPr>
          <w:ilvl w:val="0"/>
          <w:numId w:val="45"/>
        </w:numPr>
        <w:overflowPunct/>
        <w:autoSpaceDE/>
        <w:autoSpaceDN/>
        <w:adjustRightInd/>
        <w:spacing w:after="120"/>
        <w:textAlignment w:val="auto"/>
      </w:pPr>
      <w:r>
        <w:t>Average due period is between 6 and 7 years.</w:t>
      </w:r>
    </w:p>
    <w:p w14:paraId="4E61A3AA" w14:textId="77777777" w:rsidR="006D3AD5" w:rsidRPr="002C224A" w:rsidRDefault="006D3AD5" w:rsidP="006D3AD5">
      <w:pPr>
        <w:pStyle w:val="Odstavecseseznamem1"/>
        <w:numPr>
          <w:ilvl w:val="0"/>
          <w:numId w:val="45"/>
        </w:numPr>
        <w:overflowPunct/>
        <w:autoSpaceDE/>
        <w:autoSpaceDN/>
        <w:adjustRightInd/>
        <w:spacing w:after="120"/>
        <w:textAlignment w:val="auto"/>
      </w:pPr>
      <w:r>
        <w:t>A lot of respondents have difficulty with securing external sources for their investments.</w:t>
      </w:r>
    </w:p>
    <w:p w14:paraId="12D089C7" w14:textId="77777777" w:rsidR="006D3AD5" w:rsidRDefault="006D3AD5" w:rsidP="006D3AD5">
      <w:pPr>
        <w:pStyle w:val="Odstavecseseznamem1"/>
        <w:numPr>
          <w:ilvl w:val="0"/>
          <w:numId w:val="45"/>
        </w:numPr>
        <w:overflowPunct/>
        <w:autoSpaceDE/>
        <w:autoSpaceDN/>
        <w:adjustRightInd/>
        <w:spacing w:after="120"/>
        <w:textAlignment w:val="auto"/>
      </w:pPr>
      <w:r>
        <w:t>In case of using the financial instruments there is a lot of respondents who would be interested in receiving the support from the OP EIC.</w:t>
      </w:r>
    </w:p>
    <w:p w14:paraId="30A97AC3" w14:textId="77777777" w:rsidR="00D74EC4" w:rsidRDefault="00D74EC4" w:rsidP="00685AEF">
      <w:pPr>
        <w:pStyle w:val="Odstavecseseznamem1"/>
        <w:overflowPunct/>
        <w:autoSpaceDE/>
        <w:autoSpaceDN/>
        <w:adjustRightInd/>
        <w:spacing w:after="120"/>
        <w:ind w:left="0"/>
        <w:textAlignment w:val="auto"/>
      </w:pPr>
    </w:p>
    <w:p w14:paraId="4E1FAFD6" w14:textId="77777777" w:rsidR="00D74EC4" w:rsidRPr="002C224A" w:rsidRDefault="00D74EC4" w:rsidP="00685AEF">
      <w:pPr>
        <w:pStyle w:val="Odstavecseseznamem1"/>
        <w:overflowPunct/>
        <w:autoSpaceDE/>
        <w:autoSpaceDN/>
        <w:adjustRightInd/>
        <w:spacing w:after="120"/>
        <w:ind w:left="0"/>
        <w:textAlignment w:val="auto"/>
      </w:pPr>
      <w:r>
        <w:t>More detailed results are listed in the market analysis by the specific objectives.</w:t>
      </w:r>
    </w:p>
    <w:p w14:paraId="3032662B" w14:textId="77777777" w:rsidR="006D3AD5" w:rsidRPr="00A50943" w:rsidRDefault="006D3AD5" w:rsidP="006D3AD5"/>
    <w:p w14:paraId="18864CE0" w14:textId="77777777" w:rsidR="006D3AD5" w:rsidRPr="002C224A" w:rsidRDefault="006D3AD5" w:rsidP="006D3AD5">
      <w:pPr>
        <w:pStyle w:val="Neslovannadpisy"/>
      </w:pPr>
      <w:r>
        <w:t>Survey no. 2 - Focus on the support of business project of starting up companies</w:t>
      </w:r>
    </w:p>
    <w:p w14:paraId="733FEB43" w14:textId="77777777" w:rsidR="006D3AD5" w:rsidRPr="002C224A" w:rsidRDefault="006D3AD5" w:rsidP="006D3AD5">
      <w:r>
        <w:t>Among the key conclusions from the survey belong:</w:t>
      </w:r>
    </w:p>
    <w:p w14:paraId="76316AE3" w14:textId="77777777" w:rsidR="006D3AD5" w:rsidRPr="002C224A" w:rsidRDefault="006D3AD5" w:rsidP="006D3AD5">
      <w:pPr>
        <w:pStyle w:val="Odstavecseseznamem1"/>
        <w:numPr>
          <w:ilvl w:val="0"/>
          <w:numId w:val="45"/>
        </w:numPr>
        <w:overflowPunct/>
        <w:autoSpaceDE/>
        <w:autoSpaceDN/>
        <w:adjustRightInd/>
        <w:spacing w:after="120"/>
        <w:textAlignment w:val="auto"/>
      </w:pPr>
      <w:r>
        <w:t xml:space="preserve">Average interest rate for external financing was 6.2 % p.a. </w:t>
      </w:r>
    </w:p>
    <w:p w14:paraId="60DE88EA" w14:textId="77777777" w:rsidR="006D3AD5" w:rsidRPr="002C224A" w:rsidRDefault="006D3AD5" w:rsidP="006D3AD5">
      <w:pPr>
        <w:pStyle w:val="Odstavecseseznamem1"/>
        <w:numPr>
          <w:ilvl w:val="0"/>
          <w:numId w:val="45"/>
        </w:numPr>
        <w:overflowPunct/>
        <w:autoSpaceDE/>
        <w:autoSpaceDN/>
        <w:adjustRightInd/>
        <w:spacing w:after="120"/>
        <w:textAlignment w:val="auto"/>
      </w:pPr>
      <w:r>
        <w:t>Average due period is between 4 and 5 years.</w:t>
      </w:r>
    </w:p>
    <w:p w14:paraId="54375BFD" w14:textId="77777777" w:rsidR="006D3AD5" w:rsidRPr="002C224A" w:rsidRDefault="006D3AD5" w:rsidP="006D3AD5">
      <w:pPr>
        <w:pStyle w:val="Odstavecseseznamem1"/>
        <w:numPr>
          <w:ilvl w:val="0"/>
          <w:numId w:val="45"/>
        </w:numPr>
        <w:overflowPunct/>
        <w:autoSpaceDE/>
        <w:autoSpaceDN/>
        <w:adjustRightInd/>
        <w:spacing w:after="120"/>
        <w:textAlignment w:val="auto"/>
      </w:pPr>
      <w:r>
        <w:t>A lot of respondents have difficulty with securing external sources for their investments.</w:t>
      </w:r>
    </w:p>
    <w:p w14:paraId="6AD0D0B9" w14:textId="77777777" w:rsidR="006D3AD5" w:rsidRDefault="006D3AD5" w:rsidP="006D3AD5">
      <w:pPr>
        <w:pStyle w:val="Odstavecseseznamem1"/>
        <w:numPr>
          <w:ilvl w:val="0"/>
          <w:numId w:val="45"/>
        </w:numPr>
        <w:overflowPunct/>
        <w:autoSpaceDE/>
        <w:autoSpaceDN/>
        <w:adjustRightInd/>
        <w:spacing w:after="120"/>
        <w:textAlignment w:val="auto"/>
      </w:pPr>
      <w:r>
        <w:t>In case of using the financial instruments there is a lot of respondents who would be interested in receiving the support from the OP EIC.</w:t>
      </w:r>
    </w:p>
    <w:p w14:paraId="70D75265" w14:textId="77777777" w:rsidR="00D74EC4" w:rsidRDefault="00D74EC4" w:rsidP="00685AEF">
      <w:pPr>
        <w:pStyle w:val="Odstavecseseznamem1"/>
        <w:overflowPunct/>
        <w:autoSpaceDE/>
        <w:autoSpaceDN/>
        <w:adjustRightInd/>
        <w:spacing w:after="120"/>
        <w:ind w:left="0"/>
        <w:textAlignment w:val="auto"/>
      </w:pPr>
    </w:p>
    <w:p w14:paraId="0F6D2CBF" w14:textId="7C5F83B1" w:rsidR="00D74EC4" w:rsidRPr="002C224A" w:rsidRDefault="00D74EC4" w:rsidP="00685AEF">
      <w:pPr>
        <w:pStyle w:val="Odstavecseseznamem1"/>
        <w:overflowPunct/>
        <w:autoSpaceDE/>
        <w:autoSpaceDN/>
        <w:adjustRightInd/>
        <w:spacing w:after="120"/>
        <w:ind w:left="0"/>
        <w:textAlignment w:val="auto"/>
      </w:pPr>
      <w:r>
        <w:t>More detailed results are listed in the market analysis by the specific objectives.</w:t>
      </w:r>
    </w:p>
    <w:p w14:paraId="1ADA15B0" w14:textId="77777777" w:rsidR="006D3AD5" w:rsidRPr="002C224A" w:rsidRDefault="006D3AD5" w:rsidP="006D3AD5">
      <w:pPr>
        <w:pStyle w:val="Nadpis2"/>
        <w:rPr>
          <w:rFonts w:ascii="Calibri" w:hAnsi="Calibri"/>
        </w:rPr>
      </w:pPr>
      <w:bookmarkStart w:id="1561" w:name="_Toc421195544"/>
      <w:bookmarkStart w:id="1562" w:name="_Toc421195545"/>
      <w:bookmarkStart w:id="1563" w:name="_Toc421195546"/>
      <w:bookmarkStart w:id="1564" w:name="_Toc421180808"/>
      <w:bookmarkStart w:id="1565" w:name="_Toc421195547"/>
      <w:bookmarkStart w:id="1566" w:name="_Toc421180809"/>
      <w:bookmarkStart w:id="1567" w:name="_Toc421195548"/>
      <w:bookmarkStart w:id="1568" w:name="_Toc421180810"/>
      <w:bookmarkStart w:id="1569" w:name="_Toc421195549"/>
      <w:bookmarkStart w:id="1570" w:name="_Toc421180811"/>
      <w:bookmarkStart w:id="1571" w:name="_Toc421195550"/>
      <w:bookmarkStart w:id="1572" w:name="_Toc421180812"/>
      <w:bookmarkStart w:id="1573" w:name="_Toc421195551"/>
      <w:bookmarkStart w:id="1574" w:name="_Toc421180813"/>
      <w:bookmarkStart w:id="1575" w:name="_Toc421195552"/>
      <w:bookmarkStart w:id="1576" w:name="_Toc421180814"/>
      <w:bookmarkStart w:id="1577" w:name="_Toc421195553"/>
      <w:bookmarkStart w:id="1578" w:name="_Toc421180815"/>
      <w:bookmarkStart w:id="1579" w:name="_Toc421195554"/>
      <w:bookmarkStart w:id="1580" w:name="_Toc421180816"/>
      <w:bookmarkStart w:id="1581" w:name="_Toc421195555"/>
      <w:bookmarkStart w:id="1582" w:name="_Toc421180817"/>
      <w:bookmarkStart w:id="1583" w:name="_Toc421195556"/>
      <w:bookmarkStart w:id="1584" w:name="_Toc421180818"/>
      <w:bookmarkStart w:id="1585" w:name="_Toc421195557"/>
      <w:bookmarkStart w:id="1586" w:name="_Toc419183308"/>
      <w:bookmarkStart w:id="1587" w:name="_Toc42231216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rPr>
          <w:rFonts w:ascii="Calibri" w:hAnsi="Calibri"/>
        </w:rPr>
        <w:t>Controlled discussions</w:t>
      </w:r>
      <w:bookmarkEnd w:id="1586"/>
      <w:bookmarkEnd w:id="1587"/>
    </w:p>
    <w:p w14:paraId="3B7EAF65" w14:textId="77777777" w:rsidR="006D3AD5" w:rsidRPr="002C224A" w:rsidRDefault="006D3AD5" w:rsidP="006D3AD5">
      <w:pPr>
        <w:pStyle w:val="Nadpis3"/>
        <w:rPr>
          <w:rFonts w:ascii="Calibri" w:hAnsi="Calibri"/>
        </w:rPr>
      </w:pPr>
      <w:bookmarkStart w:id="1588" w:name="_Toc419183309"/>
      <w:bookmarkStart w:id="1589" w:name="_Toc422312167"/>
      <w:r>
        <w:rPr>
          <w:rFonts w:ascii="Calibri" w:hAnsi="Calibri"/>
        </w:rPr>
        <w:t>List of consulted subjects</w:t>
      </w:r>
      <w:bookmarkEnd w:id="1588"/>
      <w:bookmarkEnd w:id="1589"/>
    </w:p>
    <w:p w14:paraId="061B80D9" w14:textId="77777777" w:rsidR="006D3AD5" w:rsidRPr="00A50943" w:rsidRDefault="006D3AD5" w:rsidP="006D3AD5">
      <w:pPr>
        <w:rPr>
          <w:b/>
        </w:rPr>
      </w:pPr>
      <w:r>
        <w:rPr>
          <w:b/>
        </w:rPr>
        <w:t>Financial market:</w:t>
      </w:r>
    </w:p>
    <w:p w14:paraId="682ABF6D" w14:textId="77777777" w:rsidR="006D3AD5" w:rsidRPr="002C224A" w:rsidRDefault="006D3AD5" w:rsidP="006D3AD5">
      <w:r>
        <w:t>Czech Bank Association</w:t>
      </w:r>
    </w:p>
    <w:p w14:paraId="4AFE9416" w14:textId="77777777" w:rsidR="006D3AD5" w:rsidRPr="002C224A" w:rsidRDefault="006D3AD5" w:rsidP="006D3AD5">
      <w:r>
        <w:t>Czech Private Equity&amp; Venture Capital Association</w:t>
      </w:r>
    </w:p>
    <w:p w14:paraId="2383E184" w14:textId="77777777" w:rsidR="006D3AD5" w:rsidRPr="002C224A" w:rsidRDefault="006D3AD5" w:rsidP="006D3AD5">
      <w:r>
        <w:t>Czech-Moravian Guarantee and Development Bank</w:t>
      </w:r>
    </w:p>
    <w:p w14:paraId="156F5069" w14:textId="77777777" w:rsidR="006D3AD5" w:rsidRPr="002C224A" w:rsidRDefault="006D3AD5" w:rsidP="006D3AD5">
      <w:pPr>
        <w:rPr>
          <w:bCs/>
        </w:rPr>
      </w:pPr>
      <w:r>
        <w:t>Prague Stock Exchange</w:t>
      </w:r>
    </w:p>
    <w:p w14:paraId="6A6C7C3F" w14:textId="77777777" w:rsidR="006D3AD5" w:rsidRPr="002C224A" w:rsidRDefault="006D3AD5" w:rsidP="006D3AD5">
      <w:pPr>
        <w:rPr>
          <w:bCs/>
        </w:rPr>
      </w:pPr>
      <w:r>
        <w:t>Equity Market Association</w:t>
      </w:r>
    </w:p>
    <w:p w14:paraId="5EE76E40" w14:textId="77777777" w:rsidR="006D3AD5" w:rsidRPr="002C224A" w:rsidRDefault="006D3AD5" w:rsidP="006D3AD5"/>
    <w:p w14:paraId="6F7D86A2" w14:textId="77777777" w:rsidR="006D3AD5" w:rsidRPr="002C224A" w:rsidRDefault="006D3AD5" w:rsidP="006D3AD5">
      <w:pPr>
        <w:rPr>
          <w:b/>
        </w:rPr>
      </w:pPr>
      <w:r>
        <w:rPr>
          <w:b/>
        </w:rPr>
        <w:t>Interest associations of target groups:</w:t>
      </w:r>
    </w:p>
    <w:p w14:paraId="3DA2D895" w14:textId="51C9E78C" w:rsidR="006D3AD5" w:rsidRPr="002C224A" w:rsidRDefault="006D3AD5" w:rsidP="006D3AD5">
      <w:r>
        <w:t xml:space="preserve">Association of </w:t>
      </w:r>
      <w:r w:rsidR="0042403A">
        <w:t>SME</w:t>
      </w:r>
      <w:r>
        <w:t>s</w:t>
      </w:r>
    </w:p>
    <w:p w14:paraId="2B5B9CFA" w14:textId="77777777" w:rsidR="006D3AD5" w:rsidRPr="002C224A" w:rsidRDefault="006D3AD5" w:rsidP="006D3AD5">
      <w:r>
        <w:t>Association of Industry and Transport</w:t>
      </w:r>
    </w:p>
    <w:p w14:paraId="74A1FC48" w14:textId="77777777" w:rsidR="006D3AD5" w:rsidRPr="002C224A" w:rsidRDefault="006D3AD5" w:rsidP="006D3AD5">
      <w:r>
        <w:t>Chamber of Commerce of the Czech Republic</w:t>
      </w:r>
    </w:p>
    <w:p w14:paraId="055851B8" w14:textId="77777777" w:rsidR="006D3AD5" w:rsidRPr="002C224A" w:rsidRDefault="006D3AD5" w:rsidP="006D3AD5"/>
    <w:p w14:paraId="2843A130" w14:textId="77777777" w:rsidR="006D3AD5" w:rsidRPr="002C224A" w:rsidRDefault="006D3AD5" w:rsidP="006D3AD5">
      <w:pPr>
        <w:rPr>
          <w:b/>
        </w:rPr>
      </w:pPr>
      <w:r>
        <w:rPr>
          <w:b/>
        </w:rPr>
        <w:lastRenderedPageBreak/>
        <w:t>Research, development, and innovation:</w:t>
      </w:r>
    </w:p>
    <w:p w14:paraId="458B81C2" w14:textId="77777777" w:rsidR="006D3AD5" w:rsidRPr="002C224A" w:rsidRDefault="006D3AD5" w:rsidP="006D3AD5">
      <w:r>
        <w:t>Czech Republic Science Academy</w:t>
      </w:r>
    </w:p>
    <w:p w14:paraId="13FDC8B8" w14:textId="77777777" w:rsidR="006D3AD5" w:rsidRPr="002C224A" w:rsidRDefault="006D3AD5" w:rsidP="006D3AD5">
      <w:r>
        <w:t>South-Moravian Innovation Centre</w:t>
      </w:r>
    </w:p>
    <w:p w14:paraId="0A09FB23" w14:textId="77777777" w:rsidR="006D3AD5" w:rsidRPr="002C224A" w:rsidRDefault="006D3AD5" w:rsidP="006D3AD5">
      <w:r>
        <w:t>Organic chemistry and biochemistry branch of the science academy of the CR</w:t>
      </w:r>
    </w:p>
    <w:p w14:paraId="3BF41B59" w14:textId="77777777" w:rsidR="006D3AD5" w:rsidRPr="002C224A" w:rsidRDefault="006D3AD5" w:rsidP="006D3AD5">
      <w:r>
        <w:t>AV CR Technology centre</w:t>
      </w:r>
    </w:p>
    <w:p w14:paraId="1EC9F090" w14:textId="77777777" w:rsidR="006D3AD5" w:rsidRPr="002C224A" w:rsidRDefault="006D3AD5" w:rsidP="006D3AD5">
      <w:r>
        <w:t>University committee</w:t>
      </w:r>
    </w:p>
    <w:p w14:paraId="441E85E0" w14:textId="77777777" w:rsidR="006D3AD5" w:rsidRPr="002C224A" w:rsidRDefault="006D3AD5" w:rsidP="006D3AD5">
      <w:r>
        <w:t>University of Economics, Prague</w:t>
      </w:r>
    </w:p>
    <w:p w14:paraId="6202B9BD" w14:textId="77777777" w:rsidR="006D3AD5" w:rsidRPr="002C224A" w:rsidRDefault="006D3AD5" w:rsidP="006D3AD5">
      <w:pPr>
        <w:rPr>
          <w:bCs/>
        </w:rPr>
      </w:pPr>
      <w:r>
        <w:t>Association of CR Technology Transfer professional</w:t>
      </w:r>
    </w:p>
    <w:p w14:paraId="1D9C7FEC" w14:textId="77777777" w:rsidR="006D3AD5" w:rsidRPr="002C224A" w:rsidRDefault="006D3AD5" w:rsidP="006D3AD5">
      <w:pPr>
        <w:rPr>
          <w:bCs/>
        </w:rPr>
      </w:pPr>
      <w:r>
        <w:t>WAYRA</w:t>
      </w:r>
    </w:p>
    <w:p w14:paraId="17E448AB" w14:textId="77777777" w:rsidR="006D3AD5" w:rsidRPr="002C224A" w:rsidRDefault="006D3AD5" w:rsidP="006D3AD5">
      <w:pPr>
        <w:rPr>
          <w:bCs/>
        </w:rPr>
      </w:pPr>
      <w:r>
        <w:t>Czech-Israeli Commerce Chamber</w:t>
      </w:r>
    </w:p>
    <w:p w14:paraId="2BC489FC" w14:textId="77777777" w:rsidR="006D3AD5" w:rsidRPr="002C224A" w:rsidRDefault="006D3AD5" w:rsidP="006D3AD5"/>
    <w:p w14:paraId="2DEE556D" w14:textId="77777777" w:rsidR="006D3AD5" w:rsidRPr="002C224A" w:rsidRDefault="006D3AD5" w:rsidP="006D3AD5">
      <w:pPr>
        <w:rPr>
          <w:b/>
        </w:rPr>
      </w:pPr>
    </w:p>
    <w:p w14:paraId="2B4FF803" w14:textId="77777777" w:rsidR="006D3AD5" w:rsidRPr="002C224A" w:rsidRDefault="006D3AD5" w:rsidP="006D3AD5">
      <w:pPr>
        <w:rPr>
          <w:b/>
        </w:rPr>
      </w:pPr>
      <w:r>
        <w:rPr>
          <w:b/>
        </w:rPr>
        <w:t>Business real estates:</w:t>
      </w:r>
    </w:p>
    <w:p w14:paraId="35EA5485" w14:textId="77777777" w:rsidR="006D3AD5" w:rsidRPr="002C224A" w:rsidRDefault="006D3AD5" w:rsidP="006D3AD5">
      <w:pPr>
        <w:rPr>
          <w:bCs/>
        </w:rPr>
      </w:pPr>
      <w:r>
        <w:t>CzechInvest</w:t>
      </w:r>
    </w:p>
    <w:p w14:paraId="79B94C74" w14:textId="77777777" w:rsidR="006D3AD5" w:rsidRPr="002C224A" w:rsidRDefault="006D3AD5" w:rsidP="006D3AD5">
      <w:r>
        <w:t>Czech-Moravian Guarantee and Development Bank</w:t>
      </w:r>
    </w:p>
    <w:p w14:paraId="54B6EBAF" w14:textId="77777777" w:rsidR="006D3AD5" w:rsidRPr="002C224A" w:rsidRDefault="006D3AD5" w:rsidP="006D3AD5">
      <w:pPr>
        <w:rPr>
          <w:bCs/>
        </w:rPr>
      </w:pPr>
      <w:r>
        <w:t>Contera</w:t>
      </w:r>
    </w:p>
    <w:p w14:paraId="087C87FF" w14:textId="77777777" w:rsidR="006D3AD5" w:rsidRPr="002C224A" w:rsidRDefault="006D3AD5" w:rsidP="006D3AD5"/>
    <w:p w14:paraId="2C79F8EF" w14:textId="77777777" w:rsidR="006D3AD5" w:rsidRPr="002C224A" w:rsidRDefault="006D3AD5" w:rsidP="006D3AD5">
      <w:pPr>
        <w:rPr>
          <w:b/>
        </w:rPr>
      </w:pPr>
      <w:r>
        <w:rPr>
          <w:b/>
        </w:rPr>
        <w:t>Energy effectiveness and renewable sources:</w:t>
      </w:r>
    </w:p>
    <w:p w14:paraId="5E4FC49C" w14:textId="77777777" w:rsidR="006D3AD5" w:rsidRPr="002C224A" w:rsidRDefault="006D3AD5" w:rsidP="006D3AD5">
      <w:r>
        <w:t>Change for Buildings</w:t>
      </w:r>
    </w:p>
    <w:p w14:paraId="35368211" w14:textId="77777777" w:rsidR="006D3AD5" w:rsidRPr="002C224A" w:rsidRDefault="006D3AD5" w:rsidP="006D3AD5">
      <w:r>
        <w:t>SeVen</w:t>
      </w:r>
    </w:p>
    <w:p w14:paraId="0728A783" w14:textId="77777777" w:rsidR="006D3AD5" w:rsidRPr="002C224A" w:rsidRDefault="006D3AD5" w:rsidP="006D3AD5">
      <w:r>
        <w:t>ENVIROS</w:t>
      </w:r>
    </w:p>
    <w:p w14:paraId="3DAEFE31" w14:textId="77777777" w:rsidR="006D3AD5" w:rsidRPr="002C224A" w:rsidRDefault="006D3AD5" w:rsidP="006D3AD5">
      <w:r>
        <w:t>Loyd Group</w:t>
      </w:r>
    </w:p>
    <w:p w14:paraId="7D5A8114" w14:textId="77777777" w:rsidR="006D3AD5" w:rsidRPr="002C224A" w:rsidRDefault="006D3AD5" w:rsidP="006D3AD5">
      <w:r>
        <w:t>APES</w:t>
      </w:r>
    </w:p>
    <w:p w14:paraId="1416CFF5" w14:textId="77777777" w:rsidR="006D3AD5" w:rsidRPr="002C224A" w:rsidRDefault="006D3AD5" w:rsidP="006D3AD5">
      <w:r>
        <w:t>Heating industry association</w:t>
      </w:r>
    </w:p>
    <w:p w14:paraId="4A34AEDD" w14:textId="77777777" w:rsidR="006D3AD5" w:rsidRPr="002C224A" w:rsidRDefault="006D3AD5" w:rsidP="006D3AD5"/>
    <w:p w14:paraId="62252B5A" w14:textId="77777777" w:rsidR="006D3AD5" w:rsidRPr="002C224A" w:rsidRDefault="006D3AD5" w:rsidP="006D3AD5">
      <w:pPr>
        <w:rPr>
          <w:b/>
        </w:rPr>
      </w:pPr>
      <w:r>
        <w:rPr>
          <w:b/>
        </w:rPr>
        <w:t>Broadband:</w:t>
      </w:r>
    </w:p>
    <w:p w14:paraId="46FCF815" w14:textId="77777777" w:rsidR="006D3AD5" w:rsidRPr="002C224A" w:rsidRDefault="006D3AD5" w:rsidP="006D3AD5">
      <w:r>
        <w:t>ICT Union</w:t>
      </w:r>
    </w:p>
    <w:p w14:paraId="71C6160B" w14:textId="77777777" w:rsidR="006D3AD5" w:rsidRPr="002C224A" w:rsidRDefault="006D3AD5" w:rsidP="006D3AD5"/>
    <w:p w14:paraId="57488AB9" w14:textId="77777777" w:rsidR="006D3AD5" w:rsidRPr="002C224A" w:rsidRDefault="006D3AD5" w:rsidP="006D3AD5"/>
    <w:p w14:paraId="14FEB63F" w14:textId="77777777" w:rsidR="006D3AD5" w:rsidRPr="002C224A" w:rsidRDefault="006D3AD5" w:rsidP="006D3AD5">
      <w:pPr>
        <w:pStyle w:val="Nadpis1"/>
        <w:rPr>
          <w:rFonts w:ascii="Calibri" w:hAnsi="Calibri"/>
        </w:rPr>
      </w:pPr>
      <w:r>
        <w:br w:type="page"/>
      </w:r>
      <w:bookmarkStart w:id="1590" w:name="_Toc419183310"/>
      <w:bookmarkStart w:id="1591" w:name="_Toc422312168"/>
      <w:r>
        <w:rPr>
          <w:rFonts w:ascii="Calibri" w:hAnsi="Calibri"/>
        </w:rPr>
        <w:lastRenderedPageBreak/>
        <w:t>Sources used</w:t>
      </w:r>
      <w:bookmarkEnd w:id="1590"/>
      <w:bookmarkEnd w:id="1591"/>
    </w:p>
    <w:p w14:paraId="0AA25CF7" w14:textId="77777777" w:rsidR="006D3AD5" w:rsidRPr="002C224A" w:rsidRDefault="006D3AD5" w:rsidP="006D3AD5">
      <w:pPr>
        <w:pStyle w:val="Nadpis2"/>
        <w:rPr>
          <w:rFonts w:ascii="Calibri" w:hAnsi="Calibri"/>
        </w:rPr>
      </w:pPr>
      <w:bookmarkStart w:id="1592" w:name="_Toc419183311"/>
      <w:bookmarkStart w:id="1593" w:name="_Toc422312169"/>
      <w:r>
        <w:rPr>
          <w:rFonts w:ascii="Calibri" w:hAnsi="Calibri"/>
        </w:rPr>
        <w:t>Legislation base</w:t>
      </w:r>
      <w:bookmarkEnd w:id="1592"/>
      <w:bookmarkEnd w:id="1593"/>
    </w:p>
    <w:p w14:paraId="11D52D8D" w14:textId="77777777" w:rsidR="006D3AD5" w:rsidRPr="00A50943" w:rsidRDefault="006D3AD5" w:rsidP="006D3AD5">
      <w:r>
        <w:t>The legislation base for providing support within the financial instruments of OP EIC comprises from the EU legislation perspective:</w:t>
      </w:r>
    </w:p>
    <w:p w14:paraId="3A412814" w14:textId="77777777" w:rsidR="006D3AD5" w:rsidRPr="002C224A" w:rsidRDefault="006D3AD5" w:rsidP="006D3AD5">
      <w:pPr>
        <w:pStyle w:val="Odstavecseseznamem1"/>
        <w:numPr>
          <w:ilvl w:val="0"/>
          <w:numId w:val="19"/>
        </w:numPr>
      </w:pPr>
      <w:r>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 p. 320-469 ("General regulation" hereinafter),</w:t>
      </w:r>
    </w:p>
    <w:p w14:paraId="70AB6765" w14:textId="77777777" w:rsidR="006D3AD5" w:rsidRDefault="006D3AD5" w:rsidP="006D3AD5">
      <w:pPr>
        <w:pStyle w:val="Odstavecseseznamem1"/>
        <w:numPr>
          <w:ilvl w:val="0"/>
          <w:numId w:val="19"/>
        </w:numPr>
      </w:pPr>
      <w:r>
        <w:t>Regulation (EU) No 1301/2013 of the European Parliament and of the Council of 17 December 2013 on the European Regional Development Fund and on specific provisions concerning the Investment for growth and jobs goal and repealing Regulation (EC) No 1080/2006, OJ L 347, 20.12.2013, p. 289 ("ERDF Regulation" herinafter),</w:t>
      </w:r>
    </w:p>
    <w:p w14:paraId="090D121A" w14:textId="77777777" w:rsidR="00D45DB9" w:rsidRPr="00B13B66" w:rsidRDefault="00D45DB9" w:rsidP="00D45DB9">
      <w:pPr>
        <w:pStyle w:val="Odstavecseseznamem1"/>
        <w:numPr>
          <w:ilvl w:val="0"/>
          <w:numId w:val="19"/>
        </w:numPr>
        <w:spacing w:after="160" w:line="340" w:lineRule="exact"/>
        <w:rPr>
          <w:rFonts w:asciiTheme="minorHAnsi" w:hAnsiTheme="minorHAnsi"/>
          <w:lang w:val="en-US"/>
        </w:rPr>
      </w:pPr>
      <w:r w:rsidRPr="00B13B66">
        <w:rPr>
          <w:rFonts w:asciiTheme="minorHAnsi" w:hAnsiTheme="minorHAnsi"/>
          <w:lang w:val="en-US"/>
        </w:rPr>
        <w:t>Commission Delegated Regulation (EU) No 480/2014 of 3 March 2014 supplementing Regulation (EU) No 1303/2013 of the European Parliament and of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w:t>
      </w:r>
    </w:p>
    <w:p w14:paraId="7C547909" w14:textId="46DD2590" w:rsidR="006D3AD5" w:rsidRDefault="0035144A" w:rsidP="006D3AD5">
      <w:pPr>
        <w:pStyle w:val="Odstavecseseznamem1"/>
        <w:numPr>
          <w:ilvl w:val="0"/>
          <w:numId w:val="19"/>
        </w:numPr>
      </w:pPr>
      <w:r>
        <w:t>i</w:t>
      </w:r>
      <w:r w:rsidR="006D3AD5">
        <w:t>nterpretation guidelines of the Commission COESIF and EGESIF</w:t>
      </w:r>
      <w:r w:rsidR="00D45DB9">
        <w:t xml:space="preserve"> (available at the time of writing the EA)</w:t>
      </w:r>
    </w:p>
    <w:p w14:paraId="6870D012" w14:textId="77777777" w:rsidR="0035144A" w:rsidRPr="0035144A" w:rsidRDefault="0035144A" w:rsidP="0035144A">
      <w:pPr>
        <w:pStyle w:val="Odstavecseseznamem"/>
        <w:numPr>
          <w:ilvl w:val="0"/>
          <w:numId w:val="19"/>
        </w:numPr>
        <w:rPr>
          <w:lang w:val="en-US"/>
        </w:rPr>
      </w:pPr>
      <w:r w:rsidRPr="0035144A">
        <w:rPr>
          <w:lang w:val="en-US"/>
        </w:rPr>
        <w:t>Commission Implementing Regulation (EU) No 821/2014 of 28 July 2014 laying down rules for the application of Regulation (EU) No 1303/2013 of the European Parliament and of the Council as regards detailed arrangements for the transfer and management of programme contributions, the reporting on financial instruments, technical characteristics of information and communication measures for operations and the system to record and store data.</w:t>
      </w:r>
    </w:p>
    <w:p w14:paraId="4FB449FA" w14:textId="77777777" w:rsidR="006D3AD5" w:rsidRPr="002C224A" w:rsidRDefault="006D3AD5" w:rsidP="006D3AD5">
      <w:pPr>
        <w:pStyle w:val="Odstavecseseznamem1"/>
        <w:numPr>
          <w:ilvl w:val="0"/>
          <w:numId w:val="19"/>
        </w:numPr>
      </w:pPr>
      <w:r>
        <w:t>Directive 2011/61/EU of the European Parliament and of the Council of 8 June 2011 on Alternative Investment Fund Managers and amending Directives 2003/41/EC and 2009/65/EC and Regulations (EC) No 1060/2009 and (EU) No 1095/2010 ("AIFMD")</w:t>
      </w:r>
    </w:p>
    <w:p w14:paraId="5286D176" w14:textId="77777777" w:rsidR="006D3AD5" w:rsidRPr="002C224A" w:rsidRDefault="006D3AD5" w:rsidP="006D3AD5">
      <w:pPr>
        <w:pStyle w:val="Odstavecseseznamem1"/>
        <w:numPr>
          <w:ilvl w:val="0"/>
          <w:numId w:val="19"/>
        </w:numPr>
      </w:pPr>
      <w:r>
        <w:t>Regulation (EU, Euratom) No 966/2012 of the European Parliament and of the Council of 25 October 2012 on the financial rules applicable to the general budget of the Union and repealing Council Regulation (EC, Euratom) No 1605/2002, OJ L 298, 26.10.2012, p. 1,</w:t>
      </w:r>
    </w:p>
    <w:p w14:paraId="191E8D50" w14:textId="77777777" w:rsidR="006D3AD5" w:rsidRPr="002C224A" w:rsidRDefault="006D3AD5" w:rsidP="006D3AD5">
      <w:pPr>
        <w:pStyle w:val="Odstavecseseznamem1"/>
        <w:numPr>
          <w:ilvl w:val="0"/>
          <w:numId w:val="19"/>
        </w:numPr>
      </w:pPr>
      <w:r>
        <w:t>Directive 2004/18/EC on coordination of public tenders for construction works, supplies and services (directive of the EU on tenders),</w:t>
      </w:r>
    </w:p>
    <w:p w14:paraId="441FE9B0" w14:textId="77777777" w:rsidR="006D3AD5" w:rsidRPr="002C224A" w:rsidRDefault="006D3AD5" w:rsidP="006D3AD5">
      <w:pPr>
        <w:pStyle w:val="Odstavecseseznamem1"/>
        <w:numPr>
          <w:ilvl w:val="0"/>
          <w:numId w:val="19"/>
        </w:numPr>
      </w:pPr>
      <w:r>
        <w:t>applicable decisions of ESD and SDEU,</w:t>
      </w:r>
    </w:p>
    <w:p w14:paraId="1754E48C" w14:textId="77777777" w:rsidR="006D3AD5" w:rsidRPr="002C224A" w:rsidRDefault="006D3AD5" w:rsidP="006D3AD5">
      <w:pPr>
        <w:pStyle w:val="Odstavecseseznamem1"/>
        <w:numPr>
          <w:ilvl w:val="0"/>
          <w:numId w:val="19"/>
        </w:numPr>
      </w:pPr>
      <w:r>
        <w:t>rules for public support, especially:</w:t>
      </w:r>
    </w:p>
    <w:p w14:paraId="2ED0A002" w14:textId="77777777" w:rsidR="006D3AD5" w:rsidRPr="002C224A" w:rsidRDefault="006D3AD5" w:rsidP="006D3AD5">
      <w:pPr>
        <w:pStyle w:val="Odstavecseseznamem1"/>
        <w:numPr>
          <w:ilvl w:val="1"/>
          <w:numId w:val="19"/>
        </w:numPr>
      </w:pPr>
      <w:r>
        <w:t>General Regulation on block exceptions ("GBER")</w:t>
      </w:r>
    </w:p>
    <w:p w14:paraId="14973BB4" w14:textId="77777777" w:rsidR="006D3AD5" w:rsidRPr="002C224A" w:rsidRDefault="006D3AD5" w:rsidP="006D3AD5">
      <w:pPr>
        <w:pStyle w:val="Odstavecseseznamem1"/>
        <w:numPr>
          <w:ilvl w:val="1"/>
          <w:numId w:val="19"/>
        </w:numPr>
      </w:pPr>
      <w:r>
        <w:t>Directives for state investment support of venture financing OJ C 19, 22.1.2014, p. 4 ("RCG"),</w:t>
      </w:r>
    </w:p>
    <w:p w14:paraId="08DA2D1B" w14:textId="77777777" w:rsidR="006D3AD5" w:rsidRPr="002C224A" w:rsidRDefault="006D3AD5" w:rsidP="006D3AD5">
      <w:pPr>
        <w:pStyle w:val="Odstavecseseznamem1"/>
        <w:numPr>
          <w:ilvl w:val="1"/>
          <w:numId w:val="19"/>
        </w:numPr>
      </w:pPr>
      <w:r>
        <w:t>Commission Regulation (EU) No 1407/2013 of 18 December 2013 on the application of Articles 107 and 108 of the Treaty on the Functioning of the European Union to de minimis aid Text with EEA relevance, OJ L 352, 24.12.2013, p. 1 ("de minimis regulation"),</w:t>
      </w:r>
    </w:p>
    <w:p w14:paraId="35010794" w14:textId="77777777" w:rsidR="006D3AD5" w:rsidRPr="002C224A" w:rsidRDefault="006D3AD5" w:rsidP="006D3AD5">
      <w:pPr>
        <w:pStyle w:val="Odstavecseseznamem1"/>
        <w:numPr>
          <w:ilvl w:val="1"/>
          <w:numId w:val="19"/>
        </w:numPr>
      </w:pPr>
      <w:r>
        <w:t>Commission report for using articles 87 and 88 of the agreement of the EC for state support in form of guarantees, OJ C 155, 20th June 2008, p. 10 ("report for guarantees")</w:t>
      </w:r>
    </w:p>
    <w:p w14:paraId="038C7709" w14:textId="77777777" w:rsidR="006D3AD5" w:rsidRPr="002C224A" w:rsidRDefault="006D3AD5" w:rsidP="006D3AD5">
      <w:pPr>
        <w:pStyle w:val="Odstavecseseznamem1"/>
        <w:numPr>
          <w:ilvl w:val="1"/>
          <w:numId w:val="19"/>
        </w:numPr>
      </w:pPr>
      <w:r>
        <w:lastRenderedPageBreak/>
        <w:t>Report of the Commission of the revision method for defining reference and discount rates, OJ C 014,19.1.2008, p. 6</w:t>
      </w:r>
    </w:p>
    <w:p w14:paraId="3EBF4593" w14:textId="77777777" w:rsidR="006D3AD5" w:rsidRPr="002C224A" w:rsidRDefault="006D3AD5" w:rsidP="006D3AD5">
      <w:pPr>
        <w:pStyle w:val="Odstavecseseznamem1"/>
        <w:numPr>
          <w:ilvl w:val="1"/>
          <w:numId w:val="19"/>
        </w:numPr>
      </w:pPr>
      <w:r>
        <w:t>Directives for regional state support for the 2014-2020 period  OJ C 209, 23.7.2013, p. 1 ("RAG")</w:t>
      </w:r>
    </w:p>
    <w:p w14:paraId="4ADCDFCF" w14:textId="77777777" w:rsidR="006D3AD5" w:rsidRPr="002C224A" w:rsidRDefault="006D3AD5" w:rsidP="006D3AD5">
      <w:pPr>
        <w:pStyle w:val="Odstavecseseznamem1"/>
        <w:ind w:left="1080"/>
      </w:pPr>
    </w:p>
    <w:p w14:paraId="1682E603" w14:textId="77777777" w:rsidR="006D3AD5" w:rsidRPr="002C224A" w:rsidRDefault="006D3AD5" w:rsidP="006D3AD5">
      <w:r>
        <w:t>From Czech legislation (except for taxes and accounting) especially:</w:t>
      </w:r>
    </w:p>
    <w:p w14:paraId="36BEC474" w14:textId="77777777" w:rsidR="006D3AD5" w:rsidRPr="002C224A" w:rsidRDefault="006D3AD5" w:rsidP="006D3AD5">
      <w:pPr>
        <w:pStyle w:val="Odstavecseseznamem1"/>
        <w:numPr>
          <w:ilvl w:val="0"/>
          <w:numId w:val="18"/>
        </w:numPr>
      </w:pPr>
      <w:r>
        <w:t>Act no. 2008/2000 Coll. on budget rules as amended ("budget rules")</w:t>
      </w:r>
    </w:p>
    <w:p w14:paraId="4F8354EE" w14:textId="77777777" w:rsidR="006D3AD5" w:rsidRPr="002C224A" w:rsidRDefault="006D3AD5" w:rsidP="006D3AD5">
      <w:pPr>
        <w:pStyle w:val="Odstavecseseznamem1"/>
        <w:numPr>
          <w:ilvl w:val="0"/>
          <w:numId w:val="18"/>
        </w:numPr>
      </w:pPr>
      <w:r>
        <w:t>Act no. 219/2000 Coll. on the Czech Republic assets as amended ("CR assets")</w:t>
      </w:r>
    </w:p>
    <w:p w14:paraId="7C5E108A" w14:textId="77777777" w:rsidR="006D3AD5" w:rsidRPr="002C224A" w:rsidRDefault="006D3AD5" w:rsidP="006D3AD5">
      <w:pPr>
        <w:pStyle w:val="Odstavecseseznamem1"/>
        <w:numPr>
          <w:ilvl w:val="0"/>
          <w:numId w:val="18"/>
        </w:numPr>
      </w:pPr>
      <w:r>
        <w:t>Act no. 137/2006 Coll. on public tenders as amended ("public tenders act") and related regulations,</w:t>
      </w:r>
    </w:p>
    <w:p w14:paraId="3FAD756B" w14:textId="5B2E30EF" w:rsidR="006D3AD5" w:rsidRPr="002C224A" w:rsidRDefault="006D3AD5" w:rsidP="006D3AD5">
      <w:pPr>
        <w:pStyle w:val="Odstavecseseznamem1"/>
        <w:numPr>
          <w:ilvl w:val="0"/>
          <w:numId w:val="18"/>
        </w:numPr>
      </w:pPr>
      <w:r>
        <w:t xml:space="preserve">Act no. 47/2002 Coll. on </w:t>
      </w:r>
      <w:r w:rsidR="0042403A">
        <w:t>SME</w:t>
      </w:r>
      <w:r>
        <w:t>s ("</w:t>
      </w:r>
      <w:r w:rsidR="0042403A">
        <w:t>SME</w:t>
      </w:r>
      <w:r>
        <w:t>s support act")</w:t>
      </w:r>
    </w:p>
    <w:p w14:paraId="7C7E6A4D" w14:textId="77777777" w:rsidR="006D3AD5" w:rsidRPr="002C224A" w:rsidRDefault="006D3AD5" w:rsidP="006D3AD5">
      <w:pPr>
        <w:pStyle w:val="Odstavecseseznamem1"/>
        <w:numPr>
          <w:ilvl w:val="0"/>
          <w:numId w:val="18"/>
        </w:numPr>
      </w:pPr>
      <w:r>
        <w:t>Act no. 320/2001 Coll. on financial control as amended ("financial contrl act")</w:t>
      </w:r>
    </w:p>
    <w:p w14:paraId="18C10369" w14:textId="77777777" w:rsidR="006D3AD5" w:rsidRPr="002C224A" w:rsidRDefault="006D3AD5" w:rsidP="006D3AD5">
      <w:pPr>
        <w:pStyle w:val="Odstavecseseznamem1"/>
        <w:numPr>
          <w:ilvl w:val="0"/>
          <w:numId w:val="18"/>
        </w:numPr>
      </w:pPr>
      <w:r>
        <w:t>Act no. 240/2013 Coll. on investment companies and investment funds</w:t>
      </w:r>
    </w:p>
    <w:p w14:paraId="3FAC9B4D" w14:textId="77777777" w:rsidR="006D3AD5" w:rsidRPr="002C224A" w:rsidRDefault="006D3AD5" w:rsidP="006D3AD5">
      <w:pPr>
        <w:pStyle w:val="Odstavecseseznamem1"/>
        <w:numPr>
          <w:ilvl w:val="0"/>
          <w:numId w:val="18"/>
        </w:numPr>
      </w:pPr>
      <w:r>
        <w:t>Act no. 90/2012 Coll. on commercial corporations</w:t>
      </w:r>
    </w:p>
    <w:p w14:paraId="5BCEAFBD" w14:textId="77777777" w:rsidR="006D3AD5" w:rsidRPr="002C224A" w:rsidRDefault="006D3AD5" w:rsidP="006D3AD5">
      <w:pPr>
        <w:pStyle w:val="Odstavecseseznamem1"/>
        <w:numPr>
          <w:ilvl w:val="0"/>
          <w:numId w:val="18"/>
        </w:numPr>
      </w:pPr>
      <w:r>
        <w:t>Act no. 89/2012 Coll., civil code</w:t>
      </w:r>
    </w:p>
    <w:p w14:paraId="2338CC8A" w14:textId="77777777" w:rsidR="006D3AD5" w:rsidRPr="002C224A" w:rsidRDefault="006D3AD5" w:rsidP="006D3AD5">
      <w:pPr>
        <w:pStyle w:val="Odstavecseseznamem1"/>
        <w:numPr>
          <w:ilvl w:val="0"/>
          <w:numId w:val="18"/>
        </w:numPr>
      </w:pPr>
      <w:r>
        <w:t>Act no. 21/1992 Coll. on banks as amended and related regulations,</w:t>
      </w:r>
    </w:p>
    <w:p w14:paraId="550B8CAB" w14:textId="77777777" w:rsidR="006D3AD5" w:rsidRPr="002C224A" w:rsidRDefault="006D3AD5" w:rsidP="006D3AD5">
      <w:pPr>
        <w:pStyle w:val="Odstavecseseznamem1"/>
        <w:numPr>
          <w:ilvl w:val="0"/>
          <w:numId w:val="18"/>
        </w:numPr>
      </w:pPr>
      <w:r>
        <w:t>Methodological guidelines for financial flows and control 2014+</w:t>
      </w:r>
    </w:p>
    <w:p w14:paraId="3720615A" w14:textId="77777777" w:rsidR="006D3AD5" w:rsidRPr="002C224A" w:rsidRDefault="006D3AD5" w:rsidP="006D3AD5">
      <w:pPr>
        <w:pStyle w:val="Odstavecseseznamem1"/>
        <w:numPr>
          <w:ilvl w:val="0"/>
          <w:numId w:val="18"/>
        </w:numPr>
      </w:pPr>
      <w:r>
        <w:t>Monitoring methodology 2014+</w:t>
      </w:r>
    </w:p>
    <w:p w14:paraId="70437C61" w14:textId="77777777" w:rsidR="006D3AD5" w:rsidRPr="002C224A" w:rsidRDefault="006D3AD5" w:rsidP="006D3AD5">
      <w:pPr>
        <w:pStyle w:val="Odstavecseseznamem1"/>
        <w:numPr>
          <w:ilvl w:val="0"/>
          <w:numId w:val="18"/>
        </w:numPr>
      </w:pPr>
      <w:r>
        <w:t>Other methodologies in the frame of a Single methodical environment</w:t>
      </w:r>
    </w:p>
    <w:p w14:paraId="68078867" w14:textId="77777777" w:rsidR="006D3AD5" w:rsidRPr="002C224A" w:rsidRDefault="006D3AD5" w:rsidP="006D3AD5">
      <w:pPr>
        <w:pStyle w:val="Nadpis2"/>
        <w:rPr>
          <w:rFonts w:ascii="Calibri" w:hAnsi="Calibri"/>
        </w:rPr>
      </w:pPr>
      <w:bookmarkStart w:id="1594" w:name="_Toc419183312"/>
      <w:bookmarkStart w:id="1595" w:name="_Toc422312170"/>
      <w:r>
        <w:rPr>
          <w:rFonts w:ascii="Calibri" w:hAnsi="Calibri"/>
        </w:rPr>
        <w:t>Other base materials</w:t>
      </w:r>
      <w:bookmarkEnd w:id="1594"/>
      <w:bookmarkEnd w:id="1595"/>
    </w:p>
    <w:p w14:paraId="0408B84E" w14:textId="77777777" w:rsidR="006D3AD5" w:rsidRPr="00A50943" w:rsidRDefault="006D3AD5" w:rsidP="006D3AD5">
      <w:pPr>
        <w:pStyle w:val="Odstavecseseznamem1"/>
        <w:numPr>
          <w:ilvl w:val="0"/>
          <w:numId w:val="16"/>
        </w:numPr>
        <w:spacing w:after="240"/>
        <w:rPr>
          <w:rFonts w:cs="Calibri"/>
          <w:color w:val="222222"/>
          <w:szCs w:val="22"/>
        </w:rPr>
      </w:pPr>
      <w:r>
        <w:rPr>
          <w:color w:val="222222"/>
        </w:rPr>
        <w:t>General methodology covering all thematic objectives - Quick reference guide, European Commission 2014</w:t>
      </w:r>
    </w:p>
    <w:p w14:paraId="5D93367E"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General methodology covering all thematic objectives - Volume I, European Commission 2014</w:t>
      </w:r>
    </w:p>
    <w:p w14:paraId="739E556A"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Strengthening research, technological development and innovation (Thematic objective 1) – Volume II, European Commission 2014</w:t>
      </w:r>
    </w:p>
    <w:p w14:paraId="1C3FB4F4"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Enhancing the competitiveness of SME, including agriculture, microcredit and fisheries (Thematic objective 3) – Volume III, European Commission 2014</w:t>
      </w:r>
    </w:p>
    <w:p w14:paraId="530DA86A"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Supporting the shift towards low-carbon economy (Thematic objective 4) – Volume IV, European Commission 2014</w:t>
      </w:r>
    </w:p>
    <w:p w14:paraId="5E2759FD"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Operating programme for business and innovation for competitiveness 2014-202, version 10.0 from 12th November 2014 and related MA documents.</w:t>
      </w:r>
    </w:p>
    <w:p w14:paraId="26B43500"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Consulting services provided to the managing authority for use and realization of the preliminary evaluation for usage of financial instruments within the OP EIC for the 2014-2020 period, Deloitte Advisory, 2015</w:t>
      </w:r>
    </w:p>
    <w:p w14:paraId="6A61FEAA"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Ex-ante assessment of the OP EIC for 2014 – 2020, EUFC CZ, s.r.o., June 2014</w:t>
      </w:r>
    </w:p>
    <w:p w14:paraId="4C73AC67"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Analysis of material priorities and needs of individual areas within the competence of the Ministry of Industry and Trade at which the support from the EU’s Structural Funds should be targeted during the next programming period (2014+) by BermanGroup, s.r.o., November 2010</w:t>
      </w:r>
    </w:p>
    <w:p w14:paraId="0CA9D3CC"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Methodical guidelines for financial flows of programmes financed from European structural funds, Cohesion fund and European maritime and fishing fund for the 2014 - 2020 period, Ministry of finance 2014</w:t>
      </w:r>
    </w:p>
    <w:p w14:paraId="255C667C" w14:textId="2CF6D0C4" w:rsidR="006D3AD5" w:rsidRPr="00CE3342" w:rsidRDefault="006D3AD5">
      <w:pPr>
        <w:pStyle w:val="Odstavecseseznamem1"/>
        <w:numPr>
          <w:ilvl w:val="0"/>
          <w:numId w:val="16"/>
        </w:numPr>
        <w:spacing w:after="240"/>
        <w:rPr>
          <w:rFonts w:cs="Calibri"/>
          <w:color w:val="222222"/>
          <w:szCs w:val="22"/>
        </w:rPr>
      </w:pPr>
      <w:r w:rsidRPr="00CE3342">
        <w:rPr>
          <w:color w:val="222222"/>
        </w:rPr>
        <w:t xml:space="preserve">Methodical recommendation for implementation of financial instruments in the 2014-2020 period, Ministry of Regional Development, 2014 </w:t>
      </w:r>
    </w:p>
    <w:p w14:paraId="31B089A8"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National reform programme CR 2012 (Government resolution 271/2012)</w:t>
      </w:r>
    </w:p>
    <w:p w14:paraId="5C9DC4FA"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State energy concept update (Government resolution 803/2012)</w:t>
      </w:r>
    </w:p>
    <w:p w14:paraId="2B9A8795"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National research and innovation strategy for intelligent Czech Republic specialization (RIS3 strategy)</w:t>
      </w:r>
    </w:p>
    <w:p w14:paraId="62503405"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National innovation strategy of the CR (Government resolution 714/2011)</w:t>
      </w:r>
    </w:p>
    <w:p w14:paraId="39E89C4D"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lastRenderedPageBreak/>
        <w:t>Regional Development Strategy 2014-2020</w:t>
      </w:r>
    </w:p>
    <w:p w14:paraId="2BC112CF" w14:textId="77777777" w:rsidR="006D3AD5" w:rsidRPr="0012136C" w:rsidRDefault="006D3AD5" w:rsidP="006D3AD5">
      <w:pPr>
        <w:pStyle w:val="Odstavecseseznamem1"/>
        <w:numPr>
          <w:ilvl w:val="0"/>
          <w:numId w:val="16"/>
        </w:numPr>
        <w:spacing w:after="240"/>
        <w:rPr>
          <w:rFonts w:cs="Calibri"/>
          <w:color w:val="222222"/>
          <w:szCs w:val="22"/>
        </w:rPr>
      </w:pPr>
      <w:r>
        <w:rPr>
          <w:color w:val="222222"/>
        </w:rPr>
        <w:t>Strategy to support small and medium-sized enterprises 2014–2020 (Government resolution 923/2012)</w:t>
      </w:r>
    </w:p>
    <w:p w14:paraId="203FF5E3" w14:textId="4DB0CE28" w:rsidR="0012136C" w:rsidRPr="002C224A" w:rsidRDefault="000B553B" w:rsidP="000B553B">
      <w:pPr>
        <w:pStyle w:val="Odstavecseseznamem1"/>
        <w:numPr>
          <w:ilvl w:val="0"/>
          <w:numId w:val="16"/>
        </w:numPr>
        <w:spacing w:after="240"/>
        <w:rPr>
          <w:rFonts w:cs="Calibri"/>
          <w:color w:val="222222"/>
          <w:szCs w:val="22"/>
        </w:rPr>
      </w:pPr>
      <w:r>
        <w:rPr>
          <w:rFonts w:cs="Calibri"/>
          <w:color w:val="222222"/>
          <w:szCs w:val="22"/>
        </w:rPr>
        <w:t>Small and medium enterprises support strategy 20</w:t>
      </w:r>
      <w:r w:rsidRPr="000B553B">
        <w:rPr>
          <w:rFonts w:cs="Calibri"/>
          <w:color w:val="222222"/>
          <w:szCs w:val="22"/>
        </w:rPr>
        <w:t>14–2020</w:t>
      </w:r>
      <w:r w:rsidR="0012136C">
        <w:rPr>
          <w:rFonts w:cs="Calibri"/>
          <w:color w:val="222222"/>
          <w:szCs w:val="22"/>
        </w:rPr>
        <w:t xml:space="preserve"> (Government resolution 923/2012)</w:t>
      </w:r>
    </w:p>
    <w:p w14:paraId="28FB6B10"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Strategy of international competitiveness of the CR for 2012-2020 period (Government resolution 713/2011)</w:t>
      </w:r>
    </w:p>
    <w:p w14:paraId="504712D0"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Europe 2020 strategy:  A strategy for smart, sustainable and inclusive growth</w:t>
      </w:r>
    </w:p>
    <w:p w14:paraId="51A992C6"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 xml:space="preserve">Energy 2020 strategy: Strategy for competitive, sustainable and safe energy </w:t>
      </w:r>
    </w:p>
    <w:p w14:paraId="71708E44"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Commission communication: Union of innovation, Europe less dependent on resources, Plan for Europe better using resources, Industrial policy for the globalization era</w:t>
      </w:r>
    </w:p>
    <w:p w14:paraId="060ECCD4"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Methodical guidelines for preparation of programming documents for the 2014 - 2020 period and other methodical materials by the MMR - NOK (Methodical guideline for evaluations, Methodical guideline for monitoring funds of Common strategy framework, Methodical recommendation for eligibility of expenses and their reporting, Methodical guideline for creation and usage of indicators and National indicators registry for 2014-2020 and others).</w:t>
      </w:r>
    </w:p>
    <w:p w14:paraId="00D499E4"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Operational programme for Industry and business 2004 - 2006 and related documents of the MA</w:t>
      </w:r>
    </w:p>
    <w:p w14:paraId="77206E21"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Operational programme for Business and innovation 2007 - 2013 and related documents of the MA</w:t>
      </w:r>
    </w:p>
    <w:p w14:paraId="322DF1EF"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Evaluation of realization of the Operating programme Industry and business 2004 - 2006 on the economic development in cohesion regions of the Czech Republic, BermanGroup, November 2008</w:t>
      </w:r>
    </w:p>
    <w:p w14:paraId="27A72C47"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Evaluation of results and realization effects of the OP IB 2004 - 2006, Deloitte, November 2008</w:t>
      </w:r>
    </w:p>
    <w:p w14:paraId="535A5A16"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Mid-term evaluation of the OP EIC for 2007 – 2013, EUFC CZ, s.r.o., April 2012</w:t>
      </w:r>
    </w:p>
    <w:p w14:paraId="4C3EE3F8"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Methodical guidelines for financial flows of programmes financed from European structural funds, Cohesion fund and European maritime and fishing fund for the 2014 - 2020 period, Ministry of finance 2014</w:t>
      </w:r>
    </w:p>
    <w:p w14:paraId="11FE4667" w14:textId="77777777" w:rsidR="006D3AD5" w:rsidRPr="002C224A" w:rsidRDefault="006D3AD5" w:rsidP="006D3AD5">
      <w:pPr>
        <w:pStyle w:val="Odstavecseseznamem1"/>
        <w:numPr>
          <w:ilvl w:val="0"/>
          <w:numId w:val="16"/>
        </w:numPr>
        <w:spacing w:after="240"/>
        <w:rPr>
          <w:rFonts w:cs="Calibri"/>
          <w:color w:val="222222"/>
          <w:szCs w:val="22"/>
        </w:rPr>
      </w:pPr>
      <w:r>
        <w:rPr>
          <w:color w:val="222222"/>
        </w:rPr>
        <w:t>Ex-ante assessment of the EU SME initiative, European Commission, 2014</w:t>
      </w:r>
    </w:p>
    <w:p w14:paraId="62DF9B9B" w14:textId="77777777" w:rsidR="006D3AD5" w:rsidRPr="002C224A" w:rsidRDefault="006D3AD5" w:rsidP="006D3AD5">
      <w:pPr>
        <w:pStyle w:val="Nadpis1"/>
        <w:rPr>
          <w:rFonts w:ascii="Calibri" w:hAnsi="Calibri"/>
        </w:rPr>
      </w:pPr>
      <w:r>
        <w:br w:type="page"/>
      </w:r>
      <w:r>
        <w:rPr>
          <w:rFonts w:ascii="Calibri" w:hAnsi="Calibri"/>
        </w:rPr>
        <w:lastRenderedPageBreak/>
        <w:t xml:space="preserve"> </w:t>
      </w:r>
      <w:bookmarkStart w:id="1596" w:name="_Toc419183313"/>
      <w:bookmarkStart w:id="1597" w:name="_Toc422312171"/>
      <w:r>
        <w:rPr>
          <w:rFonts w:ascii="Calibri" w:hAnsi="Calibri"/>
        </w:rPr>
        <w:t>List of abbreviations</w:t>
      </w:r>
      <w:bookmarkEnd w:id="1596"/>
      <w:bookmarkEnd w:id="1597"/>
    </w:p>
    <w:p w14:paraId="3761805F" w14:textId="77777777" w:rsidR="006D3AD5" w:rsidRPr="00A50943" w:rsidRDefault="006D3AD5" w:rsidP="006D3AD5">
      <w:pPr>
        <w:tabs>
          <w:tab w:val="left" w:pos="3402"/>
        </w:tabs>
        <w:spacing w:line="280" w:lineRule="atLeast"/>
        <w:ind w:left="3402" w:hanging="3402"/>
        <w:rPr>
          <w:rFonts w:cs="Calibri"/>
          <w:szCs w:val="24"/>
        </w:rPr>
      </w:pPr>
    </w:p>
    <w:p w14:paraId="79099F24" w14:textId="43295681" w:rsidR="00524A9F" w:rsidRDefault="00524A9F" w:rsidP="006D3AD5">
      <w:pPr>
        <w:tabs>
          <w:tab w:val="left" w:pos="3402"/>
        </w:tabs>
        <w:spacing w:line="280" w:lineRule="atLeast"/>
        <w:ind w:left="3402" w:hanging="3402"/>
      </w:pPr>
      <w:r>
        <w:t>ABI</w:t>
      </w:r>
      <w:r>
        <w:tab/>
        <w:t>Agency for business and innovations</w:t>
      </w:r>
    </w:p>
    <w:p w14:paraId="3286880A" w14:textId="77777777" w:rsidR="006D3AD5" w:rsidRPr="002C224A" w:rsidRDefault="006D3AD5" w:rsidP="006D3AD5">
      <w:pPr>
        <w:tabs>
          <w:tab w:val="left" w:pos="3402"/>
        </w:tabs>
        <w:spacing w:line="280" w:lineRule="atLeast"/>
        <w:ind w:left="3402" w:hanging="3402"/>
        <w:rPr>
          <w:rFonts w:cs="Calibri"/>
          <w:szCs w:val="24"/>
        </w:rPr>
      </w:pPr>
      <w:r>
        <w:t>BF</w:t>
      </w:r>
      <w:r>
        <w:tab/>
        <w:t>brownfield</w:t>
      </w:r>
    </w:p>
    <w:p w14:paraId="6E1DC511" w14:textId="77777777" w:rsidR="006D3AD5" w:rsidRPr="002C224A" w:rsidRDefault="006D3AD5" w:rsidP="006D3AD5">
      <w:pPr>
        <w:tabs>
          <w:tab w:val="left" w:pos="3402"/>
        </w:tabs>
        <w:spacing w:line="280" w:lineRule="atLeast"/>
        <w:ind w:left="3402" w:hanging="3402"/>
        <w:rPr>
          <w:rFonts w:cs="Calibri"/>
          <w:szCs w:val="24"/>
        </w:rPr>
      </w:pPr>
      <w:r>
        <w:t>BIS</w:t>
      </w:r>
      <w:r>
        <w:tab/>
        <w:t>Bank for International Settlements</w:t>
      </w:r>
    </w:p>
    <w:p w14:paraId="071E0A6D" w14:textId="77777777" w:rsidR="006D3AD5" w:rsidRPr="002C224A" w:rsidRDefault="006D3AD5" w:rsidP="006D3AD5">
      <w:pPr>
        <w:tabs>
          <w:tab w:val="left" w:pos="3402"/>
        </w:tabs>
        <w:spacing w:line="280" w:lineRule="atLeast"/>
        <w:ind w:left="3402" w:hanging="3402"/>
        <w:rPr>
          <w:rFonts w:cs="Calibri"/>
          <w:szCs w:val="24"/>
        </w:rPr>
      </w:pPr>
      <w:r>
        <w:t>BGS</w:t>
      </w:r>
      <w:r>
        <w:tab/>
        <w:t>Biogas station</w:t>
      </w:r>
    </w:p>
    <w:p w14:paraId="2682A4C8" w14:textId="77777777" w:rsidR="006D3AD5" w:rsidRPr="002C224A" w:rsidRDefault="006D3AD5" w:rsidP="006D3AD5">
      <w:pPr>
        <w:tabs>
          <w:tab w:val="left" w:pos="3402"/>
        </w:tabs>
        <w:spacing w:line="280" w:lineRule="atLeast"/>
        <w:ind w:left="3402" w:hanging="3402"/>
        <w:rPr>
          <w:rFonts w:cs="Calibri"/>
          <w:szCs w:val="24"/>
        </w:rPr>
      </w:pPr>
      <w:r>
        <w:t>CI</w:t>
      </w:r>
      <w:r>
        <w:tab/>
        <w:t>CzechInvest</w:t>
      </w:r>
    </w:p>
    <w:p w14:paraId="7CF8546F" w14:textId="77777777" w:rsidR="006D3AD5" w:rsidRPr="002C224A" w:rsidRDefault="006D3AD5" w:rsidP="006D3AD5">
      <w:pPr>
        <w:tabs>
          <w:tab w:val="left" w:pos="3402"/>
        </w:tabs>
        <w:spacing w:line="280" w:lineRule="atLeast"/>
        <w:ind w:left="3402" w:hanging="3402"/>
        <w:rPr>
          <w:rFonts w:cs="Calibri"/>
          <w:szCs w:val="24"/>
        </w:rPr>
      </w:pPr>
      <w:r>
        <w:t>CIP</w:t>
      </w:r>
      <w:r>
        <w:tab/>
        <w:t>Competitiveness and InnovationProgramme</w:t>
      </w:r>
    </w:p>
    <w:p w14:paraId="5DCC26F9" w14:textId="77777777" w:rsidR="006D3AD5" w:rsidRPr="002C224A" w:rsidRDefault="006D3AD5" w:rsidP="006D3AD5">
      <w:pPr>
        <w:tabs>
          <w:tab w:val="left" w:pos="3402"/>
        </w:tabs>
        <w:spacing w:line="280" w:lineRule="atLeast"/>
        <w:ind w:left="3402" w:hanging="3402"/>
        <w:rPr>
          <w:rFonts w:cs="Calibri"/>
          <w:szCs w:val="24"/>
        </w:rPr>
      </w:pPr>
      <w:r>
        <w:t>COESIF</w:t>
      </w:r>
      <w:r>
        <w:tab/>
        <w:t>Coordination Committee for the European Structural and Investment Funds</w:t>
      </w:r>
    </w:p>
    <w:p w14:paraId="7C001A03" w14:textId="77777777" w:rsidR="006D3AD5" w:rsidRPr="002C224A" w:rsidRDefault="006D3AD5" w:rsidP="006D3AD5">
      <w:pPr>
        <w:tabs>
          <w:tab w:val="left" w:pos="3402"/>
        </w:tabs>
        <w:spacing w:line="280" w:lineRule="atLeast"/>
        <w:ind w:left="3402" w:hanging="3402"/>
        <w:rPr>
          <w:rFonts w:cs="Calibri"/>
          <w:szCs w:val="24"/>
        </w:rPr>
      </w:pPr>
      <w:r>
        <w:t>COSME</w:t>
      </w:r>
      <w:r>
        <w:tab/>
        <w:t>Programme for the Competitiveness of Enterprises and SMEs</w:t>
      </w:r>
    </w:p>
    <w:p w14:paraId="2AF2D316" w14:textId="77777777" w:rsidR="006D3AD5" w:rsidRPr="002C224A" w:rsidRDefault="006D3AD5" w:rsidP="006D3AD5">
      <w:pPr>
        <w:tabs>
          <w:tab w:val="left" w:pos="3402"/>
        </w:tabs>
        <w:spacing w:line="280" w:lineRule="atLeast"/>
        <w:ind w:left="3402" w:hanging="3402"/>
        <w:rPr>
          <w:rFonts w:cs="Calibri"/>
          <w:szCs w:val="24"/>
        </w:rPr>
      </w:pPr>
      <w:r>
        <w:t xml:space="preserve">CVCA                                                     </w:t>
      </w:r>
      <w:r>
        <w:tab/>
        <w:t>Czech Private Equity &amp; Venture Capital Association</w:t>
      </w:r>
    </w:p>
    <w:p w14:paraId="4098BF58" w14:textId="77777777" w:rsidR="006D3AD5" w:rsidRPr="002C224A" w:rsidRDefault="006D3AD5" w:rsidP="006D3AD5">
      <w:pPr>
        <w:tabs>
          <w:tab w:val="left" w:pos="3402"/>
        </w:tabs>
        <w:spacing w:line="280" w:lineRule="atLeast"/>
        <w:ind w:left="3402" w:hanging="3402"/>
        <w:rPr>
          <w:rFonts w:cs="Calibri"/>
          <w:szCs w:val="24"/>
        </w:rPr>
      </w:pPr>
      <w:r>
        <w:t>CMGDB</w:t>
      </w:r>
      <w:r>
        <w:tab/>
        <w:t>Czech-Moravian Guarantee and Development Bank</w:t>
      </w:r>
    </w:p>
    <w:p w14:paraId="3EF17054" w14:textId="77777777" w:rsidR="006D3AD5" w:rsidRPr="002C224A" w:rsidRDefault="006D3AD5" w:rsidP="006D3AD5">
      <w:pPr>
        <w:tabs>
          <w:tab w:val="left" w:pos="3402"/>
        </w:tabs>
        <w:spacing w:line="280" w:lineRule="atLeast"/>
        <w:ind w:left="3402" w:hanging="3402"/>
        <w:rPr>
          <w:rFonts w:cs="Calibri"/>
          <w:szCs w:val="24"/>
        </w:rPr>
      </w:pPr>
      <w:r>
        <w:t>CNB</w:t>
      </w:r>
      <w:r>
        <w:tab/>
        <w:t>Czech National Bank</w:t>
      </w:r>
    </w:p>
    <w:p w14:paraId="4F6F2CCB" w14:textId="77777777" w:rsidR="006D3AD5" w:rsidRPr="002C224A" w:rsidRDefault="006D3AD5" w:rsidP="006D3AD5">
      <w:pPr>
        <w:tabs>
          <w:tab w:val="left" w:pos="3402"/>
        </w:tabs>
        <w:spacing w:line="280" w:lineRule="atLeast"/>
        <w:ind w:left="3402" w:hanging="3402"/>
        <w:rPr>
          <w:rFonts w:cs="Calibri"/>
          <w:szCs w:val="24"/>
        </w:rPr>
      </w:pPr>
      <w:r>
        <w:t>CDCIF</w:t>
      </w:r>
      <w:r>
        <w:tab/>
        <w:t>Czech development closed investment fund</w:t>
      </w:r>
    </w:p>
    <w:p w14:paraId="77163F42" w14:textId="77777777" w:rsidR="006D3AD5" w:rsidRPr="002C224A" w:rsidRDefault="006D3AD5" w:rsidP="006D3AD5">
      <w:pPr>
        <w:tabs>
          <w:tab w:val="left" w:pos="3402"/>
        </w:tabs>
        <w:spacing w:line="280" w:lineRule="atLeast"/>
        <w:ind w:left="3402" w:hanging="3402"/>
        <w:rPr>
          <w:rFonts w:cs="Calibri"/>
          <w:szCs w:val="24"/>
        </w:rPr>
      </w:pPr>
      <w:r>
        <w:t>CSO</w:t>
      </w:r>
      <w:r>
        <w:tab/>
        <w:t>Czech Statistical Office</w:t>
      </w:r>
    </w:p>
    <w:p w14:paraId="2B85CD2D" w14:textId="77777777" w:rsidR="006D3AD5" w:rsidRPr="002C224A" w:rsidRDefault="006D3AD5" w:rsidP="006D3AD5">
      <w:pPr>
        <w:tabs>
          <w:tab w:val="left" w:pos="3402"/>
        </w:tabs>
        <w:spacing w:line="280" w:lineRule="atLeast"/>
        <w:ind w:left="3402" w:hanging="3402"/>
        <w:rPr>
          <w:rFonts w:cs="Calibri"/>
          <w:szCs w:val="24"/>
        </w:rPr>
      </w:pPr>
      <w:r>
        <w:t>EBRD</w:t>
      </w:r>
      <w:r>
        <w:tab/>
        <w:t>European Bank for Reconstruction and Development</w:t>
      </w:r>
    </w:p>
    <w:p w14:paraId="471CF71D" w14:textId="77777777" w:rsidR="006D3AD5" w:rsidRPr="002C224A" w:rsidRDefault="006D3AD5" w:rsidP="006D3AD5">
      <w:pPr>
        <w:tabs>
          <w:tab w:val="left" w:pos="3402"/>
        </w:tabs>
        <w:spacing w:line="280" w:lineRule="atLeast"/>
        <w:ind w:left="3402" w:hanging="3402"/>
        <w:rPr>
          <w:rFonts w:cs="Calibri"/>
          <w:szCs w:val="24"/>
        </w:rPr>
      </w:pPr>
      <w:r>
        <w:t>EE</w:t>
      </w:r>
      <w:r>
        <w:tab/>
        <w:t>Energy Efficiency</w:t>
      </w:r>
    </w:p>
    <w:p w14:paraId="3D40DD1D" w14:textId="77777777" w:rsidR="006D3AD5" w:rsidRPr="002C224A" w:rsidRDefault="006D3AD5" w:rsidP="006D3AD5">
      <w:pPr>
        <w:tabs>
          <w:tab w:val="left" w:pos="3402"/>
        </w:tabs>
        <w:spacing w:line="280" w:lineRule="atLeast"/>
        <w:ind w:left="3402" w:hanging="3402"/>
        <w:rPr>
          <w:rFonts w:cs="Calibri"/>
          <w:szCs w:val="24"/>
        </w:rPr>
      </w:pPr>
      <w:r>
        <w:t>EFSI</w:t>
      </w:r>
      <w:r>
        <w:tab/>
        <w:t>European Fund for Strategic Investments</w:t>
      </w:r>
    </w:p>
    <w:p w14:paraId="7C6F899B" w14:textId="77777777" w:rsidR="006D3AD5" w:rsidRPr="002C224A" w:rsidRDefault="006D3AD5" w:rsidP="006D3AD5">
      <w:pPr>
        <w:tabs>
          <w:tab w:val="left" w:pos="3402"/>
        </w:tabs>
        <w:spacing w:line="280" w:lineRule="atLeast"/>
        <w:ind w:left="3402" w:hanging="3402"/>
        <w:rPr>
          <w:rFonts w:cs="Calibri"/>
          <w:szCs w:val="24"/>
        </w:rPr>
      </w:pPr>
      <w:r>
        <w:t>EIB</w:t>
      </w:r>
      <w:r>
        <w:tab/>
        <w:t>European Investment Bank</w:t>
      </w:r>
    </w:p>
    <w:p w14:paraId="5DFF0AF9" w14:textId="77777777" w:rsidR="006D3AD5" w:rsidRPr="002C224A" w:rsidRDefault="006D3AD5" w:rsidP="006D3AD5">
      <w:pPr>
        <w:tabs>
          <w:tab w:val="left" w:pos="3402"/>
        </w:tabs>
        <w:spacing w:line="280" w:lineRule="atLeast"/>
        <w:ind w:left="3402" w:hanging="3402"/>
        <w:rPr>
          <w:rFonts w:cs="Calibri"/>
          <w:szCs w:val="24"/>
        </w:rPr>
      </w:pPr>
      <w:r>
        <w:t>EIF</w:t>
      </w:r>
      <w:r>
        <w:tab/>
        <w:t>European Investment Fund</w:t>
      </w:r>
    </w:p>
    <w:p w14:paraId="1C54E27A" w14:textId="77777777" w:rsidR="006D3AD5" w:rsidRPr="002C224A" w:rsidRDefault="006D3AD5" w:rsidP="006D3AD5">
      <w:pPr>
        <w:tabs>
          <w:tab w:val="left" w:pos="3402"/>
        </w:tabs>
        <w:spacing w:line="280" w:lineRule="atLeast"/>
        <w:ind w:left="3402" w:hanging="3402"/>
        <w:rPr>
          <w:rFonts w:cs="Calibri"/>
          <w:szCs w:val="24"/>
        </w:rPr>
      </w:pPr>
      <w:r>
        <w:t>ERDF</w:t>
      </w:r>
      <w:r>
        <w:tab/>
        <w:t>European Regional Development Fund</w:t>
      </w:r>
    </w:p>
    <w:p w14:paraId="7F812AFF" w14:textId="77777777" w:rsidR="006D3AD5" w:rsidRPr="002C224A" w:rsidRDefault="006D3AD5" w:rsidP="006D3AD5">
      <w:pPr>
        <w:tabs>
          <w:tab w:val="left" w:pos="3402"/>
        </w:tabs>
        <w:spacing w:line="280" w:lineRule="atLeast"/>
        <w:ind w:left="3402" w:hanging="3402"/>
        <w:rPr>
          <w:rFonts w:cs="Calibri"/>
          <w:szCs w:val="24"/>
        </w:rPr>
      </w:pPr>
      <w:r>
        <w:t>EPC</w:t>
      </w:r>
      <w:r>
        <w:tab/>
        <w:t>Energy Performance Contracting</w:t>
      </w:r>
    </w:p>
    <w:p w14:paraId="195B802F" w14:textId="77777777" w:rsidR="006D3AD5" w:rsidRPr="002C224A" w:rsidRDefault="006D3AD5" w:rsidP="006D3AD5">
      <w:pPr>
        <w:tabs>
          <w:tab w:val="left" w:pos="3402"/>
        </w:tabs>
        <w:spacing w:line="280" w:lineRule="atLeast"/>
        <w:ind w:left="3402" w:hanging="3402"/>
        <w:rPr>
          <w:rFonts w:cs="Calibri"/>
          <w:szCs w:val="24"/>
        </w:rPr>
      </w:pPr>
      <w:r>
        <w:t>ECJ</w:t>
      </w:r>
      <w:r>
        <w:tab/>
        <w:t>European Court of Justice</w:t>
      </w:r>
    </w:p>
    <w:p w14:paraId="6651552D" w14:textId="77777777" w:rsidR="006D3AD5" w:rsidRPr="002C224A" w:rsidRDefault="006D3AD5" w:rsidP="006D3AD5">
      <w:pPr>
        <w:tabs>
          <w:tab w:val="left" w:pos="3402"/>
        </w:tabs>
        <w:spacing w:line="280" w:lineRule="atLeast"/>
        <w:ind w:left="3402" w:hanging="3402"/>
        <w:rPr>
          <w:rFonts w:cs="Calibri"/>
          <w:szCs w:val="24"/>
        </w:rPr>
      </w:pPr>
      <w:r>
        <w:t>ESIF</w:t>
      </w:r>
      <w:r>
        <w:tab/>
        <w:t>European Structural and Investment Funds</w:t>
      </w:r>
    </w:p>
    <w:p w14:paraId="593D91D6" w14:textId="77777777" w:rsidR="006D3AD5" w:rsidRPr="002C224A" w:rsidRDefault="006D3AD5" w:rsidP="006D3AD5">
      <w:pPr>
        <w:tabs>
          <w:tab w:val="left" w:pos="3402"/>
        </w:tabs>
        <w:spacing w:line="280" w:lineRule="atLeast"/>
        <w:ind w:left="3402" w:hanging="3402"/>
        <w:rPr>
          <w:rFonts w:cs="Calibri"/>
          <w:szCs w:val="24"/>
        </w:rPr>
      </w:pPr>
      <w:r>
        <w:t>ECA</w:t>
      </w:r>
      <w:r>
        <w:tab/>
        <w:t>European Court of Auditors</w:t>
      </w:r>
    </w:p>
    <w:p w14:paraId="2A10AD90" w14:textId="77777777" w:rsidR="006D3AD5" w:rsidRPr="002C224A" w:rsidRDefault="006D3AD5" w:rsidP="006D3AD5">
      <w:pPr>
        <w:tabs>
          <w:tab w:val="left" w:pos="3402"/>
        </w:tabs>
        <w:spacing w:line="280" w:lineRule="atLeast"/>
        <w:ind w:left="3402" w:hanging="3402"/>
        <w:rPr>
          <w:rFonts w:cs="Calibri"/>
          <w:szCs w:val="24"/>
        </w:rPr>
      </w:pPr>
      <w:r>
        <w:t>FF</w:t>
      </w:r>
      <w:r>
        <w:tab/>
        <w:t>Fund of funds (in the 2007-2013 period also a holding fund, share fund)</w:t>
      </w:r>
    </w:p>
    <w:p w14:paraId="5CDF3997" w14:textId="77777777" w:rsidR="006D3AD5" w:rsidRPr="002C224A" w:rsidRDefault="006D3AD5" w:rsidP="006D3AD5">
      <w:pPr>
        <w:tabs>
          <w:tab w:val="left" w:pos="3402"/>
        </w:tabs>
        <w:spacing w:line="280" w:lineRule="atLeast"/>
        <w:ind w:left="3402" w:hanging="3402"/>
        <w:rPr>
          <w:rFonts w:cs="Calibri"/>
          <w:szCs w:val="24"/>
        </w:rPr>
      </w:pPr>
      <w:r>
        <w:t>FI</w:t>
      </w:r>
      <w:r>
        <w:tab/>
        <w:t>Financial instrument(s)</w:t>
      </w:r>
    </w:p>
    <w:p w14:paraId="7AB12C3F" w14:textId="77777777" w:rsidR="006D3AD5" w:rsidRPr="002C224A" w:rsidRDefault="006D3AD5" w:rsidP="006D3AD5">
      <w:pPr>
        <w:tabs>
          <w:tab w:val="left" w:pos="3402"/>
        </w:tabs>
        <w:spacing w:line="280" w:lineRule="atLeast"/>
        <w:ind w:left="3402" w:hanging="3402"/>
        <w:rPr>
          <w:rFonts w:cs="Calibri"/>
          <w:szCs w:val="24"/>
        </w:rPr>
      </w:pPr>
      <w:r>
        <w:t>GEM</w:t>
      </w:r>
      <w:r>
        <w:tab/>
        <w:t>GlobalEnterpreneurship Monitor</w:t>
      </w:r>
    </w:p>
    <w:p w14:paraId="79FB5748" w14:textId="77777777" w:rsidR="006D3AD5" w:rsidRPr="002C224A" w:rsidRDefault="006D3AD5" w:rsidP="006D3AD5">
      <w:pPr>
        <w:tabs>
          <w:tab w:val="left" w:pos="3402"/>
        </w:tabs>
        <w:spacing w:line="280" w:lineRule="atLeast"/>
        <w:ind w:left="3402" w:hanging="3402"/>
        <w:rPr>
          <w:rFonts w:cs="Calibri"/>
          <w:szCs w:val="24"/>
        </w:rPr>
      </w:pPr>
      <w:r>
        <w:t>GERD</w:t>
      </w:r>
      <w:r>
        <w:tab/>
        <w:t>GovernmentExpenditure on R&amp;D</w:t>
      </w:r>
    </w:p>
    <w:p w14:paraId="3A5062A9" w14:textId="77777777" w:rsidR="006D3AD5" w:rsidRPr="002C224A" w:rsidRDefault="006D3AD5" w:rsidP="006D3AD5">
      <w:pPr>
        <w:tabs>
          <w:tab w:val="left" w:pos="3402"/>
        </w:tabs>
        <w:spacing w:line="280" w:lineRule="atLeast"/>
        <w:ind w:left="3402" w:hanging="3402"/>
        <w:rPr>
          <w:rFonts w:cs="Calibri"/>
          <w:szCs w:val="24"/>
        </w:rPr>
      </w:pPr>
      <w:r>
        <w:t>GF</w:t>
      </w:r>
      <w:r>
        <w:tab/>
        <w:t>greenfield</w:t>
      </w:r>
    </w:p>
    <w:p w14:paraId="38E5D0D3" w14:textId="77777777" w:rsidR="006D3AD5" w:rsidRPr="002C224A" w:rsidRDefault="006D3AD5" w:rsidP="006D3AD5">
      <w:pPr>
        <w:tabs>
          <w:tab w:val="left" w:pos="3402"/>
        </w:tabs>
        <w:spacing w:line="280" w:lineRule="atLeast"/>
        <w:ind w:left="3402" w:hanging="3402"/>
        <w:rPr>
          <w:rFonts w:cs="Calibri"/>
          <w:szCs w:val="24"/>
        </w:rPr>
      </w:pPr>
      <w:r>
        <w:t>HORIZON 2020</w:t>
      </w:r>
      <w:r>
        <w:tab/>
        <w:t>Eight EU framework programme for research and development</w:t>
      </w:r>
    </w:p>
    <w:p w14:paraId="638909EA" w14:textId="77777777" w:rsidR="006D3AD5" w:rsidRPr="002C224A" w:rsidRDefault="006D3AD5" w:rsidP="006D3AD5">
      <w:pPr>
        <w:tabs>
          <w:tab w:val="left" w:pos="3402"/>
        </w:tabs>
        <w:spacing w:line="280" w:lineRule="atLeast"/>
        <w:ind w:left="3402" w:hanging="3402"/>
        <w:rPr>
          <w:rFonts w:cs="Calibri"/>
          <w:szCs w:val="24"/>
        </w:rPr>
      </w:pPr>
      <w:r>
        <w:t>IFI</w:t>
      </w:r>
      <w:r>
        <w:tab/>
        <w:t>Innovative financial instrument</w:t>
      </w:r>
    </w:p>
    <w:p w14:paraId="1B4E38FE" w14:textId="77777777" w:rsidR="006D3AD5" w:rsidRPr="002C224A" w:rsidRDefault="006D3AD5" w:rsidP="006D3AD5">
      <w:pPr>
        <w:tabs>
          <w:tab w:val="left" w:pos="3402"/>
        </w:tabs>
        <w:spacing w:line="280" w:lineRule="atLeast"/>
        <w:ind w:left="3402" w:hanging="3402"/>
        <w:rPr>
          <w:rFonts w:cs="Calibri"/>
          <w:szCs w:val="24"/>
        </w:rPr>
      </w:pPr>
      <w:r>
        <w:t>IRR</w:t>
      </w:r>
      <w:r>
        <w:tab/>
        <w:t>Internal Rate of Return</w:t>
      </w:r>
    </w:p>
    <w:p w14:paraId="22ED19BA" w14:textId="77777777" w:rsidR="006D3AD5" w:rsidRPr="002C224A" w:rsidRDefault="006D3AD5" w:rsidP="006D3AD5">
      <w:pPr>
        <w:tabs>
          <w:tab w:val="left" w:pos="3402"/>
        </w:tabs>
        <w:spacing w:line="280" w:lineRule="atLeast"/>
        <w:ind w:left="3402" w:hanging="3402"/>
        <w:rPr>
          <w:rFonts w:cs="Calibri"/>
          <w:szCs w:val="24"/>
        </w:rPr>
      </w:pPr>
      <w:r>
        <w:t>JEREMIE</w:t>
      </w:r>
      <w:r>
        <w:tab/>
        <w:t>Joint European Resources for Micro to Medium Enterprises</w:t>
      </w:r>
    </w:p>
    <w:p w14:paraId="7D00C9E9" w14:textId="77777777" w:rsidR="006D3AD5" w:rsidRPr="002C224A" w:rsidRDefault="006D3AD5" w:rsidP="006D3AD5">
      <w:pPr>
        <w:tabs>
          <w:tab w:val="left" w:pos="3402"/>
        </w:tabs>
        <w:spacing w:line="280" w:lineRule="atLeast"/>
        <w:ind w:left="3402" w:hanging="3402"/>
        <w:rPr>
          <w:rFonts w:cs="Calibri"/>
          <w:szCs w:val="24"/>
        </w:rPr>
      </w:pPr>
      <w:r>
        <w:t>JESSICA</w:t>
      </w:r>
      <w:r>
        <w:tab/>
        <w:t>Joint European Support for Sustainable Investment in City Areas</w:t>
      </w:r>
    </w:p>
    <w:p w14:paraId="224EEB94" w14:textId="77777777" w:rsidR="006D3AD5" w:rsidRPr="002C224A" w:rsidRDefault="006D3AD5" w:rsidP="006D3AD5">
      <w:pPr>
        <w:tabs>
          <w:tab w:val="left" w:pos="3402"/>
        </w:tabs>
        <w:spacing w:line="280" w:lineRule="atLeast"/>
        <w:ind w:left="3402" w:hanging="3402"/>
        <w:rPr>
          <w:rFonts w:cs="Calibri"/>
          <w:szCs w:val="24"/>
        </w:rPr>
      </w:pPr>
      <w:r>
        <w:t>CPEH</w:t>
      </w:r>
      <w:r>
        <w:tab/>
        <w:t>Combined production of electricity and heat</w:t>
      </w:r>
    </w:p>
    <w:p w14:paraId="48B05106" w14:textId="77777777" w:rsidR="006D3AD5" w:rsidRPr="002C224A" w:rsidRDefault="006D3AD5" w:rsidP="006D3AD5">
      <w:pPr>
        <w:tabs>
          <w:tab w:val="left" w:pos="3402"/>
        </w:tabs>
        <w:spacing w:line="280" w:lineRule="atLeast"/>
        <w:ind w:left="3402" w:hanging="3402"/>
        <w:rPr>
          <w:rFonts w:cs="Calibri"/>
          <w:szCs w:val="24"/>
        </w:rPr>
      </w:pPr>
      <w:r>
        <w:t>LP</w:t>
      </w:r>
      <w:r>
        <w:tab/>
        <w:t>Limited Partner, Limited Partnership</w:t>
      </w:r>
    </w:p>
    <w:p w14:paraId="2F213F3A" w14:textId="77777777" w:rsidR="006D3AD5" w:rsidRPr="002C224A" w:rsidRDefault="006D3AD5" w:rsidP="006D3AD5">
      <w:pPr>
        <w:tabs>
          <w:tab w:val="left" w:pos="3402"/>
        </w:tabs>
        <w:spacing w:line="280" w:lineRule="atLeast"/>
        <w:ind w:left="3402" w:hanging="3402"/>
        <w:rPr>
          <w:rFonts w:cs="Calibri"/>
          <w:szCs w:val="24"/>
        </w:rPr>
      </w:pPr>
      <w:r>
        <w:t>MCF</w:t>
      </w:r>
      <w:r>
        <w:tab/>
        <w:t>Management Cost and Fees</w:t>
      </w:r>
    </w:p>
    <w:p w14:paraId="29836B10" w14:textId="77777777" w:rsidR="006D3AD5" w:rsidRPr="002C224A" w:rsidRDefault="006D3AD5" w:rsidP="006D3AD5">
      <w:pPr>
        <w:tabs>
          <w:tab w:val="left" w:pos="3402"/>
        </w:tabs>
        <w:spacing w:line="280" w:lineRule="atLeast"/>
        <w:ind w:left="3402" w:hanging="3402"/>
        <w:rPr>
          <w:rFonts w:cs="Calibri"/>
          <w:szCs w:val="24"/>
        </w:rPr>
      </w:pPr>
      <w:r>
        <w:t>MF</w:t>
      </w:r>
      <w:r>
        <w:tab/>
        <w:t>Ministry of Finance</w:t>
      </w:r>
    </w:p>
    <w:p w14:paraId="31AF1A3B" w14:textId="77777777" w:rsidR="006D3AD5" w:rsidRPr="002C224A" w:rsidRDefault="006D3AD5" w:rsidP="006D3AD5">
      <w:pPr>
        <w:tabs>
          <w:tab w:val="left" w:pos="3402"/>
        </w:tabs>
        <w:spacing w:line="280" w:lineRule="atLeast"/>
        <w:ind w:left="3402" w:hanging="3402"/>
        <w:rPr>
          <w:rFonts w:cs="Calibri"/>
          <w:szCs w:val="24"/>
        </w:rPr>
      </w:pPr>
      <w:r>
        <w:t>MFFA</w:t>
      </w:r>
      <w:r>
        <w:tab/>
        <w:t>Methodology of financial flows and audit</w:t>
      </w:r>
    </w:p>
    <w:p w14:paraId="258E25F9" w14:textId="77777777" w:rsidR="006D3AD5" w:rsidRPr="002C224A" w:rsidRDefault="006D3AD5" w:rsidP="006D3AD5">
      <w:pPr>
        <w:tabs>
          <w:tab w:val="left" w:pos="3402"/>
        </w:tabs>
        <w:spacing w:line="280" w:lineRule="atLeast"/>
        <w:ind w:left="3402" w:hanging="3402"/>
        <w:rPr>
          <w:rFonts w:cs="Calibri"/>
          <w:szCs w:val="24"/>
        </w:rPr>
      </w:pPr>
      <w:r>
        <w:t>MoRD</w:t>
      </w:r>
      <w:r>
        <w:tab/>
      </w:r>
      <w:r>
        <w:tab/>
        <w:t xml:space="preserve"> Ministry of Regional Development</w:t>
      </w:r>
    </w:p>
    <w:p w14:paraId="59538172" w14:textId="77777777" w:rsidR="006D3AD5" w:rsidRPr="002C224A" w:rsidRDefault="006D3AD5" w:rsidP="006D3AD5">
      <w:pPr>
        <w:tabs>
          <w:tab w:val="left" w:pos="3402"/>
        </w:tabs>
        <w:spacing w:line="280" w:lineRule="atLeast"/>
        <w:ind w:left="3402" w:hanging="3402"/>
        <w:rPr>
          <w:rFonts w:cs="Calibri"/>
          <w:szCs w:val="24"/>
        </w:rPr>
      </w:pPr>
      <w:r>
        <w:t>MIT</w:t>
      </w:r>
      <w:r>
        <w:tab/>
      </w:r>
      <w:r>
        <w:tab/>
      </w:r>
      <w:r>
        <w:tab/>
        <w:t>Ministry of Industry and Trade</w:t>
      </w:r>
    </w:p>
    <w:p w14:paraId="7399D0E5" w14:textId="3839411C" w:rsidR="006D3AD5" w:rsidRPr="002C224A" w:rsidRDefault="0042403A" w:rsidP="006D3AD5">
      <w:pPr>
        <w:tabs>
          <w:tab w:val="left" w:pos="3402"/>
        </w:tabs>
        <w:spacing w:line="280" w:lineRule="atLeast"/>
        <w:ind w:left="3402" w:hanging="3402"/>
        <w:rPr>
          <w:rFonts w:cs="Calibri"/>
          <w:szCs w:val="24"/>
        </w:rPr>
      </w:pPr>
      <w:r>
        <w:t>SME</w:t>
      </w:r>
      <w:r w:rsidR="006D3AD5">
        <w:tab/>
        <w:t>Small and medium-sized enterprises</w:t>
      </w:r>
    </w:p>
    <w:p w14:paraId="6EEFE344" w14:textId="77777777" w:rsidR="006D3AD5" w:rsidRPr="002C224A" w:rsidRDefault="006D3AD5" w:rsidP="006D3AD5">
      <w:pPr>
        <w:tabs>
          <w:tab w:val="left" w:pos="3402"/>
        </w:tabs>
        <w:spacing w:line="280" w:lineRule="atLeast"/>
        <w:ind w:left="3402" w:hanging="3402"/>
        <w:rPr>
          <w:rFonts w:cs="Calibri"/>
          <w:szCs w:val="24"/>
        </w:rPr>
      </w:pPr>
      <w:r>
        <w:t>SHPP</w:t>
      </w:r>
      <w:r>
        <w:tab/>
        <w:t>Small hydroelectric power plant</w:t>
      </w:r>
    </w:p>
    <w:p w14:paraId="03EE8E22" w14:textId="77777777" w:rsidR="006D3AD5" w:rsidRPr="002C224A" w:rsidRDefault="006D3AD5" w:rsidP="006D3AD5">
      <w:pPr>
        <w:tabs>
          <w:tab w:val="left" w:pos="3402"/>
        </w:tabs>
        <w:spacing w:line="280" w:lineRule="atLeast"/>
        <w:ind w:left="3402" w:hanging="3402"/>
        <w:rPr>
          <w:rFonts w:cs="Calibri"/>
          <w:szCs w:val="24"/>
        </w:rPr>
      </w:pPr>
      <w:r>
        <w:t>General regulation</w:t>
      </w:r>
      <w:r>
        <w:tab/>
        <w:t xml:space="preserve">Regulation of the European Parliament and of the Council (EU) No1303/2013 from 17th December 2013 on common provisions concerning the European Regional Development Fund, the European Social Fund, the Cohesion Fund, the European </w:t>
      </w:r>
      <w:r>
        <w:lastRenderedPageBreak/>
        <w:t>Agricultural Fund for Rural Development and the European Maritime and Fisheries Fund, on general provisions concerning the European Regional Development Fund, the European Social Fund and the European Maritime and Fisheries Fund and on cancellation of the Council Regulation (EC) No1083/2006, OJ L 347, p. 320-469</w:t>
      </w:r>
    </w:p>
    <w:p w14:paraId="71CF6D83" w14:textId="77777777" w:rsidR="006D3AD5" w:rsidRPr="002C224A" w:rsidRDefault="006D3AD5" w:rsidP="006D3AD5">
      <w:pPr>
        <w:tabs>
          <w:tab w:val="left" w:pos="3402"/>
        </w:tabs>
        <w:spacing w:line="280" w:lineRule="atLeast"/>
        <w:ind w:left="3402" w:hanging="3402"/>
        <w:rPr>
          <w:rFonts w:cs="Calibri"/>
          <w:szCs w:val="24"/>
        </w:rPr>
      </w:pPr>
      <w:r>
        <w:t>The ERDF directive</w:t>
      </w:r>
      <w:r>
        <w:tab/>
        <w:t>Proposal for a REGULATION OF THE EUROPEAN PARLIAMENT AND OF THE COUNCIL on specific provisions concerning the European Regional Development Fund and the Investment for growth and jobs goal and repealing Regulation (EC) No 1080/2006</w:t>
      </w:r>
    </w:p>
    <w:p w14:paraId="28860EDA" w14:textId="39F47A71" w:rsidR="003A50FC" w:rsidRDefault="003A50FC" w:rsidP="006D3AD5">
      <w:pPr>
        <w:tabs>
          <w:tab w:val="left" w:pos="3402"/>
        </w:tabs>
        <w:spacing w:line="280" w:lineRule="atLeast"/>
        <w:ind w:left="3402" w:hanging="3402"/>
      </w:pPr>
      <w:r>
        <w:t>NIF</w:t>
      </w:r>
      <w:r>
        <w:tab/>
        <w:t>National innovation fund</w:t>
      </w:r>
    </w:p>
    <w:p w14:paraId="3DA93F83" w14:textId="77777777" w:rsidR="006D3AD5" w:rsidRPr="002C224A" w:rsidRDefault="006D3AD5" w:rsidP="006D3AD5">
      <w:pPr>
        <w:tabs>
          <w:tab w:val="left" w:pos="3402"/>
        </w:tabs>
        <w:spacing w:line="280" w:lineRule="atLeast"/>
        <w:ind w:left="3402" w:hanging="3402"/>
        <w:rPr>
          <w:rFonts w:cs="Calibri"/>
          <w:szCs w:val="24"/>
        </w:rPr>
      </w:pPr>
      <w:r>
        <w:t>NGA</w:t>
      </w:r>
      <w:r>
        <w:tab/>
        <w:t>Next Generation Access</w:t>
      </w:r>
    </w:p>
    <w:p w14:paraId="20F6676C" w14:textId="77777777" w:rsidR="006D3AD5" w:rsidRPr="002C224A" w:rsidRDefault="006D3AD5" w:rsidP="006D3AD5">
      <w:pPr>
        <w:tabs>
          <w:tab w:val="left" w:pos="3402"/>
        </w:tabs>
        <w:spacing w:line="280" w:lineRule="atLeast"/>
        <w:ind w:left="3402" w:hanging="3402"/>
        <w:rPr>
          <w:rFonts w:cs="Calibri"/>
          <w:szCs w:val="24"/>
        </w:rPr>
      </w:pPr>
      <w:r>
        <w:t>NPV</w:t>
      </w:r>
      <w:r>
        <w:tab/>
        <w:t>Net Present Value</w:t>
      </w:r>
    </w:p>
    <w:p w14:paraId="27EA641E" w14:textId="77777777" w:rsidR="006D3AD5" w:rsidRPr="002C224A" w:rsidRDefault="006D3AD5" w:rsidP="006D3AD5">
      <w:pPr>
        <w:tabs>
          <w:tab w:val="left" w:pos="3402"/>
        </w:tabs>
        <w:spacing w:line="280" w:lineRule="atLeast"/>
        <w:ind w:left="3402" w:hanging="3402"/>
        <w:rPr>
          <w:rFonts w:cs="Calibri"/>
          <w:szCs w:val="24"/>
        </w:rPr>
      </w:pPr>
      <w:r>
        <w:t>off-the-shelf instrument</w:t>
      </w:r>
      <w:r>
        <w:tab/>
        <w:t>standardized financial instrument</w:t>
      </w:r>
    </w:p>
    <w:p w14:paraId="660F8A1E" w14:textId="77777777" w:rsidR="006D3AD5" w:rsidRPr="002C224A" w:rsidRDefault="006D3AD5" w:rsidP="006D3AD5">
      <w:pPr>
        <w:tabs>
          <w:tab w:val="left" w:pos="3402"/>
        </w:tabs>
        <w:spacing w:line="280" w:lineRule="atLeast"/>
        <w:ind w:left="3402" w:hanging="3402"/>
        <w:rPr>
          <w:rFonts w:cs="Calibri"/>
          <w:szCs w:val="24"/>
        </w:rPr>
      </w:pPr>
      <w:r>
        <w:t>OP</w:t>
      </w:r>
      <w:r>
        <w:tab/>
        <w:t>operational programme</w:t>
      </w:r>
    </w:p>
    <w:p w14:paraId="7D329C14" w14:textId="77777777" w:rsidR="006D3AD5" w:rsidRPr="002C224A" w:rsidRDefault="006D3AD5" w:rsidP="006D3AD5">
      <w:pPr>
        <w:tabs>
          <w:tab w:val="left" w:pos="3402"/>
        </w:tabs>
        <w:spacing w:line="280" w:lineRule="atLeast"/>
        <w:ind w:left="3402" w:hanging="3402"/>
        <w:rPr>
          <w:rFonts w:cs="Calibri"/>
          <w:szCs w:val="24"/>
        </w:rPr>
      </w:pPr>
      <w:r>
        <w:t>OP EI</w:t>
      </w:r>
      <w:r>
        <w:tab/>
        <w:t>Operational Programme Enterprise and Innovation</w:t>
      </w:r>
    </w:p>
    <w:p w14:paraId="199A9CC9" w14:textId="77777777" w:rsidR="006D3AD5" w:rsidRPr="002C224A" w:rsidRDefault="006D3AD5" w:rsidP="006D3AD5">
      <w:pPr>
        <w:tabs>
          <w:tab w:val="left" w:pos="3402"/>
        </w:tabs>
        <w:spacing w:line="280" w:lineRule="atLeast"/>
        <w:ind w:left="3402" w:hanging="3402"/>
        <w:rPr>
          <w:rFonts w:cs="Calibri"/>
          <w:szCs w:val="24"/>
        </w:rPr>
      </w:pPr>
      <w:r>
        <w:t>OP EIC</w:t>
      </w:r>
      <w:r>
        <w:tab/>
        <w:t>Operational Programme Enterprise and Innovation for Competitiveness</w:t>
      </w:r>
    </w:p>
    <w:p w14:paraId="5B7D85B0" w14:textId="77777777" w:rsidR="006D3AD5" w:rsidRPr="002C224A" w:rsidRDefault="006D3AD5" w:rsidP="006D3AD5">
      <w:pPr>
        <w:tabs>
          <w:tab w:val="left" w:pos="3402"/>
        </w:tabs>
        <w:spacing w:line="280" w:lineRule="atLeast"/>
        <w:ind w:left="3402" w:hanging="3402"/>
        <w:rPr>
          <w:rFonts w:cs="Calibri"/>
          <w:szCs w:val="24"/>
        </w:rPr>
      </w:pPr>
      <w:r>
        <w:t>OP IE</w:t>
      </w:r>
      <w:r>
        <w:tab/>
        <w:t>Operational Programme Enterprise and Innovation</w:t>
      </w:r>
    </w:p>
    <w:p w14:paraId="797E9364" w14:textId="77777777" w:rsidR="006D3AD5" w:rsidRPr="002C224A" w:rsidRDefault="006D3AD5" w:rsidP="006D3AD5">
      <w:pPr>
        <w:tabs>
          <w:tab w:val="left" w:pos="3402"/>
        </w:tabs>
        <w:spacing w:line="280" w:lineRule="atLeast"/>
        <w:ind w:left="3402" w:hanging="3402"/>
        <w:rPr>
          <w:rFonts w:cs="Calibri"/>
          <w:szCs w:val="24"/>
        </w:rPr>
      </w:pPr>
      <w:r>
        <w:t>IROP</w:t>
      </w:r>
      <w:r>
        <w:tab/>
        <w:t>Integrated Regional Operational Programme</w:t>
      </w:r>
    </w:p>
    <w:p w14:paraId="07E95719" w14:textId="77777777" w:rsidR="006D3AD5" w:rsidRPr="002C224A" w:rsidRDefault="006D3AD5" w:rsidP="006D3AD5">
      <w:pPr>
        <w:tabs>
          <w:tab w:val="left" w:pos="3402"/>
        </w:tabs>
        <w:spacing w:line="280" w:lineRule="atLeast"/>
        <w:ind w:left="3402" w:hanging="3402"/>
        <w:rPr>
          <w:rFonts w:cs="Calibri"/>
          <w:szCs w:val="24"/>
        </w:rPr>
      </w:pPr>
      <w:r>
        <w:t>CJEU</w:t>
      </w:r>
      <w:r>
        <w:tab/>
        <w:t>Court of Justice of the European Union</w:t>
      </w:r>
    </w:p>
    <w:p w14:paraId="1DBEFFA0" w14:textId="77777777" w:rsidR="006D3AD5" w:rsidRPr="002C224A" w:rsidRDefault="006D3AD5" w:rsidP="006D3AD5">
      <w:pPr>
        <w:tabs>
          <w:tab w:val="left" w:pos="3402"/>
        </w:tabs>
        <w:spacing w:line="280" w:lineRule="atLeast"/>
        <w:ind w:left="3402" w:hanging="3402"/>
        <w:rPr>
          <w:rFonts w:cs="Calibri"/>
          <w:szCs w:val="24"/>
        </w:rPr>
      </w:pPr>
      <w:r>
        <w:t>SFHD</w:t>
      </w:r>
      <w:r>
        <w:tab/>
        <w:t>State Fund for Housing Development</w:t>
      </w:r>
    </w:p>
    <w:p w14:paraId="436150AD" w14:textId="77777777" w:rsidR="006D3AD5" w:rsidRPr="002C224A" w:rsidRDefault="006D3AD5" w:rsidP="006D3AD5">
      <w:pPr>
        <w:tabs>
          <w:tab w:val="left" w:pos="3402"/>
        </w:tabs>
        <w:spacing w:line="280" w:lineRule="atLeast"/>
        <w:ind w:left="3402" w:hanging="3402"/>
        <w:rPr>
          <w:rFonts w:cs="Calibri"/>
          <w:szCs w:val="24"/>
        </w:rPr>
      </w:pPr>
      <w:r>
        <w:t>SICAF</w:t>
      </w:r>
      <w:r>
        <w:tab/>
        <w:t>Société d'investissement à capital fixe</w:t>
      </w:r>
    </w:p>
    <w:p w14:paraId="0760D57E" w14:textId="77777777" w:rsidR="006D3AD5" w:rsidRPr="002C224A" w:rsidRDefault="006D3AD5" w:rsidP="006D3AD5">
      <w:pPr>
        <w:tabs>
          <w:tab w:val="left" w:pos="3402"/>
        </w:tabs>
        <w:spacing w:line="280" w:lineRule="atLeast"/>
        <w:ind w:left="3402" w:hanging="3402"/>
        <w:rPr>
          <w:rFonts w:cs="Calibri"/>
          <w:szCs w:val="24"/>
        </w:rPr>
      </w:pPr>
      <w:r>
        <w:t>SICAV</w:t>
      </w:r>
      <w:r>
        <w:tab/>
        <w:t>Société d'investissement à capital variable</w:t>
      </w:r>
    </w:p>
    <w:p w14:paraId="28EAF1AE" w14:textId="77777777" w:rsidR="006D3AD5" w:rsidRPr="002C224A" w:rsidRDefault="006D3AD5" w:rsidP="006D3AD5">
      <w:pPr>
        <w:tabs>
          <w:tab w:val="left" w:pos="3402"/>
        </w:tabs>
        <w:spacing w:line="280" w:lineRule="atLeast"/>
        <w:ind w:left="3402" w:hanging="3402"/>
        <w:rPr>
          <w:rFonts w:cs="Calibri"/>
          <w:szCs w:val="24"/>
        </w:rPr>
      </w:pPr>
      <w:r>
        <w:t>SMEG</w:t>
      </w:r>
      <w:r>
        <w:tab/>
        <w:t>SME Guarantee Facility</w:t>
      </w:r>
    </w:p>
    <w:p w14:paraId="58466ECF" w14:textId="77777777" w:rsidR="006D3AD5" w:rsidRPr="002C224A" w:rsidRDefault="006D3AD5" w:rsidP="006D3AD5">
      <w:pPr>
        <w:tabs>
          <w:tab w:val="left" w:pos="3402"/>
        </w:tabs>
        <w:spacing w:line="280" w:lineRule="atLeast"/>
        <w:ind w:left="3402" w:hanging="3402"/>
        <w:rPr>
          <w:rFonts w:cs="Calibri"/>
          <w:szCs w:val="24"/>
        </w:rPr>
      </w:pPr>
      <w:r>
        <w:t>SPV</w:t>
      </w:r>
      <w:r>
        <w:tab/>
        <w:t>Special Purpose Vehicle</w:t>
      </w:r>
    </w:p>
    <w:p w14:paraId="2115E9CC" w14:textId="77777777" w:rsidR="006D3AD5" w:rsidRPr="002C224A" w:rsidRDefault="006D3AD5" w:rsidP="006D3AD5">
      <w:pPr>
        <w:tabs>
          <w:tab w:val="left" w:pos="3402"/>
        </w:tabs>
        <w:spacing w:line="280" w:lineRule="atLeast"/>
        <w:ind w:left="3402" w:hanging="3402"/>
        <w:rPr>
          <w:rFonts w:cs="Calibri"/>
          <w:szCs w:val="24"/>
        </w:rPr>
      </w:pPr>
      <w:r>
        <w:t>CSF</w:t>
      </w:r>
      <w:r>
        <w:tab/>
        <w:t>Common strategic framework</w:t>
      </w:r>
    </w:p>
    <w:p w14:paraId="60B6EE7B" w14:textId="77777777" w:rsidR="006D3AD5" w:rsidRPr="002C224A" w:rsidRDefault="006D3AD5" w:rsidP="006D3AD5">
      <w:pPr>
        <w:tabs>
          <w:tab w:val="left" w:pos="3402"/>
        </w:tabs>
        <w:spacing w:line="280" w:lineRule="atLeast"/>
        <w:ind w:left="3402" w:hanging="3402"/>
        <w:rPr>
          <w:rFonts w:cs="Calibri"/>
          <w:szCs w:val="24"/>
        </w:rPr>
      </w:pPr>
      <w:r>
        <w:t>CEE</w:t>
      </w:r>
      <w:r>
        <w:tab/>
        <w:t>Central and Eastern Europe</w:t>
      </w:r>
    </w:p>
    <w:p w14:paraId="64E7C770" w14:textId="77777777" w:rsidR="006D3AD5" w:rsidRPr="002C224A" w:rsidRDefault="006D3AD5" w:rsidP="006D3AD5">
      <w:pPr>
        <w:tabs>
          <w:tab w:val="left" w:pos="3402"/>
        </w:tabs>
        <w:spacing w:line="280" w:lineRule="atLeast"/>
        <w:ind w:left="3402" w:hanging="3402"/>
        <w:rPr>
          <w:rFonts w:cs="Calibri"/>
          <w:szCs w:val="24"/>
        </w:rPr>
      </w:pPr>
      <w:r>
        <w:t>TACR</w:t>
      </w:r>
      <w:r>
        <w:tab/>
      </w:r>
      <w:r>
        <w:tab/>
      </w:r>
      <w:r>
        <w:tab/>
        <w:t>Technology Agency of the Czech Republic</w:t>
      </w:r>
    </w:p>
    <w:p w14:paraId="2ADAFCF7" w14:textId="77777777" w:rsidR="006D3AD5" w:rsidRPr="002C224A" w:rsidRDefault="006D3AD5" w:rsidP="006D3AD5">
      <w:pPr>
        <w:tabs>
          <w:tab w:val="left" w:pos="3402"/>
        </w:tabs>
        <w:spacing w:line="280" w:lineRule="atLeast"/>
        <w:ind w:left="3402" w:hanging="3402"/>
        <w:rPr>
          <w:rFonts w:cs="Calibri"/>
          <w:szCs w:val="24"/>
        </w:rPr>
      </w:pPr>
      <w:r>
        <w:t>tailor-made instrument</w:t>
      </w:r>
      <w:r>
        <w:tab/>
        <w:t>financial instrument "made to measure" of the identified market failure</w:t>
      </w:r>
    </w:p>
    <w:p w14:paraId="56E3E977" w14:textId="00806D53" w:rsidR="00352D5B" w:rsidRDefault="00352D5B" w:rsidP="006D3AD5">
      <w:pPr>
        <w:tabs>
          <w:tab w:val="left" w:pos="3402"/>
        </w:tabs>
        <w:spacing w:line="280" w:lineRule="atLeast"/>
        <w:ind w:left="3402" w:hanging="3402"/>
      </w:pPr>
      <w:r>
        <w:t>TTO</w:t>
      </w:r>
      <w:r>
        <w:tab/>
        <w:t>technology transfer centre</w:t>
      </w:r>
    </w:p>
    <w:p w14:paraId="2E274B13" w14:textId="77777777" w:rsidR="006D3AD5" w:rsidRPr="002C224A" w:rsidRDefault="006D3AD5" w:rsidP="006D3AD5">
      <w:pPr>
        <w:tabs>
          <w:tab w:val="left" w:pos="3402"/>
        </w:tabs>
        <w:spacing w:line="280" w:lineRule="atLeast"/>
        <w:ind w:left="3402" w:hanging="3402"/>
        <w:rPr>
          <w:rFonts w:cs="Calibri"/>
          <w:szCs w:val="24"/>
        </w:rPr>
      </w:pPr>
      <w:r>
        <w:t>OPC</w:t>
      </w:r>
      <w:r>
        <w:tab/>
        <w:t>Office for the Protection of Competition</w:t>
      </w:r>
    </w:p>
    <w:p w14:paraId="3477EC59" w14:textId="77777777" w:rsidR="006D3AD5" w:rsidRPr="002C224A" w:rsidRDefault="006D3AD5" w:rsidP="006D3AD5">
      <w:pPr>
        <w:tabs>
          <w:tab w:val="left" w:pos="3402"/>
        </w:tabs>
        <w:spacing w:line="280" w:lineRule="atLeast"/>
        <w:ind w:left="3402" w:hanging="3402"/>
        <w:rPr>
          <w:rFonts w:cs="Calibri"/>
          <w:szCs w:val="24"/>
        </w:rPr>
      </w:pPr>
      <w:r>
        <w:t>RO</w:t>
      </w:r>
      <w:r>
        <w:tab/>
        <w:t>Research organisation</w:t>
      </w:r>
    </w:p>
    <w:p w14:paraId="77B2E101" w14:textId="77777777" w:rsidR="006D3AD5" w:rsidRPr="002C224A" w:rsidRDefault="006D3AD5" w:rsidP="006D3AD5">
      <w:pPr>
        <w:tabs>
          <w:tab w:val="left" w:pos="3402"/>
        </w:tabs>
        <w:spacing w:line="280" w:lineRule="atLeast"/>
        <w:ind w:left="3402" w:hanging="3402"/>
        <w:rPr>
          <w:rFonts w:cs="Calibri"/>
          <w:szCs w:val="24"/>
        </w:rPr>
      </w:pPr>
      <w:r>
        <w:t>ZISIF</w:t>
      </w:r>
      <w:r>
        <w:tab/>
        <w:t>Act no. 240/2013 Coll. on investment companies and funds and related regulations</w:t>
      </w:r>
    </w:p>
    <w:p w14:paraId="246ED8EE" w14:textId="77777777" w:rsidR="006D3AD5" w:rsidRPr="002C224A" w:rsidRDefault="006D3AD5" w:rsidP="006D3AD5">
      <w:pPr>
        <w:tabs>
          <w:tab w:val="left" w:pos="3402"/>
        </w:tabs>
        <w:spacing w:line="280" w:lineRule="atLeast"/>
        <w:ind w:left="3402" w:hanging="3402"/>
        <w:rPr>
          <w:rFonts w:cs="Calibri"/>
          <w:szCs w:val="24"/>
        </w:rPr>
      </w:pPr>
      <w:r>
        <w:t>BSGU</w:t>
      </w:r>
      <w:r>
        <w:tab/>
        <w:t>Basic self-governing unit</w:t>
      </w:r>
    </w:p>
    <w:p w14:paraId="4B84D5C9" w14:textId="77777777" w:rsidR="006D67F1" w:rsidRPr="002C224A" w:rsidRDefault="006D3AD5" w:rsidP="006D3AD5">
      <w:pPr>
        <w:rPr>
          <w:b/>
          <w:bCs/>
        </w:rPr>
      </w:pPr>
      <w:r>
        <w:t>ZVZ</w:t>
      </w:r>
      <w:r>
        <w:tab/>
        <w:t>Act no. 137/2006 Coll. on public tenders as amended and related regulations,</w:t>
      </w:r>
    </w:p>
    <w:sectPr w:rsidR="006D67F1" w:rsidRPr="002C224A" w:rsidSect="00CA344C">
      <w:headerReference w:type="default" r:id="rId74"/>
      <w:footerReference w:type="even" r:id="rId75"/>
      <w:footerReference w:type="default" r:id="rId76"/>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07643" w14:textId="77777777" w:rsidR="0012136C" w:rsidRDefault="0012136C" w:rsidP="006561E1">
      <w:r>
        <w:separator/>
      </w:r>
    </w:p>
  </w:endnote>
  <w:endnote w:type="continuationSeparator" w:id="0">
    <w:p w14:paraId="243A3784" w14:textId="77777777" w:rsidR="0012136C" w:rsidRDefault="0012136C" w:rsidP="0065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B417F" w14:textId="77777777" w:rsidR="0012136C" w:rsidRDefault="0012136C" w:rsidP="002E2C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0ACA76F" w14:textId="77777777" w:rsidR="0012136C" w:rsidRDefault="0012136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0DFE" w14:textId="77777777" w:rsidR="0012136C" w:rsidRDefault="0012136C" w:rsidP="002E2C9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2673B">
      <w:rPr>
        <w:rStyle w:val="slostrnky"/>
        <w:noProof/>
      </w:rPr>
      <w:t>187</w:t>
    </w:r>
    <w:r>
      <w:rPr>
        <w:rStyle w:val="slostrnky"/>
      </w:rPr>
      <w:fldChar w:fldCharType="end"/>
    </w:r>
  </w:p>
  <w:p w14:paraId="400C9DDE" w14:textId="77777777" w:rsidR="0012136C" w:rsidRDefault="0012136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BB7B8" w14:textId="77777777" w:rsidR="0012136C" w:rsidRDefault="0012136C" w:rsidP="006561E1">
      <w:r>
        <w:separator/>
      </w:r>
    </w:p>
  </w:footnote>
  <w:footnote w:type="continuationSeparator" w:id="0">
    <w:p w14:paraId="330B4E5C" w14:textId="77777777" w:rsidR="0012136C" w:rsidRDefault="0012136C" w:rsidP="006561E1">
      <w:r>
        <w:continuationSeparator/>
      </w:r>
    </w:p>
  </w:footnote>
  <w:footnote w:id="1">
    <w:p w14:paraId="2E86392B" w14:textId="77777777" w:rsidR="0012136C" w:rsidRPr="00B1614D" w:rsidRDefault="0012136C" w:rsidP="00790B17">
      <w:pPr>
        <w:pStyle w:val="Textpoznpodarou"/>
      </w:pPr>
      <w:r>
        <w:rPr>
          <w:rStyle w:val="Znakapoznpodarou"/>
        </w:rPr>
        <w:footnoteRef/>
      </w:r>
      <w:r>
        <w:rPr>
          <w:rFonts w:ascii="Calibri" w:hAnsi="Calibri"/>
        </w:rPr>
        <w:t>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 20.12.2013, p. 320.</w:t>
      </w:r>
    </w:p>
  </w:footnote>
  <w:footnote w:id="2">
    <w:p w14:paraId="6E4BFBD0" w14:textId="77777777" w:rsidR="0012136C" w:rsidRPr="00B1614D" w:rsidRDefault="0012136C" w:rsidP="00790B17">
      <w:pPr>
        <w:pStyle w:val="Textpoznpodarou"/>
      </w:pPr>
      <w:r>
        <w:rPr>
          <w:rStyle w:val="Znakapoznpodarou"/>
          <w:rFonts w:ascii="Calibri" w:hAnsi="Calibri"/>
        </w:rPr>
        <w:footnoteRef/>
      </w:r>
      <w:r>
        <w:rPr>
          <w:rFonts w:ascii="Calibri" w:hAnsi="Calibri"/>
        </w:rPr>
        <w:t>Regulation (EU, Euratom) No 966/2012 of the European Parliament and of the Council of 25 October 2012 on the financial rules applicable to the general budget of the Union and repealing Council Regulation (EC, Euratom) No 1605/2002, OJ L 298, 26.10.2012, p. 1.</w:t>
      </w:r>
    </w:p>
  </w:footnote>
  <w:footnote w:id="3">
    <w:p w14:paraId="7408488E" w14:textId="77777777" w:rsidR="0012136C" w:rsidRPr="00B1614D" w:rsidRDefault="0012136C" w:rsidP="00790B17">
      <w:pPr>
        <w:pStyle w:val="Textpoznpodarou"/>
      </w:pPr>
      <w:r>
        <w:rPr>
          <w:rStyle w:val="Znakapoznpodarou"/>
        </w:rPr>
        <w:footnoteRef/>
      </w:r>
      <w:r>
        <w:t xml:space="preserve"> Guidance on Financial Flows of Programmes Co-Financed by the European Structural Funds, Cohesion Fund and European Maritime and Fisheries Fund for the Programming Period 2014 – 2020, as amended on 1 November 2014</w:t>
      </w:r>
    </w:p>
  </w:footnote>
  <w:footnote w:id="4">
    <w:p w14:paraId="7CD4624C" w14:textId="77777777" w:rsidR="0012136C" w:rsidRPr="00B1614D" w:rsidRDefault="0012136C" w:rsidP="0092666E">
      <w:pPr>
        <w:pStyle w:val="Textpoznpodarou"/>
      </w:pPr>
      <w:r>
        <w:rPr>
          <w:rStyle w:val="Znakapoznpodarou"/>
        </w:rPr>
        <w:footnoteRef/>
      </w:r>
      <w:r>
        <w:t xml:space="preserve"> Original values of allocations in euros have been converted to CZK with the exchange rate 27,5 CZK/EUR, the real value may differ according to exchange rate fluctuations.</w:t>
      </w:r>
    </w:p>
  </w:footnote>
  <w:footnote w:id="5">
    <w:p w14:paraId="7ACC0168" w14:textId="77777777" w:rsidR="0012136C" w:rsidRPr="00B1614D" w:rsidRDefault="0012136C">
      <w:pPr>
        <w:pStyle w:val="Textpoznpodarou"/>
      </w:pPr>
      <w:r>
        <w:rPr>
          <w:rStyle w:val="Znakapoznpodarou"/>
        </w:rPr>
        <w:footnoteRef/>
      </w:r>
      <w:r>
        <w:t xml:space="preserve"> The use of guarantees for innovation under SO 1.1 is recommended only depending on their reconciliation with grant calls or outside OP EIC in scope of the Investment Plan for Europe.</w:t>
      </w:r>
    </w:p>
  </w:footnote>
  <w:footnote w:id="6">
    <w:p w14:paraId="7F5EE019" w14:textId="77777777" w:rsidR="0012136C" w:rsidRPr="00B1614D" w:rsidRDefault="0012136C">
      <w:pPr>
        <w:pStyle w:val="Textpoznpodarou"/>
      </w:pPr>
      <w:r>
        <w:rPr>
          <w:rStyle w:val="Znakapoznpodarou"/>
        </w:rPr>
        <w:footnoteRef/>
      </w:r>
      <w:r>
        <w:t xml:space="preserve"> Depending on the specification of the target segment under SO 2.3.</w:t>
      </w:r>
    </w:p>
  </w:footnote>
  <w:footnote w:id="7">
    <w:p w14:paraId="75C81FE1" w14:textId="77777777" w:rsidR="0012136C" w:rsidRPr="00B1614D" w:rsidRDefault="0012136C">
      <w:pPr>
        <w:pStyle w:val="Textpoznpodarou"/>
      </w:pPr>
      <w:r>
        <w:rPr>
          <w:rStyle w:val="Znakapoznpodarou"/>
        </w:rPr>
        <w:footnoteRef/>
      </w:r>
      <w:r>
        <w:t xml:space="preserve"> Pilot projects for soft loans in SO 3.1 may be launched only subject to availability of the combination of FIs with the support to renewables within the OP EIC limits.</w:t>
      </w:r>
    </w:p>
  </w:footnote>
  <w:footnote w:id="8">
    <w:p w14:paraId="197C043C" w14:textId="77777777" w:rsidR="0012136C" w:rsidRPr="00B1614D" w:rsidRDefault="0012136C" w:rsidP="00790B17">
      <w:pPr>
        <w:pStyle w:val="Textpoznpodarou"/>
      </w:pPr>
      <w:r>
        <w:rPr>
          <w:rStyle w:val="Znakapoznpodarou"/>
          <w:rFonts w:ascii="Calibri" w:hAnsi="Calibri"/>
        </w:rPr>
        <w:footnoteRef/>
      </w:r>
      <w:r>
        <w:rPr>
          <w:rFonts w:ascii="Calibri" w:hAnsi="Calibri"/>
        </w:rPr>
        <w:t xml:space="preserve"> See Commission Implementing Regulation (EU) No 964/2014 of 11 September 2014 laying down rules for the application of Regulation (EU) No 1303/2013 of the European Parliament and of the Council as regards standard terms and conditions for financial instruments, OJ L 271, 12.9.2014, p. 16.</w:t>
      </w:r>
    </w:p>
  </w:footnote>
  <w:footnote w:id="9">
    <w:p w14:paraId="45BB3143" w14:textId="77777777" w:rsidR="0012136C" w:rsidRPr="00B1614D" w:rsidRDefault="0012136C" w:rsidP="00790B17">
      <w:pPr>
        <w:pStyle w:val="Textpoznpodarou"/>
      </w:pPr>
      <w:r>
        <w:rPr>
          <w:rStyle w:val="Znakapoznpodarou"/>
        </w:rPr>
        <w:footnoteRef/>
      </w:r>
      <w:r>
        <w:rPr>
          <w:rFonts w:ascii="Calibri" w:hAnsi="Calibri"/>
        </w:rPr>
        <w:t xml:space="preserve">At the present time namely Commission Implementing Regulation (EU) No 821/2014 of 28 July 2014, Commission Implementing Regulation (EU) No 964/2014 and Commission Delegated Regulation (EU) No 480/2014 of 3 March 2014. </w:t>
      </w:r>
    </w:p>
  </w:footnote>
  <w:footnote w:id="10">
    <w:p w14:paraId="395DAB69" w14:textId="77777777" w:rsidR="0012136C" w:rsidRPr="00B1614D" w:rsidRDefault="0012136C" w:rsidP="00790B17">
      <w:pPr>
        <w:pStyle w:val="Textpoznpodarou"/>
        <w:rPr>
          <w:sz w:val="20"/>
        </w:rPr>
      </w:pPr>
      <w:r>
        <w:rPr>
          <w:rStyle w:val="Znakapoznpodarou"/>
          <w:sz w:val="20"/>
        </w:rPr>
        <w:footnoteRef/>
      </w:r>
      <w:r>
        <w:rPr>
          <w:sz w:val="20"/>
        </w:rPr>
        <w:t xml:space="preserve"> Council Regulation (EC) No 659/1999 laying down detailed rules for the application of Article 93 of the EC Treaty, as amended, and Commission Regulation (EC) No 794/2004 implementing Council Regulation (EC)No 659/1999 laying down detailed rules for the application of Article 93 of the EC Treaty, as amended.</w:t>
      </w:r>
    </w:p>
  </w:footnote>
  <w:footnote w:id="11">
    <w:p w14:paraId="5985AD57" w14:textId="77777777" w:rsidR="0012136C" w:rsidRPr="00B1614D" w:rsidRDefault="0012136C" w:rsidP="00790B17">
      <w:pPr>
        <w:pStyle w:val="Textpoznpodarou"/>
        <w:rPr>
          <w:sz w:val="20"/>
        </w:rPr>
      </w:pPr>
      <w:r>
        <w:rPr>
          <w:rStyle w:val="Znakapoznpodarou"/>
          <w:sz w:val="20"/>
        </w:rPr>
        <w:footnoteRef/>
      </w:r>
      <w:r>
        <w:rPr>
          <w:sz w:val="20"/>
        </w:rPr>
        <w:t xml:space="preserve"> Therefore, the condition of conferring an advantage according to the public aid definition (see above) has not been met.</w:t>
      </w:r>
    </w:p>
  </w:footnote>
  <w:footnote w:id="12">
    <w:p w14:paraId="7857C668" w14:textId="77777777" w:rsidR="0012136C" w:rsidRPr="00B1614D" w:rsidRDefault="0012136C" w:rsidP="00790B17">
      <w:pPr>
        <w:pStyle w:val="Textpoznpodarou"/>
        <w:jc w:val="left"/>
      </w:pPr>
      <w:r>
        <w:rPr>
          <w:rStyle w:val="Znakapoznpodarou"/>
          <w:rFonts w:ascii="Calibri" w:hAnsi="Calibri"/>
        </w:rPr>
        <w:footnoteRef/>
      </w:r>
      <w:r>
        <w:rPr>
          <w:rFonts w:ascii="Calibri" w:hAnsi="Calibri"/>
        </w:rPr>
        <w:t xml:space="preserve">The methodology is available at </w:t>
      </w:r>
      <w:hyperlink r:id="rId1">
        <w:r>
          <w:rPr>
            <w:rStyle w:val="Hypertextovodkaz"/>
          </w:rPr>
          <w:t>http://ec.europa.eu/regional_policy/thefunds/fin_inst/index_en.cfm</w:t>
        </w:r>
      </w:hyperlink>
    </w:p>
  </w:footnote>
  <w:footnote w:id="13">
    <w:p w14:paraId="5A6381E2" w14:textId="77777777" w:rsidR="0012136C" w:rsidRPr="00B1614D" w:rsidRDefault="0012136C" w:rsidP="00790B17">
      <w:pPr>
        <w:pStyle w:val="Textpoznpodarou"/>
      </w:pPr>
      <w:r>
        <w:rPr>
          <w:rStyle w:val="Znakapoznpodarou"/>
        </w:rPr>
        <w:footnoteRef/>
      </w:r>
      <w:r>
        <w:t>According to Article 1.3(15)(aa) of the Framework for State Aid for Research, Development and Innovation, this concept is translated as “zadávání veřejných zakázek v předobchodní fázi”.</w:t>
      </w:r>
    </w:p>
  </w:footnote>
  <w:footnote w:id="14">
    <w:p w14:paraId="367AAFEA" w14:textId="77777777" w:rsidR="0012136C" w:rsidRPr="00B1614D" w:rsidRDefault="0012136C" w:rsidP="00790B17">
      <w:pPr>
        <w:pStyle w:val="Textpoznpodarou"/>
      </w:pPr>
      <w:r>
        <w:rPr>
          <w:rStyle w:val="Znakapoznpodarou"/>
        </w:rPr>
        <w:footnoteRef/>
      </w:r>
      <w:r>
        <w:t xml:space="preserve"> The Innovation programme under the OP EI and OP EIC requires innovations of the minimum order of 5 for SMEs or 6 for large enterprises (Valenta scale), which require a qualitative shift of processes and new product variants or new design solutions.</w:t>
      </w:r>
    </w:p>
  </w:footnote>
  <w:footnote w:id="15">
    <w:p w14:paraId="1BBB84AB" w14:textId="77777777" w:rsidR="0012136C" w:rsidRPr="00B1614D" w:rsidRDefault="0012136C" w:rsidP="00790B17">
      <w:pPr>
        <w:pStyle w:val="Textpoznpodarou"/>
      </w:pPr>
      <w:r>
        <w:rPr>
          <w:rStyle w:val="Znakapoznpodarou"/>
        </w:rPr>
        <w:footnoteRef/>
      </w:r>
      <w:r>
        <w:t xml:space="preserve"> CSO 2015</w:t>
      </w:r>
    </w:p>
  </w:footnote>
  <w:footnote w:id="16">
    <w:p w14:paraId="03DD53BD" w14:textId="77777777" w:rsidR="0012136C" w:rsidRPr="00B1614D" w:rsidRDefault="0012136C" w:rsidP="00790B17">
      <w:pPr>
        <w:pStyle w:val="Textpoznpodarou"/>
      </w:pPr>
      <w:r>
        <w:rPr>
          <w:rStyle w:val="Znakapoznpodarou"/>
        </w:rPr>
        <w:footnoteRef/>
      </w:r>
      <w:r>
        <w:t>CSO 2015</w:t>
      </w:r>
    </w:p>
  </w:footnote>
  <w:footnote w:id="17">
    <w:p w14:paraId="5CE2354D" w14:textId="77777777" w:rsidR="0012136C" w:rsidRPr="00B1614D" w:rsidRDefault="0012136C" w:rsidP="00790B17">
      <w:pPr>
        <w:pStyle w:val="Textpoznpodarou"/>
      </w:pPr>
      <w:r>
        <w:rPr>
          <w:rStyle w:val="Znakapoznpodarou"/>
        </w:rPr>
        <w:footnoteRef/>
      </w:r>
      <w:r>
        <w:t>Innovative activities of enterprises in the Czech Republic: 2010–2012, CSO</w:t>
      </w:r>
    </w:p>
  </w:footnote>
  <w:footnote w:id="18">
    <w:p w14:paraId="6D23BB4A" w14:textId="77777777" w:rsidR="0012136C" w:rsidRDefault="0012136C" w:rsidP="006D3AD5">
      <w:pPr>
        <w:pStyle w:val="Textpoznpodarou"/>
      </w:pPr>
      <w:r>
        <w:rPr>
          <w:rStyle w:val="Znakapoznpodarou"/>
        </w:rPr>
        <w:footnoteRef/>
      </w:r>
      <w:r>
        <w:t xml:space="preserve"> Corporate innovation activities:  2010–2012, CSO.</w:t>
      </w:r>
    </w:p>
  </w:footnote>
  <w:footnote w:id="19">
    <w:p w14:paraId="0ED4EA71" w14:textId="77777777" w:rsidR="0012136C" w:rsidRDefault="0012136C" w:rsidP="006D3AD5">
      <w:pPr>
        <w:pStyle w:val="Textpoznpodarou"/>
      </w:pPr>
      <w:r>
        <w:rPr>
          <w:rStyle w:val="Znakapoznpodarou"/>
        </w:rPr>
        <w:footnoteRef/>
      </w:r>
      <w:r>
        <w:t xml:space="preserve"> Model exchange rate CZK/EUR = 28</w:t>
      </w:r>
    </w:p>
  </w:footnote>
  <w:footnote w:id="20">
    <w:p w14:paraId="4585B03C" w14:textId="77777777" w:rsidR="0012136C" w:rsidRDefault="0012136C" w:rsidP="006D3AD5">
      <w:pPr>
        <w:pStyle w:val="Textpoznpodarou"/>
      </w:pPr>
      <w:r>
        <w:rPr>
          <w:rStyle w:val="Znakapoznpodarou"/>
        </w:rPr>
        <w:footnoteRef/>
      </w:r>
      <w:r>
        <w:t xml:space="preserve"> Working conclusions of the INKA survey, conclusions from the 2015 primary data collection and analysis</w:t>
      </w:r>
    </w:p>
  </w:footnote>
  <w:footnote w:id="21">
    <w:p w14:paraId="34C6C2FE" w14:textId="77777777" w:rsidR="0012136C" w:rsidRDefault="0012136C" w:rsidP="006D3AD5">
      <w:pPr>
        <w:pStyle w:val="Textpoznpodarou"/>
      </w:pPr>
      <w:r>
        <w:rPr>
          <w:rStyle w:val="Znakapoznpodarou"/>
        </w:rPr>
        <w:footnoteRef/>
      </w:r>
      <w:r>
        <w:t xml:space="preserve"> CSO 2015</w:t>
      </w:r>
    </w:p>
  </w:footnote>
  <w:footnote w:id="22">
    <w:p w14:paraId="483351E8" w14:textId="77777777" w:rsidR="0012136C" w:rsidRDefault="0012136C" w:rsidP="006D3AD5">
      <w:pPr>
        <w:pStyle w:val="Textpoznpodarou"/>
      </w:pPr>
      <w:r>
        <w:rPr>
          <w:rStyle w:val="Znakapoznpodarou"/>
        </w:rPr>
        <w:footnoteRef/>
      </w:r>
      <w:r>
        <w:t>Further infrastructures focusing on cooperation with the application sector supported from the OP RDI will start operation in 2015. They are expected to show a significant demand for funds for their further operation.</w:t>
      </w:r>
    </w:p>
  </w:footnote>
  <w:footnote w:id="23">
    <w:p w14:paraId="73D9FDA1" w14:textId="309BA58F" w:rsidR="0012136C" w:rsidRDefault="0012136C" w:rsidP="006D3AD5">
      <w:pPr>
        <w:pStyle w:val="Textpoznpodarou"/>
      </w:pPr>
      <w:r>
        <w:rPr>
          <w:rStyle w:val="Znakapoznpodarou"/>
        </w:rPr>
        <w:footnoteRef/>
      </w:r>
      <w:r>
        <w:t xml:space="preserve"> CzechInvest</w:t>
      </w:r>
      <w:r w:rsidR="00524A9F">
        <w:t>/ABI</w:t>
      </w:r>
      <w:r>
        <w:t xml:space="preserve"> consulting services</w:t>
      </w:r>
    </w:p>
  </w:footnote>
  <w:footnote w:id="24">
    <w:p w14:paraId="0CE40D37" w14:textId="77777777" w:rsidR="0012136C" w:rsidRDefault="0012136C" w:rsidP="006D3AD5">
      <w:pPr>
        <w:pStyle w:val="Textpoznpodarou"/>
      </w:pPr>
      <w:r>
        <w:rPr>
          <w:rStyle w:val="Znakapoznpodarou"/>
        </w:rPr>
        <w:footnoteRef/>
      </w:r>
      <w:r>
        <w:t xml:space="preserve"> "Business loans SMEs" in the source data by the CNB show registered loans of up to CZK 30 million. The CNB does not differentiate borrowers by size categories.</w:t>
      </w:r>
    </w:p>
  </w:footnote>
  <w:footnote w:id="25">
    <w:p w14:paraId="23DBB70C" w14:textId="77777777" w:rsidR="0012136C" w:rsidRDefault="0012136C" w:rsidP="006D3AD5">
      <w:pPr>
        <w:pStyle w:val="Textpoznpodarou"/>
      </w:pPr>
      <w:r>
        <w:rPr>
          <w:rStyle w:val="Znakapoznpodarou"/>
        </w:rPr>
        <w:footnoteRef/>
      </w:r>
      <w:r>
        <w:t xml:space="preserve">   Europe: EU 28, Switzerland, Macedonia, Serbia and Monte Negro. Ukraine and Bosnia-Hercegovina, which are included in the EVCA statistics, are missing in the GDP data, since EUROSTAT does not offer these countries in its database. Data on Ukraine were thus read from the EVCA statistics on PE/VC investments in Europe. As for Bosnia-Herzegovina, the data could not be read from the EVCA data, since they are not available separately; nevertheless, excluding the GDP of this country from the calculation cannot reduce the data quality substantially because of its low share in the European GDP.</w:t>
      </w:r>
    </w:p>
  </w:footnote>
  <w:footnote w:id="26">
    <w:p w14:paraId="3F0A0673" w14:textId="77777777" w:rsidR="0012136C" w:rsidRDefault="0012136C" w:rsidP="006D3AD5">
      <w:pPr>
        <w:pStyle w:val="Textpoznpodarou"/>
      </w:pPr>
      <w:r>
        <w:rPr>
          <w:rStyle w:val="Znakapoznpodarou"/>
          <w:rFonts w:ascii="Calibri" w:hAnsi="Calibri"/>
        </w:rPr>
        <w:footnoteRef/>
      </w:r>
      <w:r>
        <w:t xml:space="preserve"> See European Commission (2013). Ex ante assessment of the EU SME initiative, p. 26</w:t>
      </w:r>
    </w:p>
  </w:footnote>
  <w:footnote w:id="27">
    <w:p w14:paraId="7EA6415D" w14:textId="77777777" w:rsidR="0012136C" w:rsidRDefault="0012136C" w:rsidP="006D3AD5">
      <w:pPr>
        <w:pStyle w:val="Textpoznpodarou"/>
      </w:pPr>
      <w:r>
        <w:rPr>
          <w:rStyle w:val="Znakapoznpodarou"/>
        </w:rPr>
        <w:footnoteRef/>
      </w:r>
      <w:r>
        <w:t>European Investment Fund, SME Access to Finance in Czech Republic – Evaluation study</w:t>
      </w:r>
    </w:p>
  </w:footnote>
  <w:footnote w:id="28">
    <w:p w14:paraId="4B2699F3" w14:textId="77777777" w:rsidR="0012136C" w:rsidRDefault="0012136C" w:rsidP="006D3AD5">
      <w:pPr>
        <w:pStyle w:val="Textpoznpodarou"/>
      </w:pPr>
      <w:r>
        <w:rPr>
          <w:rStyle w:val="Znakapoznpodarou"/>
        </w:rPr>
        <w:footnoteRef/>
      </w:r>
      <w:r>
        <w:t>COMMISSION REGULATION (EU) No 651/2014 of 17 June 2014, section 3, article 21/10</w:t>
      </w:r>
    </w:p>
  </w:footnote>
  <w:footnote w:id="29">
    <w:p w14:paraId="22ECE136" w14:textId="77777777" w:rsidR="0012136C" w:rsidRDefault="0012136C" w:rsidP="006D3AD5">
      <w:pPr>
        <w:pStyle w:val="Textpoznpodarou"/>
      </w:pPr>
      <w:r>
        <w:rPr>
          <w:rStyle w:val="Znakapoznpodarou"/>
        </w:rPr>
        <w:footnoteRef/>
      </w:r>
      <w:r>
        <w:t xml:space="preserve"> The structure and allocation in priority axes of the OPEI 2007–2013, available at: http://www.dotacni.info/wp-content/uploads/2013/07/Tabulky-k-OPPI.pdf</w:t>
      </w:r>
    </w:p>
  </w:footnote>
  <w:footnote w:id="30">
    <w:p w14:paraId="7488979A" w14:textId="77777777" w:rsidR="0012136C" w:rsidRDefault="0012136C" w:rsidP="006D3AD5">
      <w:pPr>
        <w:pStyle w:val="Textpoznpodarou"/>
      </w:pPr>
      <w:r>
        <w:rPr>
          <w:rStyle w:val="Znakapoznpodarou"/>
        </w:rPr>
        <w:footnoteRef/>
      </w:r>
      <w:r>
        <w:t xml:space="preserve"> A lower interest rate can be achieved by granting a soft loan, a subsidy of payment of the interest of a commercial loan, or combination of both. The effect on the beneficiary's economy is identical.</w:t>
      </w:r>
    </w:p>
  </w:footnote>
  <w:footnote w:id="31">
    <w:p w14:paraId="372CD79F" w14:textId="77777777" w:rsidR="0012136C" w:rsidRDefault="0012136C" w:rsidP="006D3AD5">
      <w:pPr>
        <w:pStyle w:val="Textpoznpodarou"/>
      </w:pPr>
      <w:r>
        <w:rPr>
          <w:rStyle w:val="Znakapoznpodarou"/>
        </w:rPr>
        <w:footnoteRef/>
      </w:r>
      <w:r>
        <w:t xml:space="preserve"> http://energostat.cz/obnovitelne-zdroje.html</w:t>
      </w:r>
    </w:p>
  </w:footnote>
  <w:footnote w:id="32">
    <w:p w14:paraId="4E58BF29" w14:textId="77777777" w:rsidR="0012136C" w:rsidRDefault="0012136C" w:rsidP="006D3AD5">
      <w:pPr>
        <w:pStyle w:val="Textkomente"/>
      </w:pPr>
      <w:r>
        <w:rPr>
          <w:rStyle w:val="Znakapoznpodarou"/>
        </w:rPr>
        <w:footnoteRef/>
      </w:r>
      <w:r>
        <w:t xml:space="preserve"> The impact of the European-wide goal on the national obligations of CZ was not possible to determine at the time of preparation hereof.</w:t>
      </w:r>
    </w:p>
  </w:footnote>
  <w:footnote w:id="33">
    <w:p w14:paraId="3DAA5DEA" w14:textId="77777777" w:rsidR="0012136C" w:rsidRDefault="0012136C" w:rsidP="006D3AD5">
      <w:pPr>
        <w:pStyle w:val="Textpoznpodarou"/>
      </w:pPr>
      <w:r>
        <w:rPr>
          <w:rStyle w:val="Znakapoznpodarou"/>
        </w:rPr>
        <w:footnoteRef/>
      </w:r>
      <w:r>
        <w:t xml:space="preserve">  http://www.enviweb.cz/clanek/vodenerg/99343/malych-vodnich-elektraren-pribyva-ale-pomalu</w:t>
      </w:r>
    </w:p>
  </w:footnote>
  <w:footnote w:id="34">
    <w:p w14:paraId="4BE1A190" w14:textId="77777777" w:rsidR="0012136C" w:rsidRDefault="0012136C" w:rsidP="006D3AD5">
      <w:pPr>
        <w:pStyle w:val="Textpoznpodarou"/>
      </w:pPr>
      <w:r>
        <w:rPr>
          <w:rStyle w:val="Znakapoznpodarou"/>
        </w:rPr>
        <w:footnoteRef/>
      </w:r>
      <w:r>
        <w:t xml:space="preserve"> http://www.czba.cz/aktuality/statistiky-vyroby-bioplynu-za-rok-2013.html</w:t>
      </w:r>
    </w:p>
  </w:footnote>
  <w:footnote w:id="35">
    <w:p w14:paraId="29FFFD10" w14:textId="77777777" w:rsidR="0012136C" w:rsidRDefault="0012136C" w:rsidP="006D3AD5">
      <w:pPr>
        <w:pStyle w:val="Textpoznpodarou"/>
      </w:pPr>
      <w:r>
        <w:rPr>
          <w:rStyle w:val="Znakapoznpodarou"/>
        </w:rPr>
        <w:footnoteRef/>
      </w:r>
      <w:r>
        <w:t xml:space="preserve"> http://www.czba.cz/files/ceska-bioplynova-asociace/uploads/files/EnEfBPS-komplet.pdf</w:t>
      </w:r>
    </w:p>
  </w:footnote>
  <w:footnote w:id="36">
    <w:p w14:paraId="5C9C09EE" w14:textId="77777777" w:rsidR="0012136C" w:rsidRDefault="0012136C" w:rsidP="006D3AD5">
      <w:pPr>
        <w:pStyle w:val="Textpoznpodarou"/>
      </w:pPr>
      <w:r>
        <w:rPr>
          <w:rStyle w:val="Znakapoznpodarou"/>
        </w:rPr>
        <w:footnoteRef/>
      </w:r>
      <w:r>
        <w:t xml:space="preserve"> In the case of impossibility to apply other alternative measures and, concurrently, the lack of financial resources for the compliance with the goal of energy savings via the alternative scheme, we are planning the introduction of the system of obligatory increase in energy efficiency to meet the goal.</w:t>
      </w:r>
    </w:p>
  </w:footnote>
  <w:footnote w:id="37">
    <w:p w14:paraId="6935D55C" w14:textId="77777777" w:rsidR="0012136C" w:rsidRDefault="0012136C" w:rsidP="006D3AD5">
      <w:pPr>
        <w:pStyle w:val="Textpoznpodarou"/>
      </w:pPr>
      <w:r>
        <w:rPr>
          <w:rStyle w:val="Znakapoznpodarou"/>
        </w:rPr>
        <w:footnoteRef/>
      </w:r>
      <w:r>
        <w:t xml:space="preserve"> Source: </w:t>
      </w:r>
      <w:r>
        <w:rPr>
          <w:b/>
        </w:rPr>
        <w:t xml:space="preserve">Housing investments supported by the European Regional Development Fund 2007-2013, </w:t>
      </w:r>
      <w:r>
        <w:t>European Commission, Directorate-General for Regional and Urban Policy, September 2013</w:t>
      </w:r>
    </w:p>
  </w:footnote>
  <w:footnote w:id="38">
    <w:p w14:paraId="51472BD3" w14:textId="77777777" w:rsidR="0012136C" w:rsidRDefault="0012136C" w:rsidP="006D3AD5">
      <w:pPr>
        <w:pStyle w:val="Textpoznpodarou"/>
      </w:pPr>
      <w:r>
        <w:rPr>
          <w:rStyle w:val="Znakapoznpodarou"/>
        </w:rPr>
        <w:footnoteRef/>
      </w:r>
      <w:r>
        <w:t xml:space="preserve"> The preparation of background documents for the energy effectiveness action plan (SEVEN o.p.s.).</w:t>
      </w:r>
    </w:p>
  </w:footnote>
  <w:footnote w:id="39">
    <w:p w14:paraId="32690BBB" w14:textId="77777777" w:rsidR="0012136C" w:rsidRDefault="0012136C" w:rsidP="006D3AD5">
      <w:pPr>
        <w:pStyle w:val="Textpoznpodarou"/>
      </w:pPr>
      <w:r>
        <w:rPr>
          <w:rStyle w:val="Znakapoznpodarou"/>
        </w:rPr>
        <w:footnoteRef/>
      </w:r>
      <w:r>
        <w:t xml:space="preserve"> Report on the progress in the CPEH area in the CZ, MIT, June 2012,</w:t>
      </w:r>
    </w:p>
  </w:footnote>
  <w:footnote w:id="40">
    <w:p w14:paraId="02F3C2C1" w14:textId="77777777" w:rsidR="0012136C" w:rsidRDefault="0012136C" w:rsidP="006D3AD5">
      <w:pPr>
        <w:pStyle w:val="Textpoznpodarou"/>
      </w:pPr>
      <w:r>
        <w:rPr>
          <w:rStyle w:val="Znakapoznpodarou"/>
        </w:rPr>
        <w:footnoteRef/>
      </w:r>
      <w:r>
        <w:t xml:space="preserve"> The plan of co-generation development in CZ, November 2014, CODE2</w:t>
      </w:r>
    </w:p>
  </w:footnote>
  <w:footnote w:id="41">
    <w:p w14:paraId="5C8313F8" w14:textId="77777777" w:rsidR="0012136C" w:rsidRDefault="0012136C" w:rsidP="006D3AD5">
      <w:pPr>
        <w:pStyle w:val="Textpoznpodarou"/>
      </w:pPr>
      <w:r>
        <w:rPr>
          <w:rStyle w:val="Znakapoznpodarou"/>
        </w:rPr>
        <w:footnoteRef/>
      </w:r>
      <w:r>
        <w:t xml:space="preserve"> http://www.code2-project.eu/wp-content/uploads/D2.2-Cogeneration-raodmap-NPMS-CZ-Summary-2014-11-28_CZ2.pdf</w:t>
      </w:r>
    </w:p>
  </w:footnote>
  <w:footnote w:id="42">
    <w:p w14:paraId="2BA1F13B" w14:textId="77777777" w:rsidR="0012136C" w:rsidRDefault="0012136C" w:rsidP="006D3AD5">
      <w:pPr>
        <w:pStyle w:val="Textpoznpodarou"/>
      </w:pPr>
      <w:r>
        <w:rPr>
          <w:rStyle w:val="Znakapoznpodarou"/>
        </w:rPr>
        <w:footnoteRef/>
      </w:r>
      <w:r>
        <w:t xml:space="preserve"> http://energetika.tzb-info.cz/teplarenstvi/11742-teplarny-modernizuji-rozvody-tepla</w:t>
      </w:r>
    </w:p>
  </w:footnote>
  <w:footnote w:id="43">
    <w:p w14:paraId="7EB030A2" w14:textId="77777777" w:rsidR="0012136C" w:rsidRDefault="0012136C" w:rsidP="006D3AD5">
      <w:pPr>
        <w:pStyle w:val="Textpoznpodarou"/>
      </w:pPr>
      <w:r>
        <w:rPr>
          <w:rStyle w:val="Znakapoznpodarou"/>
        </w:rPr>
        <w:footnoteRef/>
      </w:r>
      <w:r>
        <w:t xml:space="preserve"> http://zpravy.e15.cz/byznys/prumysl-a-energetika/miliardy-za-lepsi-rozvody-tepla-na-upravy-cekaji-stovky-kilometru-trubek-1087125#utm_source=zpravy&amp;utm_medium=selfpromo&amp;utm_campaign=e15rss</w:t>
      </w:r>
    </w:p>
  </w:footnote>
  <w:footnote w:id="44">
    <w:p w14:paraId="4846ACA3" w14:textId="77777777" w:rsidR="0012136C" w:rsidRDefault="0012136C" w:rsidP="006D3AD5">
      <w:pPr>
        <w:pStyle w:val="Textpoznpodarou"/>
      </w:pPr>
      <w:r>
        <w:rPr>
          <w:rStyle w:val="Znakapoznpodarou"/>
        </w:rPr>
        <w:footnoteRef/>
      </w:r>
      <w:r>
        <w:t xml:space="preserve"> http://byznys.ihned.cz/c1-63675220-teplarny-chteji-do-ochrany-ovzdusi-investovat-18-miliard-do-konce-roku-2016.</w:t>
      </w:r>
    </w:p>
  </w:footnote>
  <w:footnote w:id="45">
    <w:p w14:paraId="5A59D7BC" w14:textId="77777777" w:rsidR="0012136C" w:rsidRDefault="0012136C" w:rsidP="006D3AD5">
      <w:pPr>
        <w:pStyle w:val="Textpoznpodarou"/>
      </w:pPr>
      <w:r>
        <w:rPr>
          <w:rStyle w:val="Znakapoznpodarou"/>
        </w:rPr>
        <w:footnoteRef/>
      </w:r>
      <w:r>
        <w:t xml:space="preserve"> NOVÁK Svatoslav: Development and facilitation of networks of the new generation in CZ, ICT Union, Bratislava 10/2014</w:t>
      </w:r>
    </w:p>
  </w:footnote>
  <w:footnote w:id="46">
    <w:p w14:paraId="43B61E10" w14:textId="77777777" w:rsidR="0012136C" w:rsidRDefault="0012136C" w:rsidP="006D3AD5">
      <w:pPr>
        <w:pStyle w:val="Textpoznpodarou"/>
      </w:pPr>
      <w:r>
        <w:rPr>
          <w:rStyle w:val="Znakapoznpodarou"/>
        </w:rPr>
        <w:footnoteRef/>
      </w:r>
      <w:r>
        <w:t xml:space="preserve"> State as of 01/07/2014 – source: </w:t>
      </w:r>
      <w:hyperlink r:id="rId2" w:history="1">
        <w:r>
          <w:rPr>
            <w:rStyle w:val="Hypertextovodkaz"/>
          </w:rPr>
          <w:t>https://www.ctu.cz/ctu-online/pruzkum-nga.html</w:t>
        </w:r>
      </w:hyperlink>
    </w:p>
  </w:footnote>
  <w:footnote w:id="47">
    <w:p w14:paraId="3CAC32B1" w14:textId="77777777" w:rsidR="0012136C" w:rsidRDefault="0012136C" w:rsidP="006D3AD5">
      <w:pPr>
        <w:pStyle w:val="Textpoznpodarou"/>
      </w:pPr>
      <w:r>
        <w:rPr>
          <w:rStyle w:val="Znakapoznpodarou"/>
        </w:rPr>
        <w:footnoteRef/>
      </w:r>
      <w:r>
        <w:t xml:space="preserve"> http://www.mpo.cz/dokument154646.html.</w:t>
      </w:r>
    </w:p>
  </w:footnote>
  <w:footnote w:id="48">
    <w:p w14:paraId="352172D7" w14:textId="77777777" w:rsidR="0012136C" w:rsidRDefault="0012136C" w:rsidP="006D3AD5">
      <w:pPr>
        <w:pStyle w:val="Textpoznpodarou"/>
      </w:pPr>
      <w:r>
        <w:rPr>
          <w:rStyle w:val="Znakapoznpodarou"/>
        </w:rPr>
        <w:footnoteRef/>
      </w:r>
      <w:r>
        <w:t xml:space="preserve"> It is a survey and measurement performed by a commercial company with a download-streaming service at the peak time. Fro more information, see </w:t>
      </w:r>
      <w:hyperlink r:id="rId3" w:history="1">
        <w:r>
          <w:rPr>
            <w:rStyle w:val="Hypertextovodkaz"/>
          </w:rPr>
          <w:t>https://www.seznam.cz/mapa-rychlosti-internetu</w:t>
        </w:r>
      </w:hyperlink>
      <w:r>
        <w:t xml:space="preserve">. </w:t>
      </w:r>
    </w:p>
  </w:footnote>
  <w:footnote w:id="49">
    <w:p w14:paraId="5F3F60F8" w14:textId="77777777" w:rsidR="0012136C" w:rsidRDefault="0012136C" w:rsidP="006D3AD5">
      <w:pPr>
        <w:pStyle w:val="Textpoznpodarou"/>
      </w:pPr>
      <w:r>
        <w:rPr>
          <w:rStyle w:val="Znakapoznpodarou"/>
        </w:rPr>
        <w:footnoteRef/>
      </w:r>
      <w:r>
        <w:t xml:space="preserve"> The JESSICA holding fund created within the Integrated Operational Programme (IOP) was not oriented on the renewal of brownfields.</w:t>
      </w:r>
    </w:p>
  </w:footnote>
  <w:footnote w:id="50">
    <w:p w14:paraId="1D77F325" w14:textId="77777777" w:rsidR="0012136C" w:rsidRDefault="0012136C" w:rsidP="006D3AD5">
      <w:pPr>
        <w:pStyle w:val="Textpoznpodarou"/>
      </w:pPr>
      <w:r>
        <w:rPr>
          <w:rStyle w:val="Znakapoznpodarou"/>
        </w:rPr>
        <w:footnoteRef/>
      </w:r>
      <w:r>
        <w:t xml:space="preserve"> DOLEŽALOVA L., SLÁNSKÁ V.: The example of the solution of brownfield solution with the utilisation of the land fund and development society in North Rhineland-Westphalia, Urbanism and territory development, 2008 </w:t>
      </w:r>
    </w:p>
  </w:footnote>
  <w:footnote w:id="51">
    <w:p w14:paraId="1DB79F3F" w14:textId="77777777" w:rsidR="0012136C" w:rsidRDefault="0012136C" w:rsidP="006D3AD5">
      <w:pPr>
        <w:pStyle w:val="Textpoznpodarou"/>
      </w:pPr>
      <w:r>
        <w:rPr>
          <w:rStyle w:val="Znakapoznpodarou"/>
        </w:rPr>
        <w:footnoteRef/>
      </w:r>
      <w:r>
        <w:t xml:space="preserve"> financial instrument</w:t>
      </w:r>
    </w:p>
  </w:footnote>
  <w:footnote w:id="52">
    <w:p w14:paraId="2864EE55" w14:textId="77777777" w:rsidR="0012136C" w:rsidRPr="0073014D" w:rsidRDefault="0012136C" w:rsidP="006D3AD5">
      <w:pPr>
        <w:pStyle w:val="Textpoznpodarou"/>
      </w:pPr>
      <w:r>
        <w:rPr>
          <w:rStyle w:val="Znakapoznpodarou"/>
        </w:rPr>
        <w:footnoteRef/>
      </w:r>
      <w:r>
        <w:t xml:space="preserve"> http://geography.upol.cz/soubory/lide/szczyrba/Brownfields_zahranicni_pristupy.pdf</w:t>
      </w:r>
    </w:p>
  </w:footnote>
  <w:footnote w:id="53">
    <w:p w14:paraId="4318006E" w14:textId="77777777" w:rsidR="0012136C" w:rsidRPr="0073014D" w:rsidRDefault="0012136C" w:rsidP="006D3AD5">
      <w:pPr>
        <w:pStyle w:val="Textpoznpodarou"/>
      </w:pPr>
      <w:r>
        <w:rPr>
          <w:rStyle w:val="Znakapoznpodarou"/>
        </w:rPr>
        <w:footnoteRef/>
      </w:r>
      <w:r>
        <w:t xml:space="preserve"> neglected residential zone which were affected as a result of the loss of the industry or another function</w:t>
      </w:r>
    </w:p>
  </w:footnote>
  <w:footnote w:id="54">
    <w:p w14:paraId="0AD555BB" w14:textId="77777777" w:rsidR="0012136C" w:rsidRDefault="0012136C" w:rsidP="006D3AD5">
      <w:pPr>
        <w:pStyle w:val="Textpoznpodarou"/>
      </w:pPr>
      <w:r>
        <w:rPr>
          <w:rStyle w:val="Znakapoznpodarou"/>
        </w:rPr>
        <w:footnoteRef/>
      </w:r>
      <w:r>
        <w:t xml:space="preserve"> VYŠKOVSKÁ Monika: The solution of industrial brownfields in France and an option of their implementation in the CZ, Masaryk University, 2013, available at: </w:t>
      </w:r>
      <w:hyperlink r:id="rId4" w:history="1">
        <w:r>
          <w:rPr>
            <w:rStyle w:val="Hypertextovodkaz"/>
          </w:rPr>
          <w:t>http://is.muni.cz/th/323053/esf_m/Diplomova_prace-Monika_Vyskovska.pdf</w:t>
        </w:r>
      </w:hyperlink>
    </w:p>
  </w:footnote>
  <w:footnote w:id="55">
    <w:p w14:paraId="35468B46" w14:textId="77777777" w:rsidR="0012136C" w:rsidRDefault="0012136C" w:rsidP="006D3AD5">
      <w:pPr>
        <w:pStyle w:val="Textpoznpodarou"/>
      </w:pPr>
      <w:r>
        <w:rPr>
          <w:rStyle w:val="Znakapoznpodarou"/>
        </w:rPr>
        <w:footnoteRef/>
      </w:r>
      <w:r>
        <w:t xml:space="preserve"> SLADKÁ Markéta: The Instruments of Regeneration of Brownfields in the United Kingdom: an Option of Inspiration for CZ, Masaryk University, 2010, available at: </w:t>
      </w:r>
      <w:hyperlink r:id="rId5" w:history="1">
        <w:r>
          <w:rPr>
            <w:rStyle w:val="Hypertextovodkaz"/>
          </w:rPr>
          <w:t>https://is.muni.cz/th/172093/esf_m/diplomova_prace.pdf</w:t>
        </w:r>
      </w:hyperlink>
    </w:p>
  </w:footnote>
  <w:footnote w:id="56">
    <w:p w14:paraId="6E59D9F0" w14:textId="77777777" w:rsidR="0012136C" w:rsidRPr="0073014D" w:rsidRDefault="0012136C" w:rsidP="006D3AD5">
      <w:pPr>
        <w:pStyle w:val="Textpoznpodarou"/>
        <w:rPr>
          <w:vanish/>
        </w:rPr>
      </w:pPr>
      <w:r>
        <w:rPr>
          <w:rStyle w:val="Znakapoznpodarou"/>
          <w:vanish/>
        </w:rPr>
        <w:footnoteRef/>
      </w:r>
      <w:r>
        <w:rPr>
          <w:vanish/>
        </w:rPr>
        <w:t xml:space="preserve"> http://www.heatandthecity.org.uk/__data/assets/pdf_file/0004/157891/DJCH_-_Heat_and_the_City.pdf</w:t>
      </w:r>
    </w:p>
  </w:footnote>
  <w:footnote w:id="57">
    <w:p w14:paraId="080AC068" w14:textId="77777777" w:rsidR="0012136C" w:rsidRDefault="0012136C" w:rsidP="006D3AD5">
      <w:pPr>
        <w:pStyle w:val="Textpoznpodarou"/>
      </w:pPr>
      <w:r>
        <w:rPr>
          <w:rStyle w:val="Znakapoznpodarou"/>
        </w:rPr>
        <w:footnoteRef/>
      </w:r>
      <w:r>
        <w:t xml:space="preserve"> http://www.heatandthecity.org.uk/__data/assets/pdf_file/0004/157891/DJCH_-_Heat_and_the_City.pdf</w:t>
      </w:r>
    </w:p>
  </w:footnote>
  <w:footnote w:id="58">
    <w:p w14:paraId="6A2202AD" w14:textId="480F8A23" w:rsidR="0012136C" w:rsidRDefault="0012136C" w:rsidP="001B5BB1">
      <w:pPr>
        <w:pStyle w:val="Textpoznpodarou"/>
      </w:pPr>
      <w:r>
        <w:rPr>
          <w:rStyle w:val="Znakapoznpodarou"/>
        </w:rPr>
        <w:footnoteRef/>
      </w:r>
      <w:r>
        <w:t xml:space="preserve"> Estimation based on the previous support in OP RDI, part of the costs will be covered by the grant support.</w:t>
      </w:r>
    </w:p>
  </w:footnote>
  <w:footnote w:id="59">
    <w:p w14:paraId="1F83FEC5" w14:textId="77777777" w:rsidR="0012136C" w:rsidRDefault="0012136C" w:rsidP="006D3AD5">
      <w:pPr>
        <w:pStyle w:val="Textpoznpodarou"/>
      </w:pPr>
      <w:r>
        <w:rPr>
          <w:rStyle w:val="Znakapoznpodarou"/>
        </w:rPr>
        <w:footnoteRef/>
      </w:r>
      <w:r>
        <w:t xml:space="preserve"> http://www.energypost.eu/eu-turns-heat-finally-policy-push-heating-cooling-half-energy-use/</w:t>
      </w:r>
    </w:p>
  </w:footnote>
  <w:footnote w:id="60">
    <w:p w14:paraId="25D18CC2" w14:textId="77777777" w:rsidR="0012136C" w:rsidRDefault="0012136C" w:rsidP="006D3AD5">
      <w:pPr>
        <w:pStyle w:val="Textpoznpodarou"/>
      </w:pPr>
      <w:r>
        <w:rPr>
          <w:rStyle w:val="Znakapoznpodarou"/>
        </w:rPr>
        <w:footnoteRef/>
      </w:r>
      <w:r>
        <w:t xml:space="preserve"> Scenario 4 represents zero revolving and a financial subsidy of up to 10%.</w:t>
      </w:r>
    </w:p>
  </w:footnote>
  <w:footnote w:id="61">
    <w:p w14:paraId="7311A300" w14:textId="77777777" w:rsidR="0012136C" w:rsidRDefault="0012136C" w:rsidP="006D3AD5">
      <w:pPr>
        <w:pStyle w:val="Textpoznpodarou"/>
      </w:pPr>
      <w:r>
        <w:rPr>
          <w:rStyle w:val="Znakapoznpodarou"/>
        </w:rPr>
        <w:footnoteRef/>
      </w:r>
      <w:r>
        <w:t xml:space="preserve"> The modelled average investment amount per one project is CZK 8 million.</w:t>
      </w:r>
    </w:p>
  </w:footnote>
  <w:footnote w:id="62">
    <w:p w14:paraId="06A71D81" w14:textId="77777777" w:rsidR="0012136C" w:rsidRDefault="0012136C" w:rsidP="006D3AD5">
      <w:pPr>
        <w:pStyle w:val="Textpoznpodarou"/>
      </w:pPr>
      <w:r>
        <w:rPr>
          <w:rStyle w:val="Znakapoznpodarou"/>
        </w:rPr>
        <w:footnoteRef/>
      </w:r>
      <w:r>
        <w:t xml:space="preserve"> The number of created work places is based on the OP EI experience where an average project created 2 work places.</w:t>
      </w:r>
    </w:p>
  </w:footnote>
  <w:footnote w:id="63">
    <w:p w14:paraId="5423A3EC" w14:textId="77777777" w:rsidR="0012136C" w:rsidRDefault="0012136C" w:rsidP="006D3AD5">
      <w:pPr>
        <w:pStyle w:val="Textpoznpodarou"/>
      </w:pPr>
      <w:r>
        <w:rPr>
          <w:rStyle w:val="Znakapoznpodarou"/>
        </w:rPr>
        <w:footnoteRef/>
      </w:r>
      <w:r>
        <w:t xml:space="preserve"> Scenario 4 represents zero revolving and a financial subsidy of up to 10%.</w:t>
      </w:r>
    </w:p>
  </w:footnote>
  <w:footnote w:id="64">
    <w:p w14:paraId="76546834" w14:textId="77777777" w:rsidR="0012136C" w:rsidRDefault="0012136C" w:rsidP="006D3AD5">
      <w:pPr>
        <w:pStyle w:val="Textpoznpodarou"/>
      </w:pPr>
      <w:r>
        <w:rPr>
          <w:rStyle w:val="Znakapoznpodarou"/>
        </w:rPr>
        <w:footnoteRef/>
      </w:r>
      <w:r>
        <w:t xml:space="preserve"> The average expected project within the SO 2.3 credit instrument is CZK 28 million.</w:t>
      </w:r>
    </w:p>
  </w:footnote>
  <w:footnote w:id="65">
    <w:p w14:paraId="1F2E7A12" w14:textId="77777777" w:rsidR="0012136C" w:rsidRDefault="0012136C" w:rsidP="006D3AD5">
      <w:pPr>
        <w:pStyle w:val="Textpoznpodarou"/>
      </w:pPr>
      <w:r>
        <w:rPr>
          <w:rStyle w:val="Znakapoznpodarou"/>
        </w:rPr>
        <w:footnoteRef/>
      </w:r>
      <w:r>
        <w:t xml:space="preserve"> Scenario 4 represents zero revolving and a financial subsidy of up to 10%.</w:t>
      </w:r>
    </w:p>
  </w:footnote>
  <w:footnote w:id="66">
    <w:p w14:paraId="550DBCA9" w14:textId="77777777" w:rsidR="0012136C" w:rsidRDefault="0012136C" w:rsidP="006D3AD5">
      <w:pPr>
        <w:pStyle w:val="Textpoznpodarou"/>
      </w:pPr>
      <w:r>
        <w:t>The average project within the SO 3.1 credit instrument is CZK 12 million.</w:t>
      </w:r>
      <w:r>
        <w:rPr>
          <w:rStyle w:val="Znakapoznpodarou"/>
          <w:rFonts w:cs="Arial"/>
        </w:rPr>
        <w:footnoteRef/>
      </w:r>
    </w:p>
  </w:footnote>
  <w:footnote w:id="67">
    <w:p w14:paraId="0B0B7B1C" w14:textId="77777777" w:rsidR="0012136C" w:rsidRDefault="0012136C" w:rsidP="006D3AD5">
      <w:pPr>
        <w:pStyle w:val="Textpoznpodarou"/>
      </w:pPr>
      <w:r>
        <w:rPr>
          <w:rStyle w:val="Znakapoznpodarou"/>
        </w:rPr>
        <w:footnoteRef/>
      </w:r>
      <w:r>
        <w:t xml:space="preserve"> Scenario 4 represents zero revolving and a financial subsidy of up to 10%.</w:t>
      </w:r>
    </w:p>
  </w:footnote>
  <w:footnote w:id="68">
    <w:p w14:paraId="527EA13C" w14:textId="77777777" w:rsidR="0012136C" w:rsidRDefault="0012136C" w:rsidP="006D3AD5">
      <w:pPr>
        <w:pStyle w:val="Textpoznpodarou"/>
      </w:pPr>
      <w:r>
        <w:t>The modelled average project within the SO 3.2 credit instrument is CZK 6.5 million.</w:t>
      </w:r>
      <w:r>
        <w:rPr>
          <w:rStyle w:val="Znakapoznpodarou"/>
          <w:rFonts w:cs="Arial"/>
        </w:rPr>
        <w:footnoteRef/>
      </w:r>
    </w:p>
  </w:footnote>
  <w:footnote w:id="69">
    <w:p w14:paraId="5EFC6040" w14:textId="77777777" w:rsidR="0012136C" w:rsidRDefault="0012136C" w:rsidP="006D3AD5">
      <w:pPr>
        <w:pStyle w:val="Textpoznpodarou"/>
      </w:pPr>
      <w:r>
        <w:rPr>
          <w:rStyle w:val="Znakapoznpodarou"/>
        </w:rPr>
        <w:footnoteRef/>
      </w:r>
      <w:r>
        <w:t xml:space="preserve"> Scenario 4 represents zero revolving and a financial subsidy of up to 10%.</w:t>
      </w:r>
    </w:p>
  </w:footnote>
  <w:footnote w:id="70">
    <w:p w14:paraId="13054ED8" w14:textId="77777777" w:rsidR="0012136C" w:rsidRDefault="0012136C" w:rsidP="006D3AD5">
      <w:pPr>
        <w:pStyle w:val="Textpoznpodarou"/>
      </w:pPr>
      <w:r>
        <w:rPr>
          <w:rStyle w:val="Znakapoznpodarou"/>
        </w:rPr>
        <w:footnoteRef/>
      </w:r>
      <w:r>
        <w:t xml:space="preserve"> The average project within the SO 3.5 CPEH is worth CZK 30 million.</w:t>
      </w:r>
    </w:p>
  </w:footnote>
  <w:footnote w:id="71">
    <w:p w14:paraId="4DAE74E8" w14:textId="77777777" w:rsidR="0012136C" w:rsidRDefault="0012136C" w:rsidP="006D3AD5">
      <w:pPr>
        <w:pStyle w:val="Textpoznpodarou"/>
      </w:pPr>
      <w:r>
        <w:rPr>
          <w:rStyle w:val="Znakapoznpodarou"/>
        </w:rPr>
        <w:footnoteRef/>
      </w:r>
      <w:r>
        <w:t xml:space="preserve"> Within the SO 3.5 a possible higher concentration of projects among a few final recipients is expected due to the market structure described in the market analysis.</w:t>
      </w:r>
    </w:p>
  </w:footnote>
  <w:footnote w:id="72">
    <w:p w14:paraId="0BC76FE2" w14:textId="3D9265AF" w:rsidR="0012136C" w:rsidRDefault="0012136C">
      <w:pPr>
        <w:pStyle w:val="Textpoznpodarou"/>
      </w:pPr>
      <w:r>
        <w:rPr>
          <w:rStyle w:val="Znakapoznpodarou"/>
        </w:rPr>
        <w:footnoteRef/>
      </w:r>
      <w:r>
        <w:t xml:space="preserve"> The companies could give more regions of their economic aktivity.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FF25" w14:textId="77777777" w:rsidR="0012136C" w:rsidRDefault="0012136C">
    <w:pPr>
      <w:pStyle w:val="Zhlav"/>
    </w:pPr>
    <w:r>
      <w:rPr>
        <w:noProof/>
      </w:rPr>
      <w:drawing>
        <wp:anchor distT="0" distB="0" distL="114300" distR="114300" simplePos="0" relativeHeight="251658240" behindDoc="0" locked="0" layoutInCell="1" allowOverlap="1" wp14:anchorId="5BE424F9" wp14:editId="5A6B408B">
          <wp:simplePos x="0" y="0"/>
          <wp:positionH relativeFrom="column">
            <wp:posOffset>-54610</wp:posOffset>
          </wp:positionH>
          <wp:positionV relativeFrom="paragraph">
            <wp:posOffset>-86360</wp:posOffset>
          </wp:positionV>
          <wp:extent cx="817880" cy="264795"/>
          <wp:effectExtent l="0" t="0" r="1270" b="1905"/>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88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F97F766" wp14:editId="63FAFB44">
          <wp:simplePos x="0" y="0"/>
          <wp:positionH relativeFrom="column">
            <wp:posOffset>4112260</wp:posOffset>
          </wp:positionH>
          <wp:positionV relativeFrom="paragraph">
            <wp:posOffset>-142875</wp:posOffset>
          </wp:positionV>
          <wp:extent cx="1803400" cy="316865"/>
          <wp:effectExtent l="0" t="0" r="6350" b="6985"/>
          <wp:wrapNone/>
          <wp:docPr id="1" name="obrázek 3" descr="EU logo EEI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U logo EEI C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316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60F2C39"/>
    <w:multiLevelType w:val="hybridMultilevel"/>
    <w:tmpl w:val="4198DF9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3DCAD0F2">
      <w:start w:val="1"/>
      <w:numFmt w:val="lowerLetter"/>
      <w:lvlText w:val="%3)"/>
      <w:lvlJc w:val="left"/>
      <w:pPr>
        <w:ind w:left="2340" w:hanging="360"/>
      </w:pPr>
      <w:rPr>
        <w:rFonts w:cs="Times New Roman"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8777384"/>
    <w:multiLevelType w:val="hybridMultilevel"/>
    <w:tmpl w:val="413AC5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D7B72"/>
    <w:multiLevelType w:val="hybridMultilevel"/>
    <w:tmpl w:val="1C9037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DC977CF"/>
    <w:multiLevelType w:val="hybridMultilevel"/>
    <w:tmpl w:val="FB6AA724"/>
    <w:lvl w:ilvl="0" w:tplc="04050001">
      <w:start w:val="1"/>
      <w:numFmt w:val="lowerRoman"/>
      <w:lvlText w:val="%1."/>
      <w:lvlJc w:val="right"/>
      <w:pPr>
        <w:ind w:left="2484" w:hanging="360"/>
      </w:pPr>
      <w:rPr>
        <w:rFonts w:cs="Times New Roman"/>
      </w:rPr>
    </w:lvl>
    <w:lvl w:ilvl="1" w:tplc="04050003" w:tentative="1">
      <w:start w:val="1"/>
      <w:numFmt w:val="lowerLetter"/>
      <w:lvlText w:val="%2."/>
      <w:lvlJc w:val="left"/>
      <w:pPr>
        <w:ind w:left="3204" w:hanging="360"/>
      </w:pPr>
      <w:rPr>
        <w:rFonts w:cs="Times New Roman"/>
      </w:rPr>
    </w:lvl>
    <w:lvl w:ilvl="2" w:tplc="04050005" w:tentative="1">
      <w:start w:val="1"/>
      <w:numFmt w:val="lowerRoman"/>
      <w:lvlText w:val="%3."/>
      <w:lvlJc w:val="right"/>
      <w:pPr>
        <w:ind w:left="3924" w:hanging="180"/>
      </w:pPr>
      <w:rPr>
        <w:rFonts w:cs="Times New Roman"/>
      </w:rPr>
    </w:lvl>
    <w:lvl w:ilvl="3" w:tplc="04050001" w:tentative="1">
      <w:start w:val="1"/>
      <w:numFmt w:val="decimal"/>
      <w:lvlText w:val="%4."/>
      <w:lvlJc w:val="left"/>
      <w:pPr>
        <w:ind w:left="4644" w:hanging="360"/>
      </w:pPr>
      <w:rPr>
        <w:rFonts w:cs="Times New Roman"/>
      </w:rPr>
    </w:lvl>
    <w:lvl w:ilvl="4" w:tplc="04050003" w:tentative="1">
      <w:start w:val="1"/>
      <w:numFmt w:val="lowerLetter"/>
      <w:lvlText w:val="%5."/>
      <w:lvlJc w:val="left"/>
      <w:pPr>
        <w:ind w:left="5364" w:hanging="360"/>
      </w:pPr>
      <w:rPr>
        <w:rFonts w:cs="Times New Roman"/>
      </w:rPr>
    </w:lvl>
    <w:lvl w:ilvl="5" w:tplc="04050005" w:tentative="1">
      <w:start w:val="1"/>
      <w:numFmt w:val="lowerRoman"/>
      <w:lvlText w:val="%6."/>
      <w:lvlJc w:val="right"/>
      <w:pPr>
        <w:ind w:left="6084" w:hanging="180"/>
      </w:pPr>
      <w:rPr>
        <w:rFonts w:cs="Times New Roman"/>
      </w:rPr>
    </w:lvl>
    <w:lvl w:ilvl="6" w:tplc="04050001" w:tentative="1">
      <w:start w:val="1"/>
      <w:numFmt w:val="decimal"/>
      <w:lvlText w:val="%7."/>
      <w:lvlJc w:val="left"/>
      <w:pPr>
        <w:ind w:left="6804" w:hanging="360"/>
      </w:pPr>
      <w:rPr>
        <w:rFonts w:cs="Times New Roman"/>
      </w:rPr>
    </w:lvl>
    <w:lvl w:ilvl="7" w:tplc="04050003" w:tentative="1">
      <w:start w:val="1"/>
      <w:numFmt w:val="lowerLetter"/>
      <w:lvlText w:val="%8."/>
      <w:lvlJc w:val="left"/>
      <w:pPr>
        <w:ind w:left="7524" w:hanging="360"/>
      </w:pPr>
      <w:rPr>
        <w:rFonts w:cs="Times New Roman"/>
      </w:rPr>
    </w:lvl>
    <w:lvl w:ilvl="8" w:tplc="04050005" w:tentative="1">
      <w:start w:val="1"/>
      <w:numFmt w:val="lowerRoman"/>
      <w:lvlText w:val="%9."/>
      <w:lvlJc w:val="right"/>
      <w:pPr>
        <w:ind w:left="8244" w:hanging="180"/>
      </w:pPr>
      <w:rPr>
        <w:rFonts w:cs="Times New Roman"/>
      </w:rPr>
    </w:lvl>
  </w:abstractNum>
  <w:abstractNum w:abstractNumId="5" w15:restartNumberingAfterBreak="0">
    <w:nsid w:val="0DE00356"/>
    <w:multiLevelType w:val="hybridMultilevel"/>
    <w:tmpl w:val="37225D5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0E2D7D13"/>
    <w:multiLevelType w:val="hybridMultilevel"/>
    <w:tmpl w:val="1B68C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1B19D8"/>
    <w:multiLevelType w:val="hybridMultilevel"/>
    <w:tmpl w:val="492C7AFE"/>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437993"/>
    <w:multiLevelType w:val="hybridMultilevel"/>
    <w:tmpl w:val="AC9ED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4B631CC"/>
    <w:multiLevelType w:val="hybridMultilevel"/>
    <w:tmpl w:val="3580E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55D5566"/>
    <w:multiLevelType w:val="hybridMultilevel"/>
    <w:tmpl w:val="4694FBF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8AF1DE4"/>
    <w:multiLevelType w:val="hybridMultilevel"/>
    <w:tmpl w:val="C200EB6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EC4CAE"/>
    <w:multiLevelType w:val="hybridMultilevel"/>
    <w:tmpl w:val="AC665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03A0E84"/>
    <w:multiLevelType w:val="hybridMultilevel"/>
    <w:tmpl w:val="723AA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18B78AA"/>
    <w:multiLevelType w:val="hybridMultilevel"/>
    <w:tmpl w:val="DFDCBB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21D407C6"/>
    <w:multiLevelType w:val="hybridMultilevel"/>
    <w:tmpl w:val="EDA8D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50136E"/>
    <w:multiLevelType w:val="multilevel"/>
    <w:tmpl w:val="3A124E4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Nadpis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0" w15:restartNumberingAfterBreak="0">
    <w:nsid w:val="25FC6192"/>
    <w:multiLevelType w:val="hybridMultilevel"/>
    <w:tmpl w:val="CB34FD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BE35A6C"/>
    <w:multiLevelType w:val="hybridMultilevel"/>
    <w:tmpl w:val="42C6F7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0CF2A86"/>
    <w:multiLevelType w:val="hybridMultilevel"/>
    <w:tmpl w:val="25F2FB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322F6043"/>
    <w:multiLevelType w:val="hybridMultilevel"/>
    <w:tmpl w:val="85C20D66"/>
    <w:lvl w:ilvl="0" w:tplc="0405001B">
      <w:start w:val="1"/>
      <w:numFmt w:val="lowerRoman"/>
      <w:lvlText w:val="%1."/>
      <w:lvlJc w:val="right"/>
      <w:pPr>
        <w:ind w:left="2340" w:hanging="360"/>
      </w:pPr>
      <w:rPr>
        <w:rFonts w:cs="Times New Roman"/>
      </w:rPr>
    </w:lvl>
    <w:lvl w:ilvl="1" w:tplc="04050019" w:tentative="1">
      <w:start w:val="1"/>
      <w:numFmt w:val="lowerLetter"/>
      <w:lvlText w:val="%2."/>
      <w:lvlJc w:val="left"/>
      <w:pPr>
        <w:ind w:left="3060" w:hanging="360"/>
      </w:pPr>
      <w:rPr>
        <w:rFonts w:cs="Times New Roman"/>
      </w:rPr>
    </w:lvl>
    <w:lvl w:ilvl="2" w:tplc="0405001B" w:tentative="1">
      <w:start w:val="1"/>
      <w:numFmt w:val="lowerRoman"/>
      <w:lvlText w:val="%3."/>
      <w:lvlJc w:val="right"/>
      <w:pPr>
        <w:ind w:left="3780" w:hanging="180"/>
      </w:pPr>
      <w:rPr>
        <w:rFonts w:cs="Times New Roman"/>
      </w:rPr>
    </w:lvl>
    <w:lvl w:ilvl="3" w:tplc="0405000F" w:tentative="1">
      <w:start w:val="1"/>
      <w:numFmt w:val="decimal"/>
      <w:lvlText w:val="%4."/>
      <w:lvlJc w:val="left"/>
      <w:pPr>
        <w:ind w:left="4500" w:hanging="360"/>
      </w:pPr>
      <w:rPr>
        <w:rFonts w:cs="Times New Roman"/>
      </w:rPr>
    </w:lvl>
    <w:lvl w:ilvl="4" w:tplc="04050019" w:tentative="1">
      <w:start w:val="1"/>
      <w:numFmt w:val="lowerLetter"/>
      <w:lvlText w:val="%5."/>
      <w:lvlJc w:val="left"/>
      <w:pPr>
        <w:ind w:left="5220" w:hanging="360"/>
      </w:pPr>
      <w:rPr>
        <w:rFonts w:cs="Times New Roman"/>
      </w:rPr>
    </w:lvl>
    <w:lvl w:ilvl="5" w:tplc="0405001B" w:tentative="1">
      <w:start w:val="1"/>
      <w:numFmt w:val="lowerRoman"/>
      <w:lvlText w:val="%6."/>
      <w:lvlJc w:val="right"/>
      <w:pPr>
        <w:ind w:left="5940" w:hanging="180"/>
      </w:pPr>
      <w:rPr>
        <w:rFonts w:cs="Times New Roman"/>
      </w:rPr>
    </w:lvl>
    <w:lvl w:ilvl="6" w:tplc="0405000F" w:tentative="1">
      <w:start w:val="1"/>
      <w:numFmt w:val="decimal"/>
      <w:lvlText w:val="%7."/>
      <w:lvlJc w:val="left"/>
      <w:pPr>
        <w:ind w:left="6660" w:hanging="360"/>
      </w:pPr>
      <w:rPr>
        <w:rFonts w:cs="Times New Roman"/>
      </w:rPr>
    </w:lvl>
    <w:lvl w:ilvl="7" w:tplc="04050019" w:tentative="1">
      <w:start w:val="1"/>
      <w:numFmt w:val="lowerLetter"/>
      <w:lvlText w:val="%8."/>
      <w:lvlJc w:val="left"/>
      <w:pPr>
        <w:ind w:left="7380" w:hanging="360"/>
      </w:pPr>
      <w:rPr>
        <w:rFonts w:cs="Times New Roman"/>
      </w:rPr>
    </w:lvl>
    <w:lvl w:ilvl="8" w:tplc="0405001B" w:tentative="1">
      <w:start w:val="1"/>
      <w:numFmt w:val="lowerRoman"/>
      <w:lvlText w:val="%9."/>
      <w:lvlJc w:val="right"/>
      <w:pPr>
        <w:ind w:left="8100" w:hanging="180"/>
      </w:pPr>
      <w:rPr>
        <w:rFonts w:cs="Times New Roman"/>
      </w:rPr>
    </w:lvl>
  </w:abstractNum>
  <w:abstractNum w:abstractNumId="28" w15:restartNumberingAfterBreak="0">
    <w:nsid w:val="34FC5558"/>
    <w:multiLevelType w:val="hybridMultilevel"/>
    <w:tmpl w:val="B29C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714277E"/>
    <w:multiLevelType w:val="hybridMultilevel"/>
    <w:tmpl w:val="A1941868"/>
    <w:lvl w:ilvl="0" w:tplc="BE148E10">
      <w:start w:val="1"/>
      <w:numFmt w:val="upperRoman"/>
      <w:pStyle w:val="Styl1"/>
      <w:lvlText w:val="%1."/>
      <w:lvlJc w:val="left"/>
      <w:pPr>
        <w:ind w:left="1080" w:hanging="72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38E01A12"/>
    <w:multiLevelType w:val="hybridMultilevel"/>
    <w:tmpl w:val="B2D4DBA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9564D07"/>
    <w:multiLevelType w:val="hybridMultilevel"/>
    <w:tmpl w:val="B734D07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3A9F2462"/>
    <w:multiLevelType w:val="hybridMultilevel"/>
    <w:tmpl w:val="97482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B417D95"/>
    <w:multiLevelType w:val="hybridMultilevel"/>
    <w:tmpl w:val="34D65A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E796015"/>
    <w:multiLevelType w:val="hybridMultilevel"/>
    <w:tmpl w:val="4EC0A17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3F642048"/>
    <w:multiLevelType w:val="hybridMultilevel"/>
    <w:tmpl w:val="5C522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37D5015"/>
    <w:multiLevelType w:val="hybridMultilevel"/>
    <w:tmpl w:val="123850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B141236"/>
    <w:multiLevelType w:val="hybridMultilevel"/>
    <w:tmpl w:val="8A58C054"/>
    <w:lvl w:ilvl="0" w:tplc="0405001B">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CC4043"/>
    <w:multiLevelType w:val="hybridMultilevel"/>
    <w:tmpl w:val="AA1EC4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521B0E28"/>
    <w:multiLevelType w:val="hybridMultilevel"/>
    <w:tmpl w:val="9B2A0D98"/>
    <w:lvl w:ilvl="0" w:tplc="0405001B">
      <w:start w:val="1"/>
      <w:numFmt w:val="bullet"/>
      <w:lvlText w:val=""/>
      <w:lvlJc w:val="left"/>
      <w:pPr>
        <w:ind w:left="1080" w:hanging="360"/>
      </w:pPr>
      <w:rPr>
        <w:rFonts w:ascii="Symbol" w:hAnsi="Symbol" w:hint="default"/>
      </w:rPr>
    </w:lvl>
    <w:lvl w:ilvl="1" w:tplc="04050019" w:tentative="1">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40" w15:restartNumberingAfterBreak="0">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7FD3D0F"/>
    <w:multiLevelType w:val="hybridMultilevel"/>
    <w:tmpl w:val="6F384EEC"/>
    <w:lvl w:ilvl="0" w:tplc="04050001">
      <w:start w:val="1"/>
      <w:numFmt w:val="bullet"/>
      <w:lvlText w:val=""/>
      <w:lvlJc w:val="left"/>
      <w:pPr>
        <w:ind w:left="3725" w:hanging="465"/>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DFE1124"/>
    <w:multiLevelType w:val="hybridMultilevel"/>
    <w:tmpl w:val="9B381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60381BD8"/>
    <w:multiLevelType w:val="hybridMultilevel"/>
    <w:tmpl w:val="AF4A4DA0"/>
    <w:lvl w:ilvl="0" w:tplc="04050011">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23259B6"/>
    <w:multiLevelType w:val="hybridMultilevel"/>
    <w:tmpl w:val="3EAE21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2A4744F"/>
    <w:multiLevelType w:val="multilevel"/>
    <w:tmpl w:val="1054E2D0"/>
    <w:lvl w:ilvl="0">
      <w:start w:val="1"/>
      <w:numFmt w:val="decimal"/>
      <w:pStyle w:val="smlouvaheading1"/>
      <w:lvlText w:val="%1"/>
      <w:lvlJc w:val="left"/>
      <w:pPr>
        <w:ind w:left="360" w:hanging="360"/>
      </w:pPr>
      <w:rPr>
        <w:rFonts w:ascii="Arial" w:hAnsi="Arial" w:cs="Times New Roman" w:hint="default"/>
        <w:b/>
        <w:i w:val="0"/>
        <w:sz w:val="19"/>
      </w:rPr>
    </w:lvl>
    <w:lvl w:ilvl="1">
      <w:start w:val="1"/>
      <w:numFmt w:val="decimal"/>
      <w:pStyle w:val="smlouvaheading2"/>
      <w:lvlText w:val="%1.%2"/>
      <w:lvlJc w:val="left"/>
      <w:pPr>
        <w:ind w:left="720" w:hanging="360"/>
      </w:pPr>
      <w:rPr>
        <w:rFonts w:ascii="Arial" w:hAnsi="Arial" w:cs="Times New Roman" w:hint="default"/>
        <w:b w:val="0"/>
        <w:i w:val="0"/>
        <w:sz w:val="19"/>
      </w:rPr>
    </w:lvl>
    <w:lvl w:ilvl="2">
      <w:start w:val="1"/>
      <w:numFmt w:val="decimal"/>
      <w:pStyle w:val="smlouvaheading3"/>
      <w:lvlText w:val="%1.%2.%3"/>
      <w:lvlJc w:val="left"/>
      <w:pPr>
        <w:ind w:left="1080" w:hanging="360"/>
      </w:pPr>
      <w:rPr>
        <w:rFonts w:ascii="Arial" w:hAnsi="Arial" w:cs="Times New Roman" w:hint="default"/>
        <w:b w:val="0"/>
        <w:i w:val="0"/>
        <w:sz w:val="19"/>
      </w:rPr>
    </w:lvl>
    <w:lvl w:ilvl="3">
      <w:start w:val="1"/>
      <w:numFmt w:val="decimal"/>
      <w:pStyle w:val="smlouvaheading4"/>
      <w:lvlText w:val="%1.%2.%3.%4"/>
      <w:lvlJc w:val="left"/>
      <w:pPr>
        <w:ind w:left="1440" w:hanging="360"/>
      </w:pPr>
      <w:rPr>
        <w:rFonts w:ascii="Arial" w:hAnsi="Arial" w:cs="Times New Roman" w:hint="default"/>
        <w:b w:val="0"/>
        <w:i w:val="0"/>
        <w:sz w:val="19"/>
      </w:rPr>
    </w:lvl>
    <w:lvl w:ilvl="4">
      <w:start w:val="1"/>
      <w:numFmt w:val="none"/>
      <w:lvlText w:val=""/>
      <w:lvlJc w:val="left"/>
      <w:pPr>
        <w:ind w:left="1800" w:hanging="360"/>
      </w:pPr>
      <w:rPr>
        <w:rFonts w:ascii="Arial" w:hAnsi="Arial" w:cs="Times New Roman" w:hint="default"/>
        <w:b w:val="0"/>
        <w:i/>
        <w:sz w:val="19"/>
      </w:rPr>
    </w:lvl>
    <w:lvl w:ilvl="5">
      <w:start w:val="1"/>
      <w:numFmt w:val="none"/>
      <w:lvlText w:val=""/>
      <w:lvlJc w:val="left"/>
      <w:pPr>
        <w:ind w:left="2160" w:hanging="360"/>
      </w:pPr>
      <w:rPr>
        <w:rFonts w:ascii="Arial" w:hAnsi="Arial" w:cs="Times New Roman" w:hint="default"/>
        <w:b w:val="0"/>
        <w:i/>
        <w:sz w:val="19"/>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7" w15:restartNumberingAfterBreak="0">
    <w:nsid w:val="62A75FF2"/>
    <w:multiLevelType w:val="hybridMultilevel"/>
    <w:tmpl w:val="04DA6A26"/>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634935A9"/>
    <w:multiLevelType w:val="hybridMultilevel"/>
    <w:tmpl w:val="FDAA157A"/>
    <w:lvl w:ilvl="0" w:tplc="418E36F0">
      <w:start w:val="1"/>
      <w:numFmt w:val="bullet"/>
      <w:pStyle w:val="Bulletslevel1"/>
      <w:lvlText w:val=""/>
      <w:lvlJc w:val="left"/>
      <w:pPr>
        <w:ind w:left="720" w:hanging="360"/>
      </w:pPr>
      <w:rPr>
        <w:rFonts w:ascii="Symbol" w:hAnsi="Symbol" w:hint="default"/>
        <w:b w:val="0"/>
        <w:i w:val="0"/>
        <w:sz w:val="19"/>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A92216C"/>
    <w:multiLevelType w:val="hybridMultilevel"/>
    <w:tmpl w:val="ACC2026C"/>
    <w:lvl w:ilvl="0" w:tplc="938A8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58053C"/>
    <w:multiLevelType w:val="hybridMultilevel"/>
    <w:tmpl w:val="F028D2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05D7C12"/>
    <w:multiLevelType w:val="hybridMultilevel"/>
    <w:tmpl w:val="46EAFB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9F59DF"/>
    <w:multiLevelType w:val="hybridMultilevel"/>
    <w:tmpl w:val="F4A29E48"/>
    <w:lvl w:ilvl="0" w:tplc="938A89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54" w15:restartNumberingAfterBreak="0">
    <w:nsid w:val="765E4A7E"/>
    <w:multiLevelType w:val="hybridMultilevel"/>
    <w:tmpl w:val="EF005F06"/>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A91511"/>
    <w:multiLevelType w:val="hybridMultilevel"/>
    <w:tmpl w:val="A0B82D7E"/>
    <w:lvl w:ilvl="0" w:tplc="04050005">
      <w:start w:val="217"/>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6C8158D"/>
    <w:multiLevelType w:val="hybridMultilevel"/>
    <w:tmpl w:val="EEDC00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15:restartNumberingAfterBreak="0">
    <w:nsid w:val="774B3A82"/>
    <w:multiLevelType w:val="hybridMultilevel"/>
    <w:tmpl w:val="899E01BC"/>
    <w:lvl w:ilvl="0" w:tplc="A9023088">
      <w:start w:val="1"/>
      <w:numFmt w:val="lowerLetter"/>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58" w15:restartNumberingAfterBreak="0">
    <w:nsid w:val="77E43160"/>
    <w:multiLevelType w:val="hybridMultilevel"/>
    <w:tmpl w:val="7AA6BB8E"/>
    <w:lvl w:ilvl="0" w:tplc="0405000F">
      <w:start w:val="1"/>
      <w:numFmt w:val="bullet"/>
      <w:lvlText w:val=""/>
      <w:lvlJc w:val="left"/>
      <w:pPr>
        <w:ind w:left="720" w:hanging="360"/>
      </w:pPr>
      <w:rPr>
        <w:rFonts w:ascii="Symbol" w:hAnsi="Symbol" w:hint="default"/>
      </w:rPr>
    </w:lvl>
    <w:lvl w:ilvl="1" w:tplc="04050019">
      <w:numFmt w:val="bullet"/>
      <w:lvlText w:val="•"/>
      <w:lvlJc w:val="left"/>
      <w:pPr>
        <w:ind w:left="1440" w:hanging="360"/>
      </w:pPr>
      <w:rPr>
        <w:rFonts w:ascii="Arial" w:eastAsia="Times New Roman" w:hAnsi="Arial"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9" w15:restartNumberingAfterBreak="0">
    <w:nsid w:val="7A875105"/>
    <w:multiLevelType w:val="hybridMultilevel"/>
    <w:tmpl w:val="F6026B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AD80A48"/>
    <w:multiLevelType w:val="hybridMultilevel"/>
    <w:tmpl w:val="5EB00808"/>
    <w:lvl w:ilvl="0" w:tplc="04050001">
      <w:start w:val="1"/>
      <w:numFmt w:val="bullet"/>
      <w:lvlText w:val=""/>
      <w:lvlJc w:val="left"/>
      <w:pPr>
        <w:ind w:left="720" w:hanging="360"/>
      </w:pPr>
      <w:rPr>
        <w:rFonts w:ascii="Symbol" w:hAnsi="Symbol" w:hint="default"/>
      </w:rPr>
    </w:lvl>
    <w:lvl w:ilvl="1" w:tplc="E294F620">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B762295"/>
    <w:multiLevelType w:val="hybridMultilevel"/>
    <w:tmpl w:val="B2D41B5C"/>
    <w:lvl w:ilvl="0" w:tplc="418E36F0">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2" w15:restartNumberingAfterBreak="0">
    <w:nsid w:val="7CC854D8"/>
    <w:multiLevelType w:val="hybridMultilevel"/>
    <w:tmpl w:val="938E4F10"/>
    <w:lvl w:ilvl="0" w:tplc="04050001">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63" w15:restartNumberingAfterBreak="0">
    <w:nsid w:val="7F2D428E"/>
    <w:multiLevelType w:val="hybridMultilevel"/>
    <w:tmpl w:val="F0442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7"/>
  </w:num>
  <w:num w:numId="4">
    <w:abstractNumId w:val="61"/>
  </w:num>
  <w:num w:numId="5">
    <w:abstractNumId w:val="40"/>
  </w:num>
  <w:num w:numId="6">
    <w:abstractNumId w:val="50"/>
  </w:num>
  <w:num w:numId="7">
    <w:abstractNumId w:val="23"/>
  </w:num>
  <w:num w:numId="8">
    <w:abstractNumId w:val="60"/>
  </w:num>
  <w:num w:numId="9">
    <w:abstractNumId w:val="0"/>
  </w:num>
  <w:num w:numId="10">
    <w:abstractNumId w:val="15"/>
  </w:num>
  <w:num w:numId="11">
    <w:abstractNumId w:val="21"/>
  </w:num>
  <w:num w:numId="12">
    <w:abstractNumId w:val="47"/>
  </w:num>
  <w:num w:numId="13">
    <w:abstractNumId w:val="24"/>
  </w:num>
  <w:num w:numId="14">
    <w:abstractNumId w:val="53"/>
  </w:num>
  <w:num w:numId="15">
    <w:abstractNumId w:val="1"/>
  </w:num>
  <w:num w:numId="16">
    <w:abstractNumId w:val="62"/>
  </w:num>
  <w:num w:numId="17">
    <w:abstractNumId w:val="39"/>
  </w:num>
  <w:num w:numId="18">
    <w:abstractNumId w:val="25"/>
  </w:num>
  <w:num w:numId="19">
    <w:abstractNumId w:val="43"/>
  </w:num>
  <w:num w:numId="20">
    <w:abstractNumId w:val="48"/>
  </w:num>
  <w:num w:numId="21">
    <w:abstractNumId w:val="12"/>
  </w:num>
  <w:num w:numId="22">
    <w:abstractNumId w:val="46"/>
  </w:num>
  <w:num w:numId="23">
    <w:abstractNumId w:val="29"/>
  </w:num>
  <w:num w:numId="24">
    <w:abstractNumId w:val="36"/>
  </w:num>
  <w:num w:numId="25">
    <w:abstractNumId w:val="8"/>
  </w:num>
  <w:num w:numId="26">
    <w:abstractNumId w:val="41"/>
  </w:num>
  <w:num w:numId="27">
    <w:abstractNumId w:val="58"/>
  </w:num>
  <w:num w:numId="28">
    <w:abstractNumId w:val="18"/>
  </w:num>
  <w:num w:numId="29">
    <w:abstractNumId w:val="6"/>
  </w:num>
  <w:num w:numId="30">
    <w:abstractNumId w:val="34"/>
  </w:num>
  <w:num w:numId="31">
    <w:abstractNumId w:val="38"/>
  </w:num>
  <w:num w:numId="32">
    <w:abstractNumId w:val="3"/>
  </w:num>
  <w:num w:numId="33">
    <w:abstractNumId w:val="11"/>
  </w:num>
  <w:num w:numId="34">
    <w:abstractNumId w:val="17"/>
  </w:num>
  <w:num w:numId="35">
    <w:abstractNumId w:val="28"/>
  </w:num>
  <w:num w:numId="36">
    <w:abstractNumId w:val="37"/>
  </w:num>
  <w:num w:numId="37">
    <w:abstractNumId w:val="32"/>
  </w:num>
  <w:num w:numId="38">
    <w:abstractNumId w:val="57"/>
  </w:num>
  <w:num w:numId="39">
    <w:abstractNumId w:val="27"/>
  </w:num>
  <w:num w:numId="40">
    <w:abstractNumId w:val="49"/>
  </w:num>
  <w:num w:numId="41">
    <w:abstractNumId w:val="5"/>
  </w:num>
  <w:num w:numId="42">
    <w:abstractNumId w:val="35"/>
  </w:num>
  <w:num w:numId="43">
    <w:abstractNumId w:val="30"/>
  </w:num>
  <w:num w:numId="44">
    <w:abstractNumId w:val="20"/>
  </w:num>
  <w:num w:numId="45">
    <w:abstractNumId w:val="9"/>
  </w:num>
  <w:num w:numId="46">
    <w:abstractNumId w:val="13"/>
  </w:num>
  <w:num w:numId="47">
    <w:abstractNumId w:val="2"/>
  </w:num>
  <w:num w:numId="48">
    <w:abstractNumId w:val="54"/>
  </w:num>
  <w:num w:numId="49">
    <w:abstractNumId w:val="51"/>
  </w:num>
  <w:num w:numId="50">
    <w:abstractNumId w:val="16"/>
  </w:num>
  <w:num w:numId="51">
    <w:abstractNumId w:val="55"/>
  </w:num>
  <w:num w:numId="52">
    <w:abstractNumId w:val="42"/>
  </w:num>
  <w:num w:numId="53">
    <w:abstractNumId w:val="4"/>
  </w:num>
  <w:num w:numId="54">
    <w:abstractNumId w:val="33"/>
  </w:num>
  <w:num w:numId="55">
    <w:abstractNumId w:val="52"/>
  </w:num>
  <w:num w:numId="56">
    <w:abstractNumId w:val="59"/>
  </w:num>
  <w:num w:numId="57">
    <w:abstractNumId w:val="26"/>
  </w:num>
  <w:num w:numId="58">
    <w:abstractNumId w:val="63"/>
  </w:num>
  <w:num w:numId="59">
    <w:abstractNumId w:val="31"/>
  </w:num>
  <w:num w:numId="60">
    <w:abstractNumId w:val="56"/>
  </w:num>
  <w:num w:numId="61">
    <w:abstractNumId w:val="10"/>
  </w:num>
  <w:num w:numId="62">
    <w:abstractNumId w:val="14"/>
  </w:num>
  <w:num w:numId="63">
    <w:abstractNumId w:val="44"/>
  </w:num>
  <w:num w:numId="64">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1E1"/>
    <w:rsid w:val="0000024E"/>
    <w:rsid w:val="00000A59"/>
    <w:rsid w:val="00001374"/>
    <w:rsid w:val="00001428"/>
    <w:rsid w:val="00001519"/>
    <w:rsid w:val="00001EEF"/>
    <w:rsid w:val="000026D6"/>
    <w:rsid w:val="00003786"/>
    <w:rsid w:val="00003A34"/>
    <w:rsid w:val="00003EAA"/>
    <w:rsid w:val="00004317"/>
    <w:rsid w:val="00004922"/>
    <w:rsid w:val="00004F5B"/>
    <w:rsid w:val="00005387"/>
    <w:rsid w:val="000075D5"/>
    <w:rsid w:val="00007ACF"/>
    <w:rsid w:val="00007B41"/>
    <w:rsid w:val="00007F94"/>
    <w:rsid w:val="00007FC6"/>
    <w:rsid w:val="00011070"/>
    <w:rsid w:val="00011100"/>
    <w:rsid w:val="00011656"/>
    <w:rsid w:val="00012C12"/>
    <w:rsid w:val="000132D7"/>
    <w:rsid w:val="000150B2"/>
    <w:rsid w:val="0001529C"/>
    <w:rsid w:val="0001651A"/>
    <w:rsid w:val="00017DD1"/>
    <w:rsid w:val="00020BEB"/>
    <w:rsid w:val="00022730"/>
    <w:rsid w:val="00022B20"/>
    <w:rsid w:val="00022E4C"/>
    <w:rsid w:val="00023090"/>
    <w:rsid w:val="00023FE0"/>
    <w:rsid w:val="00024261"/>
    <w:rsid w:val="0002475B"/>
    <w:rsid w:val="0002484F"/>
    <w:rsid w:val="00024EB3"/>
    <w:rsid w:val="0002590C"/>
    <w:rsid w:val="00025F6E"/>
    <w:rsid w:val="000261FB"/>
    <w:rsid w:val="000267FE"/>
    <w:rsid w:val="0002761F"/>
    <w:rsid w:val="00027BFD"/>
    <w:rsid w:val="00030E3E"/>
    <w:rsid w:val="00030ED0"/>
    <w:rsid w:val="00031330"/>
    <w:rsid w:val="00031A12"/>
    <w:rsid w:val="0003318C"/>
    <w:rsid w:val="00033CBD"/>
    <w:rsid w:val="00033EFD"/>
    <w:rsid w:val="00034061"/>
    <w:rsid w:val="000348F9"/>
    <w:rsid w:val="00034B6D"/>
    <w:rsid w:val="00034FDD"/>
    <w:rsid w:val="00035834"/>
    <w:rsid w:val="000361C0"/>
    <w:rsid w:val="00036EF3"/>
    <w:rsid w:val="00037204"/>
    <w:rsid w:val="00037350"/>
    <w:rsid w:val="00037B07"/>
    <w:rsid w:val="00040399"/>
    <w:rsid w:val="000405BE"/>
    <w:rsid w:val="0004113A"/>
    <w:rsid w:val="0004162E"/>
    <w:rsid w:val="00041B99"/>
    <w:rsid w:val="00042011"/>
    <w:rsid w:val="00042169"/>
    <w:rsid w:val="00042991"/>
    <w:rsid w:val="00042B15"/>
    <w:rsid w:val="00042BEB"/>
    <w:rsid w:val="00042F62"/>
    <w:rsid w:val="000437EF"/>
    <w:rsid w:val="00043B95"/>
    <w:rsid w:val="00044EE7"/>
    <w:rsid w:val="0004640B"/>
    <w:rsid w:val="00046929"/>
    <w:rsid w:val="00046AA5"/>
    <w:rsid w:val="0004720B"/>
    <w:rsid w:val="00047441"/>
    <w:rsid w:val="0004790B"/>
    <w:rsid w:val="0005008A"/>
    <w:rsid w:val="00050B0B"/>
    <w:rsid w:val="00050C6E"/>
    <w:rsid w:val="00051246"/>
    <w:rsid w:val="00053393"/>
    <w:rsid w:val="0005341B"/>
    <w:rsid w:val="00053EA4"/>
    <w:rsid w:val="0005545B"/>
    <w:rsid w:val="00055E54"/>
    <w:rsid w:val="00055F24"/>
    <w:rsid w:val="00057BCB"/>
    <w:rsid w:val="00057F90"/>
    <w:rsid w:val="000601A3"/>
    <w:rsid w:val="000602E7"/>
    <w:rsid w:val="00060A95"/>
    <w:rsid w:val="00060B5A"/>
    <w:rsid w:val="000611EB"/>
    <w:rsid w:val="00061226"/>
    <w:rsid w:val="000613AB"/>
    <w:rsid w:val="000625EC"/>
    <w:rsid w:val="000628B2"/>
    <w:rsid w:val="00063A4C"/>
    <w:rsid w:val="0006460C"/>
    <w:rsid w:val="00064A65"/>
    <w:rsid w:val="00064FB2"/>
    <w:rsid w:val="00065117"/>
    <w:rsid w:val="00065F1C"/>
    <w:rsid w:val="00066384"/>
    <w:rsid w:val="0006649B"/>
    <w:rsid w:val="00066655"/>
    <w:rsid w:val="000668BC"/>
    <w:rsid w:val="00066D0F"/>
    <w:rsid w:val="000672FF"/>
    <w:rsid w:val="00067B11"/>
    <w:rsid w:val="00067B6A"/>
    <w:rsid w:val="00067DA1"/>
    <w:rsid w:val="00070476"/>
    <w:rsid w:val="000704DD"/>
    <w:rsid w:val="00071003"/>
    <w:rsid w:val="0007175B"/>
    <w:rsid w:val="00072271"/>
    <w:rsid w:val="00072CAD"/>
    <w:rsid w:val="000738B9"/>
    <w:rsid w:val="0007393D"/>
    <w:rsid w:val="00074EC1"/>
    <w:rsid w:val="000750C2"/>
    <w:rsid w:val="000754A0"/>
    <w:rsid w:val="00075B31"/>
    <w:rsid w:val="00076233"/>
    <w:rsid w:val="000771AD"/>
    <w:rsid w:val="00080229"/>
    <w:rsid w:val="000814B5"/>
    <w:rsid w:val="00081A64"/>
    <w:rsid w:val="00081DBF"/>
    <w:rsid w:val="0008236A"/>
    <w:rsid w:val="00082D6D"/>
    <w:rsid w:val="00083247"/>
    <w:rsid w:val="00084399"/>
    <w:rsid w:val="00084A59"/>
    <w:rsid w:val="000857F9"/>
    <w:rsid w:val="00085893"/>
    <w:rsid w:val="000858D8"/>
    <w:rsid w:val="00085B2F"/>
    <w:rsid w:val="00086516"/>
    <w:rsid w:val="00087025"/>
    <w:rsid w:val="00087105"/>
    <w:rsid w:val="00087DE7"/>
    <w:rsid w:val="00087FB4"/>
    <w:rsid w:val="00090359"/>
    <w:rsid w:val="00090F01"/>
    <w:rsid w:val="000910FC"/>
    <w:rsid w:val="00091B20"/>
    <w:rsid w:val="00092321"/>
    <w:rsid w:val="000924E1"/>
    <w:rsid w:val="00093063"/>
    <w:rsid w:val="00093ECB"/>
    <w:rsid w:val="000951A3"/>
    <w:rsid w:val="00096DFB"/>
    <w:rsid w:val="0009727E"/>
    <w:rsid w:val="000976BA"/>
    <w:rsid w:val="00097C39"/>
    <w:rsid w:val="000A08A2"/>
    <w:rsid w:val="000A0F88"/>
    <w:rsid w:val="000A315C"/>
    <w:rsid w:val="000A32A1"/>
    <w:rsid w:val="000A3784"/>
    <w:rsid w:val="000A426B"/>
    <w:rsid w:val="000A47FD"/>
    <w:rsid w:val="000A523B"/>
    <w:rsid w:val="000A5777"/>
    <w:rsid w:val="000A5FA2"/>
    <w:rsid w:val="000A6D74"/>
    <w:rsid w:val="000A7849"/>
    <w:rsid w:val="000B06CA"/>
    <w:rsid w:val="000B0D66"/>
    <w:rsid w:val="000B2D42"/>
    <w:rsid w:val="000B318C"/>
    <w:rsid w:val="000B3746"/>
    <w:rsid w:val="000B378D"/>
    <w:rsid w:val="000B3DBA"/>
    <w:rsid w:val="000B43A1"/>
    <w:rsid w:val="000B4B20"/>
    <w:rsid w:val="000B505C"/>
    <w:rsid w:val="000B553B"/>
    <w:rsid w:val="000B5641"/>
    <w:rsid w:val="000B58F5"/>
    <w:rsid w:val="000B5E8E"/>
    <w:rsid w:val="000B6179"/>
    <w:rsid w:val="000B656F"/>
    <w:rsid w:val="000B6E72"/>
    <w:rsid w:val="000B7E48"/>
    <w:rsid w:val="000C1B4F"/>
    <w:rsid w:val="000C1C23"/>
    <w:rsid w:val="000C2416"/>
    <w:rsid w:val="000C38AE"/>
    <w:rsid w:val="000C3983"/>
    <w:rsid w:val="000C3B87"/>
    <w:rsid w:val="000C4262"/>
    <w:rsid w:val="000C61AD"/>
    <w:rsid w:val="000C64DE"/>
    <w:rsid w:val="000C685B"/>
    <w:rsid w:val="000C7405"/>
    <w:rsid w:val="000C77DB"/>
    <w:rsid w:val="000D0514"/>
    <w:rsid w:val="000D2962"/>
    <w:rsid w:val="000D2A1F"/>
    <w:rsid w:val="000D2FBC"/>
    <w:rsid w:val="000D3DF3"/>
    <w:rsid w:val="000D43FC"/>
    <w:rsid w:val="000D4714"/>
    <w:rsid w:val="000D59E7"/>
    <w:rsid w:val="000D5B42"/>
    <w:rsid w:val="000D6873"/>
    <w:rsid w:val="000D691E"/>
    <w:rsid w:val="000E0186"/>
    <w:rsid w:val="000E099C"/>
    <w:rsid w:val="000E1BCA"/>
    <w:rsid w:val="000E2116"/>
    <w:rsid w:val="000E21F7"/>
    <w:rsid w:val="000E2C8A"/>
    <w:rsid w:val="000E3C25"/>
    <w:rsid w:val="000E5A8F"/>
    <w:rsid w:val="000E709B"/>
    <w:rsid w:val="000E7BA3"/>
    <w:rsid w:val="000F02E1"/>
    <w:rsid w:val="000F0F96"/>
    <w:rsid w:val="000F11B1"/>
    <w:rsid w:val="000F1B10"/>
    <w:rsid w:val="000F1B78"/>
    <w:rsid w:val="000F1E82"/>
    <w:rsid w:val="000F21A7"/>
    <w:rsid w:val="000F2376"/>
    <w:rsid w:val="000F240A"/>
    <w:rsid w:val="000F3562"/>
    <w:rsid w:val="000F3E82"/>
    <w:rsid w:val="000F4347"/>
    <w:rsid w:val="000F506E"/>
    <w:rsid w:val="000F5267"/>
    <w:rsid w:val="000F6013"/>
    <w:rsid w:val="000F63E3"/>
    <w:rsid w:val="000F6475"/>
    <w:rsid w:val="000F6778"/>
    <w:rsid w:val="000F7549"/>
    <w:rsid w:val="00100537"/>
    <w:rsid w:val="00101728"/>
    <w:rsid w:val="00101A27"/>
    <w:rsid w:val="00102009"/>
    <w:rsid w:val="001038FE"/>
    <w:rsid w:val="001042DB"/>
    <w:rsid w:val="0010532D"/>
    <w:rsid w:val="001053F4"/>
    <w:rsid w:val="00105E9D"/>
    <w:rsid w:val="0010631E"/>
    <w:rsid w:val="001065B4"/>
    <w:rsid w:val="00106728"/>
    <w:rsid w:val="00106AD4"/>
    <w:rsid w:val="001075B2"/>
    <w:rsid w:val="0011037F"/>
    <w:rsid w:val="00110693"/>
    <w:rsid w:val="0011279A"/>
    <w:rsid w:val="00113153"/>
    <w:rsid w:val="0011334B"/>
    <w:rsid w:val="00113BDA"/>
    <w:rsid w:val="00114587"/>
    <w:rsid w:val="00114915"/>
    <w:rsid w:val="00114B09"/>
    <w:rsid w:val="00114C5B"/>
    <w:rsid w:val="00115303"/>
    <w:rsid w:val="001157BD"/>
    <w:rsid w:val="00116A6A"/>
    <w:rsid w:val="00117750"/>
    <w:rsid w:val="00117BFE"/>
    <w:rsid w:val="00120172"/>
    <w:rsid w:val="0012098D"/>
    <w:rsid w:val="0012136C"/>
    <w:rsid w:val="001217AB"/>
    <w:rsid w:val="00121C85"/>
    <w:rsid w:val="00121D1C"/>
    <w:rsid w:val="00121DB3"/>
    <w:rsid w:val="0012232B"/>
    <w:rsid w:val="00122401"/>
    <w:rsid w:val="001225B1"/>
    <w:rsid w:val="00122859"/>
    <w:rsid w:val="00122D07"/>
    <w:rsid w:val="00123389"/>
    <w:rsid w:val="001249C3"/>
    <w:rsid w:val="00125087"/>
    <w:rsid w:val="00125522"/>
    <w:rsid w:val="001256CE"/>
    <w:rsid w:val="0012628E"/>
    <w:rsid w:val="0012655B"/>
    <w:rsid w:val="001269F7"/>
    <w:rsid w:val="00126B4F"/>
    <w:rsid w:val="00127148"/>
    <w:rsid w:val="0012734A"/>
    <w:rsid w:val="00130190"/>
    <w:rsid w:val="001302A5"/>
    <w:rsid w:val="00132184"/>
    <w:rsid w:val="00132988"/>
    <w:rsid w:val="00135141"/>
    <w:rsid w:val="001351B9"/>
    <w:rsid w:val="001356F7"/>
    <w:rsid w:val="0013658D"/>
    <w:rsid w:val="00137503"/>
    <w:rsid w:val="0014041A"/>
    <w:rsid w:val="00140663"/>
    <w:rsid w:val="0014136F"/>
    <w:rsid w:val="0014187C"/>
    <w:rsid w:val="00141F5D"/>
    <w:rsid w:val="00141FEF"/>
    <w:rsid w:val="001436FB"/>
    <w:rsid w:val="00143B54"/>
    <w:rsid w:val="00143D63"/>
    <w:rsid w:val="00144361"/>
    <w:rsid w:val="0014590F"/>
    <w:rsid w:val="00145953"/>
    <w:rsid w:val="00147B43"/>
    <w:rsid w:val="00147FEF"/>
    <w:rsid w:val="0015027F"/>
    <w:rsid w:val="0015054E"/>
    <w:rsid w:val="00151A1C"/>
    <w:rsid w:val="00152210"/>
    <w:rsid w:val="0015223E"/>
    <w:rsid w:val="00152DCC"/>
    <w:rsid w:val="00152E6F"/>
    <w:rsid w:val="00152EB4"/>
    <w:rsid w:val="001531B4"/>
    <w:rsid w:val="00153995"/>
    <w:rsid w:val="00153D08"/>
    <w:rsid w:val="00153ECA"/>
    <w:rsid w:val="00153ED7"/>
    <w:rsid w:val="001540D5"/>
    <w:rsid w:val="00154F3F"/>
    <w:rsid w:val="00155315"/>
    <w:rsid w:val="00155CF2"/>
    <w:rsid w:val="00156DEC"/>
    <w:rsid w:val="0015702C"/>
    <w:rsid w:val="001571A2"/>
    <w:rsid w:val="00157A58"/>
    <w:rsid w:val="00157F20"/>
    <w:rsid w:val="001601D5"/>
    <w:rsid w:val="001607A9"/>
    <w:rsid w:val="00160C4D"/>
    <w:rsid w:val="00161CDE"/>
    <w:rsid w:val="001626F9"/>
    <w:rsid w:val="00164C49"/>
    <w:rsid w:val="00164D6C"/>
    <w:rsid w:val="00165075"/>
    <w:rsid w:val="0016559B"/>
    <w:rsid w:val="0016565F"/>
    <w:rsid w:val="00165CE4"/>
    <w:rsid w:val="00165EB0"/>
    <w:rsid w:val="00166B80"/>
    <w:rsid w:val="00166BB5"/>
    <w:rsid w:val="00166DFA"/>
    <w:rsid w:val="00167C93"/>
    <w:rsid w:val="00167E3C"/>
    <w:rsid w:val="00170138"/>
    <w:rsid w:val="00170361"/>
    <w:rsid w:val="00171AF5"/>
    <w:rsid w:val="001722E3"/>
    <w:rsid w:val="001725BB"/>
    <w:rsid w:val="00172EF4"/>
    <w:rsid w:val="00173B55"/>
    <w:rsid w:val="00174446"/>
    <w:rsid w:val="0017502C"/>
    <w:rsid w:val="0017512B"/>
    <w:rsid w:val="00175562"/>
    <w:rsid w:val="00175F65"/>
    <w:rsid w:val="001766AE"/>
    <w:rsid w:val="00176C96"/>
    <w:rsid w:val="00177177"/>
    <w:rsid w:val="001777A0"/>
    <w:rsid w:val="001802B3"/>
    <w:rsid w:val="00180C0D"/>
    <w:rsid w:val="00180EC1"/>
    <w:rsid w:val="00180EF8"/>
    <w:rsid w:val="00181306"/>
    <w:rsid w:val="0018186D"/>
    <w:rsid w:val="00181A56"/>
    <w:rsid w:val="00181B26"/>
    <w:rsid w:val="00182A6F"/>
    <w:rsid w:val="00182C7A"/>
    <w:rsid w:val="00182DC6"/>
    <w:rsid w:val="0018303A"/>
    <w:rsid w:val="001834F9"/>
    <w:rsid w:val="00183DF5"/>
    <w:rsid w:val="00183F1E"/>
    <w:rsid w:val="00185AB8"/>
    <w:rsid w:val="00185D09"/>
    <w:rsid w:val="00186A32"/>
    <w:rsid w:val="001907AB"/>
    <w:rsid w:val="00190879"/>
    <w:rsid w:val="001909F1"/>
    <w:rsid w:val="00190C45"/>
    <w:rsid w:val="00191448"/>
    <w:rsid w:val="0019154E"/>
    <w:rsid w:val="0019232C"/>
    <w:rsid w:val="00192A52"/>
    <w:rsid w:val="00192E03"/>
    <w:rsid w:val="00193351"/>
    <w:rsid w:val="0019410B"/>
    <w:rsid w:val="0019432B"/>
    <w:rsid w:val="00194A15"/>
    <w:rsid w:val="001956C9"/>
    <w:rsid w:val="00195D5C"/>
    <w:rsid w:val="00196271"/>
    <w:rsid w:val="001970CC"/>
    <w:rsid w:val="00197E33"/>
    <w:rsid w:val="00197F96"/>
    <w:rsid w:val="001A055B"/>
    <w:rsid w:val="001A05C2"/>
    <w:rsid w:val="001A06A1"/>
    <w:rsid w:val="001A1530"/>
    <w:rsid w:val="001A1F6A"/>
    <w:rsid w:val="001A1F80"/>
    <w:rsid w:val="001A247D"/>
    <w:rsid w:val="001A2C17"/>
    <w:rsid w:val="001A387B"/>
    <w:rsid w:val="001A3A58"/>
    <w:rsid w:val="001A475B"/>
    <w:rsid w:val="001A49E4"/>
    <w:rsid w:val="001A5636"/>
    <w:rsid w:val="001A5685"/>
    <w:rsid w:val="001A593B"/>
    <w:rsid w:val="001A599E"/>
    <w:rsid w:val="001A5C1F"/>
    <w:rsid w:val="001A5E19"/>
    <w:rsid w:val="001A6187"/>
    <w:rsid w:val="001A7724"/>
    <w:rsid w:val="001B0C96"/>
    <w:rsid w:val="001B1EEC"/>
    <w:rsid w:val="001B3024"/>
    <w:rsid w:val="001B3BC6"/>
    <w:rsid w:val="001B3C63"/>
    <w:rsid w:val="001B3CC2"/>
    <w:rsid w:val="001B4790"/>
    <w:rsid w:val="001B56F4"/>
    <w:rsid w:val="001B57B6"/>
    <w:rsid w:val="001B5BB1"/>
    <w:rsid w:val="001B5E69"/>
    <w:rsid w:val="001B5F67"/>
    <w:rsid w:val="001B63E2"/>
    <w:rsid w:val="001B674A"/>
    <w:rsid w:val="001B76FA"/>
    <w:rsid w:val="001C00EE"/>
    <w:rsid w:val="001C11D4"/>
    <w:rsid w:val="001C1B9C"/>
    <w:rsid w:val="001C1C0E"/>
    <w:rsid w:val="001C365A"/>
    <w:rsid w:val="001C3828"/>
    <w:rsid w:val="001C39DD"/>
    <w:rsid w:val="001C3E64"/>
    <w:rsid w:val="001C426D"/>
    <w:rsid w:val="001C4E7C"/>
    <w:rsid w:val="001C5957"/>
    <w:rsid w:val="001C5C71"/>
    <w:rsid w:val="001C5E56"/>
    <w:rsid w:val="001C734A"/>
    <w:rsid w:val="001C7506"/>
    <w:rsid w:val="001C7A36"/>
    <w:rsid w:val="001D1197"/>
    <w:rsid w:val="001D16E7"/>
    <w:rsid w:val="001D1877"/>
    <w:rsid w:val="001D1A46"/>
    <w:rsid w:val="001D1EEF"/>
    <w:rsid w:val="001D237C"/>
    <w:rsid w:val="001D283B"/>
    <w:rsid w:val="001D2924"/>
    <w:rsid w:val="001D2B97"/>
    <w:rsid w:val="001D32AD"/>
    <w:rsid w:val="001D3F9D"/>
    <w:rsid w:val="001D4D6C"/>
    <w:rsid w:val="001D55F5"/>
    <w:rsid w:val="001D5892"/>
    <w:rsid w:val="001D5B0A"/>
    <w:rsid w:val="001D5BA9"/>
    <w:rsid w:val="001D5FDA"/>
    <w:rsid w:val="001D70F8"/>
    <w:rsid w:val="001D74FD"/>
    <w:rsid w:val="001D7FF0"/>
    <w:rsid w:val="001E1423"/>
    <w:rsid w:val="001E2568"/>
    <w:rsid w:val="001E25C5"/>
    <w:rsid w:val="001E2CF7"/>
    <w:rsid w:val="001E2E0B"/>
    <w:rsid w:val="001E394B"/>
    <w:rsid w:val="001E6A57"/>
    <w:rsid w:val="001E6AFB"/>
    <w:rsid w:val="001E77F4"/>
    <w:rsid w:val="001F0554"/>
    <w:rsid w:val="001F19D0"/>
    <w:rsid w:val="001F221B"/>
    <w:rsid w:val="001F2590"/>
    <w:rsid w:val="001F2B49"/>
    <w:rsid w:val="001F3C28"/>
    <w:rsid w:val="001F41F8"/>
    <w:rsid w:val="001F5B84"/>
    <w:rsid w:val="001F637A"/>
    <w:rsid w:val="001F6429"/>
    <w:rsid w:val="001F6C5A"/>
    <w:rsid w:val="001F73F6"/>
    <w:rsid w:val="001F7CB2"/>
    <w:rsid w:val="001F7E48"/>
    <w:rsid w:val="0020005F"/>
    <w:rsid w:val="0020040B"/>
    <w:rsid w:val="00201A3E"/>
    <w:rsid w:val="00201CB9"/>
    <w:rsid w:val="00203884"/>
    <w:rsid w:val="00203C57"/>
    <w:rsid w:val="002042B7"/>
    <w:rsid w:val="00204E30"/>
    <w:rsid w:val="002056A8"/>
    <w:rsid w:val="00205D4E"/>
    <w:rsid w:val="002065E1"/>
    <w:rsid w:val="00207007"/>
    <w:rsid w:val="002071A4"/>
    <w:rsid w:val="002071D3"/>
    <w:rsid w:val="0020777F"/>
    <w:rsid w:val="00207FA8"/>
    <w:rsid w:val="002100F5"/>
    <w:rsid w:val="0021034B"/>
    <w:rsid w:val="00210500"/>
    <w:rsid w:val="00210F9E"/>
    <w:rsid w:val="00210FAA"/>
    <w:rsid w:val="00211542"/>
    <w:rsid w:val="00211D92"/>
    <w:rsid w:val="00211F99"/>
    <w:rsid w:val="00212937"/>
    <w:rsid w:val="00213A1F"/>
    <w:rsid w:val="00213C25"/>
    <w:rsid w:val="0021449B"/>
    <w:rsid w:val="00214DE2"/>
    <w:rsid w:val="0021517B"/>
    <w:rsid w:val="002156A5"/>
    <w:rsid w:val="00215AA6"/>
    <w:rsid w:val="00216B21"/>
    <w:rsid w:val="00216CD7"/>
    <w:rsid w:val="00217B90"/>
    <w:rsid w:val="00220476"/>
    <w:rsid w:val="00220FD7"/>
    <w:rsid w:val="002212C5"/>
    <w:rsid w:val="00221769"/>
    <w:rsid w:val="0022187B"/>
    <w:rsid w:val="002223E8"/>
    <w:rsid w:val="0022341D"/>
    <w:rsid w:val="002236A1"/>
    <w:rsid w:val="00223A24"/>
    <w:rsid w:val="00223B25"/>
    <w:rsid w:val="00223C0C"/>
    <w:rsid w:val="00224050"/>
    <w:rsid w:val="00224B1A"/>
    <w:rsid w:val="00225791"/>
    <w:rsid w:val="00225992"/>
    <w:rsid w:val="0022629D"/>
    <w:rsid w:val="002266A6"/>
    <w:rsid w:val="00226F04"/>
    <w:rsid w:val="0022745A"/>
    <w:rsid w:val="00230EA1"/>
    <w:rsid w:val="002313FE"/>
    <w:rsid w:val="00231D1A"/>
    <w:rsid w:val="002324B8"/>
    <w:rsid w:val="0023294C"/>
    <w:rsid w:val="0023318A"/>
    <w:rsid w:val="00233938"/>
    <w:rsid w:val="00233AA6"/>
    <w:rsid w:val="00233BF0"/>
    <w:rsid w:val="00233FF1"/>
    <w:rsid w:val="00234210"/>
    <w:rsid w:val="0023435E"/>
    <w:rsid w:val="0023686F"/>
    <w:rsid w:val="00237741"/>
    <w:rsid w:val="00237895"/>
    <w:rsid w:val="00237958"/>
    <w:rsid w:val="00237CC2"/>
    <w:rsid w:val="0024087D"/>
    <w:rsid w:val="00240E1D"/>
    <w:rsid w:val="00241287"/>
    <w:rsid w:val="002413B6"/>
    <w:rsid w:val="00241CC8"/>
    <w:rsid w:val="00243196"/>
    <w:rsid w:val="002433DA"/>
    <w:rsid w:val="002435A2"/>
    <w:rsid w:val="002440BE"/>
    <w:rsid w:val="002454F8"/>
    <w:rsid w:val="0024688F"/>
    <w:rsid w:val="00246C0F"/>
    <w:rsid w:val="002470FD"/>
    <w:rsid w:val="00247315"/>
    <w:rsid w:val="00247695"/>
    <w:rsid w:val="00247E9E"/>
    <w:rsid w:val="00251456"/>
    <w:rsid w:val="002519A6"/>
    <w:rsid w:val="00251D72"/>
    <w:rsid w:val="00252169"/>
    <w:rsid w:val="00252373"/>
    <w:rsid w:val="00252F26"/>
    <w:rsid w:val="00253334"/>
    <w:rsid w:val="00253B52"/>
    <w:rsid w:val="0025404E"/>
    <w:rsid w:val="0025472A"/>
    <w:rsid w:val="00254911"/>
    <w:rsid w:val="00254AAA"/>
    <w:rsid w:val="00254F5C"/>
    <w:rsid w:val="002560B7"/>
    <w:rsid w:val="002563D4"/>
    <w:rsid w:val="00256406"/>
    <w:rsid w:val="00256773"/>
    <w:rsid w:val="00256BFA"/>
    <w:rsid w:val="002571B0"/>
    <w:rsid w:val="0025737F"/>
    <w:rsid w:val="00257A77"/>
    <w:rsid w:val="00261213"/>
    <w:rsid w:val="00261605"/>
    <w:rsid w:val="00261EC0"/>
    <w:rsid w:val="00261EEA"/>
    <w:rsid w:val="0026202F"/>
    <w:rsid w:val="002624AC"/>
    <w:rsid w:val="002624EB"/>
    <w:rsid w:val="002625C2"/>
    <w:rsid w:val="00262688"/>
    <w:rsid w:val="00262BCD"/>
    <w:rsid w:val="0026324C"/>
    <w:rsid w:val="00264275"/>
    <w:rsid w:val="00266A15"/>
    <w:rsid w:val="00266F2B"/>
    <w:rsid w:val="00266F8F"/>
    <w:rsid w:val="00267AC6"/>
    <w:rsid w:val="002700BD"/>
    <w:rsid w:val="00270CC8"/>
    <w:rsid w:val="002727B4"/>
    <w:rsid w:val="00272B8D"/>
    <w:rsid w:val="00273228"/>
    <w:rsid w:val="0027339A"/>
    <w:rsid w:val="00273523"/>
    <w:rsid w:val="002741FC"/>
    <w:rsid w:val="00274266"/>
    <w:rsid w:val="0027432F"/>
    <w:rsid w:val="00274395"/>
    <w:rsid w:val="0027471A"/>
    <w:rsid w:val="0027489B"/>
    <w:rsid w:val="00274941"/>
    <w:rsid w:val="00274B43"/>
    <w:rsid w:val="0027648C"/>
    <w:rsid w:val="00276507"/>
    <w:rsid w:val="00276958"/>
    <w:rsid w:val="002771EA"/>
    <w:rsid w:val="002805E5"/>
    <w:rsid w:val="002814BA"/>
    <w:rsid w:val="00283266"/>
    <w:rsid w:val="0028365B"/>
    <w:rsid w:val="00284312"/>
    <w:rsid w:val="00284379"/>
    <w:rsid w:val="00284AD9"/>
    <w:rsid w:val="00285A01"/>
    <w:rsid w:val="00285B99"/>
    <w:rsid w:val="00285D2F"/>
    <w:rsid w:val="00286320"/>
    <w:rsid w:val="00286862"/>
    <w:rsid w:val="00287372"/>
    <w:rsid w:val="002903A5"/>
    <w:rsid w:val="0029099A"/>
    <w:rsid w:val="00290DFB"/>
    <w:rsid w:val="00292F48"/>
    <w:rsid w:val="00292FD2"/>
    <w:rsid w:val="00292FEA"/>
    <w:rsid w:val="002932D9"/>
    <w:rsid w:val="00293349"/>
    <w:rsid w:val="002934A3"/>
    <w:rsid w:val="002939CA"/>
    <w:rsid w:val="00293BFD"/>
    <w:rsid w:val="002942AC"/>
    <w:rsid w:val="00294351"/>
    <w:rsid w:val="00294A1F"/>
    <w:rsid w:val="00294C41"/>
    <w:rsid w:val="00295248"/>
    <w:rsid w:val="00295741"/>
    <w:rsid w:val="002976AD"/>
    <w:rsid w:val="002A0C4B"/>
    <w:rsid w:val="002A0C85"/>
    <w:rsid w:val="002A223E"/>
    <w:rsid w:val="002A2D57"/>
    <w:rsid w:val="002A3812"/>
    <w:rsid w:val="002A3E74"/>
    <w:rsid w:val="002A4B14"/>
    <w:rsid w:val="002A5076"/>
    <w:rsid w:val="002A6665"/>
    <w:rsid w:val="002A74A2"/>
    <w:rsid w:val="002A74A5"/>
    <w:rsid w:val="002A7D7E"/>
    <w:rsid w:val="002B0641"/>
    <w:rsid w:val="002B17E8"/>
    <w:rsid w:val="002B1906"/>
    <w:rsid w:val="002B1BA7"/>
    <w:rsid w:val="002B4186"/>
    <w:rsid w:val="002B4320"/>
    <w:rsid w:val="002B4805"/>
    <w:rsid w:val="002B50FE"/>
    <w:rsid w:val="002B6444"/>
    <w:rsid w:val="002B6BDB"/>
    <w:rsid w:val="002B71BA"/>
    <w:rsid w:val="002B7553"/>
    <w:rsid w:val="002B75F1"/>
    <w:rsid w:val="002C05D1"/>
    <w:rsid w:val="002C1AB4"/>
    <w:rsid w:val="002C20A0"/>
    <w:rsid w:val="002C224A"/>
    <w:rsid w:val="002C35CE"/>
    <w:rsid w:val="002C3F1F"/>
    <w:rsid w:val="002C41C1"/>
    <w:rsid w:val="002C4C28"/>
    <w:rsid w:val="002C52EC"/>
    <w:rsid w:val="002C568C"/>
    <w:rsid w:val="002C5AF9"/>
    <w:rsid w:val="002C7004"/>
    <w:rsid w:val="002C7452"/>
    <w:rsid w:val="002C7F4D"/>
    <w:rsid w:val="002C7F6A"/>
    <w:rsid w:val="002D0550"/>
    <w:rsid w:val="002D064C"/>
    <w:rsid w:val="002D08F0"/>
    <w:rsid w:val="002D09B7"/>
    <w:rsid w:val="002D1138"/>
    <w:rsid w:val="002D3016"/>
    <w:rsid w:val="002D44D9"/>
    <w:rsid w:val="002D4FC2"/>
    <w:rsid w:val="002D56F4"/>
    <w:rsid w:val="002D5FD5"/>
    <w:rsid w:val="002D63C8"/>
    <w:rsid w:val="002D63FD"/>
    <w:rsid w:val="002D65BA"/>
    <w:rsid w:val="002D6780"/>
    <w:rsid w:val="002D6B61"/>
    <w:rsid w:val="002D7813"/>
    <w:rsid w:val="002E0758"/>
    <w:rsid w:val="002E16B8"/>
    <w:rsid w:val="002E16DE"/>
    <w:rsid w:val="002E2AFD"/>
    <w:rsid w:val="002E2C94"/>
    <w:rsid w:val="002E31F4"/>
    <w:rsid w:val="002E3AE5"/>
    <w:rsid w:val="002E3AE9"/>
    <w:rsid w:val="002E4852"/>
    <w:rsid w:val="002E528B"/>
    <w:rsid w:val="002E56FD"/>
    <w:rsid w:val="002E58A9"/>
    <w:rsid w:val="002E6DA9"/>
    <w:rsid w:val="002E6FA9"/>
    <w:rsid w:val="002F0593"/>
    <w:rsid w:val="002F12FB"/>
    <w:rsid w:val="002F1944"/>
    <w:rsid w:val="002F1BDD"/>
    <w:rsid w:val="002F3580"/>
    <w:rsid w:val="002F4C89"/>
    <w:rsid w:val="002F4CF9"/>
    <w:rsid w:val="002F4F33"/>
    <w:rsid w:val="002F526D"/>
    <w:rsid w:val="002F530F"/>
    <w:rsid w:val="002F5775"/>
    <w:rsid w:val="002F7B85"/>
    <w:rsid w:val="00300076"/>
    <w:rsid w:val="0030035D"/>
    <w:rsid w:val="003003AC"/>
    <w:rsid w:val="003005E7"/>
    <w:rsid w:val="003006B7"/>
    <w:rsid w:val="00301DE0"/>
    <w:rsid w:val="0030272F"/>
    <w:rsid w:val="00302DEC"/>
    <w:rsid w:val="00303107"/>
    <w:rsid w:val="003034CE"/>
    <w:rsid w:val="003036BA"/>
    <w:rsid w:val="003039FD"/>
    <w:rsid w:val="00303F95"/>
    <w:rsid w:val="003041F2"/>
    <w:rsid w:val="00304B38"/>
    <w:rsid w:val="00304FD4"/>
    <w:rsid w:val="00307228"/>
    <w:rsid w:val="00310966"/>
    <w:rsid w:val="00311643"/>
    <w:rsid w:val="00311B13"/>
    <w:rsid w:val="00311ECA"/>
    <w:rsid w:val="00312377"/>
    <w:rsid w:val="00312A2F"/>
    <w:rsid w:val="00312C02"/>
    <w:rsid w:val="003139C5"/>
    <w:rsid w:val="00313B03"/>
    <w:rsid w:val="003140FA"/>
    <w:rsid w:val="00314653"/>
    <w:rsid w:val="00314E5A"/>
    <w:rsid w:val="0031626B"/>
    <w:rsid w:val="003168BC"/>
    <w:rsid w:val="00317598"/>
    <w:rsid w:val="003176B1"/>
    <w:rsid w:val="00320102"/>
    <w:rsid w:val="003209CC"/>
    <w:rsid w:val="003210A2"/>
    <w:rsid w:val="003213A1"/>
    <w:rsid w:val="0032159D"/>
    <w:rsid w:val="0032163C"/>
    <w:rsid w:val="0032168C"/>
    <w:rsid w:val="00321D5D"/>
    <w:rsid w:val="00321F1A"/>
    <w:rsid w:val="00321FB5"/>
    <w:rsid w:val="00322321"/>
    <w:rsid w:val="00323350"/>
    <w:rsid w:val="00323D23"/>
    <w:rsid w:val="003244A3"/>
    <w:rsid w:val="00325210"/>
    <w:rsid w:val="003254BC"/>
    <w:rsid w:val="003256DD"/>
    <w:rsid w:val="00325760"/>
    <w:rsid w:val="003259A4"/>
    <w:rsid w:val="00325EBC"/>
    <w:rsid w:val="00326457"/>
    <w:rsid w:val="00326A83"/>
    <w:rsid w:val="00327214"/>
    <w:rsid w:val="0032768A"/>
    <w:rsid w:val="00327AFA"/>
    <w:rsid w:val="00330E33"/>
    <w:rsid w:val="00330F00"/>
    <w:rsid w:val="00331530"/>
    <w:rsid w:val="003315B6"/>
    <w:rsid w:val="00331B25"/>
    <w:rsid w:val="00332D02"/>
    <w:rsid w:val="00333F17"/>
    <w:rsid w:val="003341E1"/>
    <w:rsid w:val="003352BE"/>
    <w:rsid w:val="00335561"/>
    <w:rsid w:val="0033574F"/>
    <w:rsid w:val="00336036"/>
    <w:rsid w:val="00336EDA"/>
    <w:rsid w:val="003376D5"/>
    <w:rsid w:val="00337832"/>
    <w:rsid w:val="00340A99"/>
    <w:rsid w:val="00340B46"/>
    <w:rsid w:val="00341227"/>
    <w:rsid w:val="003414FE"/>
    <w:rsid w:val="00341E42"/>
    <w:rsid w:val="00341EE0"/>
    <w:rsid w:val="00341F0D"/>
    <w:rsid w:val="00342B00"/>
    <w:rsid w:val="00343403"/>
    <w:rsid w:val="00343B7D"/>
    <w:rsid w:val="0034406F"/>
    <w:rsid w:val="003444E5"/>
    <w:rsid w:val="0034465A"/>
    <w:rsid w:val="00345103"/>
    <w:rsid w:val="00345D65"/>
    <w:rsid w:val="00346709"/>
    <w:rsid w:val="00346AEF"/>
    <w:rsid w:val="00346D22"/>
    <w:rsid w:val="00346D26"/>
    <w:rsid w:val="003471EF"/>
    <w:rsid w:val="00350504"/>
    <w:rsid w:val="00350D24"/>
    <w:rsid w:val="00350EA6"/>
    <w:rsid w:val="00351276"/>
    <w:rsid w:val="0035144A"/>
    <w:rsid w:val="00351B96"/>
    <w:rsid w:val="00351E67"/>
    <w:rsid w:val="00352392"/>
    <w:rsid w:val="00352D5B"/>
    <w:rsid w:val="00353930"/>
    <w:rsid w:val="00353E05"/>
    <w:rsid w:val="003547A1"/>
    <w:rsid w:val="0035619A"/>
    <w:rsid w:val="0035620F"/>
    <w:rsid w:val="0035682A"/>
    <w:rsid w:val="003571D2"/>
    <w:rsid w:val="003571E7"/>
    <w:rsid w:val="00357635"/>
    <w:rsid w:val="00357870"/>
    <w:rsid w:val="00360935"/>
    <w:rsid w:val="00361F6E"/>
    <w:rsid w:val="0036269F"/>
    <w:rsid w:val="003626FB"/>
    <w:rsid w:val="00362E2E"/>
    <w:rsid w:val="003637A5"/>
    <w:rsid w:val="00363C8C"/>
    <w:rsid w:val="00363ED2"/>
    <w:rsid w:val="00364968"/>
    <w:rsid w:val="00365C30"/>
    <w:rsid w:val="00366461"/>
    <w:rsid w:val="003664A3"/>
    <w:rsid w:val="00367936"/>
    <w:rsid w:val="003703B7"/>
    <w:rsid w:val="003705DB"/>
    <w:rsid w:val="003709F3"/>
    <w:rsid w:val="00371565"/>
    <w:rsid w:val="00371A86"/>
    <w:rsid w:val="00372FCD"/>
    <w:rsid w:val="00373F7E"/>
    <w:rsid w:val="00374036"/>
    <w:rsid w:val="00375629"/>
    <w:rsid w:val="0037602C"/>
    <w:rsid w:val="00376390"/>
    <w:rsid w:val="00376532"/>
    <w:rsid w:val="00376D28"/>
    <w:rsid w:val="003803E4"/>
    <w:rsid w:val="00381A20"/>
    <w:rsid w:val="0038229A"/>
    <w:rsid w:val="0038394F"/>
    <w:rsid w:val="003842B8"/>
    <w:rsid w:val="00384376"/>
    <w:rsid w:val="0038557D"/>
    <w:rsid w:val="00385FA6"/>
    <w:rsid w:val="00385FEA"/>
    <w:rsid w:val="00386042"/>
    <w:rsid w:val="0038688B"/>
    <w:rsid w:val="00391779"/>
    <w:rsid w:val="00391AD9"/>
    <w:rsid w:val="00391B15"/>
    <w:rsid w:val="00392B5D"/>
    <w:rsid w:val="003944D2"/>
    <w:rsid w:val="00394FBF"/>
    <w:rsid w:val="00395562"/>
    <w:rsid w:val="00396449"/>
    <w:rsid w:val="00396AB4"/>
    <w:rsid w:val="00396F7C"/>
    <w:rsid w:val="00397581"/>
    <w:rsid w:val="00397CA7"/>
    <w:rsid w:val="003A092C"/>
    <w:rsid w:val="003A09F5"/>
    <w:rsid w:val="003A0BF1"/>
    <w:rsid w:val="003A15F0"/>
    <w:rsid w:val="003A2288"/>
    <w:rsid w:val="003A27BE"/>
    <w:rsid w:val="003A2F93"/>
    <w:rsid w:val="003A338C"/>
    <w:rsid w:val="003A392B"/>
    <w:rsid w:val="003A402D"/>
    <w:rsid w:val="003A4589"/>
    <w:rsid w:val="003A4726"/>
    <w:rsid w:val="003A49F2"/>
    <w:rsid w:val="003A50FC"/>
    <w:rsid w:val="003A5C94"/>
    <w:rsid w:val="003A6122"/>
    <w:rsid w:val="003A65D8"/>
    <w:rsid w:val="003A75D8"/>
    <w:rsid w:val="003A7C23"/>
    <w:rsid w:val="003B0210"/>
    <w:rsid w:val="003B03D7"/>
    <w:rsid w:val="003B0EE7"/>
    <w:rsid w:val="003B1CC1"/>
    <w:rsid w:val="003B2F8D"/>
    <w:rsid w:val="003B30D8"/>
    <w:rsid w:val="003B3194"/>
    <w:rsid w:val="003B53D2"/>
    <w:rsid w:val="003B5840"/>
    <w:rsid w:val="003B5C38"/>
    <w:rsid w:val="003B6884"/>
    <w:rsid w:val="003B6DE3"/>
    <w:rsid w:val="003B6FF3"/>
    <w:rsid w:val="003B7609"/>
    <w:rsid w:val="003C0677"/>
    <w:rsid w:val="003C0FAD"/>
    <w:rsid w:val="003C1FC5"/>
    <w:rsid w:val="003C233C"/>
    <w:rsid w:val="003C237A"/>
    <w:rsid w:val="003C3334"/>
    <w:rsid w:val="003C3B8D"/>
    <w:rsid w:val="003C3C3B"/>
    <w:rsid w:val="003C40F6"/>
    <w:rsid w:val="003C558B"/>
    <w:rsid w:val="003C6967"/>
    <w:rsid w:val="003C7B63"/>
    <w:rsid w:val="003C7D84"/>
    <w:rsid w:val="003D0264"/>
    <w:rsid w:val="003D0CD1"/>
    <w:rsid w:val="003D16D1"/>
    <w:rsid w:val="003D30C1"/>
    <w:rsid w:val="003D32B3"/>
    <w:rsid w:val="003D3569"/>
    <w:rsid w:val="003D3E00"/>
    <w:rsid w:val="003D42B4"/>
    <w:rsid w:val="003D4450"/>
    <w:rsid w:val="003D45DE"/>
    <w:rsid w:val="003D4BB1"/>
    <w:rsid w:val="003D4DE6"/>
    <w:rsid w:val="003D5D6C"/>
    <w:rsid w:val="003D618E"/>
    <w:rsid w:val="003D6230"/>
    <w:rsid w:val="003D62D4"/>
    <w:rsid w:val="003D6542"/>
    <w:rsid w:val="003D68AA"/>
    <w:rsid w:val="003E0214"/>
    <w:rsid w:val="003E024D"/>
    <w:rsid w:val="003E04B5"/>
    <w:rsid w:val="003E0F40"/>
    <w:rsid w:val="003E17FD"/>
    <w:rsid w:val="003E2257"/>
    <w:rsid w:val="003E359B"/>
    <w:rsid w:val="003E419F"/>
    <w:rsid w:val="003E639A"/>
    <w:rsid w:val="003E745E"/>
    <w:rsid w:val="003E7C47"/>
    <w:rsid w:val="003F030E"/>
    <w:rsid w:val="003F0624"/>
    <w:rsid w:val="003F1C5F"/>
    <w:rsid w:val="003F2CF5"/>
    <w:rsid w:val="003F3012"/>
    <w:rsid w:val="003F31B1"/>
    <w:rsid w:val="003F3714"/>
    <w:rsid w:val="003F4059"/>
    <w:rsid w:val="003F71B5"/>
    <w:rsid w:val="003F7F34"/>
    <w:rsid w:val="004000B2"/>
    <w:rsid w:val="00400620"/>
    <w:rsid w:val="004012A3"/>
    <w:rsid w:val="004013FB"/>
    <w:rsid w:val="0040162B"/>
    <w:rsid w:val="00401E4D"/>
    <w:rsid w:val="00403639"/>
    <w:rsid w:val="004037F8"/>
    <w:rsid w:val="00403D12"/>
    <w:rsid w:val="00403F14"/>
    <w:rsid w:val="004050A6"/>
    <w:rsid w:val="00405C0E"/>
    <w:rsid w:val="00406131"/>
    <w:rsid w:val="004061B0"/>
    <w:rsid w:val="004067AC"/>
    <w:rsid w:val="004071E2"/>
    <w:rsid w:val="00407AA4"/>
    <w:rsid w:val="00410824"/>
    <w:rsid w:val="00410F45"/>
    <w:rsid w:val="0041134B"/>
    <w:rsid w:val="0041151E"/>
    <w:rsid w:val="004117FC"/>
    <w:rsid w:val="004130E2"/>
    <w:rsid w:val="0041329F"/>
    <w:rsid w:val="00413524"/>
    <w:rsid w:val="00413976"/>
    <w:rsid w:val="004148C6"/>
    <w:rsid w:val="004153D2"/>
    <w:rsid w:val="00416378"/>
    <w:rsid w:val="00416B27"/>
    <w:rsid w:val="00416BF2"/>
    <w:rsid w:val="00416F02"/>
    <w:rsid w:val="00417B64"/>
    <w:rsid w:val="00417F93"/>
    <w:rsid w:val="00420900"/>
    <w:rsid w:val="00421206"/>
    <w:rsid w:val="0042157F"/>
    <w:rsid w:val="00422202"/>
    <w:rsid w:val="00422394"/>
    <w:rsid w:val="004224C3"/>
    <w:rsid w:val="00423D38"/>
    <w:rsid w:val="0042403A"/>
    <w:rsid w:val="004249F5"/>
    <w:rsid w:val="00424AC3"/>
    <w:rsid w:val="004250CB"/>
    <w:rsid w:val="0042522A"/>
    <w:rsid w:val="004252B0"/>
    <w:rsid w:val="00425C89"/>
    <w:rsid w:val="004265D2"/>
    <w:rsid w:val="00427BE7"/>
    <w:rsid w:val="00430002"/>
    <w:rsid w:val="0043060B"/>
    <w:rsid w:val="0043123A"/>
    <w:rsid w:val="0043136F"/>
    <w:rsid w:val="00431429"/>
    <w:rsid w:val="00431582"/>
    <w:rsid w:val="00431C55"/>
    <w:rsid w:val="00432D23"/>
    <w:rsid w:val="00433B1F"/>
    <w:rsid w:val="00433BD7"/>
    <w:rsid w:val="00433CE8"/>
    <w:rsid w:val="00433FCD"/>
    <w:rsid w:val="0043406F"/>
    <w:rsid w:val="004341BB"/>
    <w:rsid w:val="0043455E"/>
    <w:rsid w:val="004368AB"/>
    <w:rsid w:val="0043793E"/>
    <w:rsid w:val="00440100"/>
    <w:rsid w:val="00440B26"/>
    <w:rsid w:val="00440FC2"/>
    <w:rsid w:val="0044158E"/>
    <w:rsid w:val="00441CBF"/>
    <w:rsid w:val="00442D68"/>
    <w:rsid w:val="00442DBE"/>
    <w:rsid w:val="0044371E"/>
    <w:rsid w:val="004437C3"/>
    <w:rsid w:val="00443B8F"/>
    <w:rsid w:val="00443EA1"/>
    <w:rsid w:val="004441B7"/>
    <w:rsid w:val="0044581F"/>
    <w:rsid w:val="00446716"/>
    <w:rsid w:val="00446BBE"/>
    <w:rsid w:val="0044793C"/>
    <w:rsid w:val="00447C6B"/>
    <w:rsid w:val="0045138F"/>
    <w:rsid w:val="00451931"/>
    <w:rsid w:val="004525FE"/>
    <w:rsid w:val="00452BAB"/>
    <w:rsid w:val="00452FC6"/>
    <w:rsid w:val="00453160"/>
    <w:rsid w:val="00453AD2"/>
    <w:rsid w:val="00454BFC"/>
    <w:rsid w:val="00455073"/>
    <w:rsid w:val="00455AA4"/>
    <w:rsid w:val="00455BE2"/>
    <w:rsid w:val="004572CE"/>
    <w:rsid w:val="00457989"/>
    <w:rsid w:val="00457C2C"/>
    <w:rsid w:val="00461495"/>
    <w:rsid w:val="00461E71"/>
    <w:rsid w:val="0046205D"/>
    <w:rsid w:val="0046209C"/>
    <w:rsid w:val="0046250A"/>
    <w:rsid w:val="00462E37"/>
    <w:rsid w:val="00463242"/>
    <w:rsid w:val="00463E1A"/>
    <w:rsid w:val="0046464A"/>
    <w:rsid w:val="00464F2B"/>
    <w:rsid w:val="004655D5"/>
    <w:rsid w:val="0046562C"/>
    <w:rsid w:val="00465FC0"/>
    <w:rsid w:val="00467406"/>
    <w:rsid w:val="004678BC"/>
    <w:rsid w:val="00470789"/>
    <w:rsid w:val="0047079B"/>
    <w:rsid w:val="00471811"/>
    <w:rsid w:val="0047204C"/>
    <w:rsid w:val="004727E5"/>
    <w:rsid w:val="004730F6"/>
    <w:rsid w:val="00473355"/>
    <w:rsid w:val="00473B0C"/>
    <w:rsid w:val="00474270"/>
    <w:rsid w:val="00476406"/>
    <w:rsid w:val="00476BF3"/>
    <w:rsid w:val="00476C7B"/>
    <w:rsid w:val="00476FB4"/>
    <w:rsid w:val="00477260"/>
    <w:rsid w:val="00477970"/>
    <w:rsid w:val="00477FA6"/>
    <w:rsid w:val="004801C6"/>
    <w:rsid w:val="004803A3"/>
    <w:rsid w:val="00480ACF"/>
    <w:rsid w:val="0048196C"/>
    <w:rsid w:val="0048265B"/>
    <w:rsid w:val="004827C0"/>
    <w:rsid w:val="00483863"/>
    <w:rsid w:val="004838BB"/>
    <w:rsid w:val="00483A89"/>
    <w:rsid w:val="00483DA7"/>
    <w:rsid w:val="00483FDE"/>
    <w:rsid w:val="004841A7"/>
    <w:rsid w:val="0048469C"/>
    <w:rsid w:val="00485985"/>
    <w:rsid w:val="004859D7"/>
    <w:rsid w:val="00485E0D"/>
    <w:rsid w:val="00486779"/>
    <w:rsid w:val="00486AEB"/>
    <w:rsid w:val="00487406"/>
    <w:rsid w:val="00491D84"/>
    <w:rsid w:val="004921C3"/>
    <w:rsid w:val="004929D6"/>
    <w:rsid w:val="00492C7A"/>
    <w:rsid w:val="00493018"/>
    <w:rsid w:val="0049390D"/>
    <w:rsid w:val="00493943"/>
    <w:rsid w:val="004942C8"/>
    <w:rsid w:val="0049550D"/>
    <w:rsid w:val="00495622"/>
    <w:rsid w:val="00495F5C"/>
    <w:rsid w:val="00496BBD"/>
    <w:rsid w:val="00496EE4"/>
    <w:rsid w:val="00497C02"/>
    <w:rsid w:val="00497E3B"/>
    <w:rsid w:val="004A0A7A"/>
    <w:rsid w:val="004A18C1"/>
    <w:rsid w:val="004A1E07"/>
    <w:rsid w:val="004A2232"/>
    <w:rsid w:val="004A2427"/>
    <w:rsid w:val="004A2745"/>
    <w:rsid w:val="004A2BE1"/>
    <w:rsid w:val="004A2E97"/>
    <w:rsid w:val="004A3B77"/>
    <w:rsid w:val="004A3C7A"/>
    <w:rsid w:val="004A570D"/>
    <w:rsid w:val="004A6621"/>
    <w:rsid w:val="004A6B9A"/>
    <w:rsid w:val="004A6DAC"/>
    <w:rsid w:val="004A725C"/>
    <w:rsid w:val="004A77D6"/>
    <w:rsid w:val="004B0A74"/>
    <w:rsid w:val="004B0A9B"/>
    <w:rsid w:val="004B0DB9"/>
    <w:rsid w:val="004B0E10"/>
    <w:rsid w:val="004B1124"/>
    <w:rsid w:val="004B120C"/>
    <w:rsid w:val="004B14DA"/>
    <w:rsid w:val="004B17A5"/>
    <w:rsid w:val="004B17EA"/>
    <w:rsid w:val="004B1C1E"/>
    <w:rsid w:val="004B1E3D"/>
    <w:rsid w:val="004B3511"/>
    <w:rsid w:val="004B423A"/>
    <w:rsid w:val="004B4338"/>
    <w:rsid w:val="004B44BD"/>
    <w:rsid w:val="004B4E2F"/>
    <w:rsid w:val="004B64B9"/>
    <w:rsid w:val="004B6B9D"/>
    <w:rsid w:val="004B71FF"/>
    <w:rsid w:val="004B76CB"/>
    <w:rsid w:val="004B77AE"/>
    <w:rsid w:val="004B7D86"/>
    <w:rsid w:val="004B7EA0"/>
    <w:rsid w:val="004C15B5"/>
    <w:rsid w:val="004C24A2"/>
    <w:rsid w:val="004C2D88"/>
    <w:rsid w:val="004C2D90"/>
    <w:rsid w:val="004C32C0"/>
    <w:rsid w:val="004C3F06"/>
    <w:rsid w:val="004C49C5"/>
    <w:rsid w:val="004C5079"/>
    <w:rsid w:val="004C517C"/>
    <w:rsid w:val="004C5E4C"/>
    <w:rsid w:val="004C60EB"/>
    <w:rsid w:val="004C6349"/>
    <w:rsid w:val="004C745E"/>
    <w:rsid w:val="004C754A"/>
    <w:rsid w:val="004C7C93"/>
    <w:rsid w:val="004D11BA"/>
    <w:rsid w:val="004D17FB"/>
    <w:rsid w:val="004D1C45"/>
    <w:rsid w:val="004D1CEB"/>
    <w:rsid w:val="004D20BA"/>
    <w:rsid w:val="004D2522"/>
    <w:rsid w:val="004D3008"/>
    <w:rsid w:val="004D3021"/>
    <w:rsid w:val="004D36A4"/>
    <w:rsid w:val="004D493B"/>
    <w:rsid w:val="004D4A24"/>
    <w:rsid w:val="004D51F0"/>
    <w:rsid w:val="004D61E7"/>
    <w:rsid w:val="004D7A9C"/>
    <w:rsid w:val="004D7B04"/>
    <w:rsid w:val="004D7BC2"/>
    <w:rsid w:val="004D7E39"/>
    <w:rsid w:val="004E01B5"/>
    <w:rsid w:val="004E0B43"/>
    <w:rsid w:val="004E0C00"/>
    <w:rsid w:val="004E0E9B"/>
    <w:rsid w:val="004E149F"/>
    <w:rsid w:val="004E181A"/>
    <w:rsid w:val="004E195E"/>
    <w:rsid w:val="004E215E"/>
    <w:rsid w:val="004E2701"/>
    <w:rsid w:val="004E2A34"/>
    <w:rsid w:val="004E2D62"/>
    <w:rsid w:val="004E3721"/>
    <w:rsid w:val="004E448E"/>
    <w:rsid w:val="004E50C9"/>
    <w:rsid w:val="004E5625"/>
    <w:rsid w:val="004E5ADF"/>
    <w:rsid w:val="004E6079"/>
    <w:rsid w:val="004F037D"/>
    <w:rsid w:val="004F1241"/>
    <w:rsid w:val="004F1DF4"/>
    <w:rsid w:val="004F2E36"/>
    <w:rsid w:val="004F36C9"/>
    <w:rsid w:val="004F38A1"/>
    <w:rsid w:val="004F49EB"/>
    <w:rsid w:val="004F5778"/>
    <w:rsid w:val="004F5853"/>
    <w:rsid w:val="004F5E73"/>
    <w:rsid w:val="004F68F6"/>
    <w:rsid w:val="004F6974"/>
    <w:rsid w:val="004F6B45"/>
    <w:rsid w:val="004F7047"/>
    <w:rsid w:val="00500226"/>
    <w:rsid w:val="0050029A"/>
    <w:rsid w:val="00501D3E"/>
    <w:rsid w:val="00501EE7"/>
    <w:rsid w:val="005020D8"/>
    <w:rsid w:val="0050234F"/>
    <w:rsid w:val="00503611"/>
    <w:rsid w:val="005037F8"/>
    <w:rsid w:val="00504DFB"/>
    <w:rsid w:val="005057AD"/>
    <w:rsid w:val="005058AF"/>
    <w:rsid w:val="00505FA4"/>
    <w:rsid w:val="005062AE"/>
    <w:rsid w:val="005063C7"/>
    <w:rsid w:val="00506489"/>
    <w:rsid w:val="005068CA"/>
    <w:rsid w:val="0050701C"/>
    <w:rsid w:val="0050754F"/>
    <w:rsid w:val="005078F9"/>
    <w:rsid w:val="0050796E"/>
    <w:rsid w:val="0051025A"/>
    <w:rsid w:val="00510FB4"/>
    <w:rsid w:val="00511130"/>
    <w:rsid w:val="00513334"/>
    <w:rsid w:val="00513391"/>
    <w:rsid w:val="00513E85"/>
    <w:rsid w:val="00514349"/>
    <w:rsid w:val="005143A8"/>
    <w:rsid w:val="005144D9"/>
    <w:rsid w:val="00515256"/>
    <w:rsid w:val="005158BE"/>
    <w:rsid w:val="005162A5"/>
    <w:rsid w:val="00516475"/>
    <w:rsid w:val="00516F33"/>
    <w:rsid w:val="00516FC6"/>
    <w:rsid w:val="0051768E"/>
    <w:rsid w:val="005205A8"/>
    <w:rsid w:val="0052164C"/>
    <w:rsid w:val="00521B33"/>
    <w:rsid w:val="00522D5F"/>
    <w:rsid w:val="00524A9F"/>
    <w:rsid w:val="00526115"/>
    <w:rsid w:val="005268FF"/>
    <w:rsid w:val="00526A6E"/>
    <w:rsid w:val="00526D8E"/>
    <w:rsid w:val="00527915"/>
    <w:rsid w:val="00530CE7"/>
    <w:rsid w:val="00531C64"/>
    <w:rsid w:val="0053219E"/>
    <w:rsid w:val="00532358"/>
    <w:rsid w:val="00533377"/>
    <w:rsid w:val="00534A83"/>
    <w:rsid w:val="00535947"/>
    <w:rsid w:val="0053667B"/>
    <w:rsid w:val="0053674C"/>
    <w:rsid w:val="00536B5D"/>
    <w:rsid w:val="00536EEC"/>
    <w:rsid w:val="00537CDE"/>
    <w:rsid w:val="00540AE5"/>
    <w:rsid w:val="00540DD7"/>
    <w:rsid w:val="00540FA8"/>
    <w:rsid w:val="005415B9"/>
    <w:rsid w:val="00541E9E"/>
    <w:rsid w:val="0054200A"/>
    <w:rsid w:val="005421FF"/>
    <w:rsid w:val="00542AFA"/>
    <w:rsid w:val="00542FD3"/>
    <w:rsid w:val="0054384C"/>
    <w:rsid w:val="00543C7D"/>
    <w:rsid w:val="0054464B"/>
    <w:rsid w:val="00544909"/>
    <w:rsid w:val="00545705"/>
    <w:rsid w:val="00545716"/>
    <w:rsid w:val="005464D2"/>
    <w:rsid w:val="00546E46"/>
    <w:rsid w:val="00551FA0"/>
    <w:rsid w:val="00553B77"/>
    <w:rsid w:val="00554CC1"/>
    <w:rsid w:val="00554FD3"/>
    <w:rsid w:val="00555EDD"/>
    <w:rsid w:val="005561D4"/>
    <w:rsid w:val="00556CB9"/>
    <w:rsid w:val="0055724C"/>
    <w:rsid w:val="005574F4"/>
    <w:rsid w:val="00557A29"/>
    <w:rsid w:val="00557F94"/>
    <w:rsid w:val="00560201"/>
    <w:rsid w:val="00560F8C"/>
    <w:rsid w:val="0056146C"/>
    <w:rsid w:val="00561D40"/>
    <w:rsid w:val="005624AB"/>
    <w:rsid w:val="00562934"/>
    <w:rsid w:val="00562AC1"/>
    <w:rsid w:val="00562B73"/>
    <w:rsid w:val="005631D6"/>
    <w:rsid w:val="0056345A"/>
    <w:rsid w:val="00563A4F"/>
    <w:rsid w:val="0056414B"/>
    <w:rsid w:val="005647A5"/>
    <w:rsid w:val="005649DD"/>
    <w:rsid w:val="005650F7"/>
    <w:rsid w:val="0056580F"/>
    <w:rsid w:val="00565E36"/>
    <w:rsid w:val="00565F47"/>
    <w:rsid w:val="00566B9F"/>
    <w:rsid w:val="00567959"/>
    <w:rsid w:val="00567FB3"/>
    <w:rsid w:val="0057020D"/>
    <w:rsid w:val="0057130F"/>
    <w:rsid w:val="005720B7"/>
    <w:rsid w:val="00572535"/>
    <w:rsid w:val="0057270E"/>
    <w:rsid w:val="00575323"/>
    <w:rsid w:val="005754F7"/>
    <w:rsid w:val="0057586E"/>
    <w:rsid w:val="00575ACC"/>
    <w:rsid w:val="00580151"/>
    <w:rsid w:val="00580A89"/>
    <w:rsid w:val="00581B72"/>
    <w:rsid w:val="00582262"/>
    <w:rsid w:val="005828A0"/>
    <w:rsid w:val="0058342F"/>
    <w:rsid w:val="00583593"/>
    <w:rsid w:val="005841C2"/>
    <w:rsid w:val="00584A3F"/>
    <w:rsid w:val="005857F6"/>
    <w:rsid w:val="005865A5"/>
    <w:rsid w:val="0058695F"/>
    <w:rsid w:val="00587309"/>
    <w:rsid w:val="00587409"/>
    <w:rsid w:val="00587842"/>
    <w:rsid w:val="005879E4"/>
    <w:rsid w:val="00587BB8"/>
    <w:rsid w:val="005901E6"/>
    <w:rsid w:val="00590466"/>
    <w:rsid w:val="005905FF"/>
    <w:rsid w:val="00591361"/>
    <w:rsid w:val="0059147B"/>
    <w:rsid w:val="005914A0"/>
    <w:rsid w:val="005916EA"/>
    <w:rsid w:val="00591DC3"/>
    <w:rsid w:val="00591F4E"/>
    <w:rsid w:val="005922EA"/>
    <w:rsid w:val="00592357"/>
    <w:rsid w:val="00592D19"/>
    <w:rsid w:val="00593057"/>
    <w:rsid w:val="00593183"/>
    <w:rsid w:val="00593485"/>
    <w:rsid w:val="0059431E"/>
    <w:rsid w:val="00594D51"/>
    <w:rsid w:val="00595CE2"/>
    <w:rsid w:val="00597F0E"/>
    <w:rsid w:val="00597F2D"/>
    <w:rsid w:val="005A03B9"/>
    <w:rsid w:val="005A11F7"/>
    <w:rsid w:val="005A1754"/>
    <w:rsid w:val="005A25ED"/>
    <w:rsid w:val="005A29C6"/>
    <w:rsid w:val="005A2EE0"/>
    <w:rsid w:val="005A3016"/>
    <w:rsid w:val="005A3124"/>
    <w:rsid w:val="005A34F0"/>
    <w:rsid w:val="005A4876"/>
    <w:rsid w:val="005A4C26"/>
    <w:rsid w:val="005A50B0"/>
    <w:rsid w:val="005A603F"/>
    <w:rsid w:val="005A6103"/>
    <w:rsid w:val="005A697D"/>
    <w:rsid w:val="005A6F59"/>
    <w:rsid w:val="005B0B37"/>
    <w:rsid w:val="005B0CD0"/>
    <w:rsid w:val="005B22CF"/>
    <w:rsid w:val="005B24FA"/>
    <w:rsid w:val="005B2F47"/>
    <w:rsid w:val="005B3243"/>
    <w:rsid w:val="005B328C"/>
    <w:rsid w:val="005B32E5"/>
    <w:rsid w:val="005B3572"/>
    <w:rsid w:val="005B3E0F"/>
    <w:rsid w:val="005B41A9"/>
    <w:rsid w:val="005B4E91"/>
    <w:rsid w:val="005B54F7"/>
    <w:rsid w:val="005B5934"/>
    <w:rsid w:val="005B6AE9"/>
    <w:rsid w:val="005B7D5B"/>
    <w:rsid w:val="005C03D6"/>
    <w:rsid w:val="005C1BB0"/>
    <w:rsid w:val="005C1D31"/>
    <w:rsid w:val="005C30FC"/>
    <w:rsid w:val="005C3778"/>
    <w:rsid w:val="005C5F7C"/>
    <w:rsid w:val="005C605C"/>
    <w:rsid w:val="005C6F68"/>
    <w:rsid w:val="005C7064"/>
    <w:rsid w:val="005C706F"/>
    <w:rsid w:val="005C764E"/>
    <w:rsid w:val="005C7CE2"/>
    <w:rsid w:val="005C7D80"/>
    <w:rsid w:val="005D0B60"/>
    <w:rsid w:val="005D2279"/>
    <w:rsid w:val="005D32D8"/>
    <w:rsid w:val="005D3CBE"/>
    <w:rsid w:val="005D3D0C"/>
    <w:rsid w:val="005D4335"/>
    <w:rsid w:val="005D47B4"/>
    <w:rsid w:val="005D6CA2"/>
    <w:rsid w:val="005D7548"/>
    <w:rsid w:val="005D75C7"/>
    <w:rsid w:val="005D77EC"/>
    <w:rsid w:val="005D797B"/>
    <w:rsid w:val="005E00DA"/>
    <w:rsid w:val="005E11D7"/>
    <w:rsid w:val="005E1820"/>
    <w:rsid w:val="005E1FA8"/>
    <w:rsid w:val="005E2B39"/>
    <w:rsid w:val="005E3B29"/>
    <w:rsid w:val="005E40A4"/>
    <w:rsid w:val="005E45D7"/>
    <w:rsid w:val="005E4762"/>
    <w:rsid w:val="005E501D"/>
    <w:rsid w:val="005E533B"/>
    <w:rsid w:val="005E5454"/>
    <w:rsid w:val="005E5A9C"/>
    <w:rsid w:val="005E630A"/>
    <w:rsid w:val="005E6BCD"/>
    <w:rsid w:val="005E6C10"/>
    <w:rsid w:val="005E6CF4"/>
    <w:rsid w:val="005F1974"/>
    <w:rsid w:val="005F1F27"/>
    <w:rsid w:val="005F201F"/>
    <w:rsid w:val="005F238E"/>
    <w:rsid w:val="005F24B5"/>
    <w:rsid w:val="005F2B40"/>
    <w:rsid w:val="005F2CF1"/>
    <w:rsid w:val="005F304A"/>
    <w:rsid w:val="005F3B2C"/>
    <w:rsid w:val="005F3F26"/>
    <w:rsid w:val="005F47C6"/>
    <w:rsid w:val="005F4D78"/>
    <w:rsid w:val="005F4EBD"/>
    <w:rsid w:val="005F570A"/>
    <w:rsid w:val="005F5807"/>
    <w:rsid w:val="005F6C8F"/>
    <w:rsid w:val="00600207"/>
    <w:rsid w:val="00600337"/>
    <w:rsid w:val="006005E9"/>
    <w:rsid w:val="00600F84"/>
    <w:rsid w:val="00601A37"/>
    <w:rsid w:val="00601FF2"/>
    <w:rsid w:val="00602F81"/>
    <w:rsid w:val="006037CD"/>
    <w:rsid w:val="006044B2"/>
    <w:rsid w:val="006046B3"/>
    <w:rsid w:val="006048CD"/>
    <w:rsid w:val="0060500B"/>
    <w:rsid w:val="00605487"/>
    <w:rsid w:val="006055E9"/>
    <w:rsid w:val="00605C98"/>
    <w:rsid w:val="00606F64"/>
    <w:rsid w:val="006070C6"/>
    <w:rsid w:val="006075D5"/>
    <w:rsid w:val="00607A56"/>
    <w:rsid w:val="00607B23"/>
    <w:rsid w:val="0061019B"/>
    <w:rsid w:val="00610528"/>
    <w:rsid w:val="00610D2B"/>
    <w:rsid w:val="006115E0"/>
    <w:rsid w:val="00612132"/>
    <w:rsid w:val="00612CF9"/>
    <w:rsid w:val="0061378A"/>
    <w:rsid w:val="00613903"/>
    <w:rsid w:val="00613E20"/>
    <w:rsid w:val="006149BF"/>
    <w:rsid w:val="00614BDA"/>
    <w:rsid w:val="00615B83"/>
    <w:rsid w:val="00616C80"/>
    <w:rsid w:val="00617198"/>
    <w:rsid w:val="0061784B"/>
    <w:rsid w:val="00617912"/>
    <w:rsid w:val="00617ADB"/>
    <w:rsid w:val="00617C08"/>
    <w:rsid w:val="00620FE3"/>
    <w:rsid w:val="0062114A"/>
    <w:rsid w:val="006212F6"/>
    <w:rsid w:val="0062144E"/>
    <w:rsid w:val="00621F3B"/>
    <w:rsid w:val="006220EA"/>
    <w:rsid w:val="00623293"/>
    <w:rsid w:val="00623A9B"/>
    <w:rsid w:val="0062430D"/>
    <w:rsid w:val="00624662"/>
    <w:rsid w:val="0062488F"/>
    <w:rsid w:val="00625998"/>
    <w:rsid w:val="00625C37"/>
    <w:rsid w:val="00626F2E"/>
    <w:rsid w:val="00627214"/>
    <w:rsid w:val="006279AB"/>
    <w:rsid w:val="0063015C"/>
    <w:rsid w:val="00630B9F"/>
    <w:rsid w:val="006317C6"/>
    <w:rsid w:val="00632173"/>
    <w:rsid w:val="006325BD"/>
    <w:rsid w:val="00633523"/>
    <w:rsid w:val="00633C1C"/>
    <w:rsid w:val="00634FE9"/>
    <w:rsid w:val="006355B6"/>
    <w:rsid w:val="00635764"/>
    <w:rsid w:val="00635F85"/>
    <w:rsid w:val="006372FF"/>
    <w:rsid w:val="0063780A"/>
    <w:rsid w:val="00637CE0"/>
    <w:rsid w:val="006415F6"/>
    <w:rsid w:val="006416BA"/>
    <w:rsid w:val="00641F8F"/>
    <w:rsid w:val="00642842"/>
    <w:rsid w:val="00642BA2"/>
    <w:rsid w:val="00642F05"/>
    <w:rsid w:val="006434C3"/>
    <w:rsid w:val="00643C45"/>
    <w:rsid w:val="006448CF"/>
    <w:rsid w:val="00646B94"/>
    <w:rsid w:val="00647062"/>
    <w:rsid w:val="00647744"/>
    <w:rsid w:val="00650A42"/>
    <w:rsid w:val="00651B46"/>
    <w:rsid w:val="00651E39"/>
    <w:rsid w:val="006537E2"/>
    <w:rsid w:val="006549F8"/>
    <w:rsid w:val="00655D59"/>
    <w:rsid w:val="00655FEF"/>
    <w:rsid w:val="006561E1"/>
    <w:rsid w:val="006562E2"/>
    <w:rsid w:val="0065634E"/>
    <w:rsid w:val="006567F2"/>
    <w:rsid w:val="00656A0E"/>
    <w:rsid w:val="00657F21"/>
    <w:rsid w:val="00660A82"/>
    <w:rsid w:val="00660C27"/>
    <w:rsid w:val="00661000"/>
    <w:rsid w:val="00662349"/>
    <w:rsid w:val="0066381C"/>
    <w:rsid w:val="00664618"/>
    <w:rsid w:val="00664E27"/>
    <w:rsid w:val="0066588B"/>
    <w:rsid w:val="00665979"/>
    <w:rsid w:val="00665ADD"/>
    <w:rsid w:val="006663C9"/>
    <w:rsid w:val="006663D1"/>
    <w:rsid w:val="0066751D"/>
    <w:rsid w:val="00667756"/>
    <w:rsid w:val="006678D3"/>
    <w:rsid w:val="006679B6"/>
    <w:rsid w:val="006701AB"/>
    <w:rsid w:val="006702F5"/>
    <w:rsid w:val="00670BD5"/>
    <w:rsid w:val="00670EF4"/>
    <w:rsid w:val="0067101E"/>
    <w:rsid w:val="0067117C"/>
    <w:rsid w:val="00671E30"/>
    <w:rsid w:val="00672777"/>
    <w:rsid w:val="00674307"/>
    <w:rsid w:val="006747DD"/>
    <w:rsid w:val="00674FCB"/>
    <w:rsid w:val="00675B9A"/>
    <w:rsid w:val="00675DDF"/>
    <w:rsid w:val="00675F2E"/>
    <w:rsid w:val="006766E4"/>
    <w:rsid w:val="006768FE"/>
    <w:rsid w:val="0067716D"/>
    <w:rsid w:val="006774A6"/>
    <w:rsid w:val="00677639"/>
    <w:rsid w:val="006777E0"/>
    <w:rsid w:val="00677C02"/>
    <w:rsid w:val="00680213"/>
    <w:rsid w:val="0068059D"/>
    <w:rsid w:val="006806F3"/>
    <w:rsid w:val="00680B5C"/>
    <w:rsid w:val="0068157A"/>
    <w:rsid w:val="00681CBD"/>
    <w:rsid w:val="006825D2"/>
    <w:rsid w:val="00682C16"/>
    <w:rsid w:val="00682FBD"/>
    <w:rsid w:val="006836DD"/>
    <w:rsid w:val="00683E47"/>
    <w:rsid w:val="00683F34"/>
    <w:rsid w:val="006842C8"/>
    <w:rsid w:val="0068476B"/>
    <w:rsid w:val="00684FF3"/>
    <w:rsid w:val="0068568E"/>
    <w:rsid w:val="0068594C"/>
    <w:rsid w:val="00685AEF"/>
    <w:rsid w:val="006865A7"/>
    <w:rsid w:val="006874B8"/>
    <w:rsid w:val="00687D7F"/>
    <w:rsid w:val="0069045C"/>
    <w:rsid w:val="006914B7"/>
    <w:rsid w:val="00691597"/>
    <w:rsid w:val="00691942"/>
    <w:rsid w:val="00691E79"/>
    <w:rsid w:val="00692668"/>
    <w:rsid w:val="006931CD"/>
    <w:rsid w:val="006941C6"/>
    <w:rsid w:val="00694AD9"/>
    <w:rsid w:val="00695E9F"/>
    <w:rsid w:val="00696819"/>
    <w:rsid w:val="00697E6E"/>
    <w:rsid w:val="006A0D72"/>
    <w:rsid w:val="006A10B9"/>
    <w:rsid w:val="006A15A9"/>
    <w:rsid w:val="006A1617"/>
    <w:rsid w:val="006A1B99"/>
    <w:rsid w:val="006A1E7C"/>
    <w:rsid w:val="006A470F"/>
    <w:rsid w:val="006A4A73"/>
    <w:rsid w:val="006A5261"/>
    <w:rsid w:val="006A534F"/>
    <w:rsid w:val="006A5B26"/>
    <w:rsid w:val="006A5BF2"/>
    <w:rsid w:val="006A68CD"/>
    <w:rsid w:val="006A74BB"/>
    <w:rsid w:val="006A7DD3"/>
    <w:rsid w:val="006B1DB8"/>
    <w:rsid w:val="006B2962"/>
    <w:rsid w:val="006B3B5F"/>
    <w:rsid w:val="006B4240"/>
    <w:rsid w:val="006B43F9"/>
    <w:rsid w:val="006B5367"/>
    <w:rsid w:val="006B5500"/>
    <w:rsid w:val="006B58EE"/>
    <w:rsid w:val="006B596C"/>
    <w:rsid w:val="006B64C0"/>
    <w:rsid w:val="006B6540"/>
    <w:rsid w:val="006B6F2A"/>
    <w:rsid w:val="006B7426"/>
    <w:rsid w:val="006C16E0"/>
    <w:rsid w:val="006C1FDA"/>
    <w:rsid w:val="006C2B8B"/>
    <w:rsid w:val="006C4054"/>
    <w:rsid w:val="006C4374"/>
    <w:rsid w:val="006C464B"/>
    <w:rsid w:val="006C47F2"/>
    <w:rsid w:val="006C4A17"/>
    <w:rsid w:val="006C5135"/>
    <w:rsid w:val="006C55C7"/>
    <w:rsid w:val="006C56BA"/>
    <w:rsid w:val="006C69C1"/>
    <w:rsid w:val="006C79F2"/>
    <w:rsid w:val="006C7B31"/>
    <w:rsid w:val="006C7B7E"/>
    <w:rsid w:val="006D1547"/>
    <w:rsid w:val="006D1939"/>
    <w:rsid w:val="006D195E"/>
    <w:rsid w:val="006D2606"/>
    <w:rsid w:val="006D2DDE"/>
    <w:rsid w:val="006D2E96"/>
    <w:rsid w:val="006D3AD5"/>
    <w:rsid w:val="006D44D6"/>
    <w:rsid w:val="006D4CCA"/>
    <w:rsid w:val="006D5134"/>
    <w:rsid w:val="006D5135"/>
    <w:rsid w:val="006D5148"/>
    <w:rsid w:val="006D5DBA"/>
    <w:rsid w:val="006D67F1"/>
    <w:rsid w:val="006E0171"/>
    <w:rsid w:val="006E0C69"/>
    <w:rsid w:val="006E2E2A"/>
    <w:rsid w:val="006E2ED9"/>
    <w:rsid w:val="006E3320"/>
    <w:rsid w:val="006E363F"/>
    <w:rsid w:val="006E379A"/>
    <w:rsid w:val="006E3842"/>
    <w:rsid w:val="006E4D0C"/>
    <w:rsid w:val="006E5168"/>
    <w:rsid w:val="006E5D19"/>
    <w:rsid w:val="006E67B4"/>
    <w:rsid w:val="006E77C3"/>
    <w:rsid w:val="006E7E23"/>
    <w:rsid w:val="006F0E95"/>
    <w:rsid w:val="006F160C"/>
    <w:rsid w:val="006F1A2A"/>
    <w:rsid w:val="006F20EF"/>
    <w:rsid w:val="006F2558"/>
    <w:rsid w:val="006F315A"/>
    <w:rsid w:val="006F3B31"/>
    <w:rsid w:val="006F42A5"/>
    <w:rsid w:val="006F4666"/>
    <w:rsid w:val="006F5127"/>
    <w:rsid w:val="006F53C5"/>
    <w:rsid w:val="006F59FB"/>
    <w:rsid w:val="006F628A"/>
    <w:rsid w:val="006F63C2"/>
    <w:rsid w:val="006F67BE"/>
    <w:rsid w:val="006F6D5C"/>
    <w:rsid w:val="006F70EF"/>
    <w:rsid w:val="006F736A"/>
    <w:rsid w:val="006F744A"/>
    <w:rsid w:val="006F771D"/>
    <w:rsid w:val="006F7AAC"/>
    <w:rsid w:val="006F7C84"/>
    <w:rsid w:val="006F7CDF"/>
    <w:rsid w:val="006F7E7D"/>
    <w:rsid w:val="00700CAA"/>
    <w:rsid w:val="00700EF1"/>
    <w:rsid w:val="007013B8"/>
    <w:rsid w:val="007014C1"/>
    <w:rsid w:val="0070154A"/>
    <w:rsid w:val="00701612"/>
    <w:rsid w:val="00701E1A"/>
    <w:rsid w:val="00701EE4"/>
    <w:rsid w:val="0070320F"/>
    <w:rsid w:val="00703AD5"/>
    <w:rsid w:val="00703FA8"/>
    <w:rsid w:val="007050E6"/>
    <w:rsid w:val="007067F6"/>
    <w:rsid w:val="00706A42"/>
    <w:rsid w:val="00706BAA"/>
    <w:rsid w:val="0070729E"/>
    <w:rsid w:val="00711310"/>
    <w:rsid w:val="00711EB4"/>
    <w:rsid w:val="0071272B"/>
    <w:rsid w:val="007128DB"/>
    <w:rsid w:val="00712B98"/>
    <w:rsid w:val="00712C68"/>
    <w:rsid w:val="007130D4"/>
    <w:rsid w:val="00713664"/>
    <w:rsid w:val="00715241"/>
    <w:rsid w:val="007160E1"/>
    <w:rsid w:val="00716203"/>
    <w:rsid w:val="00716AD5"/>
    <w:rsid w:val="0071724D"/>
    <w:rsid w:val="00717340"/>
    <w:rsid w:val="0072152E"/>
    <w:rsid w:val="0072168F"/>
    <w:rsid w:val="00722500"/>
    <w:rsid w:val="00722998"/>
    <w:rsid w:val="00722B2E"/>
    <w:rsid w:val="007236E8"/>
    <w:rsid w:val="00723858"/>
    <w:rsid w:val="00723EA3"/>
    <w:rsid w:val="0072403F"/>
    <w:rsid w:val="0072485A"/>
    <w:rsid w:val="00724F18"/>
    <w:rsid w:val="00725C3C"/>
    <w:rsid w:val="00727227"/>
    <w:rsid w:val="00727939"/>
    <w:rsid w:val="007309BE"/>
    <w:rsid w:val="007314C9"/>
    <w:rsid w:val="007315D9"/>
    <w:rsid w:val="00732070"/>
    <w:rsid w:val="00733DC7"/>
    <w:rsid w:val="00733F9C"/>
    <w:rsid w:val="00734D71"/>
    <w:rsid w:val="00735089"/>
    <w:rsid w:val="007356C6"/>
    <w:rsid w:val="0073587E"/>
    <w:rsid w:val="0073644A"/>
    <w:rsid w:val="00736664"/>
    <w:rsid w:val="00737851"/>
    <w:rsid w:val="00737C66"/>
    <w:rsid w:val="007409CC"/>
    <w:rsid w:val="00740E53"/>
    <w:rsid w:val="0074157F"/>
    <w:rsid w:val="007422B2"/>
    <w:rsid w:val="00742783"/>
    <w:rsid w:val="007430B8"/>
    <w:rsid w:val="007447E9"/>
    <w:rsid w:val="00745378"/>
    <w:rsid w:val="00745911"/>
    <w:rsid w:val="00745C6C"/>
    <w:rsid w:val="0074622E"/>
    <w:rsid w:val="00746716"/>
    <w:rsid w:val="00746FF4"/>
    <w:rsid w:val="00747452"/>
    <w:rsid w:val="00747CD2"/>
    <w:rsid w:val="00750309"/>
    <w:rsid w:val="0075128B"/>
    <w:rsid w:val="00751551"/>
    <w:rsid w:val="0075199F"/>
    <w:rsid w:val="00752004"/>
    <w:rsid w:val="007525C3"/>
    <w:rsid w:val="00753240"/>
    <w:rsid w:val="007537DD"/>
    <w:rsid w:val="00754087"/>
    <w:rsid w:val="00754AD6"/>
    <w:rsid w:val="00755138"/>
    <w:rsid w:val="007551F5"/>
    <w:rsid w:val="0075668E"/>
    <w:rsid w:val="00756809"/>
    <w:rsid w:val="007579EF"/>
    <w:rsid w:val="007579FE"/>
    <w:rsid w:val="00760EB7"/>
    <w:rsid w:val="00762ABF"/>
    <w:rsid w:val="0076305E"/>
    <w:rsid w:val="007637FC"/>
    <w:rsid w:val="00764247"/>
    <w:rsid w:val="007645D0"/>
    <w:rsid w:val="0076490D"/>
    <w:rsid w:val="00765000"/>
    <w:rsid w:val="00765D98"/>
    <w:rsid w:val="00766B52"/>
    <w:rsid w:val="007670C9"/>
    <w:rsid w:val="007672E4"/>
    <w:rsid w:val="007707B5"/>
    <w:rsid w:val="00770916"/>
    <w:rsid w:val="00770E77"/>
    <w:rsid w:val="007722BE"/>
    <w:rsid w:val="00772A0F"/>
    <w:rsid w:val="00773313"/>
    <w:rsid w:val="0077442D"/>
    <w:rsid w:val="00774476"/>
    <w:rsid w:val="007746DA"/>
    <w:rsid w:val="00774952"/>
    <w:rsid w:val="007752F0"/>
    <w:rsid w:val="00775861"/>
    <w:rsid w:val="00775A6A"/>
    <w:rsid w:val="00775E1F"/>
    <w:rsid w:val="00776424"/>
    <w:rsid w:val="00776BD0"/>
    <w:rsid w:val="00777433"/>
    <w:rsid w:val="007774D1"/>
    <w:rsid w:val="00777F5C"/>
    <w:rsid w:val="00780AA0"/>
    <w:rsid w:val="00780C8B"/>
    <w:rsid w:val="00782562"/>
    <w:rsid w:val="0078319F"/>
    <w:rsid w:val="0078341A"/>
    <w:rsid w:val="007834DB"/>
    <w:rsid w:val="00783E95"/>
    <w:rsid w:val="00784486"/>
    <w:rsid w:val="00784681"/>
    <w:rsid w:val="00784717"/>
    <w:rsid w:val="00784C2F"/>
    <w:rsid w:val="007854C2"/>
    <w:rsid w:val="00785FE9"/>
    <w:rsid w:val="007879B9"/>
    <w:rsid w:val="007900DE"/>
    <w:rsid w:val="00790406"/>
    <w:rsid w:val="0079043B"/>
    <w:rsid w:val="007905A4"/>
    <w:rsid w:val="0079072A"/>
    <w:rsid w:val="00790914"/>
    <w:rsid w:val="00790B17"/>
    <w:rsid w:val="00790E5D"/>
    <w:rsid w:val="0079146D"/>
    <w:rsid w:val="00791617"/>
    <w:rsid w:val="007916EF"/>
    <w:rsid w:val="00791EAF"/>
    <w:rsid w:val="007920AF"/>
    <w:rsid w:val="00793452"/>
    <w:rsid w:val="00793E8B"/>
    <w:rsid w:val="0079412D"/>
    <w:rsid w:val="007943C5"/>
    <w:rsid w:val="00794946"/>
    <w:rsid w:val="0079497D"/>
    <w:rsid w:val="00794F32"/>
    <w:rsid w:val="00795115"/>
    <w:rsid w:val="00795173"/>
    <w:rsid w:val="0079611B"/>
    <w:rsid w:val="007968DD"/>
    <w:rsid w:val="0079715E"/>
    <w:rsid w:val="007974FA"/>
    <w:rsid w:val="007A0F3F"/>
    <w:rsid w:val="007A127D"/>
    <w:rsid w:val="007A197B"/>
    <w:rsid w:val="007A24AE"/>
    <w:rsid w:val="007A2CD8"/>
    <w:rsid w:val="007A2F44"/>
    <w:rsid w:val="007A30AF"/>
    <w:rsid w:val="007A3667"/>
    <w:rsid w:val="007A392E"/>
    <w:rsid w:val="007A4613"/>
    <w:rsid w:val="007A476A"/>
    <w:rsid w:val="007A48D7"/>
    <w:rsid w:val="007A56B7"/>
    <w:rsid w:val="007A5D65"/>
    <w:rsid w:val="007A627B"/>
    <w:rsid w:val="007A65C4"/>
    <w:rsid w:val="007A67F5"/>
    <w:rsid w:val="007A699E"/>
    <w:rsid w:val="007A752D"/>
    <w:rsid w:val="007B07AF"/>
    <w:rsid w:val="007B0DDE"/>
    <w:rsid w:val="007B1543"/>
    <w:rsid w:val="007B2A2E"/>
    <w:rsid w:val="007B2DEF"/>
    <w:rsid w:val="007B3F79"/>
    <w:rsid w:val="007B45B3"/>
    <w:rsid w:val="007B463D"/>
    <w:rsid w:val="007B5302"/>
    <w:rsid w:val="007B553D"/>
    <w:rsid w:val="007B6168"/>
    <w:rsid w:val="007B669C"/>
    <w:rsid w:val="007B6721"/>
    <w:rsid w:val="007B6E66"/>
    <w:rsid w:val="007B7552"/>
    <w:rsid w:val="007B7673"/>
    <w:rsid w:val="007B7750"/>
    <w:rsid w:val="007C0281"/>
    <w:rsid w:val="007C087C"/>
    <w:rsid w:val="007C0CDA"/>
    <w:rsid w:val="007C0E86"/>
    <w:rsid w:val="007C1AC4"/>
    <w:rsid w:val="007C1D48"/>
    <w:rsid w:val="007C1EA7"/>
    <w:rsid w:val="007C1EE5"/>
    <w:rsid w:val="007C2066"/>
    <w:rsid w:val="007C22C5"/>
    <w:rsid w:val="007C252C"/>
    <w:rsid w:val="007C2546"/>
    <w:rsid w:val="007C2D36"/>
    <w:rsid w:val="007C366C"/>
    <w:rsid w:val="007C3BB7"/>
    <w:rsid w:val="007C4F6E"/>
    <w:rsid w:val="007C5364"/>
    <w:rsid w:val="007C55DD"/>
    <w:rsid w:val="007C624B"/>
    <w:rsid w:val="007C6DD6"/>
    <w:rsid w:val="007C6E8B"/>
    <w:rsid w:val="007C7628"/>
    <w:rsid w:val="007D0783"/>
    <w:rsid w:val="007D0CF8"/>
    <w:rsid w:val="007D1614"/>
    <w:rsid w:val="007D1858"/>
    <w:rsid w:val="007D27C3"/>
    <w:rsid w:val="007D2C58"/>
    <w:rsid w:val="007D2F2E"/>
    <w:rsid w:val="007D3287"/>
    <w:rsid w:val="007D3836"/>
    <w:rsid w:val="007D3926"/>
    <w:rsid w:val="007D521C"/>
    <w:rsid w:val="007D52D8"/>
    <w:rsid w:val="007D61DA"/>
    <w:rsid w:val="007D6237"/>
    <w:rsid w:val="007D6939"/>
    <w:rsid w:val="007D6F55"/>
    <w:rsid w:val="007E0AC8"/>
    <w:rsid w:val="007E113F"/>
    <w:rsid w:val="007E1B4D"/>
    <w:rsid w:val="007E2558"/>
    <w:rsid w:val="007E2F0B"/>
    <w:rsid w:val="007E36EE"/>
    <w:rsid w:val="007E3EF9"/>
    <w:rsid w:val="007E44B9"/>
    <w:rsid w:val="007E49E5"/>
    <w:rsid w:val="007E4F38"/>
    <w:rsid w:val="007E52EE"/>
    <w:rsid w:val="007E545F"/>
    <w:rsid w:val="007E5742"/>
    <w:rsid w:val="007E5C19"/>
    <w:rsid w:val="007E6559"/>
    <w:rsid w:val="007E69F1"/>
    <w:rsid w:val="007E6D24"/>
    <w:rsid w:val="007F05F8"/>
    <w:rsid w:val="007F12E8"/>
    <w:rsid w:val="007F13BC"/>
    <w:rsid w:val="007F1467"/>
    <w:rsid w:val="007F1B20"/>
    <w:rsid w:val="007F1F28"/>
    <w:rsid w:val="007F23E6"/>
    <w:rsid w:val="007F2C10"/>
    <w:rsid w:val="007F31E3"/>
    <w:rsid w:val="007F32E3"/>
    <w:rsid w:val="007F3497"/>
    <w:rsid w:val="007F5205"/>
    <w:rsid w:val="007F57B0"/>
    <w:rsid w:val="007F58C7"/>
    <w:rsid w:val="007F5B4B"/>
    <w:rsid w:val="007F5D7C"/>
    <w:rsid w:val="007F7407"/>
    <w:rsid w:val="00800415"/>
    <w:rsid w:val="0080112E"/>
    <w:rsid w:val="0080213F"/>
    <w:rsid w:val="008022ED"/>
    <w:rsid w:val="008024F5"/>
    <w:rsid w:val="0080268E"/>
    <w:rsid w:val="00803019"/>
    <w:rsid w:val="00803C4D"/>
    <w:rsid w:val="00803E4E"/>
    <w:rsid w:val="00803F3E"/>
    <w:rsid w:val="00804204"/>
    <w:rsid w:val="00805FB7"/>
    <w:rsid w:val="008074B1"/>
    <w:rsid w:val="00807539"/>
    <w:rsid w:val="0080777E"/>
    <w:rsid w:val="00807790"/>
    <w:rsid w:val="00807CDD"/>
    <w:rsid w:val="0081062D"/>
    <w:rsid w:val="0081084F"/>
    <w:rsid w:val="008112FE"/>
    <w:rsid w:val="008119C9"/>
    <w:rsid w:val="00811D45"/>
    <w:rsid w:val="0081231E"/>
    <w:rsid w:val="00812968"/>
    <w:rsid w:val="00812D1F"/>
    <w:rsid w:val="0081314B"/>
    <w:rsid w:val="008133C6"/>
    <w:rsid w:val="0081355D"/>
    <w:rsid w:val="00813D55"/>
    <w:rsid w:val="00813F23"/>
    <w:rsid w:val="00814104"/>
    <w:rsid w:val="0081650C"/>
    <w:rsid w:val="00816990"/>
    <w:rsid w:val="00816D68"/>
    <w:rsid w:val="008174C3"/>
    <w:rsid w:val="008175FD"/>
    <w:rsid w:val="00817837"/>
    <w:rsid w:val="00817840"/>
    <w:rsid w:val="00820505"/>
    <w:rsid w:val="00820B35"/>
    <w:rsid w:val="00821065"/>
    <w:rsid w:val="00821380"/>
    <w:rsid w:val="00823083"/>
    <w:rsid w:val="008235B9"/>
    <w:rsid w:val="00823695"/>
    <w:rsid w:val="00824334"/>
    <w:rsid w:val="008244CF"/>
    <w:rsid w:val="0082458B"/>
    <w:rsid w:val="0082465D"/>
    <w:rsid w:val="0082490D"/>
    <w:rsid w:val="00825090"/>
    <w:rsid w:val="00825517"/>
    <w:rsid w:val="00825EDE"/>
    <w:rsid w:val="00826470"/>
    <w:rsid w:val="00830A45"/>
    <w:rsid w:val="00831219"/>
    <w:rsid w:val="00831C64"/>
    <w:rsid w:val="008327A8"/>
    <w:rsid w:val="00832F0F"/>
    <w:rsid w:val="00833E81"/>
    <w:rsid w:val="00834005"/>
    <w:rsid w:val="008346A6"/>
    <w:rsid w:val="00835456"/>
    <w:rsid w:val="00835CCA"/>
    <w:rsid w:val="008369BD"/>
    <w:rsid w:val="00836C13"/>
    <w:rsid w:val="008373E5"/>
    <w:rsid w:val="00837575"/>
    <w:rsid w:val="00837892"/>
    <w:rsid w:val="00837AF8"/>
    <w:rsid w:val="00841304"/>
    <w:rsid w:val="008425CE"/>
    <w:rsid w:val="00842AF7"/>
    <w:rsid w:val="00842D40"/>
    <w:rsid w:val="00842F55"/>
    <w:rsid w:val="0084318A"/>
    <w:rsid w:val="008436B9"/>
    <w:rsid w:val="008438A3"/>
    <w:rsid w:val="0084453C"/>
    <w:rsid w:val="008449FF"/>
    <w:rsid w:val="00845238"/>
    <w:rsid w:val="00845C02"/>
    <w:rsid w:val="00845D9B"/>
    <w:rsid w:val="0084681B"/>
    <w:rsid w:val="00846928"/>
    <w:rsid w:val="00847809"/>
    <w:rsid w:val="00850E68"/>
    <w:rsid w:val="008512CD"/>
    <w:rsid w:val="0085136F"/>
    <w:rsid w:val="00852A20"/>
    <w:rsid w:val="00852EEF"/>
    <w:rsid w:val="0085311F"/>
    <w:rsid w:val="00853C10"/>
    <w:rsid w:val="0085421B"/>
    <w:rsid w:val="00854519"/>
    <w:rsid w:val="00854C53"/>
    <w:rsid w:val="008558D4"/>
    <w:rsid w:val="00855F24"/>
    <w:rsid w:val="00856105"/>
    <w:rsid w:val="008568CD"/>
    <w:rsid w:val="00857163"/>
    <w:rsid w:val="008571DD"/>
    <w:rsid w:val="008572E8"/>
    <w:rsid w:val="0086121D"/>
    <w:rsid w:val="0086149D"/>
    <w:rsid w:val="008618CA"/>
    <w:rsid w:val="00863E59"/>
    <w:rsid w:val="00864C12"/>
    <w:rsid w:val="008655CD"/>
    <w:rsid w:val="0086613A"/>
    <w:rsid w:val="008663CD"/>
    <w:rsid w:val="00866B84"/>
    <w:rsid w:val="008671F3"/>
    <w:rsid w:val="008674AE"/>
    <w:rsid w:val="008703AB"/>
    <w:rsid w:val="00870B8E"/>
    <w:rsid w:val="00871301"/>
    <w:rsid w:val="008717C7"/>
    <w:rsid w:val="00871C1A"/>
    <w:rsid w:val="00871EC9"/>
    <w:rsid w:val="00871F93"/>
    <w:rsid w:val="00872291"/>
    <w:rsid w:val="008726F2"/>
    <w:rsid w:val="00872A07"/>
    <w:rsid w:val="00873BA8"/>
    <w:rsid w:val="00874B52"/>
    <w:rsid w:val="008757B9"/>
    <w:rsid w:val="00875AA3"/>
    <w:rsid w:val="00875E68"/>
    <w:rsid w:val="008763A0"/>
    <w:rsid w:val="00876E53"/>
    <w:rsid w:val="00877209"/>
    <w:rsid w:val="00877954"/>
    <w:rsid w:val="00877984"/>
    <w:rsid w:val="008779D7"/>
    <w:rsid w:val="008803FB"/>
    <w:rsid w:val="00880B94"/>
    <w:rsid w:val="00881217"/>
    <w:rsid w:val="00881931"/>
    <w:rsid w:val="0088332F"/>
    <w:rsid w:val="00884443"/>
    <w:rsid w:val="0088461F"/>
    <w:rsid w:val="00884941"/>
    <w:rsid w:val="00884A21"/>
    <w:rsid w:val="00884BD3"/>
    <w:rsid w:val="0088558C"/>
    <w:rsid w:val="0088620F"/>
    <w:rsid w:val="00886309"/>
    <w:rsid w:val="00886600"/>
    <w:rsid w:val="0088767E"/>
    <w:rsid w:val="0088779F"/>
    <w:rsid w:val="00891741"/>
    <w:rsid w:val="00891DA0"/>
    <w:rsid w:val="00892046"/>
    <w:rsid w:val="008927B2"/>
    <w:rsid w:val="008940BA"/>
    <w:rsid w:val="00894EE7"/>
    <w:rsid w:val="00895066"/>
    <w:rsid w:val="008954E9"/>
    <w:rsid w:val="00895890"/>
    <w:rsid w:val="0089592B"/>
    <w:rsid w:val="00896015"/>
    <w:rsid w:val="0089603F"/>
    <w:rsid w:val="00897143"/>
    <w:rsid w:val="008A0B9B"/>
    <w:rsid w:val="008A0C1F"/>
    <w:rsid w:val="008A17F7"/>
    <w:rsid w:val="008A2A16"/>
    <w:rsid w:val="008A2F12"/>
    <w:rsid w:val="008A352B"/>
    <w:rsid w:val="008A38AA"/>
    <w:rsid w:val="008A409B"/>
    <w:rsid w:val="008A4951"/>
    <w:rsid w:val="008A50E2"/>
    <w:rsid w:val="008A518B"/>
    <w:rsid w:val="008A5210"/>
    <w:rsid w:val="008A6523"/>
    <w:rsid w:val="008A6CC4"/>
    <w:rsid w:val="008A6F19"/>
    <w:rsid w:val="008A6F7C"/>
    <w:rsid w:val="008A7685"/>
    <w:rsid w:val="008A7848"/>
    <w:rsid w:val="008A7E6D"/>
    <w:rsid w:val="008B0001"/>
    <w:rsid w:val="008B0887"/>
    <w:rsid w:val="008B1927"/>
    <w:rsid w:val="008B1A7A"/>
    <w:rsid w:val="008B2ACB"/>
    <w:rsid w:val="008B3002"/>
    <w:rsid w:val="008B3649"/>
    <w:rsid w:val="008B4D13"/>
    <w:rsid w:val="008B71D6"/>
    <w:rsid w:val="008C0681"/>
    <w:rsid w:val="008C0CD3"/>
    <w:rsid w:val="008C0E7B"/>
    <w:rsid w:val="008C14BE"/>
    <w:rsid w:val="008C153D"/>
    <w:rsid w:val="008C1A6E"/>
    <w:rsid w:val="008C2B16"/>
    <w:rsid w:val="008C2C6A"/>
    <w:rsid w:val="008C390B"/>
    <w:rsid w:val="008C3B69"/>
    <w:rsid w:val="008C3F1A"/>
    <w:rsid w:val="008C436F"/>
    <w:rsid w:val="008C457B"/>
    <w:rsid w:val="008C4D3D"/>
    <w:rsid w:val="008C4DC6"/>
    <w:rsid w:val="008C5B44"/>
    <w:rsid w:val="008C5DF6"/>
    <w:rsid w:val="008C61FF"/>
    <w:rsid w:val="008C6DFC"/>
    <w:rsid w:val="008C7662"/>
    <w:rsid w:val="008D0A65"/>
    <w:rsid w:val="008D0DEE"/>
    <w:rsid w:val="008D1A01"/>
    <w:rsid w:val="008D25F3"/>
    <w:rsid w:val="008D2A4C"/>
    <w:rsid w:val="008D2B99"/>
    <w:rsid w:val="008D341C"/>
    <w:rsid w:val="008D3462"/>
    <w:rsid w:val="008D34F3"/>
    <w:rsid w:val="008D34F8"/>
    <w:rsid w:val="008D4206"/>
    <w:rsid w:val="008D4E5D"/>
    <w:rsid w:val="008D4ED1"/>
    <w:rsid w:val="008D55D2"/>
    <w:rsid w:val="008D55DD"/>
    <w:rsid w:val="008D5627"/>
    <w:rsid w:val="008D58C0"/>
    <w:rsid w:val="008D5DBB"/>
    <w:rsid w:val="008D7458"/>
    <w:rsid w:val="008D7A4A"/>
    <w:rsid w:val="008D7D8A"/>
    <w:rsid w:val="008E1170"/>
    <w:rsid w:val="008E13EE"/>
    <w:rsid w:val="008E1608"/>
    <w:rsid w:val="008E1897"/>
    <w:rsid w:val="008E2314"/>
    <w:rsid w:val="008E2F3F"/>
    <w:rsid w:val="008E2FEB"/>
    <w:rsid w:val="008E3041"/>
    <w:rsid w:val="008E347D"/>
    <w:rsid w:val="008E3610"/>
    <w:rsid w:val="008E37E7"/>
    <w:rsid w:val="008E44F5"/>
    <w:rsid w:val="008E4CAF"/>
    <w:rsid w:val="008E4E77"/>
    <w:rsid w:val="008E5253"/>
    <w:rsid w:val="008E5714"/>
    <w:rsid w:val="008E5A5F"/>
    <w:rsid w:val="008E5E85"/>
    <w:rsid w:val="008E6612"/>
    <w:rsid w:val="008E674F"/>
    <w:rsid w:val="008E698E"/>
    <w:rsid w:val="008E6992"/>
    <w:rsid w:val="008E7518"/>
    <w:rsid w:val="008F0188"/>
    <w:rsid w:val="008F0758"/>
    <w:rsid w:val="008F18A7"/>
    <w:rsid w:val="008F1AFA"/>
    <w:rsid w:val="008F2273"/>
    <w:rsid w:val="008F2710"/>
    <w:rsid w:val="008F27E3"/>
    <w:rsid w:val="008F2E6C"/>
    <w:rsid w:val="008F303A"/>
    <w:rsid w:val="008F3B3A"/>
    <w:rsid w:val="008F3B3F"/>
    <w:rsid w:val="008F3C5C"/>
    <w:rsid w:val="008F47E4"/>
    <w:rsid w:val="008F52B4"/>
    <w:rsid w:val="008F5C48"/>
    <w:rsid w:val="008F5CDB"/>
    <w:rsid w:val="008F5F02"/>
    <w:rsid w:val="008F5FDA"/>
    <w:rsid w:val="008F6596"/>
    <w:rsid w:val="008F662D"/>
    <w:rsid w:val="008F6EE4"/>
    <w:rsid w:val="008F6F0F"/>
    <w:rsid w:val="008F76D9"/>
    <w:rsid w:val="00900E1F"/>
    <w:rsid w:val="00902B34"/>
    <w:rsid w:val="009031B9"/>
    <w:rsid w:val="009033D3"/>
    <w:rsid w:val="00903CCE"/>
    <w:rsid w:val="00904344"/>
    <w:rsid w:val="00904B2F"/>
    <w:rsid w:val="00906820"/>
    <w:rsid w:val="00906AF1"/>
    <w:rsid w:val="00906EF1"/>
    <w:rsid w:val="00906FF8"/>
    <w:rsid w:val="00907A85"/>
    <w:rsid w:val="00907F3F"/>
    <w:rsid w:val="0091083E"/>
    <w:rsid w:val="00910A83"/>
    <w:rsid w:val="00910B3D"/>
    <w:rsid w:val="00910E6B"/>
    <w:rsid w:val="0091224C"/>
    <w:rsid w:val="00912340"/>
    <w:rsid w:val="00913C1F"/>
    <w:rsid w:val="00914708"/>
    <w:rsid w:val="00914B58"/>
    <w:rsid w:val="00914D67"/>
    <w:rsid w:val="00914DDC"/>
    <w:rsid w:val="00915883"/>
    <w:rsid w:val="00915E61"/>
    <w:rsid w:val="0091664E"/>
    <w:rsid w:val="00916B7C"/>
    <w:rsid w:val="00917E38"/>
    <w:rsid w:val="009202AB"/>
    <w:rsid w:val="00920320"/>
    <w:rsid w:val="00920393"/>
    <w:rsid w:val="0092206C"/>
    <w:rsid w:val="00922452"/>
    <w:rsid w:val="00922588"/>
    <w:rsid w:val="00922BA1"/>
    <w:rsid w:val="00923976"/>
    <w:rsid w:val="00923DBF"/>
    <w:rsid w:val="00924113"/>
    <w:rsid w:val="00925F89"/>
    <w:rsid w:val="00926214"/>
    <w:rsid w:val="0092666E"/>
    <w:rsid w:val="0092746B"/>
    <w:rsid w:val="00927971"/>
    <w:rsid w:val="00930B1D"/>
    <w:rsid w:val="00930B30"/>
    <w:rsid w:val="00931037"/>
    <w:rsid w:val="0093234A"/>
    <w:rsid w:val="00932CB8"/>
    <w:rsid w:val="00933328"/>
    <w:rsid w:val="009333CC"/>
    <w:rsid w:val="00933D27"/>
    <w:rsid w:val="00933D64"/>
    <w:rsid w:val="00934179"/>
    <w:rsid w:val="009348B3"/>
    <w:rsid w:val="00935479"/>
    <w:rsid w:val="00935CA2"/>
    <w:rsid w:val="00935ECC"/>
    <w:rsid w:val="0093613F"/>
    <w:rsid w:val="009369DD"/>
    <w:rsid w:val="009410E2"/>
    <w:rsid w:val="009417E5"/>
    <w:rsid w:val="009419DB"/>
    <w:rsid w:val="00942A69"/>
    <w:rsid w:val="00942E66"/>
    <w:rsid w:val="009434A8"/>
    <w:rsid w:val="00943C1D"/>
    <w:rsid w:val="0094485A"/>
    <w:rsid w:val="009449CE"/>
    <w:rsid w:val="00944CE3"/>
    <w:rsid w:val="00945099"/>
    <w:rsid w:val="009452B2"/>
    <w:rsid w:val="00945823"/>
    <w:rsid w:val="00945BBF"/>
    <w:rsid w:val="00947133"/>
    <w:rsid w:val="0094720A"/>
    <w:rsid w:val="00947665"/>
    <w:rsid w:val="00947692"/>
    <w:rsid w:val="009476F4"/>
    <w:rsid w:val="00947D4F"/>
    <w:rsid w:val="00947F41"/>
    <w:rsid w:val="00950484"/>
    <w:rsid w:val="00950CFF"/>
    <w:rsid w:val="00951180"/>
    <w:rsid w:val="00951745"/>
    <w:rsid w:val="00951FFC"/>
    <w:rsid w:val="0095230B"/>
    <w:rsid w:val="00953BAD"/>
    <w:rsid w:val="009542B0"/>
    <w:rsid w:val="009544F5"/>
    <w:rsid w:val="00956F16"/>
    <w:rsid w:val="00956F28"/>
    <w:rsid w:val="00956FA7"/>
    <w:rsid w:val="00957AAC"/>
    <w:rsid w:val="00957D49"/>
    <w:rsid w:val="009606D5"/>
    <w:rsid w:val="009607F4"/>
    <w:rsid w:val="00960BE3"/>
    <w:rsid w:val="009629C9"/>
    <w:rsid w:val="00962B14"/>
    <w:rsid w:val="00962D69"/>
    <w:rsid w:val="00962E90"/>
    <w:rsid w:val="009638E3"/>
    <w:rsid w:val="00964166"/>
    <w:rsid w:val="00964686"/>
    <w:rsid w:val="00965107"/>
    <w:rsid w:val="009653DE"/>
    <w:rsid w:val="009655FB"/>
    <w:rsid w:val="00966663"/>
    <w:rsid w:val="0096723B"/>
    <w:rsid w:val="0096725D"/>
    <w:rsid w:val="009672AB"/>
    <w:rsid w:val="009677DA"/>
    <w:rsid w:val="00967FF1"/>
    <w:rsid w:val="0097025B"/>
    <w:rsid w:val="009715ED"/>
    <w:rsid w:val="00971D98"/>
    <w:rsid w:val="0097251C"/>
    <w:rsid w:val="00972C3B"/>
    <w:rsid w:val="00972C92"/>
    <w:rsid w:val="00973589"/>
    <w:rsid w:val="009745A0"/>
    <w:rsid w:val="009747C1"/>
    <w:rsid w:val="00974F99"/>
    <w:rsid w:val="009763F0"/>
    <w:rsid w:val="00976659"/>
    <w:rsid w:val="00976C2B"/>
    <w:rsid w:val="00977C1E"/>
    <w:rsid w:val="009803C0"/>
    <w:rsid w:val="009821CF"/>
    <w:rsid w:val="0098259E"/>
    <w:rsid w:val="00982E44"/>
    <w:rsid w:val="00983D13"/>
    <w:rsid w:val="00983E7E"/>
    <w:rsid w:val="0098404E"/>
    <w:rsid w:val="0098449A"/>
    <w:rsid w:val="009845A1"/>
    <w:rsid w:val="009846E9"/>
    <w:rsid w:val="00985E2A"/>
    <w:rsid w:val="00986E26"/>
    <w:rsid w:val="009875BD"/>
    <w:rsid w:val="009877DC"/>
    <w:rsid w:val="00987BF8"/>
    <w:rsid w:val="009916BF"/>
    <w:rsid w:val="009920E2"/>
    <w:rsid w:val="009921F2"/>
    <w:rsid w:val="00992769"/>
    <w:rsid w:val="00992F61"/>
    <w:rsid w:val="00993879"/>
    <w:rsid w:val="00994315"/>
    <w:rsid w:val="00994667"/>
    <w:rsid w:val="00994AFA"/>
    <w:rsid w:val="00994D2A"/>
    <w:rsid w:val="00994D93"/>
    <w:rsid w:val="0099508D"/>
    <w:rsid w:val="009958A6"/>
    <w:rsid w:val="00995A94"/>
    <w:rsid w:val="00995CD1"/>
    <w:rsid w:val="009973DB"/>
    <w:rsid w:val="009A0183"/>
    <w:rsid w:val="009A0402"/>
    <w:rsid w:val="009A0A93"/>
    <w:rsid w:val="009A1D3A"/>
    <w:rsid w:val="009A2220"/>
    <w:rsid w:val="009A2831"/>
    <w:rsid w:val="009A37A7"/>
    <w:rsid w:val="009A386B"/>
    <w:rsid w:val="009A4E97"/>
    <w:rsid w:val="009A5802"/>
    <w:rsid w:val="009A5AA7"/>
    <w:rsid w:val="009A5E84"/>
    <w:rsid w:val="009A681C"/>
    <w:rsid w:val="009A6994"/>
    <w:rsid w:val="009A737B"/>
    <w:rsid w:val="009A7EB7"/>
    <w:rsid w:val="009B08FB"/>
    <w:rsid w:val="009B0BB5"/>
    <w:rsid w:val="009B129D"/>
    <w:rsid w:val="009B149A"/>
    <w:rsid w:val="009B1D9D"/>
    <w:rsid w:val="009B2A28"/>
    <w:rsid w:val="009B35F7"/>
    <w:rsid w:val="009B489A"/>
    <w:rsid w:val="009B522C"/>
    <w:rsid w:val="009B54C6"/>
    <w:rsid w:val="009B5E32"/>
    <w:rsid w:val="009B5E78"/>
    <w:rsid w:val="009B6732"/>
    <w:rsid w:val="009B748A"/>
    <w:rsid w:val="009B7DB9"/>
    <w:rsid w:val="009C14A2"/>
    <w:rsid w:val="009C15D7"/>
    <w:rsid w:val="009C1813"/>
    <w:rsid w:val="009C2213"/>
    <w:rsid w:val="009C2B56"/>
    <w:rsid w:val="009C2E9F"/>
    <w:rsid w:val="009C3357"/>
    <w:rsid w:val="009C3CDB"/>
    <w:rsid w:val="009C4474"/>
    <w:rsid w:val="009C6138"/>
    <w:rsid w:val="009C6658"/>
    <w:rsid w:val="009C6E53"/>
    <w:rsid w:val="009D0876"/>
    <w:rsid w:val="009D1228"/>
    <w:rsid w:val="009D1357"/>
    <w:rsid w:val="009D1887"/>
    <w:rsid w:val="009D1945"/>
    <w:rsid w:val="009D1B1E"/>
    <w:rsid w:val="009D1CA8"/>
    <w:rsid w:val="009D2041"/>
    <w:rsid w:val="009D2236"/>
    <w:rsid w:val="009D2545"/>
    <w:rsid w:val="009D2704"/>
    <w:rsid w:val="009D2CAE"/>
    <w:rsid w:val="009D311A"/>
    <w:rsid w:val="009D3E82"/>
    <w:rsid w:val="009D4CE5"/>
    <w:rsid w:val="009D4EBB"/>
    <w:rsid w:val="009D5017"/>
    <w:rsid w:val="009D6004"/>
    <w:rsid w:val="009D6315"/>
    <w:rsid w:val="009D7624"/>
    <w:rsid w:val="009D7661"/>
    <w:rsid w:val="009D7ADE"/>
    <w:rsid w:val="009D7DD9"/>
    <w:rsid w:val="009E0909"/>
    <w:rsid w:val="009E112A"/>
    <w:rsid w:val="009E19D8"/>
    <w:rsid w:val="009E2316"/>
    <w:rsid w:val="009E2A81"/>
    <w:rsid w:val="009E2B43"/>
    <w:rsid w:val="009E2B45"/>
    <w:rsid w:val="009E3569"/>
    <w:rsid w:val="009E4F28"/>
    <w:rsid w:val="009E5087"/>
    <w:rsid w:val="009E51E3"/>
    <w:rsid w:val="009E67D1"/>
    <w:rsid w:val="009E69D4"/>
    <w:rsid w:val="009E6EE9"/>
    <w:rsid w:val="009E7B50"/>
    <w:rsid w:val="009F0422"/>
    <w:rsid w:val="009F04E3"/>
    <w:rsid w:val="009F1CB7"/>
    <w:rsid w:val="009F3BD3"/>
    <w:rsid w:val="009F3BF2"/>
    <w:rsid w:val="009F3E04"/>
    <w:rsid w:val="009F4511"/>
    <w:rsid w:val="009F45D6"/>
    <w:rsid w:val="009F48D0"/>
    <w:rsid w:val="009F511C"/>
    <w:rsid w:val="009F5864"/>
    <w:rsid w:val="009F5E79"/>
    <w:rsid w:val="009F6F96"/>
    <w:rsid w:val="009F71DE"/>
    <w:rsid w:val="00A00276"/>
    <w:rsid w:val="00A012BD"/>
    <w:rsid w:val="00A017C8"/>
    <w:rsid w:val="00A01C91"/>
    <w:rsid w:val="00A02873"/>
    <w:rsid w:val="00A028C7"/>
    <w:rsid w:val="00A03249"/>
    <w:rsid w:val="00A03312"/>
    <w:rsid w:val="00A036B2"/>
    <w:rsid w:val="00A058FC"/>
    <w:rsid w:val="00A06139"/>
    <w:rsid w:val="00A06533"/>
    <w:rsid w:val="00A1045A"/>
    <w:rsid w:val="00A10509"/>
    <w:rsid w:val="00A1063D"/>
    <w:rsid w:val="00A10BC0"/>
    <w:rsid w:val="00A11346"/>
    <w:rsid w:val="00A11588"/>
    <w:rsid w:val="00A12185"/>
    <w:rsid w:val="00A1267B"/>
    <w:rsid w:val="00A129E8"/>
    <w:rsid w:val="00A151AA"/>
    <w:rsid w:val="00A1578C"/>
    <w:rsid w:val="00A16258"/>
    <w:rsid w:val="00A16F4E"/>
    <w:rsid w:val="00A17162"/>
    <w:rsid w:val="00A17A22"/>
    <w:rsid w:val="00A208B0"/>
    <w:rsid w:val="00A20949"/>
    <w:rsid w:val="00A21A86"/>
    <w:rsid w:val="00A21C4B"/>
    <w:rsid w:val="00A223AB"/>
    <w:rsid w:val="00A22D14"/>
    <w:rsid w:val="00A245B3"/>
    <w:rsid w:val="00A24AFA"/>
    <w:rsid w:val="00A24C20"/>
    <w:rsid w:val="00A2518F"/>
    <w:rsid w:val="00A255E5"/>
    <w:rsid w:val="00A25D0A"/>
    <w:rsid w:val="00A264E4"/>
    <w:rsid w:val="00A266A4"/>
    <w:rsid w:val="00A273DF"/>
    <w:rsid w:val="00A31243"/>
    <w:rsid w:val="00A312FC"/>
    <w:rsid w:val="00A318D8"/>
    <w:rsid w:val="00A31A84"/>
    <w:rsid w:val="00A326A4"/>
    <w:rsid w:val="00A326BA"/>
    <w:rsid w:val="00A327EF"/>
    <w:rsid w:val="00A32863"/>
    <w:rsid w:val="00A32D75"/>
    <w:rsid w:val="00A33A92"/>
    <w:rsid w:val="00A34449"/>
    <w:rsid w:val="00A348B7"/>
    <w:rsid w:val="00A34D3C"/>
    <w:rsid w:val="00A34DBE"/>
    <w:rsid w:val="00A34E7D"/>
    <w:rsid w:val="00A35566"/>
    <w:rsid w:val="00A35882"/>
    <w:rsid w:val="00A35F56"/>
    <w:rsid w:val="00A35FE6"/>
    <w:rsid w:val="00A37C13"/>
    <w:rsid w:val="00A37E26"/>
    <w:rsid w:val="00A410AD"/>
    <w:rsid w:val="00A410DB"/>
    <w:rsid w:val="00A430CD"/>
    <w:rsid w:val="00A43FFD"/>
    <w:rsid w:val="00A44356"/>
    <w:rsid w:val="00A448AD"/>
    <w:rsid w:val="00A448C1"/>
    <w:rsid w:val="00A45129"/>
    <w:rsid w:val="00A45402"/>
    <w:rsid w:val="00A4738F"/>
    <w:rsid w:val="00A47740"/>
    <w:rsid w:val="00A4775F"/>
    <w:rsid w:val="00A477C9"/>
    <w:rsid w:val="00A47A3E"/>
    <w:rsid w:val="00A47A43"/>
    <w:rsid w:val="00A505F9"/>
    <w:rsid w:val="00A50830"/>
    <w:rsid w:val="00A508BF"/>
    <w:rsid w:val="00A50943"/>
    <w:rsid w:val="00A50C77"/>
    <w:rsid w:val="00A518D1"/>
    <w:rsid w:val="00A52203"/>
    <w:rsid w:val="00A52253"/>
    <w:rsid w:val="00A5296D"/>
    <w:rsid w:val="00A52D1B"/>
    <w:rsid w:val="00A53916"/>
    <w:rsid w:val="00A54787"/>
    <w:rsid w:val="00A54BE3"/>
    <w:rsid w:val="00A551BA"/>
    <w:rsid w:val="00A5545B"/>
    <w:rsid w:val="00A56CE4"/>
    <w:rsid w:val="00A57419"/>
    <w:rsid w:val="00A577A2"/>
    <w:rsid w:val="00A577A4"/>
    <w:rsid w:val="00A57DC5"/>
    <w:rsid w:val="00A60B7B"/>
    <w:rsid w:val="00A60CEF"/>
    <w:rsid w:val="00A60DF4"/>
    <w:rsid w:val="00A615CC"/>
    <w:rsid w:val="00A618D9"/>
    <w:rsid w:val="00A61953"/>
    <w:rsid w:val="00A61E42"/>
    <w:rsid w:val="00A6250E"/>
    <w:rsid w:val="00A626A2"/>
    <w:rsid w:val="00A6398E"/>
    <w:rsid w:val="00A63D6A"/>
    <w:rsid w:val="00A6535B"/>
    <w:rsid w:val="00A65646"/>
    <w:rsid w:val="00A65AD0"/>
    <w:rsid w:val="00A6648B"/>
    <w:rsid w:val="00A6761A"/>
    <w:rsid w:val="00A706C8"/>
    <w:rsid w:val="00A71273"/>
    <w:rsid w:val="00A7153D"/>
    <w:rsid w:val="00A71E2E"/>
    <w:rsid w:val="00A7260A"/>
    <w:rsid w:val="00A737A7"/>
    <w:rsid w:val="00A73846"/>
    <w:rsid w:val="00A745F8"/>
    <w:rsid w:val="00A76052"/>
    <w:rsid w:val="00A76993"/>
    <w:rsid w:val="00A773FD"/>
    <w:rsid w:val="00A81C0A"/>
    <w:rsid w:val="00A82311"/>
    <w:rsid w:val="00A82852"/>
    <w:rsid w:val="00A831DF"/>
    <w:rsid w:val="00A8323D"/>
    <w:rsid w:val="00A83603"/>
    <w:rsid w:val="00A83BEC"/>
    <w:rsid w:val="00A84116"/>
    <w:rsid w:val="00A85302"/>
    <w:rsid w:val="00A85415"/>
    <w:rsid w:val="00A85B5A"/>
    <w:rsid w:val="00A85B7C"/>
    <w:rsid w:val="00A85C9E"/>
    <w:rsid w:val="00A86C65"/>
    <w:rsid w:val="00A86EF2"/>
    <w:rsid w:val="00A87B65"/>
    <w:rsid w:val="00A87C5B"/>
    <w:rsid w:val="00A90309"/>
    <w:rsid w:val="00A90707"/>
    <w:rsid w:val="00A92051"/>
    <w:rsid w:val="00A92724"/>
    <w:rsid w:val="00A92F6D"/>
    <w:rsid w:val="00A93B16"/>
    <w:rsid w:val="00A9409D"/>
    <w:rsid w:val="00A941B9"/>
    <w:rsid w:val="00A9490C"/>
    <w:rsid w:val="00A95718"/>
    <w:rsid w:val="00A9664A"/>
    <w:rsid w:val="00A96E67"/>
    <w:rsid w:val="00A970D1"/>
    <w:rsid w:val="00A97232"/>
    <w:rsid w:val="00A97410"/>
    <w:rsid w:val="00AA0534"/>
    <w:rsid w:val="00AA081A"/>
    <w:rsid w:val="00AA113A"/>
    <w:rsid w:val="00AA1508"/>
    <w:rsid w:val="00AA2928"/>
    <w:rsid w:val="00AA2E8C"/>
    <w:rsid w:val="00AA4376"/>
    <w:rsid w:val="00AA4EBC"/>
    <w:rsid w:val="00AA4F6C"/>
    <w:rsid w:val="00AA6FED"/>
    <w:rsid w:val="00AA7B28"/>
    <w:rsid w:val="00AB0114"/>
    <w:rsid w:val="00AB0129"/>
    <w:rsid w:val="00AB02DD"/>
    <w:rsid w:val="00AB058C"/>
    <w:rsid w:val="00AB060B"/>
    <w:rsid w:val="00AB0EB9"/>
    <w:rsid w:val="00AB100B"/>
    <w:rsid w:val="00AB113F"/>
    <w:rsid w:val="00AB1CEE"/>
    <w:rsid w:val="00AB249A"/>
    <w:rsid w:val="00AB24F9"/>
    <w:rsid w:val="00AB35E4"/>
    <w:rsid w:val="00AB4210"/>
    <w:rsid w:val="00AB574F"/>
    <w:rsid w:val="00AB693F"/>
    <w:rsid w:val="00AB6E8D"/>
    <w:rsid w:val="00AB7751"/>
    <w:rsid w:val="00AC0419"/>
    <w:rsid w:val="00AC0479"/>
    <w:rsid w:val="00AC0EA1"/>
    <w:rsid w:val="00AC1C8D"/>
    <w:rsid w:val="00AC3040"/>
    <w:rsid w:val="00AC3046"/>
    <w:rsid w:val="00AC31A9"/>
    <w:rsid w:val="00AC3C42"/>
    <w:rsid w:val="00AC461F"/>
    <w:rsid w:val="00AC4D59"/>
    <w:rsid w:val="00AC4E40"/>
    <w:rsid w:val="00AC4ED5"/>
    <w:rsid w:val="00AC4FD5"/>
    <w:rsid w:val="00AC59E1"/>
    <w:rsid w:val="00AC6308"/>
    <w:rsid w:val="00AC673B"/>
    <w:rsid w:val="00AC6B9D"/>
    <w:rsid w:val="00AD0083"/>
    <w:rsid w:val="00AD02C0"/>
    <w:rsid w:val="00AD0B95"/>
    <w:rsid w:val="00AD1B74"/>
    <w:rsid w:val="00AD1C17"/>
    <w:rsid w:val="00AD2884"/>
    <w:rsid w:val="00AD3087"/>
    <w:rsid w:val="00AD3384"/>
    <w:rsid w:val="00AD3B4B"/>
    <w:rsid w:val="00AD3D5D"/>
    <w:rsid w:val="00AD4551"/>
    <w:rsid w:val="00AD4C8C"/>
    <w:rsid w:val="00AD572D"/>
    <w:rsid w:val="00AD5A9E"/>
    <w:rsid w:val="00AD6068"/>
    <w:rsid w:val="00AD74C6"/>
    <w:rsid w:val="00AD7560"/>
    <w:rsid w:val="00AD758F"/>
    <w:rsid w:val="00AE0499"/>
    <w:rsid w:val="00AE1ECA"/>
    <w:rsid w:val="00AE1F4D"/>
    <w:rsid w:val="00AE2AD2"/>
    <w:rsid w:val="00AE38B9"/>
    <w:rsid w:val="00AE4060"/>
    <w:rsid w:val="00AE43DA"/>
    <w:rsid w:val="00AE497F"/>
    <w:rsid w:val="00AE5B20"/>
    <w:rsid w:val="00AE5BD0"/>
    <w:rsid w:val="00AE5BFB"/>
    <w:rsid w:val="00AE5C7E"/>
    <w:rsid w:val="00AE6259"/>
    <w:rsid w:val="00AE6275"/>
    <w:rsid w:val="00AE634D"/>
    <w:rsid w:val="00AE65A1"/>
    <w:rsid w:val="00AE6C2F"/>
    <w:rsid w:val="00AE7053"/>
    <w:rsid w:val="00AF0286"/>
    <w:rsid w:val="00AF02F2"/>
    <w:rsid w:val="00AF03A4"/>
    <w:rsid w:val="00AF0645"/>
    <w:rsid w:val="00AF0AAA"/>
    <w:rsid w:val="00AF1864"/>
    <w:rsid w:val="00AF2346"/>
    <w:rsid w:val="00AF3CAD"/>
    <w:rsid w:val="00AF4747"/>
    <w:rsid w:val="00AF4756"/>
    <w:rsid w:val="00AF4C85"/>
    <w:rsid w:val="00AF59D5"/>
    <w:rsid w:val="00AF63B3"/>
    <w:rsid w:val="00AF70D7"/>
    <w:rsid w:val="00AF72AD"/>
    <w:rsid w:val="00AF73F8"/>
    <w:rsid w:val="00B0035E"/>
    <w:rsid w:val="00B00758"/>
    <w:rsid w:val="00B009CE"/>
    <w:rsid w:val="00B01010"/>
    <w:rsid w:val="00B01121"/>
    <w:rsid w:val="00B01508"/>
    <w:rsid w:val="00B019A1"/>
    <w:rsid w:val="00B0253A"/>
    <w:rsid w:val="00B0267C"/>
    <w:rsid w:val="00B0299B"/>
    <w:rsid w:val="00B03681"/>
    <w:rsid w:val="00B03CEE"/>
    <w:rsid w:val="00B0503D"/>
    <w:rsid w:val="00B059C8"/>
    <w:rsid w:val="00B05F17"/>
    <w:rsid w:val="00B0604F"/>
    <w:rsid w:val="00B065A5"/>
    <w:rsid w:val="00B06B3F"/>
    <w:rsid w:val="00B076CA"/>
    <w:rsid w:val="00B076DA"/>
    <w:rsid w:val="00B10B1D"/>
    <w:rsid w:val="00B10E84"/>
    <w:rsid w:val="00B117C7"/>
    <w:rsid w:val="00B12A86"/>
    <w:rsid w:val="00B12B37"/>
    <w:rsid w:val="00B13014"/>
    <w:rsid w:val="00B135EB"/>
    <w:rsid w:val="00B139D4"/>
    <w:rsid w:val="00B14A26"/>
    <w:rsid w:val="00B14ABA"/>
    <w:rsid w:val="00B14D43"/>
    <w:rsid w:val="00B15702"/>
    <w:rsid w:val="00B16BB2"/>
    <w:rsid w:val="00B16D5F"/>
    <w:rsid w:val="00B1773A"/>
    <w:rsid w:val="00B17A4B"/>
    <w:rsid w:val="00B2051A"/>
    <w:rsid w:val="00B209E6"/>
    <w:rsid w:val="00B20D11"/>
    <w:rsid w:val="00B21236"/>
    <w:rsid w:val="00B21343"/>
    <w:rsid w:val="00B21DA0"/>
    <w:rsid w:val="00B21F89"/>
    <w:rsid w:val="00B225B7"/>
    <w:rsid w:val="00B2265B"/>
    <w:rsid w:val="00B2284C"/>
    <w:rsid w:val="00B238E1"/>
    <w:rsid w:val="00B23A5D"/>
    <w:rsid w:val="00B23B57"/>
    <w:rsid w:val="00B24532"/>
    <w:rsid w:val="00B247B7"/>
    <w:rsid w:val="00B24970"/>
    <w:rsid w:val="00B24C71"/>
    <w:rsid w:val="00B24D18"/>
    <w:rsid w:val="00B24D8F"/>
    <w:rsid w:val="00B24F9A"/>
    <w:rsid w:val="00B25898"/>
    <w:rsid w:val="00B25C74"/>
    <w:rsid w:val="00B26971"/>
    <w:rsid w:val="00B3105E"/>
    <w:rsid w:val="00B313B3"/>
    <w:rsid w:val="00B318CA"/>
    <w:rsid w:val="00B32E6E"/>
    <w:rsid w:val="00B333D1"/>
    <w:rsid w:val="00B334ED"/>
    <w:rsid w:val="00B33F22"/>
    <w:rsid w:val="00B345B5"/>
    <w:rsid w:val="00B346C6"/>
    <w:rsid w:val="00B34E92"/>
    <w:rsid w:val="00B35482"/>
    <w:rsid w:val="00B35620"/>
    <w:rsid w:val="00B36AAB"/>
    <w:rsid w:val="00B36FA0"/>
    <w:rsid w:val="00B37CDE"/>
    <w:rsid w:val="00B40619"/>
    <w:rsid w:val="00B407EA"/>
    <w:rsid w:val="00B4124C"/>
    <w:rsid w:val="00B412B8"/>
    <w:rsid w:val="00B41617"/>
    <w:rsid w:val="00B418D4"/>
    <w:rsid w:val="00B420B7"/>
    <w:rsid w:val="00B42113"/>
    <w:rsid w:val="00B436E4"/>
    <w:rsid w:val="00B43CE0"/>
    <w:rsid w:val="00B4518A"/>
    <w:rsid w:val="00B455E6"/>
    <w:rsid w:val="00B458B1"/>
    <w:rsid w:val="00B46583"/>
    <w:rsid w:val="00B46BA5"/>
    <w:rsid w:val="00B46E74"/>
    <w:rsid w:val="00B47049"/>
    <w:rsid w:val="00B507BE"/>
    <w:rsid w:val="00B51760"/>
    <w:rsid w:val="00B520FD"/>
    <w:rsid w:val="00B5288E"/>
    <w:rsid w:val="00B52903"/>
    <w:rsid w:val="00B52C7E"/>
    <w:rsid w:val="00B531AB"/>
    <w:rsid w:val="00B5359D"/>
    <w:rsid w:val="00B5506F"/>
    <w:rsid w:val="00B55A25"/>
    <w:rsid w:val="00B55D0C"/>
    <w:rsid w:val="00B55F2E"/>
    <w:rsid w:val="00B56255"/>
    <w:rsid w:val="00B56695"/>
    <w:rsid w:val="00B56BA8"/>
    <w:rsid w:val="00B570CF"/>
    <w:rsid w:val="00B572CD"/>
    <w:rsid w:val="00B57BDD"/>
    <w:rsid w:val="00B60191"/>
    <w:rsid w:val="00B6100F"/>
    <w:rsid w:val="00B61899"/>
    <w:rsid w:val="00B61AA0"/>
    <w:rsid w:val="00B62BDF"/>
    <w:rsid w:val="00B62E6E"/>
    <w:rsid w:val="00B62F31"/>
    <w:rsid w:val="00B634DD"/>
    <w:rsid w:val="00B655F3"/>
    <w:rsid w:val="00B663F5"/>
    <w:rsid w:val="00B66508"/>
    <w:rsid w:val="00B66AFC"/>
    <w:rsid w:val="00B67416"/>
    <w:rsid w:val="00B675D6"/>
    <w:rsid w:val="00B700D7"/>
    <w:rsid w:val="00B70279"/>
    <w:rsid w:val="00B70497"/>
    <w:rsid w:val="00B707B2"/>
    <w:rsid w:val="00B71B6D"/>
    <w:rsid w:val="00B733A8"/>
    <w:rsid w:val="00B736E7"/>
    <w:rsid w:val="00B74AFD"/>
    <w:rsid w:val="00B750DF"/>
    <w:rsid w:val="00B7595E"/>
    <w:rsid w:val="00B75B9E"/>
    <w:rsid w:val="00B7680C"/>
    <w:rsid w:val="00B76B9F"/>
    <w:rsid w:val="00B76E9D"/>
    <w:rsid w:val="00B77AE5"/>
    <w:rsid w:val="00B80048"/>
    <w:rsid w:val="00B8095A"/>
    <w:rsid w:val="00B80AD9"/>
    <w:rsid w:val="00B813BC"/>
    <w:rsid w:val="00B81A1D"/>
    <w:rsid w:val="00B824FD"/>
    <w:rsid w:val="00B82F19"/>
    <w:rsid w:val="00B83180"/>
    <w:rsid w:val="00B8367E"/>
    <w:rsid w:val="00B84186"/>
    <w:rsid w:val="00B84BA3"/>
    <w:rsid w:val="00B8502D"/>
    <w:rsid w:val="00B85E0E"/>
    <w:rsid w:val="00B86104"/>
    <w:rsid w:val="00B86390"/>
    <w:rsid w:val="00B86BF2"/>
    <w:rsid w:val="00B8786C"/>
    <w:rsid w:val="00B87A55"/>
    <w:rsid w:val="00B902C2"/>
    <w:rsid w:val="00B90ACD"/>
    <w:rsid w:val="00B90C64"/>
    <w:rsid w:val="00B91A3D"/>
    <w:rsid w:val="00B91C25"/>
    <w:rsid w:val="00B92348"/>
    <w:rsid w:val="00B924F6"/>
    <w:rsid w:val="00B928FB"/>
    <w:rsid w:val="00B947B2"/>
    <w:rsid w:val="00B94C36"/>
    <w:rsid w:val="00B952C3"/>
    <w:rsid w:val="00B95439"/>
    <w:rsid w:val="00B95F66"/>
    <w:rsid w:val="00B96105"/>
    <w:rsid w:val="00B96674"/>
    <w:rsid w:val="00B96A40"/>
    <w:rsid w:val="00B96BB3"/>
    <w:rsid w:val="00B96C0F"/>
    <w:rsid w:val="00B9734A"/>
    <w:rsid w:val="00B97E1D"/>
    <w:rsid w:val="00BA02EA"/>
    <w:rsid w:val="00BA1697"/>
    <w:rsid w:val="00BA1B03"/>
    <w:rsid w:val="00BA2BE0"/>
    <w:rsid w:val="00BA38F6"/>
    <w:rsid w:val="00BA49FA"/>
    <w:rsid w:val="00BA4E66"/>
    <w:rsid w:val="00BA4F30"/>
    <w:rsid w:val="00BA55FB"/>
    <w:rsid w:val="00BA5A07"/>
    <w:rsid w:val="00BA5AC7"/>
    <w:rsid w:val="00BA5DF2"/>
    <w:rsid w:val="00BA671A"/>
    <w:rsid w:val="00BA7037"/>
    <w:rsid w:val="00BA7AB2"/>
    <w:rsid w:val="00BA7E78"/>
    <w:rsid w:val="00BA7F9E"/>
    <w:rsid w:val="00BB0031"/>
    <w:rsid w:val="00BB0229"/>
    <w:rsid w:val="00BB05CA"/>
    <w:rsid w:val="00BB0D0D"/>
    <w:rsid w:val="00BB10D7"/>
    <w:rsid w:val="00BB16F8"/>
    <w:rsid w:val="00BB2BCF"/>
    <w:rsid w:val="00BB32F4"/>
    <w:rsid w:val="00BB3ABF"/>
    <w:rsid w:val="00BB41FE"/>
    <w:rsid w:val="00BB428F"/>
    <w:rsid w:val="00BB4B5A"/>
    <w:rsid w:val="00BB5A41"/>
    <w:rsid w:val="00BB623D"/>
    <w:rsid w:val="00BB7069"/>
    <w:rsid w:val="00BB7171"/>
    <w:rsid w:val="00BB7549"/>
    <w:rsid w:val="00BB77F5"/>
    <w:rsid w:val="00BB7CB8"/>
    <w:rsid w:val="00BB7E29"/>
    <w:rsid w:val="00BB7ECF"/>
    <w:rsid w:val="00BC0099"/>
    <w:rsid w:val="00BC04AD"/>
    <w:rsid w:val="00BC058C"/>
    <w:rsid w:val="00BC082C"/>
    <w:rsid w:val="00BC0AB6"/>
    <w:rsid w:val="00BC0F7C"/>
    <w:rsid w:val="00BC15AE"/>
    <w:rsid w:val="00BC20D1"/>
    <w:rsid w:val="00BC2284"/>
    <w:rsid w:val="00BC238F"/>
    <w:rsid w:val="00BC27FE"/>
    <w:rsid w:val="00BC389E"/>
    <w:rsid w:val="00BC3B41"/>
    <w:rsid w:val="00BC5707"/>
    <w:rsid w:val="00BC5DC4"/>
    <w:rsid w:val="00BC6AB6"/>
    <w:rsid w:val="00BC6AE5"/>
    <w:rsid w:val="00BC774A"/>
    <w:rsid w:val="00BC7BCA"/>
    <w:rsid w:val="00BD13D0"/>
    <w:rsid w:val="00BD19E6"/>
    <w:rsid w:val="00BD1BBA"/>
    <w:rsid w:val="00BD2105"/>
    <w:rsid w:val="00BD2563"/>
    <w:rsid w:val="00BD280C"/>
    <w:rsid w:val="00BD2982"/>
    <w:rsid w:val="00BD2B1B"/>
    <w:rsid w:val="00BD2BD5"/>
    <w:rsid w:val="00BD42FB"/>
    <w:rsid w:val="00BD4CA2"/>
    <w:rsid w:val="00BD5554"/>
    <w:rsid w:val="00BD56C8"/>
    <w:rsid w:val="00BD61F4"/>
    <w:rsid w:val="00BD64C2"/>
    <w:rsid w:val="00BD65CE"/>
    <w:rsid w:val="00BD6C61"/>
    <w:rsid w:val="00BD768C"/>
    <w:rsid w:val="00BD7A8B"/>
    <w:rsid w:val="00BD7BD2"/>
    <w:rsid w:val="00BD7C52"/>
    <w:rsid w:val="00BD7EA5"/>
    <w:rsid w:val="00BE02E1"/>
    <w:rsid w:val="00BE0D4B"/>
    <w:rsid w:val="00BE0DC0"/>
    <w:rsid w:val="00BE1216"/>
    <w:rsid w:val="00BE12E7"/>
    <w:rsid w:val="00BE1884"/>
    <w:rsid w:val="00BE2957"/>
    <w:rsid w:val="00BE353B"/>
    <w:rsid w:val="00BE3580"/>
    <w:rsid w:val="00BE55AC"/>
    <w:rsid w:val="00BE5796"/>
    <w:rsid w:val="00BE582F"/>
    <w:rsid w:val="00BE5DED"/>
    <w:rsid w:val="00BE6ACC"/>
    <w:rsid w:val="00BE6BBC"/>
    <w:rsid w:val="00BE7068"/>
    <w:rsid w:val="00BE7964"/>
    <w:rsid w:val="00BE7E98"/>
    <w:rsid w:val="00BF00E5"/>
    <w:rsid w:val="00BF0553"/>
    <w:rsid w:val="00BF09B7"/>
    <w:rsid w:val="00BF0A9E"/>
    <w:rsid w:val="00BF1AF5"/>
    <w:rsid w:val="00BF25A9"/>
    <w:rsid w:val="00BF27BE"/>
    <w:rsid w:val="00BF2EDA"/>
    <w:rsid w:val="00BF3C48"/>
    <w:rsid w:val="00BF500E"/>
    <w:rsid w:val="00BF573F"/>
    <w:rsid w:val="00BF6C4F"/>
    <w:rsid w:val="00BF704B"/>
    <w:rsid w:val="00BF767F"/>
    <w:rsid w:val="00BF7B3E"/>
    <w:rsid w:val="00C00116"/>
    <w:rsid w:val="00C0095B"/>
    <w:rsid w:val="00C00DF0"/>
    <w:rsid w:val="00C0114A"/>
    <w:rsid w:val="00C01A83"/>
    <w:rsid w:val="00C01D51"/>
    <w:rsid w:val="00C02CC0"/>
    <w:rsid w:val="00C02E46"/>
    <w:rsid w:val="00C030EB"/>
    <w:rsid w:val="00C03F5C"/>
    <w:rsid w:val="00C042DD"/>
    <w:rsid w:val="00C04635"/>
    <w:rsid w:val="00C04EA9"/>
    <w:rsid w:val="00C05025"/>
    <w:rsid w:val="00C060E1"/>
    <w:rsid w:val="00C066D1"/>
    <w:rsid w:val="00C06F46"/>
    <w:rsid w:val="00C06F89"/>
    <w:rsid w:val="00C070FC"/>
    <w:rsid w:val="00C07300"/>
    <w:rsid w:val="00C07760"/>
    <w:rsid w:val="00C10770"/>
    <w:rsid w:val="00C11480"/>
    <w:rsid w:val="00C12A00"/>
    <w:rsid w:val="00C1335E"/>
    <w:rsid w:val="00C13AEE"/>
    <w:rsid w:val="00C14D9E"/>
    <w:rsid w:val="00C1568F"/>
    <w:rsid w:val="00C157A9"/>
    <w:rsid w:val="00C1608E"/>
    <w:rsid w:val="00C1681A"/>
    <w:rsid w:val="00C1713B"/>
    <w:rsid w:val="00C2097D"/>
    <w:rsid w:val="00C20B34"/>
    <w:rsid w:val="00C20D68"/>
    <w:rsid w:val="00C211F7"/>
    <w:rsid w:val="00C23E66"/>
    <w:rsid w:val="00C25599"/>
    <w:rsid w:val="00C25E5C"/>
    <w:rsid w:val="00C27029"/>
    <w:rsid w:val="00C2784F"/>
    <w:rsid w:val="00C30A3F"/>
    <w:rsid w:val="00C31247"/>
    <w:rsid w:val="00C3142A"/>
    <w:rsid w:val="00C32172"/>
    <w:rsid w:val="00C32DCF"/>
    <w:rsid w:val="00C32F03"/>
    <w:rsid w:val="00C33E19"/>
    <w:rsid w:val="00C33F63"/>
    <w:rsid w:val="00C344C9"/>
    <w:rsid w:val="00C34D5B"/>
    <w:rsid w:val="00C34D6B"/>
    <w:rsid w:val="00C354C6"/>
    <w:rsid w:val="00C3608F"/>
    <w:rsid w:val="00C3768F"/>
    <w:rsid w:val="00C407E7"/>
    <w:rsid w:val="00C40BAA"/>
    <w:rsid w:val="00C41D7D"/>
    <w:rsid w:val="00C41E93"/>
    <w:rsid w:val="00C44033"/>
    <w:rsid w:val="00C44554"/>
    <w:rsid w:val="00C4648F"/>
    <w:rsid w:val="00C46DD2"/>
    <w:rsid w:val="00C478B4"/>
    <w:rsid w:val="00C500F0"/>
    <w:rsid w:val="00C51032"/>
    <w:rsid w:val="00C51A0E"/>
    <w:rsid w:val="00C520B1"/>
    <w:rsid w:val="00C5239D"/>
    <w:rsid w:val="00C5256C"/>
    <w:rsid w:val="00C525C3"/>
    <w:rsid w:val="00C52ECE"/>
    <w:rsid w:val="00C53104"/>
    <w:rsid w:val="00C53415"/>
    <w:rsid w:val="00C53B25"/>
    <w:rsid w:val="00C55248"/>
    <w:rsid w:val="00C57033"/>
    <w:rsid w:val="00C5772B"/>
    <w:rsid w:val="00C57732"/>
    <w:rsid w:val="00C57918"/>
    <w:rsid w:val="00C60ECD"/>
    <w:rsid w:val="00C61687"/>
    <w:rsid w:val="00C62E3D"/>
    <w:rsid w:val="00C63045"/>
    <w:rsid w:val="00C634F4"/>
    <w:rsid w:val="00C63A1D"/>
    <w:rsid w:val="00C63D0D"/>
    <w:rsid w:val="00C64BB4"/>
    <w:rsid w:val="00C64C9B"/>
    <w:rsid w:val="00C658E2"/>
    <w:rsid w:val="00C65FDB"/>
    <w:rsid w:val="00C673D8"/>
    <w:rsid w:val="00C67422"/>
    <w:rsid w:val="00C67960"/>
    <w:rsid w:val="00C67BB4"/>
    <w:rsid w:val="00C710C0"/>
    <w:rsid w:val="00C7203D"/>
    <w:rsid w:val="00C72A67"/>
    <w:rsid w:val="00C72C85"/>
    <w:rsid w:val="00C72F85"/>
    <w:rsid w:val="00C72FA0"/>
    <w:rsid w:val="00C741C5"/>
    <w:rsid w:val="00C74817"/>
    <w:rsid w:val="00C7562A"/>
    <w:rsid w:val="00C75AA6"/>
    <w:rsid w:val="00C76073"/>
    <w:rsid w:val="00C7668F"/>
    <w:rsid w:val="00C767FC"/>
    <w:rsid w:val="00C77872"/>
    <w:rsid w:val="00C77A57"/>
    <w:rsid w:val="00C801CD"/>
    <w:rsid w:val="00C80201"/>
    <w:rsid w:val="00C8056D"/>
    <w:rsid w:val="00C81F05"/>
    <w:rsid w:val="00C82370"/>
    <w:rsid w:val="00C82D5E"/>
    <w:rsid w:val="00C83592"/>
    <w:rsid w:val="00C836FE"/>
    <w:rsid w:val="00C83A23"/>
    <w:rsid w:val="00C84376"/>
    <w:rsid w:val="00C84C92"/>
    <w:rsid w:val="00C85C21"/>
    <w:rsid w:val="00C85EB1"/>
    <w:rsid w:val="00C8771F"/>
    <w:rsid w:val="00C87CB0"/>
    <w:rsid w:val="00C90621"/>
    <w:rsid w:val="00C910D3"/>
    <w:rsid w:val="00C912D7"/>
    <w:rsid w:val="00C91C90"/>
    <w:rsid w:val="00C921AD"/>
    <w:rsid w:val="00C9325F"/>
    <w:rsid w:val="00C93436"/>
    <w:rsid w:val="00C93BB7"/>
    <w:rsid w:val="00C94475"/>
    <w:rsid w:val="00C94A24"/>
    <w:rsid w:val="00C94E02"/>
    <w:rsid w:val="00C967FE"/>
    <w:rsid w:val="00C970F7"/>
    <w:rsid w:val="00C975D7"/>
    <w:rsid w:val="00C97F4A"/>
    <w:rsid w:val="00CA0217"/>
    <w:rsid w:val="00CA0881"/>
    <w:rsid w:val="00CA0F31"/>
    <w:rsid w:val="00CA10CA"/>
    <w:rsid w:val="00CA1A8B"/>
    <w:rsid w:val="00CA1AC6"/>
    <w:rsid w:val="00CA22DF"/>
    <w:rsid w:val="00CA29E5"/>
    <w:rsid w:val="00CA3114"/>
    <w:rsid w:val="00CA344C"/>
    <w:rsid w:val="00CA3874"/>
    <w:rsid w:val="00CA42C6"/>
    <w:rsid w:val="00CA4588"/>
    <w:rsid w:val="00CA4655"/>
    <w:rsid w:val="00CA4A28"/>
    <w:rsid w:val="00CA5DF6"/>
    <w:rsid w:val="00CA6319"/>
    <w:rsid w:val="00CA67E9"/>
    <w:rsid w:val="00CA6813"/>
    <w:rsid w:val="00CA6B36"/>
    <w:rsid w:val="00CA6E55"/>
    <w:rsid w:val="00CA70B9"/>
    <w:rsid w:val="00CA7F3B"/>
    <w:rsid w:val="00CB09EA"/>
    <w:rsid w:val="00CB125B"/>
    <w:rsid w:val="00CB12A4"/>
    <w:rsid w:val="00CB148C"/>
    <w:rsid w:val="00CB1546"/>
    <w:rsid w:val="00CB2CB9"/>
    <w:rsid w:val="00CB3315"/>
    <w:rsid w:val="00CB67B7"/>
    <w:rsid w:val="00CB76E1"/>
    <w:rsid w:val="00CC02FF"/>
    <w:rsid w:val="00CC0C7A"/>
    <w:rsid w:val="00CC1774"/>
    <w:rsid w:val="00CC255A"/>
    <w:rsid w:val="00CC3A99"/>
    <w:rsid w:val="00CC4646"/>
    <w:rsid w:val="00CC468F"/>
    <w:rsid w:val="00CC4792"/>
    <w:rsid w:val="00CC4CA2"/>
    <w:rsid w:val="00CC6E7B"/>
    <w:rsid w:val="00CC70F8"/>
    <w:rsid w:val="00CC715F"/>
    <w:rsid w:val="00CC7695"/>
    <w:rsid w:val="00CD09D2"/>
    <w:rsid w:val="00CD162A"/>
    <w:rsid w:val="00CD170D"/>
    <w:rsid w:val="00CD1C3D"/>
    <w:rsid w:val="00CD226A"/>
    <w:rsid w:val="00CD30FE"/>
    <w:rsid w:val="00CD313B"/>
    <w:rsid w:val="00CD32AC"/>
    <w:rsid w:val="00CD3375"/>
    <w:rsid w:val="00CD3994"/>
    <w:rsid w:val="00CD3A75"/>
    <w:rsid w:val="00CD4302"/>
    <w:rsid w:val="00CD4580"/>
    <w:rsid w:val="00CD58BF"/>
    <w:rsid w:val="00CD665A"/>
    <w:rsid w:val="00CD70E5"/>
    <w:rsid w:val="00CE01B4"/>
    <w:rsid w:val="00CE0F8D"/>
    <w:rsid w:val="00CE12AF"/>
    <w:rsid w:val="00CE3165"/>
    <w:rsid w:val="00CE3342"/>
    <w:rsid w:val="00CE4589"/>
    <w:rsid w:val="00CE4E51"/>
    <w:rsid w:val="00CE5CB4"/>
    <w:rsid w:val="00CE68E2"/>
    <w:rsid w:val="00CF0A7B"/>
    <w:rsid w:val="00CF1396"/>
    <w:rsid w:val="00CF17B2"/>
    <w:rsid w:val="00CF1AD4"/>
    <w:rsid w:val="00CF29B1"/>
    <w:rsid w:val="00CF3767"/>
    <w:rsid w:val="00CF3EF5"/>
    <w:rsid w:val="00CF3F95"/>
    <w:rsid w:val="00CF4402"/>
    <w:rsid w:val="00CF4A64"/>
    <w:rsid w:val="00CF4AE1"/>
    <w:rsid w:val="00CF4FBA"/>
    <w:rsid w:val="00CF5519"/>
    <w:rsid w:val="00CF554B"/>
    <w:rsid w:val="00CF58D6"/>
    <w:rsid w:val="00CF65AF"/>
    <w:rsid w:val="00CF705E"/>
    <w:rsid w:val="00CF7099"/>
    <w:rsid w:val="00CF75AD"/>
    <w:rsid w:val="00CF75DF"/>
    <w:rsid w:val="00CF788F"/>
    <w:rsid w:val="00CF7943"/>
    <w:rsid w:val="00CF79CD"/>
    <w:rsid w:val="00D0020C"/>
    <w:rsid w:val="00D004DA"/>
    <w:rsid w:val="00D00A86"/>
    <w:rsid w:val="00D00C54"/>
    <w:rsid w:val="00D01072"/>
    <w:rsid w:val="00D01585"/>
    <w:rsid w:val="00D01F5D"/>
    <w:rsid w:val="00D024F6"/>
    <w:rsid w:val="00D026F9"/>
    <w:rsid w:val="00D02A7A"/>
    <w:rsid w:val="00D02B3C"/>
    <w:rsid w:val="00D02C30"/>
    <w:rsid w:val="00D02FE6"/>
    <w:rsid w:val="00D03ACF"/>
    <w:rsid w:val="00D047F8"/>
    <w:rsid w:val="00D04A08"/>
    <w:rsid w:val="00D053DB"/>
    <w:rsid w:val="00D05D8F"/>
    <w:rsid w:val="00D06A18"/>
    <w:rsid w:val="00D06C0D"/>
    <w:rsid w:val="00D06DDE"/>
    <w:rsid w:val="00D07C1D"/>
    <w:rsid w:val="00D10947"/>
    <w:rsid w:val="00D10F4D"/>
    <w:rsid w:val="00D123F0"/>
    <w:rsid w:val="00D125B3"/>
    <w:rsid w:val="00D126C1"/>
    <w:rsid w:val="00D126C4"/>
    <w:rsid w:val="00D128DE"/>
    <w:rsid w:val="00D12A61"/>
    <w:rsid w:val="00D1376C"/>
    <w:rsid w:val="00D14008"/>
    <w:rsid w:val="00D144BB"/>
    <w:rsid w:val="00D15477"/>
    <w:rsid w:val="00D15FCA"/>
    <w:rsid w:val="00D16154"/>
    <w:rsid w:val="00D1735A"/>
    <w:rsid w:val="00D205D4"/>
    <w:rsid w:val="00D20A8E"/>
    <w:rsid w:val="00D2182C"/>
    <w:rsid w:val="00D222C7"/>
    <w:rsid w:val="00D22455"/>
    <w:rsid w:val="00D2309D"/>
    <w:rsid w:val="00D23452"/>
    <w:rsid w:val="00D2362B"/>
    <w:rsid w:val="00D24B03"/>
    <w:rsid w:val="00D262C2"/>
    <w:rsid w:val="00D27E03"/>
    <w:rsid w:val="00D301FC"/>
    <w:rsid w:val="00D30B94"/>
    <w:rsid w:val="00D30F57"/>
    <w:rsid w:val="00D31A73"/>
    <w:rsid w:val="00D33BF7"/>
    <w:rsid w:val="00D352F3"/>
    <w:rsid w:val="00D3534A"/>
    <w:rsid w:val="00D35AAD"/>
    <w:rsid w:val="00D35C74"/>
    <w:rsid w:val="00D3612C"/>
    <w:rsid w:val="00D36323"/>
    <w:rsid w:val="00D372DB"/>
    <w:rsid w:val="00D4003C"/>
    <w:rsid w:val="00D400D6"/>
    <w:rsid w:val="00D407F8"/>
    <w:rsid w:val="00D41C0E"/>
    <w:rsid w:val="00D4221A"/>
    <w:rsid w:val="00D42234"/>
    <w:rsid w:val="00D4234A"/>
    <w:rsid w:val="00D4245C"/>
    <w:rsid w:val="00D42DF4"/>
    <w:rsid w:val="00D42F02"/>
    <w:rsid w:val="00D433D2"/>
    <w:rsid w:val="00D435B0"/>
    <w:rsid w:val="00D435B8"/>
    <w:rsid w:val="00D44CBE"/>
    <w:rsid w:val="00D44E6E"/>
    <w:rsid w:val="00D453A0"/>
    <w:rsid w:val="00D454E1"/>
    <w:rsid w:val="00D45777"/>
    <w:rsid w:val="00D45B3D"/>
    <w:rsid w:val="00D45DB9"/>
    <w:rsid w:val="00D46647"/>
    <w:rsid w:val="00D468EC"/>
    <w:rsid w:val="00D474B2"/>
    <w:rsid w:val="00D478D0"/>
    <w:rsid w:val="00D47D71"/>
    <w:rsid w:val="00D47FED"/>
    <w:rsid w:val="00D5069D"/>
    <w:rsid w:val="00D507F4"/>
    <w:rsid w:val="00D507F5"/>
    <w:rsid w:val="00D50C0A"/>
    <w:rsid w:val="00D514A2"/>
    <w:rsid w:val="00D51B9B"/>
    <w:rsid w:val="00D51D67"/>
    <w:rsid w:val="00D522F6"/>
    <w:rsid w:val="00D527F7"/>
    <w:rsid w:val="00D52BAE"/>
    <w:rsid w:val="00D542C6"/>
    <w:rsid w:val="00D54364"/>
    <w:rsid w:val="00D548D8"/>
    <w:rsid w:val="00D54D70"/>
    <w:rsid w:val="00D54F9D"/>
    <w:rsid w:val="00D553D2"/>
    <w:rsid w:val="00D55811"/>
    <w:rsid w:val="00D558F7"/>
    <w:rsid w:val="00D5622D"/>
    <w:rsid w:val="00D56695"/>
    <w:rsid w:val="00D57630"/>
    <w:rsid w:val="00D60347"/>
    <w:rsid w:val="00D60762"/>
    <w:rsid w:val="00D60826"/>
    <w:rsid w:val="00D62A4F"/>
    <w:rsid w:val="00D63902"/>
    <w:rsid w:val="00D63CD7"/>
    <w:rsid w:val="00D644B2"/>
    <w:rsid w:val="00D645C1"/>
    <w:rsid w:val="00D64888"/>
    <w:rsid w:val="00D65FE0"/>
    <w:rsid w:val="00D660E9"/>
    <w:rsid w:val="00D668B8"/>
    <w:rsid w:val="00D67A40"/>
    <w:rsid w:val="00D70825"/>
    <w:rsid w:val="00D710BF"/>
    <w:rsid w:val="00D72D38"/>
    <w:rsid w:val="00D73B8F"/>
    <w:rsid w:val="00D73F61"/>
    <w:rsid w:val="00D740C1"/>
    <w:rsid w:val="00D7490C"/>
    <w:rsid w:val="00D74EC4"/>
    <w:rsid w:val="00D74FA7"/>
    <w:rsid w:val="00D7558E"/>
    <w:rsid w:val="00D75AD2"/>
    <w:rsid w:val="00D75FCC"/>
    <w:rsid w:val="00D76421"/>
    <w:rsid w:val="00D76BFD"/>
    <w:rsid w:val="00D80362"/>
    <w:rsid w:val="00D804D0"/>
    <w:rsid w:val="00D8097B"/>
    <w:rsid w:val="00D81EB2"/>
    <w:rsid w:val="00D82695"/>
    <w:rsid w:val="00D83416"/>
    <w:rsid w:val="00D84110"/>
    <w:rsid w:val="00D84C8A"/>
    <w:rsid w:val="00D85309"/>
    <w:rsid w:val="00D863C9"/>
    <w:rsid w:val="00D86C14"/>
    <w:rsid w:val="00D87B80"/>
    <w:rsid w:val="00D90B8B"/>
    <w:rsid w:val="00D90D1B"/>
    <w:rsid w:val="00D9149C"/>
    <w:rsid w:val="00D927DC"/>
    <w:rsid w:val="00D92A2B"/>
    <w:rsid w:val="00D93287"/>
    <w:rsid w:val="00D93517"/>
    <w:rsid w:val="00D93D15"/>
    <w:rsid w:val="00D93DAE"/>
    <w:rsid w:val="00D94DB7"/>
    <w:rsid w:val="00D94E0F"/>
    <w:rsid w:val="00D9505E"/>
    <w:rsid w:val="00D95716"/>
    <w:rsid w:val="00D95B88"/>
    <w:rsid w:val="00D95BB8"/>
    <w:rsid w:val="00D96696"/>
    <w:rsid w:val="00D96B03"/>
    <w:rsid w:val="00D97632"/>
    <w:rsid w:val="00D97D6E"/>
    <w:rsid w:val="00DA05A3"/>
    <w:rsid w:val="00DA0A7A"/>
    <w:rsid w:val="00DA272E"/>
    <w:rsid w:val="00DA2862"/>
    <w:rsid w:val="00DA2C62"/>
    <w:rsid w:val="00DA2E6E"/>
    <w:rsid w:val="00DA3038"/>
    <w:rsid w:val="00DA3BAB"/>
    <w:rsid w:val="00DA44C2"/>
    <w:rsid w:val="00DA4827"/>
    <w:rsid w:val="00DA5277"/>
    <w:rsid w:val="00DA531C"/>
    <w:rsid w:val="00DA5BBF"/>
    <w:rsid w:val="00DA5F8B"/>
    <w:rsid w:val="00DA6356"/>
    <w:rsid w:val="00DA6BB7"/>
    <w:rsid w:val="00DA7214"/>
    <w:rsid w:val="00DA7C20"/>
    <w:rsid w:val="00DA7FCC"/>
    <w:rsid w:val="00DB0DBA"/>
    <w:rsid w:val="00DB136F"/>
    <w:rsid w:val="00DB141E"/>
    <w:rsid w:val="00DB2607"/>
    <w:rsid w:val="00DB2E81"/>
    <w:rsid w:val="00DB318F"/>
    <w:rsid w:val="00DB5A91"/>
    <w:rsid w:val="00DB5BBE"/>
    <w:rsid w:val="00DB630A"/>
    <w:rsid w:val="00DB63A2"/>
    <w:rsid w:val="00DB6FD0"/>
    <w:rsid w:val="00DB7744"/>
    <w:rsid w:val="00DB7968"/>
    <w:rsid w:val="00DC0186"/>
    <w:rsid w:val="00DC0610"/>
    <w:rsid w:val="00DC0942"/>
    <w:rsid w:val="00DC09E3"/>
    <w:rsid w:val="00DC0ABF"/>
    <w:rsid w:val="00DC0CF9"/>
    <w:rsid w:val="00DC12A9"/>
    <w:rsid w:val="00DC15DD"/>
    <w:rsid w:val="00DC19EB"/>
    <w:rsid w:val="00DC22DD"/>
    <w:rsid w:val="00DC25FE"/>
    <w:rsid w:val="00DC2CA2"/>
    <w:rsid w:val="00DC310F"/>
    <w:rsid w:val="00DC3742"/>
    <w:rsid w:val="00DC374B"/>
    <w:rsid w:val="00DC3B1F"/>
    <w:rsid w:val="00DC3BF2"/>
    <w:rsid w:val="00DC5741"/>
    <w:rsid w:val="00DC5ACE"/>
    <w:rsid w:val="00DC604A"/>
    <w:rsid w:val="00DC6459"/>
    <w:rsid w:val="00DC6A0F"/>
    <w:rsid w:val="00DC7A71"/>
    <w:rsid w:val="00DD1393"/>
    <w:rsid w:val="00DD1E5E"/>
    <w:rsid w:val="00DD2245"/>
    <w:rsid w:val="00DD2ADB"/>
    <w:rsid w:val="00DD4C89"/>
    <w:rsid w:val="00DD4FB3"/>
    <w:rsid w:val="00DD59C7"/>
    <w:rsid w:val="00DD631F"/>
    <w:rsid w:val="00DD66B8"/>
    <w:rsid w:val="00DD69BE"/>
    <w:rsid w:val="00DD74F1"/>
    <w:rsid w:val="00DE03D5"/>
    <w:rsid w:val="00DE094D"/>
    <w:rsid w:val="00DE0CB4"/>
    <w:rsid w:val="00DE1D35"/>
    <w:rsid w:val="00DE2499"/>
    <w:rsid w:val="00DE316C"/>
    <w:rsid w:val="00DE3B0E"/>
    <w:rsid w:val="00DE5096"/>
    <w:rsid w:val="00DE54ED"/>
    <w:rsid w:val="00DE56AA"/>
    <w:rsid w:val="00DE6914"/>
    <w:rsid w:val="00DE702A"/>
    <w:rsid w:val="00DE7059"/>
    <w:rsid w:val="00DE7069"/>
    <w:rsid w:val="00DE74CD"/>
    <w:rsid w:val="00DE784C"/>
    <w:rsid w:val="00DF0DFC"/>
    <w:rsid w:val="00DF1003"/>
    <w:rsid w:val="00DF203C"/>
    <w:rsid w:val="00DF343D"/>
    <w:rsid w:val="00DF37BD"/>
    <w:rsid w:val="00DF5537"/>
    <w:rsid w:val="00DF63D5"/>
    <w:rsid w:val="00DF66B0"/>
    <w:rsid w:val="00DF6E0B"/>
    <w:rsid w:val="00DF6FF0"/>
    <w:rsid w:val="00DF744D"/>
    <w:rsid w:val="00DF78B7"/>
    <w:rsid w:val="00E0031A"/>
    <w:rsid w:val="00E0084E"/>
    <w:rsid w:val="00E00F58"/>
    <w:rsid w:val="00E01B6D"/>
    <w:rsid w:val="00E01C2E"/>
    <w:rsid w:val="00E02303"/>
    <w:rsid w:val="00E02854"/>
    <w:rsid w:val="00E036D0"/>
    <w:rsid w:val="00E03980"/>
    <w:rsid w:val="00E045BC"/>
    <w:rsid w:val="00E0486A"/>
    <w:rsid w:val="00E058E3"/>
    <w:rsid w:val="00E05BEC"/>
    <w:rsid w:val="00E05EDA"/>
    <w:rsid w:val="00E0602B"/>
    <w:rsid w:val="00E066DD"/>
    <w:rsid w:val="00E06A8B"/>
    <w:rsid w:val="00E06E0B"/>
    <w:rsid w:val="00E06FC5"/>
    <w:rsid w:val="00E07015"/>
    <w:rsid w:val="00E07DE3"/>
    <w:rsid w:val="00E10886"/>
    <w:rsid w:val="00E10E27"/>
    <w:rsid w:val="00E10FE9"/>
    <w:rsid w:val="00E115E1"/>
    <w:rsid w:val="00E12C14"/>
    <w:rsid w:val="00E137FD"/>
    <w:rsid w:val="00E14E52"/>
    <w:rsid w:val="00E15207"/>
    <w:rsid w:val="00E154D7"/>
    <w:rsid w:val="00E15CB4"/>
    <w:rsid w:val="00E15F70"/>
    <w:rsid w:val="00E162FA"/>
    <w:rsid w:val="00E20A73"/>
    <w:rsid w:val="00E20C52"/>
    <w:rsid w:val="00E2157A"/>
    <w:rsid w:val="00E21713"/>
    <w:rsid w:val="00E21CF1"/>
    <w:rsid w:val="00E26FF6"/>
    <w:rsid w:val="00E27D33"/>
    <w:rsid w:val="00E300A9"/>
    <w:rsid w:val="00E31AB9"/>
    <w:rsid w:val="00E31C96"/>
    <w:rsid w:val="00E32C8D"/>
    <w:rsid w:val="00E334AC"/>
    <w:rsid w:val="00E3383A"/>
    <w:rsid w:val="00E33D01"/>
    <w:rsid w:val="00E34821"/>
    <w:rsid w:val="00E34D00"/>
    <w:rsid w:val="00E34F11"/>
    <w:rsid w:val="00E35C9D"/>
    <w:rsid w:val="00E3617A"/>
    <w:rsid w:val="00E36562"/>
    <w:rsid w:val="00E365FC"/>
    <w:rsid w:val="00E378AC"/>
    <w:rsid w:val="00E37C0D"/>
    <w:rsid w:val="00E37E17"/>
    <w:rsid w:val="00E37FC6"/>
    <w:rsid w:val="00E40307"/>
    <w:rsid w:val="00E4096C"/>
    <w:rsid w:val="00E40EB0"/>
    <w:rsid w:val="00E41D36"/>
    <w:rsid w:val="00E427A1"/>
    <w:rsid w:val="00E44190"/>
    <w:rsid w:val="00E4523A"/>
    <w:rsid w:val="00E4531F"/>
    <w:rsid w:val="00E45795"/>
    <w:rsid w:val="00E46303"/>
    <w:rsid w:val="00E46D7D"/>
    <w:rsid w:val="00E4726C"/>
    <w:rsid w:val="00E4728D"/>
    <w:rsid w:val="00E508EC"/>
    <w:rsid w:val="00E50FD8"/>
    <w:rsid w:val="00E512EE"/>
    <w:rsid w:val="00E520F9"/>
    <w:rsid w:val="00E5241B"/>
    <w:rsid w:val="00E5251D"/>
    <w:rsid w:val="00E528C8"/>
    <w:rsid w:val="00E52A0C"/>
    <w:rsid w:val="00E52B50"/>
    <w:rsid w:val="00E52D8D"/>
    <w:rsid w:val="00E5330C"/>
    <w:rsid w:val="00E53460"/>
    <w:rsid w:val="00E53E47"/>
    <w:rsid w:val="00E54F18"/>
    <w:rsid w:val="00E55A3A"/>
    <w:rsid w:val="00E55C6A"/>
    <w:rsid w:val="00E55D8B"/>
    <w:rsid w:val="00E55DA2"/>
    <w:rsid w:val="00E55EFB"/>
    <w:rsid w:val="00E5618A"/>
    <w:rsid w:val="00E56A0F"/>
    <w:rsid w:val="00E56CD7"/>
    <w:rsid w:val="00E572F2"/>
    <w:rsid w:val="00E574C1"/>
    <w:rsid w:val="00E576F0"/>
    <w:rsid w:val="00E57CCB"/>
    <w:rsid w:val="00E608B5"/>
    <w:rsid w:val="00E608C5"/>
    <w:rsid w:val="00E60F31"/>
    <w:rsid w:val="00E61CBB"/>
    <w:rsid w:val="00E6220F"/>
    <w:rsid w:val="00E6270B"/>
    <w:rsid w:val="00E62CA8"/>
    <w:rsid w:val="00E653B6"/>
    <w:rsid w:val="00E661CA"/>
    <w:rsid w:val="00E67AB6"/>
    <w:rsid w:val="00E67ABD"/>
    <w:rsid w:val="00E67D85"/>
    <w:rsid w:val="00E67F3E"/>
    <w:rsid w:val="00E70A32"/>
    <w:rsid w:val="00E70BC7"/>
    <w:rsid w:val="00E70FB3"/>
    <w:rsid w:val="00E71A75"/>
    <w:rsid w:val="00E722EA"/>
    <w:rsid w:val="00E7279A"/>
    <w:rsid w:val="00E72A9A"/>
    <w:rsid w:val="00E74691"/>
    <w:rsid w:val="00E74F27"/>
    <w:rsid w:val="00E75292"/>
    <w:rsid w:val="00E7530C"/>
    <w:rsid w:val="00E753D3"/>
    <w:rsid w:val="00E7643D"/>
    <w:rsid w:val="00E778E8"/>
    <w:rsid w:val="00E8147C"/>
    <w:rsid w:val="00E81AD1"/>
    <w:rsid w:val="00E81B43"/>
    <w:rsid w:val="00E81F0F"/>
    <w:rsid w:val="00E82C7F"/>
    <w:rsid w:val="00E82CD3"/>
    <w:rsid w:val="00E83073"/>
    <w:rsid w:val="00E832E6"/>
    <w:rsid w:val="00E83762"/>
    <w:rsid w:val="00E84A5E"/>
    <w:rsid w:val="00E84E9B"/>
    <w:rsid w:val="00E856AA"/>
    <w:rsid w:val="00E8581D"/>
    <w:rsid w:val="00E86567"/>
    <w:rsid w:val="00E86592"/>
    <w:rsid w:val="00E866EA"/>
    <w:rsid w:val="00E870FB"/>
    <w:rsid w:val="00E900EC"/>
    <w:rsid w:val="00E90495"/>
    <w:rsid w:val="00E90830"/>
    <w:rsid w:val="00E910B4"/>
    <w:rsid w:val="00E9112A"/>
    <w:rsid w:val="00E92262"/>
    <w:rsid w:val="00E92B7F"/>
    <w:rsid w:val="00E9305D"/>
    <w:rsid w:val="00E94D58"/>
    <w:rsid w:val="00E95B32"/>
    <w:rsid w:val="00E96F10"/>
    <w:rsid w:val="00EA08CF"/>
    <w:rsid w:val="00EA09B1"/>
    <w:rsid w:val="00EA0A6F"/>
    <w:rsid w:val="00EA1153"/>
    <w:rsid w:val="00EA1B31"/>
    <w:rsid w:val="00EA2BA7"/>
    <w:rsid w:val="00EA3E60"/>
    <w:rsid w:val="00EA43CE"/>
    <w:rsid w:val="00EA4933"/>
    <w:rsid w:val="00EA4A42"/>
    <w:rsid w:val="00EA4FE9"/>
    <w:rsid w:val="00EA5261"/>
    <w:rsid w:val="00EA5763"/>
    <w:rsid w:val="00EA57AD"/>
    <w:rsid w:val="00EA57C6"/>
    <w:rsid w:val="00EA6531"/>
    <w:rsid w:val="00EA73DA"/>
    <w:rsid w:val="00EA7F95"/>
    <w:rsid w:val="00EB0BCC"/>
    <w:rsid w:val="00EB0FD1"/>
    <w:rsid w:val="00EB1D05"/>
    <w:rsid w:val="00EB2189"/>
    <w:rsid w:val="00EB2427"/>
    <w:rsid w:val="00EB27E7"/>
    <w:rsid w:val="00EB2A4A"/>
    <w:rsid w:val="00EB2B34"/>
    <w:rsid w:val="00EB2EA9"/>
    <w:rsid w:val="00EB326E"/>
    <w:rsid w:val="00EB4A14"/>
    <w:rsid w:val="00EB61A5"/>
    <w:rsid w:val="00EB63D7"/>
    <w:rsid w:val="00EB67D1"/>
    <w:rsid w:val="00EB6AD5"/>
    <w:rsid w:val="00EB6FF7"/>
    <w:rsid w:val="00EB72F9"/>
    <w:rsid w:val="00EB763D"/>
    <w:rsid w:val="00EB7775"/>
    <w:rsid w:val="00EC0879"/>
    <w:rsid w:val="00EC14AA"/>
    <w:rsid w:val="00EC1CBD"/>
    <w:rsid w:val="00EC2CC6"/>
    <w:rsid w:val="00EC3790"/>
    <w:rsid w:val="00EC3DC5"/>
    <w:rsid w:val="00EC3E54"/>
    <w:rsid w:val="00EC4743"/>
    <w:rsid w:val="00EC52E6"/>
    <w:rsid w:val="00EC5568"/>
    <w:rsid w:val="00EC58B3"/>
    <w:rsid w:val="00EC5B81"/>
    <w:rsid w:val="00EC5D81"/>
    <w:rsid w:val="00EC63B5"/>
    <w:rsid w:val="00EC66D4"/>
    <w:rsid w:val="00EC66E0"/>
    <w:rsid w:val="00EC6FF2"/>
    <w:rsid w:val="00EC7853"/>
    <w:rsid w:val="00EC7DAF"/>
    <w:rsid w:val="00ED007C"/>
    <w:rsid w:val="00ED0981"/>
    <w:rsid w:val="00ED0B05"/>
    <w:rsid w:val="00ED1876"/>
    <w:rsid w:val="00ED33AF"/>
    <w:rsid w:val="00ED3407"/>
    <w:rsid w:val="00ED441D"/>
    <w:rsid w:val="00ED526C"/>
    <w:rsid w:val="00ED5FEB"/>
    <w:rsid w:val="00ED6E51"/>
    <w:rsid w:val="00ED7665"/>
    <w:rsid w:val="00ED799A"/>
    <w:rsid w:val="00ED7E45"/>
    <w:rsid w:val="00ED7ED0"/>
    <w:rsid w:val="00EE0497"/>
    <w:rsid w:val="00EE0788"/>
    <w:rsid w:val="00EE0F25"/>
    <w:rsid w:val="00EE11FE"/>
    <w:rsid w:val="00EE1BAE"/>
    <w:rsid w:val="00EE1C9A"/>
    <w:rsid w:val="00EE1CF8"/>
    <w:rsid w:val="00EE2070"/>
    <w:rsid w:val="00EE2250"/>
    <w:rsid w:val="00EE22FF"/>
    <w:rsid w:val="00EE238A"/>
    <w:rsid w:val="00EE3C49"/>
    <w:rsid w:val="00EE3D27"/>
    <w:rsid w:val="00EE43E1"/>
    <w:rsid w:val="00EE497E"/>
    <w:rsid w:val="00EE4CC1"/>
    <w:rsid w:val="00EE4D47"/>
    <w:rsid w:val="00EE6B30"/>
    <w:rsid w:val="00EE73AE"/>
    <w:rsid w:val="00EE7AB1"/>
    <w:rsid w:val="00EE7F44"/>
    <w:rsid w:val="00EF03E0"/>
    <w:rsid w:val="00EF101B"/>
    <w:rsid w:val="00EF123A"/>
    <w:rsid w:val="00EF1E0D"/>
    <w:rsid w:val="00EF28C3"/>
    <w:rsid w:val="00EF3058"/>
    <w:rsid w:val="00EF3AC0"/>
    <w:rsid w:val="00EF3DC8"/>
    <w:rsid w:val="00EF437D"/>
    <w:rsid w:val="00EF4DC5"/>
    <w:rsid w:val="00EF526D"/>
    <w:rsid w:val="00EF665B"/>
    <w:rsid w:val="00EF6B69"/>
    <w:rsid w:val="00EF7455"/>
    <w:rsid w:val="00EF75EC"/>
    <w:rsid w:val="00F000B2"/>
    <w:rsid w:val="00F00219"/>
    <w:rsid w:val="00F005CE"/>
    <w:rsid w:val="00F008F8"/>
    <w:rsid w:val="00F014E7"/>
    <w:rsid w:val="00F015CD"/>
    <w:rsid w:val="00F01B08"/>
    <w:rsid w:val="00F0235F"/>
    <w:rsid w:val="00F02395"/>
    <w:rsid w:val="00F027B0"/>
    <w:rsid w:val="00F028D4"/>
    <w:rsid w:val="00F02D76"/>
    <w:rsid w:val="00F032E0"/>
    <w:rsid w:val="00F060F4"/>
    <w:rsid w:val="00F0629F"/>
    <w:rsid w:val="00F06756"/>
    <w:rsid w:val="00F06C91"/>
    <w:rsid w:val="00F06FA1"/>
    <w:rsid w:val="00F0788B"/>
    <w:rsid w:val="00F079B2"/>
    <w:rsid w:val="00F07A3E"/>
    <w:rsid w:val="00F1102A"/>
    <w:rsid w:val="00F11115"/>
    <w:rsid w:val="00F11CA0"/>
    <w:rsid w:val="00F12884"/>
    <w:rsid w:val="00F12F89"/>
    <w:rsid w:val="00F13461"/>
    <w:rsid w:val="00F14F6F"/>
    <w:rsid w:val="00F15B24"/>
    <w:rsid w:val="00F1629E"/>
    <w:rsid w:val="00F16512"/>
    <w:rsid w:val="00F16C3F"/>
    <w:rsid w:val="00F17D93"/>
    <w:rsid w:val="00F17DA7"/>
    <w:rsid w:val="00F207B9"/>
    <w:rsid w:val="00F20A2F"/>
    <w:rsid w:val="00F22FA4"/>
    <w:rsid w:val="00F22FD8"/>
    <w:rsid w:val="00F2306B"/>
    <w:rsid w:val="00F23CD9"/>
    <w:rsid w:val="00F24282"/>
    <w:rsid w:val="00F2501D"/>
    <w:rsid w:val="00F256B1"/>
    <w:rsid w:val="00F259B8"/>
    <w:rsid w:val="00F2610F"/>
    <w:rsid w:val="00F2673B"/>
    <w:rsid w:val="00F27678"/>
    <w:rsid w:val="00F27A42"/>
    <w:rsid w:val="00F3237D"/>
    <w:rsid w:val="00F33C02"/>
    <w:rsid w:val="00F33E46"/>
    <w:rsid w:val="00F34BA2"/>
    <w:rsid w:val="00F34F41"/>
    <w:rsid w:val="00F352AF"/>
    <w:rsid w:val="00F35E9F"/>
    <w:rsid w:val="00F371DE"/>
    <w:rsid w:val="00F373F8"/>
    <w:rsid w:val="00F40196"/>
    <w:rsid w:val="00F404E6"/>
    <w:rsid w:val="00F41130"/>
    <w:rsid w:val="00F41A12"/>
    <w:rsid w:val="00F41FA8"/>
    <w:rsid w:val="00F421E4"/>
    <w:rsid w:val="00F42B2F"/>
    <w:rsid w:val="00F4422F"/>
    <w:rsid w:val="00F4423D"/>
    <w:rsid w:val="00F44E1B"/>
    <w:rsid w:val="00F451FA"/>
    <w:rsid w:val="00F46C8D"/>
    <w:rsid w:val="00F46CB6"/>
    <w:rsid w:val="00F46E31"/>
    <w:rsid w:val="00F47219"/>
    <w:rsid w:val="00F472A6"/>
    <w:rsid w:val="00F473EE"/>
    <w:rsid w:val="00F50BC7"/>
    <w:rsid w:val="00F5333D"/>
    <w:rsid w:val="00F53447"/>
    <w:rsid w:val="00F54157"/>
    <w:rsid w:val="00F542A0"/>
    <w:rsid w:val="00F5511F"/>
    <w:rsid w:val="00F5578A"/>
    <w:rsid w:val="00F55F79"/>
    <w:rsid w:val="00F560B1"/>
    <w:rsid w:val="00F56B33"/>
    <w:rsid w:val="00F56C23"/>
    <w:rsid w:val="00F57263"/>
    <w:rsid w:val="00F57B27"/>
    <w:rsid w:val="00F57BE4"/>
    <w:rsid w:val="00F6060A"/>
    <w:rsid w:val="00F61ADE"/>
    <w:rsid w:val="00F61C2C"/>
    <w:rsid w:val="00F61ECD"/>
    <w:rsid w:val="00F62102"/>
    <w:rsid w:val="00F6236B"/>
    <w:rsid w:val="00F62595"/>
    <w:rsid w:val="00F63058"/>
    <w:rsid w:val="00F63180"/>
    <w:rsid w:val="00F63691"/>
    <w:rsid w:val="00F638D6"/>
    <w:rsid w:val="00F6449A"/>
    <w:rsid w:val="00F64ED6"/>
    <w:rsid w:val="00F66480"/>
    <w:rsid w:val="00F701E7"/>
    <w:rsid w:val="00F705C6"/>
    <w:rsid w:val="00F70B42"/>
    <w:rsid w:val="00F71000"/>
    <w:rsid w:val="00F71905"/>
    <w:rsid w:val="00F71912"/>
    <w:rsid w:val="00F7209F"/>
    <w:rsid w:val="00F7280B"/>
    <w:rsid w:val="00F72C1E"/>
    <w:rsid w:val="00F73DBD"/>
    <w:rsid w:val="00F7413A"/>
    <w:rsid w:val="00F74367"/>
    <w:rsid w:val="00F746BE"/>
    <w:rsid w:val="00F74B06"/>
    <w:rsid w:val="00F75961"/>
    <w:rsid w:val="00F75FB4"/>
    <w:rsid w:val="00F7637F"/>
    <w:rsid w:val="00F76C3E"/>
    <w:rsid w:val="00F76EF0"/>
    <w:rsid w:val="00F7702D"/>
    <w:rsid w:val="00F770A2"/>
    <w:rsid w:val="00F77791"/>
    <w:rsid w:val="00F77E6C"/>
    <w:rsid w:val="00F805A8"/>
    <w:rsid w:val="00F80B02"/>
    <w:rsid w:val="00F81216"/>
    <w:rsid w:val="00F81A36"/>
    <w:rsid w:val="00F81B2B"/>
    <w:rsid w:val="00F820AE"/>
    <w:rsid w:val="00F82857"/>
    <w:rsid w:val="00F82B75"/>
    <w:rsid w:val="00F82FB5"/>
    <w:rsid w:val="00F8333A"/>
    <w:rsid w:val="00F83367"/>
    <w:rsid w:val="00F8454D"/>
    <w:rsid w:val="00F847ED"/>
    <w:rsid w:val="00F850FB"/>
    <w:rsid w:val="00F8513E"/>
    <w:rsid w:val="00F8583E"/>
    <w:rsid w:val="00F86E3B"/>
    <w:rsid w:val="00F87038"/>
    <w:rsid w:val="00F870EF"/>
    <w:rsid w:val="00F87888"/>
    <w:rsid w:val="00F90197"/>
    <w:rsid w:val="00F91F8E"/>
    <w:rsid w:val="00F9270F"/>
    <w:rsid w:val="00F92BAC"/>
    <w:rsid w:val="00F9398E"/>
    <w:rsid w:val="00F94617"/>
    <w:rsid w:val="00F94BE6"/>
    <w:rsid w:val="00F94E1C"/>
    <w:rsid w:val="00F95796"/>
    <w:rsid w:val="00F96669"/>
    <w:rsid w:val="00F96992"/>
    <w:rsid w:val="00F96A08"/>
    <w:rsid w:val="00F96DCE"/>
    <w:rsid w:val="00F977E0"/>
    <w:rsid w:val="00F97B1B"/>
    <w:rsid w:val="00FA09D4"/>
    <w:rsid w:val="00FA0DC6"/>
    <w:rsid w:val="00FA1215"/>
    <w:rsid w:val="00FA1658"/>
    <w:rsid w:val="00FA1A2F"/>
    <w:rsid w:val="00FA1CE0"/>
    <w:rsid w:val="00FA1EB6"/>
    <w:rsid w:val="00FA323B"/>
    <w:rsid w:val="00FA395C"/>
    <w:rsid w:val="00FA5A53"/>
    <w:rsid w:val="00FA6536"/>
    <w:rsid w:val="00FA6A15"/>
    <w:rsid w:val="00FA7D98"/>
    <w:rsid w:val="00FB0134"/>
    <w:rsid w:val="00FB06C0"/>
    <w:rsid w:val="00FB19EB"/>
    <w:rsid w:val="00FB1EBB"/>
    <w:rsid w:val="00FB20E9"/>
    <w:rsid w:val="00FB2CAD"/>
    <w:rsid w:val="00FB2DAF"/>
    <w:rsid w:val="00FB300D"/>
    <w:rsid w:val="00FB35F7"/>
    <w:rsid w:val="00FB388C"/>
    <w:rsid w:val="00FB3938"/>
    <w:rsid w:val="00FB3B08"/>
    <w:rsid w:val="00FB3D68"/>
    <w:rsid w:val="00FB3DD4"/>
    <w:rsid w:val="00FB40A2"/>
    <w:rsid w:val="00FB55E4"/>
    <w:rsid w:val="00FB61E2"/>
    <w:rsid w:val="00FB627F"/>
    <w:rsid w:val="00FB636C"/>
    <w:rsid w:val="00FC002F"/>
    <w:rsid w:val="00FC02EB"/>
    <w:rsid w:val="00FC0490"/>
    <w:rsid w:val="00FC08A4"/>
    <w:rsid w:val="00FC0C17"/>
    <w:rsid w:val="00FC14BF"/>
    <w:rsid w:val="00FC1D2F"/>
    <w:rsid w:val="00FC2741"/>
    <w:rsid w:val="00FC2DC1"/>
    <w:rsid w:val="00FC2DF7"/>
    <w:rsid w:val="00FC2E08"/>
    <w:rsid w:val="00FC3830"/>
    <w:rsid w:val="00FC38F3"/>
    <w:rsid w:val="00FC3B4F"/>
    <w:rsid w:val="00FC4A4E"/>
    <w:rsid w:val="00FC4D43"/>
    <w:rsid w:val="00FC63D6"/>
    <w:rsid w:val="00FC7D19"/>
    <w:rsid w:val="00FD0045"/>
    <w:rsid w:val="00FD0C85"/>
    <w:rsid w:val="00FD1A9F"/>
    <w:rsid w:val="00FD30E3"/>
    <w:rsid w:val="00FD32E5"/>
    <w:rsid w:val="00FD3599"/>
    <w:rsid w:val="00FD3D6C"/>
    <w:rsid w:val="00FD3F8D"/>
    <w:rsid w:val="00FD433E"/>
    <w:rsid w:val="00FD4D63"/>
    <w:rsid w:val="00FD6B8E"/>
    <w:rsid w:val="00FD6D7C"/>
    <w:rsid w:val="00FD7585"/>
    <w:rsid w:val="00FE0A43"/>
    <w:rsid w:val="00FE0FF8"/>
    <w:rsid w:val="00FE101F"/>
    <w:rsid w:val="00FE1400"/>
    <w:rsid w:val="00FE277C"/>
    <w:rsid w:val="00FE27E9"/>
    <w:rsid w:val="00FE2C65"/>
    <w:rsid w:val="00FE2D07"/>
    <w:rsid w:val="00FE2D66"/>
    <w:rsid w:val="00FE44D9"/>
    <w:rsid w:val="00FE5561"/>
    <w:rsid w:val="00FE5BCE"/>
    <w:rsid w:val="00FE75C1"/>
    <w:rsid w:val="00FF09C2"/>
    <w:rsid w:val="00FF0BE1"/>
    <w:rsid w:val="00FF0F53"/>
    <w:rsid w:val="00FF17B2"/>
    <w:rsid w:val="00FF22B2"/>
    <w:rsid w:val="00FF2B1F"/>
    <w:rsid w:val="00FF2B84"/>
    <w:rsid w:val="00FF2EDD"/>
    <w:rsid w:val="00FF323A"/>
    <w:rsid w:val="00FF34B6"/>
    <w:rsid w:val="00FF3623"/>
    <w:rsid w:val="00FF4517"/>
    <w:rsid w:val="00FF5003"/>
    <w:rsid w:val="00FF5121"/>
    <w:rsid w:val="00FF5564"/>
    <w:rsid w:val="00FF5723"/>
    <w:rsid w:val="00FF600E"/>
    <w:rsid w:val="00FF6017"/>
    <w:rsid w:val="00FF634E"/>
    <w:rsid w:val="00FF6973"/>
    <w:rsid w:val="00FF70E4"/>
    <w:rsid w:val="00FF76AE"/>
    <w:rsid w:val="00FF7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9B14F83"/>
  <w15:docId w15:val="{8DD4E980-BC58-49B1-99BD-7B05A14D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uiPriority="71"/>
    <w:lsdException w:name="Colorful List Accent 4"/>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21A86"/>
    <w:pPr>
      <w:overflowPunct w:val="0"/>
      <w:autoSpaceDE w:val="0"/>
      <w:autoSpaceDN w:val="0"/>
      <w:adjustRightInd w:val="0"/>
      <w:jc w:val="both"/>
      <w:textAlignment w:val="baseline"/>
    </w:pPr>
    <w:rPr>
      <w:rFonts w:ascii="Calibri" w:hAnsi="Calibri"/>
      <w:sz w:val="22"/>
    </w:rPr>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
    <w:basedOn w:val="Normln"/>
    <w:next w:val="Normln"/>
    <w:link w:val="Nadpis1Char"/>
    <w:uiPriority w:val="99"/>
    <w:qFormat/>
    <w:rsid w:val="00B16D5F"/>
    <w:pPr>
      <w:keepNext/>
      <w:keepLines/>
      <w:numPr>
        <w:numId w:val="1"/>
      </w:numPr>
      <w:spacing w:before="480"/>
      <w:outlineLvl w:val="0"/>
    </w:pPr>
    <w:rPr>
      <w:rFonts w:ascii="Cambria" w:hAnsi="Cambria"/>
      <w:b/>
      <w:bCs/>
      <w:color w:val="17365D" w:themeColor="text2" w:themeShade="BF"/>
      <w:sz w:val="36"/>
      <w:szCs w:val="28"/>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
    <w:basedOn w:val="Normln"/>
    <w:next w:val="Normln"/>
    <w:link w:val="Nadpis2Char"/>
    <w:uiPriority w:val="99"/>
    <w:qFormat/>
    <w:rsid w:val="00CC70F8"/>
    <w:pPr>
      <w:keepNext/>
      <w:keepLines/>
      <w:numPr>
        <w:ilvl w:val="1"/>
        <w:numId w:val="1"/>
      </w:numPr>
      <w:spacing w:before="200" w:after="240"/>
      <w:outlineLvl w:val="1"/>
    </w:pPr>
    <w:rPr>
      <w:rFonts w:ascii="Cambria" w:hAnsi="Cambria"/>
      <w:b/>
      <w:bCs/>
      <w:color w:val="548DD4"/>
      <w:sz w:val="28"/>
      <w:szCs w:val="26"/>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ormln"/>
    <w:next w:val="Normln"/>
    <w:link w:val="Nadpis3Char"/>
    <w:uiPriority w:val="99"/>
    <w:qFormat/>
    <w:rsid w:val="00B16D5F"/>
    <w:pPr>
      <w:keepNext/>
      <w:keepLines/>
      <w:numPr>
        <w:ilvl w:val="2"/>
        <w:numId w:val="1"/>
      </w:numPr>
      <w:spacing w:before="200" w:after="240"/>
      <w:outlineLvl w:val="2"/>
    </w:pPr>
    <w:rPr>
      <w:rFonts w:ascii="Cambria" w:hAnsi="Cambria"/>
      <w:b/>
      <w:bCs/>
      <w:color w:val="548DD4" w:themeColor="text2" w:themeTint="99"/>
      <w:sz w:val="26"/>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iPriority w:val="99"/>
    <w:qFormat/>
    <w:rsid w:val="00B9734A"/>
    <w:pPr>
      <w:keepNext/>
      <w:keepLines/>
      <w:numPr>
        <w:ilvl w:val="3"/>
        <w:numId w:val="1"/>
      </w:numPr>
      <w:spacing w:before="200"/>
      <w:outlineLvl w:val="3"/>
    </w:pPr>
    <w:rPr>
      <w:rFonts w:ascii="Cambria" w:hAnsi="Cambria"/>
      <w:b/>
      <w:bCs/>
      <w:i/>
      <w:iCs/>
      <w:color w:val="4F81BD"/>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iPriority w:val="99"/>
    <w:qFormat/>
    <w:rsid w:val="00B9734A"/>
    <w:pPr>
      <w:keepNext/>
      <w:keepLines/>
      <w:numPr>
        <w:ilvl w:val="4"/>
        <w:numId w:val="1"/>
      </w:numPr>
      <w:spacing w:before="200"/>
      <w:outlineLvl w:val="4"/>
    </w:pPr>
    <w:rPr>
      <w:rFonts w:ascii="Cambria" w:hAnsi="Cambria"/>
      <w:color w:val="243F60"/>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iPriority w:val="99"/>
    <w:qFormat/>
    <w:rsid w:val="00B9734A"/>
    <w:pPr>
      <w:keepNext/>
      <w:keepLines/>
      <w:numPr>
        <w:ilvl w:val="5"/>
        <w:numId w:val="1"/>
      </w:numPr>
      <w:spacing w:before="200"/>
      <w:outlineLvl w:val="5"/>
    </w:pPr>
    <w:rPr>
      <w:rFonts w:ascii="Cambria" w:hAnsi="Cambria"/>
      <w:i/>
      <w:iCs/>
      <w:color w:val="243F60"/>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iPriority w:val="99"/>
    <w:qFormat/>
    <w:rsid w:val="00B9734A"/>
    <w:pPr>
      <w:keepNext/>
      <w:keepLines/>
      <w:numPr>
        <w:ilvl w:val="6"/>
        <w:numId w:val="1"/>
      </w:numPr>
      <w:spacing w:before="200"/>
      <w:outlineLvl w:val="6"/>
    </w:pPr>
    <w:rPr>
      <w:rFonts w:ascii="Cambria" w:hAnsi="Cambria"/>
      <w:i/>
      <w:iCs/>
      <w:color w:val="404040"/>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iPriority w:val="99"/>
    <w:qFormat/>
    <w:rsid w:val="00B9734A"/>
    <w:pPr>
      <w:keepNext/>
      <w:keepLines/>
      <w:numPr>
        <w:ilvl w:val="7"/>
        <w:numId w:val="1"/>
      </w:numPr>
      <w:spacing w:before="200"/>
      <w:outlineLvl w:val="7"/>
    </w:pPr>
    <w:rPr>
      <w:rFonts w:ascii="Cambria" w:hAnsi="Cambria"/>
      <w:color w:val="404040"/>
      <w:sz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iPriority w:val="99"/>
    <w:qFormat/>
    <w:rsid w:val="00B9734A"/>
    <w:pPr>
      <w:keepNext/>
      <w:keepLines/>
      <w:numPr>
        <w:ilvl w:val="8"/>
        <w:numId w:val="1"/>
      </w:numPr>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 Char"/>
    <w:link w:val="Nadpis1"/>
    <w:uiPriority w:val="99"/>
    <w:locked/>
    <w:rsid w:val="00B16D5F"/>
    <w:rPr>
      <w:rFonts w:ascii="Cambria" w:hAnsi="Cambria"/>
      <w:b/>
      <w:bCs/>
      <w:color w:val="17365D" w:themeColor="text2" w:themeShade="BF"/>
      <w:sz w:val="36"/>
      <w:szCs w:val="28"/>
    </w:rPr>
  </w:style>
  <w:style w:type="character" w:customStyle="1" w:styleId="Nadpis2Char">
    <w:name w:val="Nadpis 2 Char"/>
    <w:aliases w:val="h2 Char,Normal Heading 2 Char,LetHead2 Char,- 1 Char,2 Char,3 Char,H2 Char,Heading_eng 2 Char,Main header Char,Outline2 Char Char,HAA-Section Char Char,Sub Heading Char Char,ignorer2 Char Char,Nadpis_2 Char Char,adpis 2 Char Char,2m Char"/>
    <w:link w:val="Nadpis2"/>
    <w:uiPriority w:val="99"/>
    <w:locked/>
    <w:rsid w:val="00CC70F8"/>
    <w:rPr>
      <w:rFonts w:ascii="Cambria" w:hAnsi="Cambria"/>
      <w:b/>
      <w:bCs/>
      <w:color w:val="548DD4"/>
      <w:sz w:val="28"/>
      <w:szCs w:val="26"/>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link w:val="Nadpis3"/>
    <w:uiPriority w:val="99"/>
    <w:locked/>
    <w:rsid w:val="00B16D5F"/>
    <w:rPr>
      <w:rFonts w:ascii="Cambria" w:hAnsi="Cambria"/>
      <w:b/>
      <w:bCs/>
      <w:color w:val="548DD4" w:themeColor="text2" w:themeTint="99"/>
      <w:sz w:val="26"/>
    </w:r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link w:val="Nadpis4"/>
    <w:uiPriority w:val="99"/>
    <w:locked/>
    <w:rsid w:val="00B9734A"/>
    <w:rPr>
      <w:rFonts w:ascii="Cambria" w:hAnsi="Cambria"/>
      <w:b/>
      <w:bCs/>
      <w:i/>
      <w:iCs/>
      <w:color w:val="4F81BD"/>
      <w:sz w:val="22"/>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link w:val="Nadpis5"/>
    <w:uiPriority w:val="99"/>
    <w:locked/>
    <w:rsid w:val="00B9734A"/>
    <w:rPr>
      <w:rFonts w:ascii="Cambria" w:hAnsi="Cambria"/>
      <w:color w:val="243F60"/>
      <w:sz w:val="22"/>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link w:val="Nadpis6"/>
    <w:uiPriority w:val="99"/>
    <w:locked/>
    <w:rsid w:val="00B9734A"/>
    <w:rPr>
      <w:rFonts w:ascii="Cambria" w:hAnsi="Cambria"/>
      <w:i/>
      <w:iCs/>
      <w:color w:val="243F60"/>
      <w:sz w:val="22"/>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link w:val="Nadpis7"/>
    <w:uiPriority w:val="99"/>
    <w:locked/>
    <w:rsid w:val="00B9734A"/>
    <w:rPr>
      <w:rFonts w:ascii="Cambria" w:hAnsi="Cambria"/>
      <w:i/>
      <w:iCs/>
      <w:color w:val="404040"/>
      <w:sz w:val="22"/>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link w:val="Nadpis8"/>
    <w:uiPriority w:val="99"/>
    <w:locked/>
    <w:rsid w:val="00B9734A"/>
    <w:rPr>
      <w:rFonts w:ascii="Cambria" w:hAnsi="Cambria"/>
      <w:color w:val="404040"/>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link w:val="Nadpis9"/>
    <w:uiPriority w:val="99"/>
    <w:locked/>
    <w:rsid w:val="00B9734A"/>
    <w:rPr>
      <w:rFonts w:ascii="Cambria" w:hAnsi="Cambria"/>
      <w:i/>
      <w:iCs/>
      <w:color w:val="404040"/>
    </w:rPr>
  </w:style>
  <w:style w:type="paragraph" w:styleId="Textbubliny">
    <w:name w:val="Balloon Text"/>
    <w:basedOn w:val="Normln"/>
    <w:link w:val="TextbublinyChar"/>
    <w:uiPriority w:val="99"/>
    <w:semiHidden/>
    <w:rsid w:val="003709F3"/>
    <w:rPr>
      <w:rFonts w:ascii="Tahoma" w:hAnsi="Tahoma" w:cs="Tahoma"/>
      <w:sz w:val="16"/>
      <w:szCs w:val="16"/>
    </w:rPr>
  </w:style>
  <w:style w:type="character" w:customStyle="1" w:styleId="TextbublinyChar">
    <w:name w:val="Text bubliny Char"/>
    <w:link w:val="Textbubliny"/>
    <w:uiPriority w:val="99"/>
    <w:semiHidden/>
    <w:locked/>
    <w:rsid w:val="003709F3"/>
    <w:rPr>
      <w:rFonts w:ascii="Tahoma" w:hAnsi="Tahoma" w:cs="Tahoma"/>
      <w:sz w:val="16"/>
      <w:szCs w:val="16"/>
    </w:rPr>
  </w:style>
  <w:style w:type="paragraph" w:styleId="Zhlav">
    <w:name w:val="header"/>
    <w:basedOn w:val="Normln"/>
    <w:link w:val="ZhlavChar"/>
    <w:uiPriority w:val="99"/>
    <w:rsid w:val="006561E1"/>
    <w:pPr>
      <w:tabs>
        <w:tab w:val="center" w:pos="4536"/>
        <w:tab w:val="right" w:pos="9072"/>
      </w:tabs>
    </w:pPr>
  </w:style>
  <w:style w:type="character" w:customStyle="1" w:styleId="ZhlavChar">
    <w:name w:val="Záhlaví Char"/>
    <w:link w:val="Zhlav"/>
    <w:uiPriority w:val="99"/>
    <w:locked/>
    <w:rsid w:val="006561E1"/>
    <w:rPr>
      <w:rFonts w:ascii="Calibri" w:hAnsi="Calibri" w:cs="Times New Roman"/>
      <w:sz w:val="22"/>
    </w:rPr>
  </w:style>
  <w:style w:type="paragraph" w:styleId="Zpat">
    <w:name w:val="footer"/>
    <w:basedOn w:val="Normln"/>
    <w:link w:val="ZpatChar"/>
    <w:uiPriority w:val="99"/>
    <w:rsid w:val="006561E1"/>
    <w:pPr>
      <w:tabs>
        <w:tab w:val="center" w:pos="4536"/>
        <w:tab w:val="right" w:pos="9072"/>
      </w:tabs>
    </w:pPr>
  </w:style>
  <w:style w:type="character" w:customStyle="1" w:styleId="ZpatChar">
    <w:name w:val="Zápatí Char"/>
    <w:link w:val="Zpat"/>
    <w:uiPriority w:val="99"/>
    <w:locked/>
    <w:rsid w:val="006561E1"/>
    <w:rPr>
      <w:rFonts w:ascii="Calibri" w:hAnsi="Calibri" w:cs="Times New Roman"/>
      <w:sz w:val="22"/>
    </w:rPr>
  </w:style>
  <w:style w:type="character" w:styleId="Hypertextovodkaz">
    <w:name w:val="Hyperlink"/>
    <w:uiPriority w:val="99"/>
    <w:rsid w:val="000C1B4F"/>
    <w:rPr>
      <w:rFonts w:cs="Times New Roman"/>
      <w:color w:val="0000FF"/>
      <w:u w:val="single"/>
    </w:rPr>
  </w:style>
  <w:style w:type="character" w:styleId="slostrnky">
    <w:name w:val="page number"/>
    <w:uiPriority w:val="99"/>
    <w:rsid w:val="000C1B4F"/>
    <w:rPr>
      <w:rFonts w:cs="Times New Roman"/>
    </w:rPr>
  </w:style>
  <w:style w:type="paragraph" w:customStyle="1" w:styleId="Odstavecseseznamem1">
    <w:name w:val="Odstavec se seznamem1"/>
    <w:aliases w:val="Odstavec cíl se seznamem,Nad,Odstavec se seznamem5"/>
    <w:basedOn w:val="Normln"/>
    <w:link w:val="OdstavecseseznamemChar"/>
    <w:uiPriority w:val="34"/>
    <w:qFormat/>
    <w:rsid w:val="00EB7775"/>
    <w:pPr>
      <w:ind w:left="720"/>
      <w:contextualSpacing/>
    </w:pPr>
  </w:style>
  <w:style w:type="character" w:customStyle="1" w:styleId="OdstavecseseznamemChar">
    <w:name w:val="Odstavec se seznamem Char"/>
    <w:aliases w:val="Odstavec cíl se seznamem Char,Odstavec se seznamem1 Char,Nad Char,Odstavec se seznamem5 Char"/>
    <w:link w:val="Odstavecseseznamem1"/>
    <w:uiPriority w:val="34"/>
    <w:locked/>
    <w:rsid w:val="008346A6"/>
    <w:rPr>
      <w:rFonts w:ascii="Calibri" w:hAnsi="Calibri"/>
      <w:sz w:val="22"/>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rsid w:val="00CC70F8"/>
    <w:rPr>
      <w:rFonts w:ascii="Arial" w:hAnsi="Arial" w:cs="Times New Roman"/>
      <w:sz w:val="16"/>
      <w:vertAlign w:val="superscript"/>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fn, Char1"/>
    <w:basedOn w:val="Normln"/>
    <w:link w:val="TextpoznpodarouChar"/>
    <w:qFormat/>
    <w:rsid w:val="00CC70F8"/>
    <w:pPr>
      <w:overflowPunct/>
      <w:autoSpaceDE/>
      <w:autoSpaceDN/>
      <w:adjustRightInd/>
      <w:textAlignment w:val="auto"/>
    </w:pPr>
    <w:rPr>
      <w:rFonts w:ascii="Arial" w:hAnsi="Arial" w:cs="Arial"/>
      <w:sz w:val="16"/>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locked/>
    <w:rsid w:val="00CC70F8"/>
    <w:rPr>
      <w:rFonts w:ascii="Arial" w:hAnsi="Arial" w:cs="Arial"/>
      <w:sz w:val="16"/>
      <w:lang w:eastAsia="en-US"/>
    </w:rPr>
  </w:style>
  <w:style w:type="paragraph" w:styleId="Titulek">
    <w:name w:val="caption"/>
    <w:basedOn w:val="Normln"/>
    <w:next w:val="Normln"/>
    <w:link w:val="TitulekChar"/>
    <w:qFormat/>
    <w:rsid w:val="008E2314"/>
    <w:pPr>
      <w:overflowPunct/>
      <w:autoSpaceDE/>
      <w:autoSpaceDN/>
      <w:adjustRightInd/>
      <w:textAlignment w:val="auto"/>
    </w:pPr>
    <w:rPr>
      <w:rFonts w:cs="Arial"/>
      <w:b/>
      <w:bCs/>
      <w:color w:val="4F81BD"/>
      <w:sz w:val="20"/>
      <w:lang w:eastAsia="en-US"/>
    </w:rPr>
  </w:style>
  <w:style w:type="character" w:customStyle="1" w:styleId="TitulekChar">
    <w:name w:val="Titulek Char"/>
    <w:link w:val="Titulek"/>
    <w:locked/>
    <w:rsid w:val="008E2314"/>
    <w:rPr>
      <w:rFonts w:ascii="Calibri" w:hAnsi="Calibri" w:cs="Arial"/>
      <w:b/>
      <w:bCs/>
      <w:color w:val="4F81BD"/>
      <w:lang w:eastAsia="en-US"/>
    </w:rPr>
  </w:style>
  <w:style w:type="table" w:customStyle="1" w:styleId="TableGridLight1">
    <w:name w:val="Table Grid Light1"/>
    <w:uiPriority w:val="40"/>
    <w:rsid w:val="00CC70F8"/>
    <w:rPr>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ln"/>
    <w:uiPriority w:val="99"/>
    <w:rsid w:val="00A57419"/>
    <w:pPr>
      <w:spacing w:after="120"/>
    </w:pPr>
    <w:rPr>
      <w:b/>
      <w:color w:val="18B462"/>
    </w:rPr>
  </w:style>
  <w:style w:type="table" w:customStyle="1" w:styleId="Deloittetable1">
    <w:name w:val="Deloitte table 1"/>
    <w:uiPriority w:val="99"/>
    <w:rsid w:val="00A21A86"/>
    <w:rPr>
      <w:rFonts w:ascii="Arial" w:hAnsi="Arial"/>
      <w:sz w:val="19"/>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Mkatabulky">
    <w:name w:val="Table Grid"/>
    <w:aliases w:val="Deloitte table 3"/>
    <w:basedOn w:val="Normlntabulka"/>
    <w:uiPriority w:val="59"/>
    <w:rsid w:val="002B7553"/>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ln"/>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locked/>
    <w:rsid w:val="00416BF2"/>
    <w:rPr>
      <w:rFonts w:ascii="Arial" w:hAnsi="Arial"/>
      <w:color w:val="000000"/>
      <w:sz w:val="48"/>
      <w:lang w:val="cs-CZ" w:eastAsia="en-US"/>
    </w:rPr>
  </w:style>
  <w:style w:type="paragraph" w:customStyle="1" w:styleId="BodyText1">
    <w:name w:val="Body Text1"/>
    <w:link w:val="BodytextChar"/>
    <w:qFormat/>
    <w:rsid w:val="00416BF2"/>
    <w:rPr>
      <w:rFonts w:ascii="Arial" w:hAnsi="Arial" w:cs="Arial"/>
      <w:color w:val="000000"/>
      <w:sz w:val="19"/>
      <w:szCs w:val="48"/>
      <w:lang w:eastAsia="en-US"/>
    </w:rPr>
  </w:style>
  <w:style w:type="character" w:styleId="Odkaznakoment">
    <w:name w:val="annotation reference"/>
    <w:uiPriority w:val="99"/>
    <w:rsid w:val="001F3C28"/>
    <w:rPr>
      <w:rFonts w:cs="Times New Roman"/>
      <w:sz w:val="16"/>
      <w:szCs w:val="16"/>
    </w:rPr>
  </w:style>
  <w:style w:type="paragraph" w:styleId="Textkomente">
    <w:name w:val="annotation text"/>
    <w:basedOn w:val="Normln"/>
    <w:link w:val="TextkomenteChar"/>
    <w:uiPriority w:val="99"/>
    <w:rsid w:val="001F3C28"/>
    <w:rPr>
      <w:sz w:val="20"/>
    </w:rPr>
  </w:style>
  <w:style w:type="character" w:customStyle="1" w:styleId="TextkomenteChar">
    <w:name w:val="Text komentáře Char"/>
    <w:link w:val="Textkomente"/>
    <w:uiPriority w:val="99"/>
    <w:locked/>
    <w:rsid w:val="001F3C28"/>
    <w:rPr>
      <w:rFonts w:ascii="Calibri" w:hAnsi="Calibri" w:cs="Times New Roman"/>
    </w:rPr>
  </w:style>
  <w:style w:type="paragraph" w:styleId="Pedmtkomente">
    <w:name w:val="annotation subject"/>
    <w:basedOn w:val="Textkomente"/>
    <w:next w:val="Textkomente"/>
    <w:link w:val="PedmtkomenteChar"/>
    <w:uiPriority w:val="99"/>
    <w:rsid w:val="001F3C28"/>
    <w:rPr>
      <w:b/>
      <w:bCs/>
    </w:rPr>
  </w:style>
  <w:style w:type="character" w:customStyle="1" w:styleId="PedmtkomenteChar">
    <w:name w:val="Předmět komentáře Char"/>
    <w:link w:val="Pedmtkomente"/>
    <w:uiPriority w:val="99"/>
    <w:locked/>
    <w:rsid w:val="001F3C28"/>
    <w:rPr>
      <w:rFonts w:ascii="Calibri" w:hAnsi="Calibri" w:cs="Times New Roman"/>
      <w:b/>
      <w:bCs/>
    </w:rPr>
  </w:style>
  <w:style w:type="paragraph" w:styleId="Obsah1">
    <w:name w:val="toc 1"/>
    <w:basedOn w:val="Normln"/>
    <w:next w:val="Normln"/>
    <w:autoRedefine/>
    <w:uiPriority w:val="39"/>
    <w:locked/>
    <w:rsid w:val="006075D5"/>
    <w:pPr>
      <w:tabs>
        <w:tab w:val="left" w:pos="426"/>
        <w:tab w:val="right" w:leader="dot" w:pos="9060"/>
      </w:tabs>
    </w:pPr>
  </w:style>
  <w:style w:type="paragraph" w:styleId="Obsah2">
    <w:name w:val="toc 2"/>
    <w:basedOn w:val="Normln"/>
    <w:next w:val="Normln"/>
    <w:autoRedefine/>
    <w:uiPriority w:val="39"/>
    <w:locked/>
    <w:rsid w:val="0022745A"/>
    <w:pPr>
      <w:ind w:left="220"/>
    </w:pPr>
  </w:style>
  <w:style w:type="paragraph" w:styleId="Obsah3">
    <w:name w:val="toc 3"/>
    <w:basedOn w:val="Normln"/>
    <w:next w:val="Normln"/>
    <w:autoRedefine/>
    <w:uiPriority w:val="39"/>
    <w:locked/>
    <w:rsid w:val="0022745A"/>
    <w:pPr>
      <w:ind w:left="440"/>
    </w:pPr>
  </w:style>
  <w:style w:type="character" w:customStyle="1" w:styleId="hps">
    <w:name w:val="hps"/>
    <w:uiPriority w:val="99"/>
    <w:rsid w:val="009F5E79"/>
    <w:rPr>
      <w:rFonts w:cs="Times New Roman"/>
    </w:rPr>
  </w:style>
  <w:style w:type="paragraph" w:styleId="Zkladntext">
    <w:name w:val="Body Text"/>
    <w:basedOn w:val="Normln"/>
    <w:link w:val="ZkladntextChar"/>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ZkladntextChar">
    <w:name w:val="Základní text Char"/>
    <w:link w:val="Zkladntext"/>
    <w:uiPriority w:val="99"/>
    <w:locked/>
    <w:rsid w:val="00BF6C4F"/>
    <w:rPr>
      <w:rFonts w:ascii="Georgia" w:hAnsi="Georgia" w:cs="Times New Roman"/>
      <w:sz w:val="24"/>
      <w:lang w:val="cs-CZ" w:eastAsia="en-US" w:bidi="ar-SA"/>
    </w:rPr>
  </w:style>
  <w:style w:type="paragraph" w:customStyle="1" w:styleId="Legalentity">
    <w:name w:val="Legal entity"/>
    <w:basedOn w:val="Normln"/>
    <w:uiPriority w:val="99"/>
    <w:rsid w:val="00CE3165"/>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CE3165"/>
    <w:pPr>
      <w:numPr>
        <w:numId w:val="22"/>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uiPriority w:val="99"/>
    <w:rsid w:val="00CE3165"/>
    <w:rPr>
      <w:rFonts w:ascii="Arial" w:hAnsi="Arial"/>
      <w:b/>
      <w:color w:val="00A1DE"/>
      <w:sz w:val="24"/>
      <w:szCs w:val="22"/>
      <w:lang w:eastAsia="en-US"/>
    </w:rPr>
  </w:style>
  <w:style w:type="paragraph" w:customStyle="1" w:styleId="smlouvaheading2">
    <w:name w:val="smlouva heading 2"/>
    <w:basedOn w:val="CaptionIntroductionparagraph"/>
    <w:next w:val="BodyText1"/>
    <w:uiPriority w:val="99"/>
    <w:rsid w:val="00CE3165"/>
    <w:pPr>
      <w:numPr>
        <w:ilvl w:val="1"/>
        <w:numId w:val="22"/>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CE3165"/>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CE3165"/>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CE3165"/>
    <w:pPr>
      <w:numPr>
        <w:ilvl w:val="0"/>
        <w:numId w:val="0"/>
      </w:numPr>
    </w:pPr>
    <w:rPr>
      <w:b/>
    </w:rPr>
  </w:style>
  <w:style w:type="paragraph" w:customStyle="1" w:styleId="Bodytextbold">
    <w:name w:val="Body text bold"/>
    <w:basedOn w:val="smlouvabodytextbold"/>
    <w:next w:val="BodyText1"/>
    <w:uiPriority w:val="99"/>
    <w:rsid w:val="00CE3165"/>
    <w:pPr>
      <w:tabs>
        <w:tab w:val="clear" w:pos="1021"/>
        <w:tab w:val="left" w:pos="1134"/>
      </w:tabs>
    </w:pPr>
    <w:rPr>
      <w:color w:val="000000"/>
    </w:rPr>
  </w:style>
  <w:style w:type="character" w:customStyle="1" w:styleId="CaptionbodyChar">
    <w:name w:val="Caption body Char"/>
    <w:link w:val="Captionbody"/>
    <w:uiPriority w:val="99"/>
    <w:locked/>
    <w:rsid w:val="00CE3165"/>
    <w:rPr>
      <w:rFonts w:ascii="Arial" w:hAnsi="Arial"/>
      <w:color w:val="000000"/>
      <w:sz w:val="22"/>
      <w:lang w:val="en-US" w:eastAsia="en-US"/>
    </w:rPr>
  </w:style>
  <w:style w:type="paragraph" w:customStyle="1" w:styleId="Captionbody">
    <w:name w:val="Caption body"/>
    <w:link w:val="CaptionbodyChar"/>
    <w:uiPriority w:val="99"/>
    <w:rsid w:val="00CE3165"/>
    <w:rPr>
      <w:rFonts w:ascii="Arial" w:hAnsi="Arial"/>
      <w:color w:val="000000"/>
      <w:sz w:val="22"/>
      <w:szCs w:val="22"/>
      <w:lang w:val="en-US" w:eastAsia="en-US"/>
    </w:rPr>
  </w:style>
  <w:style w:type="paragraph" w:customStyle="1" w:styleId="Captionheading">
    <w:name w:val="Caption heading"/>
    <w:basedOn w:val="Captionbody"/>
    <w:uiPriority w:val="99"/>
    <w:rsid w:val="00CE3165"/>
    <w:rPr>
      <w:b/>
    </w:rPr>
  </w:style>
  <w:style w:type="paragraph" w:customStyle="1" w:styleId="smlouvabodytext">
    <w:name w:val="smlouva body text"/>
    <w:basedOn w:val="Normln"/>
    <w:uiPriority w:val="99"/>
    <w:rsid w:val="00CE3165"/>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ln"/>
    <w:link w:val="Bulletslevel1Char"/>
    <w:uiPriority w:val="99"/>
    <w:rsid w:val="00CE3165"/>
    <w:pPr>
      <w:numPr>
        <w:numId w:val="20"/>
      </w:numPr>
      <w:overflowPunct/>
      <w:autoSpaceDE/>
      <w:autoSpaceDN/>
      <w:adjustRightInd/>
      <w:spacing w:before="120"/>
      <w:ind w:left="360"/>
      <w:textAlignment w:val="auto"/>
    </w:pPr>
    <w:rPr>
      <w:rFonts w:ascii="Arial" w:hAnsi="Arial"/>
      <w:color w:val="000000"/>
      <w:sz w:val="20"/>
      <w:lang w:val="en-GB" w:eastAsia="en-US"/>
    </w:rPr>
  </w:style>
  <w:style w:type="character" w:customStyle="1" w:styleId="Bulletslevel1Char">
    <w:name w:val="Bullets level 1 Char"/>
    <w:link w:val="Bulletslevel1"/>
    <w:uiPriority w:val="99"/>
    <w:locked/>
    <w:rsid w:val="00CE3165"/>
    <w:rPr>
      <w:rFonts w:ascii="Arial" w:hAnsi="Arial"/>
      <w:color w:val="000000"/>
      <w:lang w:val="en-GB" w:eastAsia="en-US"/>
    </w:rPr>
  </w:style>
  <w:style w:type="paragraph" w:customStyle="1" w:styleId="Bulletslevel2">
    <w:name w:val="Bullets level 2"/>
    <w:basedOn w:val="Normln"/>
    <w:link w:val="Bulletslevel2Char"/>
    <w:uiPriority w:val="99"/>
    <w:rsid w:val="00CE3165"/>
    <w:pPr>
      <w:numPr>
        <w:numId w:val="21"/>
      </w:numPr>
      <w:tabs>
        <w:tab w:val="left" w:pos="567"/>
      </w:tabs>
      <w:overflowPunct/>
      <w:autoSpaceDE/>
      <w:autoSpaceDN/>
      <w:adjustRightInd/>
      <w:spacing w:before="120"/>
      <w:textAlignment w:val="auto"/>
    </w:pPr>
    <w:rPr>
      <w:rFonts w:ascii="Arial" w:hAnsi="Arial"/>
      <w:color w:val="000000"/>
      <w:sz w:val="20"/>
      <w:lang w:val="en-GB" w:eastAsia="en-US"/>
    </w:rPr>
  </w:style>
  <w:style w:type="character" w:customStyle="1" w:styleId="Bulletslevel2Char">
    <w:name w:val="Bullets level 2 Char"/>
    <w:link w:val="Bulletslevel2"/>
    <w:uiPriority w:val="99"/>
    <w:locked/>
    <w:rsid w:val="00CE3165"/>
    <w:rPr>
      <w:rFonts w:ascii="Arial" w:hAnsi="Arial"/>
      <w:color w:val="000000"/>
      <w:lang w:val="en-GB" w:eastAsia="en-US"/>
    </w:rPr>
  </w:style>
  <w:style w:type="paragraph" w:customStyle="1" w:styleId="PulloutQuote">
    <w:name w:val="Pullout Quote"/>
    <w:uiPriority w:val="99"/>
    <w:rsid w:val="00CE3165"/>
    <w:pPr>
      <w:pBdr>
        <w:top w:val="single" w:sz="4" w:space="4" w:color="00A1DE"/>
      </w:pBdr>
      <w:suppressAutoHyphens/>
      <w:spacing w:line="320" w:lineRule="exact"/>
    </w:pPr>
    <w:rPr>
      <w:color w:val="00A1DE"/>
      <w:sz w:val="32"/>
      <w:lang w:val="en-GB" w:eastAsia="en-US"/>
    </w:rPr>
  </w:style>
  <w:style w:type="paragraph" w:customStyle="1" w:styleId="Highlight1">
    <w:name w:val="Highlight 1"/>
    <w:basedOn w:val="Normln"/>
    <w:uiPriority w:val="99"/>
    <w:rsid w:val="00CE3165"/>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CE3165"/>
    <w:rPr>
      <w:color w:val="92D400"/>
    </w:rPr>
  </w:style>
  <w:style w:type="paragraph" w:styleId="Obsah4">
    <w:name w:val="toc 4"/>
    <w:basedOn w:val="Normln"/>
    <w:next w:val="Normln"/>
    <w:autoRedefine/>
    <w:uiPriority w:val="39"/>
    <w:rsid w:val="00CE3165"/>
    <w:pPr>
      <w:overflowPunct/>
      <w:autoSpaceDE/>
      <w:autoSpaceDN/>
      <w:adjustRightInd/>
      <w:spacing w:after="240"/>
      <w:ind w:left="720"/>
      <w:textAlignment w:val="auto"/>
    </w:pPr>
    <w:rPr>
      <w:rFonts w:ascii="Arial" w:hAnsi="Arial" w:cs="Arial"/>
      <w:sz w:val="19"/>
      <w:szCs w:val="24"/>
      <w:lang w:eastAsia="en-US"/>
    </w:rPr>
  </w:style>
  <w:style w:type="table" w:styleId="Tabulkasprostorovmiefekty1">
    <w:name w:val="Table 3D effects 1"/>
    <w:basedOn w:val="Normlntabulka"/>
    <w:uiPriority w:val="99"/>
    <w:locked/>
    <w:rsid w:val="00CE3165"/>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CE3165"/>
    <w:rPr>
      <w:rFonts w:ascii="Arial" w:hAnsi="Arial"/>
      <w:sz w:val="19"/>
    </w:rPr>
    <w:tblPr>
      <w:tblInd w:w="0" w:type="dxa"/>
      <w:tblBorders>
        <w:bottom w:val="single" w:sz="4" w:space="0" w:color="3C8A2E"/>
        <w:insideH w:val="single" w:sz="4" w:space="0" w:color="3C8A2E"/>
      </w:tblBorders>
      <w:tblCellMar>
        <w:top w:w="28" w:type="dxa"/>
        <w:left w:w="28" w:type="dxa"/>
        <w:bottom w:w="28" w:type="dxa"/>
        <w:right w:w="28" w:type="dxa"/>
      </w:tblCellMar>
    </w:tblPr>
  </w:style>
  <w:style w:type="table" w:customStyle="1" w:styleId="Deloittetable5">
    <w:name w:val="Deloitte table 5"/>
    <w:uiPriority w:val="99"/>
    <w:rsid w:val="00CE3165"/>
    <w:rPr>
      <w:rFonts w:ascii="Arial" w:hAnsi="Arial"/>
      <w:sz w:val="19"/>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Style1">
    <w:name w:val="Style1"/>
    <w:uiPriority w:val="99"/>
    <w:rsid w:val="00CE3165"/>
    <w:rPr>
      <w:rFonts w:ascii="Arial" w:hAnsi="Arial"/>
      <w:sz w:val="19"/>
    </w:rPr>
    <w:tblPr>
      <w:tblInd w:w="0" w:type="dxa"/>
      <w:tblCellMar>
        <w:top w:w="0" w:type="dxa"/>
        <w:left w:w="108" w:type="dxa"/>
        <w:bottom w:w="0" w:type="dxa"/>
        <w:right w:w="108" w:type="dxa"/>
      </w:tblCellMar>
    </w:tblPr>
  </w:style>
  <w:style w:type="table" w:customStyle="1" w:styleId="Deloittetable6">
    <w:name w:val="Deloitte table 6"/>
    <w:uiPriority w:val="99"/>
    <w:rsid w:val="00CE3165"/>
    <w:rPr>
      <w:rFonts w:ascii="Arial" w:hAnsi="Arial"/>
      <w:sz w:val="19"/>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style>
  <w:style w:type="table" w:customStyle="1" w:styleId="Deloittetable7">
    <w:name w:val="Deloitte table 7"/>
    <w:uiPriority w:val="99"/>
    <w:rsid w:val="00CE3165"/>
    <w:rPr>
      <w:rFonts w:ascii="Arial" w:hAnsi="Arial"/>
      <w:sz w:val="19"/>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style>
  <w:style w:type="table" w:styleId="Tabulkasprostorovmiefekty3">
    <w:name w:val="Table 3D effects 3"/>
    <w:basedOn w:val="Normlntabulka"/>
    <w:uiPriority w:val="99"/>
    <w:locked/>
    <w:rsid w:val="00CE3165"/>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CE3165"/>
    <w:pPr>
      <w:contextualSpacing/>
    </w:pPr>
    <w:rPr>
      <w:rFonts w:ascii="Arial" w:hAnsi="Arial"/>
      <w:sz w:val="19"/>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style>
  <w:style w:type="table" w:customStyle="1" w:styleId="Deloittetable81">
    <w:name w:val="Deloitte table 8.1"/>
    <w:uiPriority w:val="99"/>
    <w:rsid w:val="00CE3165"/>
    <w:rPr>
      <w:rFonts w:ascii="Arial" w:hAnsi="Arial"/>
      <w:sz w:val="19"/>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table" w:customStyle="1" w:styleId="Deloittetable82">
    <w:name w:val="Deloitte table 8.2"/>
    <w:uiPriority w:val="99"/>
    <w:rsid w:val="00CE316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customStyle="1" w:styleId="Deloittetable83">
    <w:name w:val="Deloitte table 8.3"/>
    <w:uiPriority w:val="99"/>
    <w:rsid w:val="00CE3165"/>
    <w:rPr>
      <w:rFonts w:ascii="Arial" w:hAnsi="Arial"/>
      <w:sz w:val="19"/>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style>
  <w:style w:type="table" w:customStyle="1" w:styleId="Deloittetable84">
    <w:name w:val="Deloitte table 8.4"/>
    <w:uiPriority w:val="99"/>
    <w:rsid w:val="00CE3165"/>
    <w:rPr>
      <w:rFonts w:ascii="Arial" w:hAnsi="Arial"/>
      <w:sz w:val="19"/>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style>
  <w:style w:type="table" w:customStyle="1" w:styleId="Deloittetable85">
    <w:name w:val="Deloitte table 8.5"/>
    <w:uiPriority w:val="99"/>
    <w:rsid w:val="00CE3165"/>
    <w:rPr>
      <w:rFonts w:ascii="Arial" w:hAnsi="Arial"/>
      <w:sz w:val="19"/>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Deloittetable86">
    <w:name w:val="Deloitte table 8.6"/>
    <w:uiPriority w:val="99"/>
    <w:rsid w:val="00CE316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styleId="Sloupcetabulky3">
    <w:name w:val="Table Columns 3"/>
    <w:basedOn w:val="Normlntabulka"/>
    <w:uiPriority w:val="99"/>
    <w:locked/>
    <w:rsid w:val="00CE31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Barevnseznamzvraznn4">
    <w:name w:val="Colorful List Accent 4"/>
    <w:basedOn w:val="Normlntabulka"/>
    <w:uiPriority w:val="99"/>
    <w:rsid w:val="00CE3165"/>
    <w:rPr>
      <w:color w:val="000000"/>
    </w:rPr>
    <w:tblPr>
      <w:tblStyleRowBandSize w:val="1"/>
      <w:tblStyleColBandSize w:val="1"/>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Stednmka2zvraznn4">
    <w:name w:val="Medium Grid 2 Accent 4"/>
    <w:basedOn w:val="Normlntabulka"/>
    <w:uiPriority w:val="99"/>
    <w:rsid w:val="00CE3165"/>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Obsah5">
    <w:name w:val="toc 5"/>
    <w:basedOn w:val="Normln"/>
    <w:next w:val="Normln"/>
    <w:autoRedefine/>
    <w:uiPriority w:val="39"/>
    <w:rsid w:val="00CE3165"/>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CE3165"/>
    <w:rPr>
      <w:color w:val="00A1DE"/>
    </w:rPr>
  </w:style>
  <w:style w:type="paragraph" w:styleId="Nadpisobsahu">
    <w:name w:val="TOC Heading"/>
    <w:basedOn w:val="Nadpis1"/>
    <w:next w:val="Normln"/>
    <w:uiPriority w:val="99"/>
    <w:qFormat/>
    <w:rsid w:val="00CE3165"/>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CE3165"/>
  </w:style>
  <w:style w:type="paragraph" w:customStyle="1" w:styleId="Default">
    <w:name w:val="Default"/>
    <w:rsid w:val="00CE3165"/>
    <w:pPr>
      <w:autoSpaceDE w:val="0"/>
      <w:autoSpaceDN w:val="0"/>
      <w:adjustRightInd w:val="0"/>
    </w:pPr>
    <w:rPr>
      <w:color w:val="000000"/>
      <w:sz w:val="24"/>
      <w:szCs w:val="24"/>
    </w:rPr>
  </w:style>
  <w:style w:type="paragraph" w:styleId="Normlnweb">
    <w:name w:val="Normal (Web)"/>
    <w:basedOn w:val="Normln"/>
    <w:uiPriority w:val="99"/>
    <w:locked/>
    <w:rsid w:val="00CE3165"/>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uiPriority w:val="99"/>
    <w:rsid w:val="00CE3165"/>
    <w:rPr>
      <w:rFonts w:cs="Times New Roman"/>
    </w:rPr>
  </w:style>
  <w:style w:type="paragraph" w:customStyle="1" w:styleId="Styl1">
    <w:name w:val="Styl1"/>
    <w:basedOn w:val="Normln"/>
    <w:uiPriority w:val="99"/>
    <w:rsid w:val="00CE3165"/>
    <w:pPr>
      <w:numPr>
        <w:numId w:val="23"/>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CE3165"/>
    <w:rPr>
      <w:rFonts w:ascii="Tahoma" w:hAnsi="Tahoma" w:cs="Tahoma"/>
      <w:color w:val="auto"/>
    </w:rPr>
  </w:style>
  <w:style w:type="character" w:styleId="Siln">
    <w:name w:val="Strong"/>
    <w:uiPriority w:val="99"/>
    <w:qFormat/>
    <w:rsid w:val="00CE3165"/>
    <w:rPr>
      <w:rFonts w:cs="Times New Roman"/>
      <w:b/>
    </w:rPr>
  </w:style>
  <w:style w:type="paragraph" w:styleId="Revize">
    <w:name w:val="Revision"/>
    <w:hidden/>
    <w:uiPriority w:val="99"/>
    <w:semiHidden/>
    <w:rsid w:val="00251456"/>
    <w:rPr>
      <w:rFonts w:ascii="Calibri" w:hAnsi="Calibri"/>
      <w:sz w:val="22"/>
    </w:rPr>
  </w:style>
  <w:style w:type="paragraph" w:styleId="Nzev">
    <w:name w:val="Title"/>
    <w:basedOn w:val="Normln"/>
    <w:next w:val="Normln"/>
    <w:link w:val="NzevChar"/>
    <w:uiPriority w:val="99"/>
    <w:qFormat/>
    <w:rsid w:val="008C0CD3"/>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link w:val="Nzev"/>
    <w:uiPriority w:val="99"/>
    <w:locked/>
    <w:rsid w:val="008C0CD3"/>
    <w:rPr>
      <w:rFonts w:ascii="Cambria" w:hAnsi="Cambria" w:cs="Times New Roman"/>
      <w:color w:val="17365D"/>
      <w:spacing w:val="5"/>
      <w:kern w:val="28"/>
      <w:sz w:val="52"/>
      <w:szCs w:val="52"/>
    </w:rPr>
  </w:style>
  <w:style w:type="character" w:styleId="Sledovanodkaz">
    <w:name w:val="FollowedHyperlink"/>
    <w:uiPriority w:val="99"/>
    <w:locked/>
    <w:rsid w:val="00B35620"/>
    <w:rPr>
      <w:rFonts w:cs="Times New Roman"/>
      <w:color w:val="800080"/>
      <w:u w:val="single"/>
    </w:rPr>
  </w:style>
  <w:style w:type="paragraph" w:styleId="Obsah6">
    <w:name w:val="toc 6"/>
    <w:basedOn w:val="Normln"/>
    <w:next w:val="Normln"/>
    <w:autoRedefine/>
    <w:uiPriority w:val="39"/>
    <w:locked/>
    <w:rsid w:val="00F50BC7"/>
    <w:pPr>
      <w:overflowPunct/>
      <w:autoSpaceDE/>
      <w:autoSpaceDN/>
      <w:adjustRightInd/>
      <w:spacing w:after="100" w:line="276" w:lineRule="auto"/>
      <w:ind w:left="1100"/>
      <w:jc w:val="left"/>
      <w:textAlignment w:val="auto"/>
    </w:pPr>
    <w:rPr>
      <w:szCs w:val="22"/>
    </w:rPr>
  </w:style>
  <w:style w:type="paragraph" w:styleId="Obsah7">
    <w:name w:val="toc 7"/>
    <w:basedOn w:val="Normln"/>
    <w:next w:val="Normln"/>
    <w:autoRedefine/>
    <w:uiPriority w:val="39"/>
    <w:locked/>
    <w:rsid w:val="00F50BC7"/>
    <w:pPr>
      <w:overflowPunct/>
      <w:autoSpaceDE/>
      <w:autoSpaceDN/>
      <w:adjustRightInd/>
      <w:spacing w:after="100" w:line="276" w:lineRule="auto"/>
      <w:ind w:left="1320"/>
      <w:jc w:val="left"/>
      <w:textAlignment w:val="auto"/>
    </w:pPr>
    <w:rPr>
      <w:szCs w:val="22"/>
    </w:rPr>
  </w:style>
  <w:style w:type="paragraph" w:styleId="Obsah8">
    <w:name w:val="toc 8"/>
    <w:basedOn w:val="Normln"/>
    <w:next w:val="Normln"/>
    <w:autoRedefine/>
    <w:uiPriority w:val="39"/>
    <w:locked/>
    <w:rsid w:val="00F50BC7"/>
    <w:pPr>
      <w:overflowPunct/>
      <w:autoSpaceDE/>
      <w:autoSpaceDN/>
      <w:adjustRightInd/>
      <w:spacing w:after="100" w:line="276" w:lineRule="auto"/>
      <w:ind w:left="1540"/>
      <w:jc w:val="left"/>
      <w:textAlignment w:val="auto"/>
    </w:pPr>
    <w:rPr>
      <w:szCs w:val="22"/>
    </w:rPr>
  </w:style>
  <w:style w:type="paragraph" w:styleId="Obsah9">
    <w:name w:val="toc 9"/>
    <w:basedOn w:val="Normln"/>
    <w:next w:val="Normln"/>
    <w:autoRedefine/>
    <w:uiPriority w:val="39"/>
    <w:locked/>
    <w:rsid w:val="00F50BC7"/>
    <w:pPr>
      <w:overflowPunct/>
      <w:autoSpaceDE/>
      <w:autoSpaceDN/>
      <w:adjustRightInd/>
      <w:spacing w:after="100" w:line="276" w:lineRule="auto"/>
      <w:ind w:left="1760"/>
      <w:jc w:val="left"/>
      <w:textAlignment w:val="auto"/>
    </w:pPr>
    <w:rPr>
      <w:szCs w:val="22"/>
    </w:rPr>
  </w:style>
  <w:style w:type="paragraph" w:styleId="Rozloendokumentu">
    <w:name w:val="Document Map"/>
    <w:basedOn w:val="Normln"/>
    <w:link w:val="RozloendokumentuChar"/>
    <w:uiPriority w:val="99"/>
    <w:semiHidden/>
    <w:locked/>
    <w:rsid w:val="00A02873"/>
    <w:pPr>
      <w:shd w:val="clear" w:color="auto" w:fill="000080"/>
    </w:pPr>
    <w:rPr>
      <w:rFonts w:ascii="Tahoma" w:hAnsi="Tahoma" w:cs="Tahoma"/>
      <w:sz w:val="20"/>
    </w:rPr>
  </w:style>
  <w:style w:type="character" w:customStyle="1" w:styleId="RozloendokumentuChar">
    <w:name w:val="Rozložení dokumentu Char"/>
    <w:link w:val="Rozloendokumentu"/>
    <w:uiPriority w:val="99"/>
    <w:semiHidden/>
    <w:locked/>
    <w:rsid w:val="00C07760"/>
    <w:rPr>
      <w:rFonts w:cs="Times New Roman"/>
      <w:sz w:val="2"/>
    </w:rPr>
  </w:style>
  <w:style w:type="table" w:styleId="Svtlseznamzvraznn1">
    <w:name w:val="Light List Accent 1"/>
    <w:basedOn w:val="Normlntabulka"/>
    <w:uiPriority w:val="99"/>
    <w:rsid w:val="00D435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ulka">
    <w:name w:val="Tabulka"/>
    <w:basedOn w:val="Normln"/>
    <w:link w:val="TabulkaChar"/>
    <w:uiPriority w:val="99"/>
    <w:rsid w:val="00FC0490"/>
    <w:pPr>
      <w:overflowPunct/>
      <w:spacing w:before="60" w:after="60"/>
      <w:jc w:val="center"/>
      <w:textAlignment w:val="auto"/>
    </w:pPr>
    <w:rPr>
      <w:rFonts w:ascii="Times New Roman" w:hAnsi="Times New Roman"/>
      <w:szCs w:val="22"/>
    </w:rPr>
  </w:style>
  <w:style w:type="character" w:customStyle="1" w:styleId="TabulkaChar">
    <w:name w:val="Tabulka Char"/>
    <w:link w:val="Tabulka"/>
    <w:uiPriority w:val="99"/>
    <w:locked/>
    <w:rsid w:val="00FC0490"/>
  </w:style>
  <w:style w:type="paragraph" w:customStyle="1" w:styleId="Poznmkapodarou">
    <w:name w:val="Poznámka pod čarou"/>
    <w:basedOn w:val="Default"/>
    <w:link w:val="PoznmkapodarouChar"/>
    <w:uiPriority w:val="99"/>
    <w:rsid w:val="00CA1AC6"/>
    <w:pPr>
      <w:tabs>
        <w:tab w:val="left" w:pos="708"/>
      </w:tabs>
      <w:suppressAutoHyphens/>
      <w:overflowPunct w:val="0"/>
      <w:autoSpaceDN/>
      <w:adjustRightInd/>
      <w:spacing w:after="60" w:line="200" w:lineRule="atLeast"/>
      <w:jc w:val="both"/>
      <w:textAlignment w:val="baseline"/>
    </w:pPr>
    <w:rPr>
      <w:color w:val="auto"/>
      <w:sz w:val="20"/>
      <w:szCs w:val="20"/>
    </w:rPr>
  </w:style>
  <w:style w:type="character" w:customStyle="1" w:styleId="PoznmkapodarouChar">
    <w:name w:val="Poznámka pod čarou Char"/>
    <w:link w:val="Poznmkapodarou"/>
    <w:uiPriority w:val="99"/>
    <w:locked/>
    <w:rsid w:val="00CA1AC6"/>
    <w:rPr>
      <w:sz w:val="20"/>
    </w:rPr>
  </w:style>
  <w:style w:type="table" w:styleId="Stednstnovn1zvraznn1">
    <w:name w:val="Medium Shading 1 Accent 1"/>
    <w:basedOn w:val="Normlntabulka"/>
    <w:uiPriority w:val="99"/>
    <w:rsid w:val="00B458B1"/>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Stednmka3zvraznn1">
    <w:name w:val="Medium Grid 3 Accent 1"/>
    <w:basedOn w:val="Normlntabulka"/>
    <w:uiPriority w:val="99"/>
    <w:rsid w:val="00067B6A"/>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Barevnstnovnzvraznn1">
    <w:name w:val="Colorful Shading Accent 1"/>
    <w:basedOn w:val="Normlntabulka"/>
    <w:uiPriority w:val="99"/>
    <w:rsid w:val="00067B6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character" w:customStyle="1" w:styleId="CharChar1">
    <w:name w:val="Char Char1"/>
    <w:uiPriority w:val="99"/>
    <w:rsid w:val="00847809"/>
    <w:rPr>
      <w:rFonts w:ascii="Arial" w:hAnsi="Arial"/>
      <w:b/>
      <w:color w:val="002776"/>
      <w:lang w:eastAsia="en-US"/>
    </w:rPr>
  </w:style>
  <w:style w:type="character" w:customStyle="1" w:styleId="FootnoteTextChar">
    <w:name w:val="Footnote Text Char"/>
    <w:locked/>
    <w:rsid w:val="004E5625"/>
    <w:rPr>
      <w:rFonts w:ascii="Calibri" w:eastAsia="Times New Roman" w:hAnsi="Calibri" w:cs="Calibri"/>
      <w:lang w:val="x-none" w:eastAsia="en-US"/>
    </w:rPr>
  </w:style>
  <w:style w:type="paragraph" w:customStyle="1" w:styleId="Odstavecseseznamem2">
    <w:name w:val="Odstavec se seznamem2"/>
    <w:basedOn w:val="Normln"/>
    <w:rsid w:val="004E5625"/>
    <w:pPr>
      <w:overflowPunct/>
      <w:autoSpaceDE/>
      <w:autoSpaceDN/>
      <w:adjustRightInd/>
      <w:spacing w:after="120" w:line="276" w:lineRule="auto"/>
      <w:ind w:left="720"/>
      <w:contextualSpacing/>
      <w:jc w:val="left"/>
      <w:textAlignment w:val="auto"/>
    </w:pPr>
    <w:rPr>
      <w:rFonts w:cs="Calibri"/>
      <w:szCs w:val="22"/>
      <w:lang w:eastAsia="en-US"/>
    </w:rPr>
  </w:style>
  <w:style w:type="paragraph" w:styleId="Odstavecseseznamem">
    <w:name w:val="List Paragraph"/>
    <w:basedOn w:val="Normln"/>
    <w:uiPriority w:val="34"/>
    <w:qFormat/>
    <w:rsid w:val="00B225B7"/>
    <w:pPr>
      <w:ind w:left="720"/>
      <w:contextualSpacing/>
    </w:pPr>
  </w:style>
  <w:style w:type="paragraph" w:styleId="Podtitul">
    <w:name w:val="Subtitle"/>
    <w:basedOn w:val="Normln"/>
    <w:next w:val="Normln"/>
    <w:link w:val="PodtitulChar"/>
    <w:qFormat/>
    <w:rsid w:val="000C64D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Standardnpsmoodstavce"/>
    <w:link w:val="Podtitul"/>
    <w:rsid w:val="000C64D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0458">
      <w:bodyDiv w:val="1"/>
      <w:marLeft w:val="0"/>
      <w:marRight w:val="0"/>
      <w:marTop w:val="0"/>
      <w:marBottom w:val="0"/>
      <w:divBdr>
        <w:top w:val="none" w:sz="0" w:space="0" w:color="auto"/>
        <w:left w:val="none" w:sz="0" w:space="0" w:color="auto"/>
        <w:bottom w:val="none" w:sz="0" w:space="0" w:color="auto"/>
        <w:right w:val="none" w:sz="0" w:space="0" w:color="auto"/>
      </w:divBdr>
    </w:div>
    <w:div w:id="264388081">
      <w:bodyDiv w:val="1"/>
      <w:marLeft w:val="0"/>
      <w:marRight w:val="0"/>
      <w:marTop w:val="0"/>
      <w:marBottom w:val="0"/>
      <w:divBdr>
        <w:top w:val="none" w:sz="0" w:space="0" w:color="auto"/>
        <w:left w:val="none" w:sz="0" w:space="0" w:color="auto"/>
        <w:bottom w:val="none" w:sz="0" w:space="0" w:color="auto"/>
        <w:right w:val="none" w:sz="0" w:space="0" w:color="auto"/>
      </w:divBdr>
    </w:div>
    <w:div w:id="379940921">
      <w:bodyDiv w:val="1"/>
      <w:marLeft w:val="0"/>
      <w:marRight w:val="0"/>
      <w:marTop w:val="0"/>
      <w:marBottom w:val="0"/>
      <w:divBdr>
        <w:top w:val="none" w:sz="0" w:space="0" w:color="auto"/>
        <w:left w:val="none" w:sz="0" w:space="0" w:color="auto"/>
        <w:bottom w:val="none" w:sz="0" w:space="0" w:color="auto"/>
        <w:right w:val="none" w:sz="0" w:space="0" w:color="auto"/>
      </w:divBdr>
    </w:div>
    <w:div w:id="426273791">
      <w:bodyDiv w:val="1"/>
      <w:marLeft w:val="0"/>
      <w:marRight w:val="0"/>
      <w:marTop w:val="0"/>
      <w:marBottom w:val="0"/>
      <w:divBdr>
        <w:top w:val="none" w:sz="0" w:space="0" w:color="auto"/>
        <w:left w:val="none" w:sz="0" w:space="0" w:color="auto"/>
        <w:bottom w:val="none" w:sz="0" w:space="0" w:color="auto"/>
        <w:right w:val="none" w:sz="0" w:space="0" w:color="auto"/>
      </w:divBdr>
    </w:div>
    <w:div w:id="426780122">
      <w:bodyDiv w:val="1"/>
      <w:marLeft w:val="0"/>
      <w:marRight w:val="0"/>
      <w:marTop w:val="0"/>
      <w:marBottom w:val="0"/>
      <w:divBdr>
        <w:top w:val="none" w:sz="0" w:space="0" w:color="auto"/>
        <w:left w:val="none" w:sz="0" w:space="0" w:color="auto"/>
        <w:bottom w:val="none" w:sz="0" w:space="0" w:color="auto"/>
        <w:right w:val="none" w:sz="0" w:space="0" w:color="auto"/>
      </w:divBdr>
    </w:div>
    <w:div w:id="429475717">
      <w:bodyDiv w:val="1"/>
      <w:marLeft w:val="0"/>
      <w:marRight w:val="0"/>
      <w:marTop w:val="0"/>
      <w:marBottom w:val="0"/>
      <w:divBdr>
        <w:top w:val="none" w:sz="0" w:space="0" w:color="auto"/>
        <w:left w:val="none" w:sz="0" w:space="0" w:color="auto"/>
        <w:bottom w:val="none" w:sz="0" w:space="0" w:color="auto"/>
        <w:right w:val="none" w:sz="0" w:space="0" w:color="auto"/>
      </w:divBdr>
    </w:div>
    <w:div w:id="577440533">
      <w:bodyDiv w:val="1"/>
      <w:marLeft w:val="0"/>
      <w:marRight w:val="0"/>
      <w:marTop w:val="0"/>
      <w:marBottom w:val="0"/>
      <w:divBdr>
        <w:top w:val="none" w:sz="0" w:space="0" w:color="auto"/>
        <w:left w:val="none" w:sz="0" w:space="0" w:color="auto"/>
        <w:bottom w:val="none" w:sz="0" w:space="0" w:color="auto"/>
        <w:right w:val="none" w:sz="0" w:space="0" w:color="auto"/>
      </w:divBdr>
    </w:div>
    <w:div w:id="612588865">
      <w:marLeft w:val="0"/>
      <w:marRight w:val="0"/>
      <w:marTop w:val="0"/>
      <w:marBottom w:val="0"/>
      <w:divBdr>
        <w:top w:val="none" w:sz="0" w:space="0" w:color="auto"/>
        <w:left w:val="none" w:sz="0" w:space="0" w:color="auto"/>
        <w:bottom w:val="none" w:sz="0" w:space="0" w:color="auto"/>
        <w:right w:val="none" w:sz="0" w:space="0" w:color="auto"/>
      </w:divBdr>
    </w:div>
    <w:div w:id="612588866">
      <w:marLeft w:val="0"/>
      <w:marRight w:val="0"/>
      <w:marTop w:val="0"/>
      <w:marBottom w:val="0"/>
      <w:divBdr>
        <w:top w:val="none" w:sz="0" w:space="0" w:color="auto"/>
        <w:left w:val="none" w:sz="0" w:space="0" w:color="auto"/>
        <w:bottom w:val="none" w:sz="0" w:space="0" w:color="auto"/>
        <w:right w:val="none" w:sz="0" w:space="0" w:color="auto"/>
      </w:divBdr>
    </w:div>
    <w:div w:id="612588867">
      <w:marLeft w:val="0"/>
      <w:marRight w:val="0"/>
      <w:marTop w:val="0"/>
      <w:marBottom w:val="0"/>
      <w:divBdr>
        <w:top w:val="none" w:sz="0" w:space="0" w:color="auto"/>
        <w:left w:val="none" w:sz="0" w:space="0" w:color="auto"/>
        <w:bottom w:val="none" w:sz="0" w:space="0" w:color="auto"/>
        <w:right w:val="none" w:sz="0" w:space="0" w:color="auto"/>
      </w:divBdr>
    </w:div>
    <w:div w:id="612588868">
      <w:marLeft w:val="0"/>
      <w:marRight w:val="0"/>
      <w:marTop w:val="0"/>
      <w:marBottom w:val="0"/>
      <w:divBdr>
        <w:top w:val="none" w:sz="0" w:space="0" w:color="auto"/>
        <w:left w:val="none" w:sz="0" w:space="0" w:color="auto"/>
        <w:bottom w:val="none" w:sz="0" w:space="0" w:color="auto"/>
        <w:right w:val="none" w:sz="0" w:space="0" w:color="auto"/>
      </w:divBdr>
    </w:div>
    <w:div w:id="612588869">
      <w:marLeft w:val="0"/>
      <w:marRight w:val="0"/>
      <w:marTop w:val="0"/>
      <w:marBottom w:val="0"/>
      <w:divBdr>
        <w:top w:val="none" w:sz="0" w:space="0" w:color="auto"/>
        <w:left w:val="none" w:sz="0" w:space="0" w:color="auto"/>
        <w:bottom w:val="none" w:sz="0" w:space="0" w:color="auto"/>
        <w:right w:val="none" w:sz="0" w:space="0" w:color="auto"/>
      </w:divBdr>
    </w:div>
    <w:div w:id="612588870">
      <w:marLeft w:val="0"/>
      <w:marRight w:val="0"/>
      <w:marTop w:val="0"/>
      <w:marBottom w:val="0"/>
      <w:divBdr>
        <w:top w:val="none" w:sz="0" w:space="0" w:color="auto"/>
        <w:left w:val="none" w:sz="0" w:space="0" w:color="auto"/>
        <w:bottom w:val="none" w:sz="0" w:space="0" w:color="auto"/>
        <w:right w:val="none" w:sz="0" w:space="0" w:color="auto"/>
      </w:divBdr>
    </w:div>
    <w:div w:id="612588871">
      <w:marLeft w:val="0"/>
      <w:marRight w:val="0"/>
      <w:marTop w:val="0"/>
      <w:marBottom w:val="0"/>
      <w:divBdr>
        <w:top w:val="none" w:sz="0" w:space="0" w:color="auto"/>
        <w:left w:val="none" w:sz="0" w:space="0" w:color="auto"/>
        <w:bottom w:val="none" w:sz="0" w:space="0" w:color="auto"/>
        <w:right w:val="none" w:sz="0" w:space="0" w:color="auto"/>
      </w:divBdr>
    </w:div>
    <w:div w:id="612588872">
      <w:marLeft w:val="0"/>
      <w:marRight w:val="0"/>
      <w:marTop w:val="0"/>
      <w:marBottom w:val="0"/>
      <w:divBdr>
        <w:top w:val="none" w:sz="0" w:space="0" w:color="auto"/>
        <w:left w:val="none" w:sz="0" w:space="0" w:color="auto"/>
        <w:bottom w:val="none" w:sz="0" w:space="0" w:color="auto"/>
        <w:right w:val="none" w:sz="0" w:space="0" w:color="auto"/>
      </w:divBdr>
    </w:div>
    <w:div w:id="612588873">
      <w:marLeft w:val="0"/>
      <w:marRight w:val="0"/>
      <w:marTop w:val="0"/>
      <w:marBottom w:val="0"/>
      <w:divBdr>
        <w:top w:val="none" w:sz="0" w:space="0" w:color="auto"/>
        <w:left w:val="none" w:sz="0" w:space="0" w:color="auto"/>
        <w:bottom w:val="none" w:sz="0" w:space="0" w:color="auto"/>
        <w:right w:val="none" w:sz="0" w:space="0" w:color="auto"/>
      </w:divBdr>
    </w:div>
    <w:div w:id="612588874">
      <w:marLeft w:val="0"/>
      <w:marRight w:val="0"/>
      <w:marTop w:val="0"/>
      <w:marBottom w:val="0"/>
      <w:divBdr>
        <w:top w:val="none" w:sz="0" w:space="0" w:color="auto"/>
        <w:left w:val="none" w:sz="0" w:space="0" w:color="auto"/>
        <w:bottom w:val="none" w:sz="0" w:space="0" w:color="auto"/>
        <w:right w:val="none" w:sz="0" w:space="0" w:color="auto"/>
      </w:divBdr>
    </w:div>
    <w:div w:id="612588875">
      <w:marLeft w:val="0"/>
      <w:marRight w:val="0"/>
      <w:marTop w:val="0"/>
      <w:marBottom w:val="0"/>
      <w:divBdr>
        <w:top w:val="none" w:sz="0" w:space="0" w:color="auto"/>
        <w:left w:val="none" w:sz="0" w:space="0" w:color="auto"/>
        <w:bottom w:val="none" w:sz="0" w:space="0" w:color="auto"/>
        <w:right w:val="none" w:sz="0" w:space="0" w:color="auto"/>
      </w:divBdr>
    </w:div>
    <w:div w:id="612588876">
      <w:marLeft w:val="0"/>
      <w:marRight w:val="0"/>
      <w:marTop w:val="0"/>
      <w:marBottom w:val="0"/>
      <w:divBdr>
        <w:top w:val="none" w:sz="0" w:space="0" w:color="auto"/>
        <w:left w:val="none" w:sz="0" w:space="0" w:color="auto"/>
        <w:bottom w:val="none" w:sz="0" w:space="0" w:color="auto"/>
        <w:right w:val="none" w:sz="0" w:space="0" w:color="auto"/>
      </w:divBdr>
    </w:div>
    <w:div w:id="612588877">
      <w:marLeft w:val="0"/>
      <w:marRight w:val="0"/>
      <w:marTop w:val="0"/>
      <w:marBottom w:val="0"/>
      <w:divBdr>
        <w:top w:val="none" w:sz="0" w:space="0" w:color="auto"/>
        <w:left w:val="none" w:sz="0" w:space="0" w:color="auto"/>
        <w:bottom w:val="none" w:sz="0" w:space="0" w:color="auto"/>
        <w:right w:val="none" w:sz="0" w:space="0" w:color="auto"/>
      </w:divBdr>
    </w:div>
    <w:div w:id="612588878">
      <w:marLeft w:val="0"/>
      <w:marRight w:val="0"/>
      <w:marTop w:val="0"/>
      <w:marBottom w:val="0"/>
      <w:divBdr>
        <w:top w:val="none" w:sz="0" w:space="0" w:color="auto"/>
        <w:left w:val="none" w:sz="0" w:space="0" w:color="auto"/>
        <w:bottom w:val="none" w:sz="0" w:space="0" w:color="auto"/>
        <w:right w:val="none" w:sz="0" w:space="0" w:color="auto"/>
      </w:divBdr>
    </w:div>
    <w:div w:id="612588879">
      <w:marLeft w:val="0"/>
      <w:marRight w:val="0"/>
      <w:marTop w:val="0"/>
      <w:marBottom w:val="0"/>
      <w:divBdr>
        <w:top w:val="none" w:sz="0" w:space="0" w:color="auto"/>
        <w:left w:val="none" w:sz="0" w:space="0" w:color="auto"/>
        <w:bottom w:val="none" w:sz="0" w:space="0" w:color="auto"/>
        <w:right w:val="none" w:sz="0" w:space="0" w:color="auto"/>
      </w:divBdr>
    </w:div>
    <w:div w:id="612588880">
      <w:marLeft w:val="0"/>
      <w:marRight w:val="0"/>
      <w:marTop w:val="0"/>
      <w:marBottom w:val="0"/>
      <w:divBdr>
        <w:top w:val="none" w:sz="0" w:space="0" w:color="auto"/>
        <w:left w:val="none" w:sz="0" w:space="0" w:color="auto"/>
        <w:bottom w:val="none" w:sz="0" w:space="0" w:color="auto"/>
        <w:right w:val="none" w:sz="0" w:space="0" w:color="auto"/>
      </w:divBdr>
    </w:div>
    <w:div w:id="612588881">
      <w:marLeft w:val="0"/>
      <w:marRight w:val="0"/>
      <w:marTop w:val="0"/>
      <w:marBottom w:val="0"/>
      <w:divBdr>
        <w:top w:val="none" w:sz="0" w:space="0" w:color="auto"/>
        <w:left w:val="none" w:sz="0" w:space="0" w:color="auto"/>
        <w:bottom w:val="none" w:sz="0" w:space="0" w:color="auto"/>
        <w:right w:val="none" w:sz="0" w:space="0" w:color="auto"/>
      </w:divBdr>
    </w:div>
    <w:div w:id="612588882">
      <w:marLeft w:val="0"/>
      <w:marRight w:val="0"/>
      <w:marTop w:val="0"/>
      <w:marBottom w:val="0"/>
      <w:divBdr>
        <w:top w:val="none" w:sz="0" w:space="0" w:color="auto"/>
        <w:left w:val="none" w:sz="0" w:space="0" w:color="auto"/>
        <w:bottom w:val="none" w:sz="0" w:space="0" w:color="auto"/>
        <w:right w:val="none" w:sz="0" w:space="0" w:color="auto"/>
      </w:divBdr>
    </w:div>
    <w:div w:id="612588883">
      <w:marLeft w:val="0"/>
      <w:marRight w:val="0"/>
      <w:marTop w:val="0"/>
      <w:marBottom w:val="0"/>
      <w:divBdr>
        <w:top w:val="none" w:sz="0" w:space="0" w:color="auto"/>
        <w:left w:val="none" w:sz="0" w:space="0" w:color="auto"/>
        <w:bottom w:val="none" w:sz="0" w:space="0" w:color="auto"/>
        <w:right w:val="none" w:sz="0" w:space="0" w:color="auto"/>
      </w:divBdr>
    </w:div>
    <w:div w:id="612588884">
      <w:marLeft w:val="0"/>
      <w:marRight w:val="0"/>
      <w:marTop w:val="0"/>
      <w:marBottom w:val="0"/>
      <w:divBdr>
        <w:top w:val="none" w:sz="0" w:space="0" w:color="auto"/>
        <w:left w:val="none" w:sz="0" w:space="0" w:color="auto"/>
        <w:bottom w:val="none" w:sz="0" w:space="0" w:color="auto"/>
        <w:right w:val="none" w:sz="0" w:space="0" w:color="auto"/>
      </w:divBdr>
    </w:div>
    <w:div w:id="612588885">
      <w:marLeft w:val="0"/>
      <w:marRight w:val="0"/>
      <w:marTop w:val="0"/>
      <w:marBottom w:val="0"/>
      <w:divBdr>
        <w:top w:val="none" w:sz="0" w:space="0" w:color="auto"/>
        <w:left w:val="none" w:sz="0" w:space="0" w:color="auto"/>
        <w:bottom w:val="none" w:sz="0" w:space="0" w:color="auto"/>
        <w:right w:val="none" w:sz="0" w:space="0" w:color="auto"/>
      </w:divBdr>
    </w:div>
    <w:div w:id="612588886">
      <w:marLeft w:val="0"/>
      <w:marRight w:val="0"/>
      <w:marTop w:val="0"/>
      <w:marBottom w:val="0"/>
      <w:divBdr>
        <w:top w:val="none" w:sz="0" w:space="0" w:color="auto"/>
        <w:left w:val="none" w:sz="0" w:space="0" w:color="auto"/>
        <w:bottom w:val="none" w:sz="0" w:space="0" w:color="auto"/>
        <w:right w:val="none" w:sz="0" w:space="0" w:color="auto"/>
      </w:divBdr>
    </w:div>
    <w:div w:id="612588887">
      <w:marLeft w:val="0"/>
      <w:marRight w:val="0"/>
      <w:marTop w:val="0"/>
      <w:marBottom w:val="0"/>
      <w:divBdr>
        <w:top w:val="none" w:sz="0" w:space="0" w:color="auto"/>
        <w:left w:val="none" w:sz="0" w:space="0" w:color="auto"/>
        <w:bottom w:val="none" w:sz="0" w:space="0" w:color="auto"/>
        <w:right w:val="none" w:sz="0" w:space="0" w:color="auto"/>
      </w:divBdr>
    </w:div>
    <w:div w:id="612588888">
      <w:marLeft w:val="0"/>
      <w:marRight w:val="0"/>
      <w:marTop w:val="0"/>
      <w:marBottom w:val="0"/>
      <w:divBdr>
        <w:top w:val="none" w:sz="0" w:space="0" w:color="auto"/>
        <w:left w:val="none" w:sz="0" w:space="0" w:color="auto"/>
        <w:bottom w:val="none" w:sz="0" w:space="0" w:color="auto"/>
        <w:right w:val="none" w:sz="0" w:space="0" w:color="auto"/>
      </w:divBdr>
    </w:div>
    <w:div w:id="612588889">
      <w:marLeft w:val="0"/>
      <w:marRight w:val="0"/>
      <w:marTop w:val="0"/>
      <w:marBottom w:val="0"/>
      <w:divBdr>
        <w:top w:val="none" w:sz="0" w:space="0" w:color="auto"/>
        <w:left w:val="none" w:sz="0" w:space="0" w:color="auto"/>
        <w:bottom w:val="none" w:sz="0" w:space="0" w:color="auto"/>
        <w:right w:val="none" w:sz="0" w:space="0" w:color="auto"/>
      </w:divBdr>
    </w:div>
    <w:div w:id="612588890">
      <w:marLeft w:val="0"/>
      <w:marRight w:val="0"/>
      <w:marTop w:val="0"/>
      <w:marBottom w:val="0"/>
      <w:divBdr>
        <w:top w:val="none" w:sz="0" w:space="0" w:color="auto"/>
        <w:left w:val="none" w:sz="0" w:space="0" w:color="auto"/>
        <w:bottom w:val="none" w:sz="0" w:space="0" w:color="auto"/>
        <w:right w:val="none" w:sz="0" w:space="0" w:color="auto"/>
      </w:divBdr>
    </w:div>
    <w:div w:id="612588891">
      <w:marLeft w:val="0"/>
      <w:marRight w:val="0"/>
      <w:marTop w:val="0"/>
      <w:marBottom w:val="0"/>
      <w:divBdr>
        <w:top w:val="none" w:sz="0" w:space="0" w:color="auto"/>
        <w:left w:val="none" w:sz="0" w:space="0" w:color="auto"/>
        <w:bottom w:val="none" w:sz="0" w:space="0" w:color="auto"/>
        <w:right w:val="none" w:sz="0" w:space="0" w:color="auto"/>
      </w:divBdr>
    </w:div>
    <w:div w:id="612588892">
      <w:marLeft w:val="0"/>
      <w:marRight w:val="0"/>
      <w:marTop w:val="0"/>
      <w:marBottom w:val="0"/>
      <w:divBdr>
        <w:top w:val="none" w:sz="0" w:space="0" w:color="auto"/>
        <w:left w:val="none" w:sz="0" w:space="0" w:color="auto"/>
        <w:bottom w:val="none" w:sz="0" w:space="0" w:color="auto"/>
        <w:right w:val="none" w:sz="0" w:space="0" w:color="auto"/>
      </w:divBdr>
    </w:div>
    <w:div w:id="612588893">
      <w:marLeft w:val="0"/>
      <w:marRight w:val="0"/>
      <w:marTop w:val="0"/>
      <w:marBottom w:val="0"/>
      <w:divBdr>
        <w:top w:val="none" w:sz="0" w:space="0" w:color="auto"/>
        <w:left w:val="none" w:sz="0" w:space="0" w:color="auto"/>
        <w:bottom w:val="none" w:sz="0" w:space="0" w:color="auto"/>
        <w:right w:val="none" w:sz="0" w:space="0" w:color="auto"/>
      </w:divBdr>
    </w:div>
    <w:div w:id="612588894">
      <w:marLeft w:val="0"/>
      <w:marRight w:val="0"/>
      <w:marTop w:val="0"/>
      <w:marBottom w:val="0"/>
      <w:divBdr>
        <w:top w:val="none" w:sz="0" w:space="0" w:color="auto"/>
        <w:left w:val="none" w:sz="0" w:space="0" w:color="auto"/>
        <w:bottom w:val="none" w:sz="0" w:space="0" w:color="auto"/>
        <w:right w:val="none" w:sz="0" w:space="0" w:color="auto"/>
      </w:divBdr>
    </w:div>
    <w:div w:id="612588895">
      <w:marLeft w:val="0"/>
      <w:marRight w:val="0"/>
      <w:marTop w:val="0"/>
      <w:marBottom w:val="0"/>
      <w:divBdr>
        <w:top w:val="none" w:sz="0" w:space="0" w:color="auto"/>
        <w:left w:val="none" w:sz="0" w:space="0" w:color="auto"/>
        <w:bottom w:val="none" w:sz="0" w:space="0" w:color="auto"/>
        <w:right w:val="none" w:sz="0" w:space="0" w:color="auto"/>
      </w:divBdr>
    </w:div>
    <w:div w:id="612588896">
      <w:marLeft w:val="0"/>
      <w:marRight w:val="0"/>
      <w:marTop w:val="0"/>
      <w:marBottom w:val="0"/>
      <w:divBdr>
        <w:top w:val="none" w:sz="0" w:space="0" w:color="auto"/>
        <w:left w:val="none" w:sz="0" w:space="0" w:color="auto"/>
        <w:bottom w:val="none" w:sz="0" w:space="0" w:color="auto"/>
        <w:right w:val="none" w:sz="0" w:space="0" w:color="auto"/>
      </w:divBdr>
    </w:div>
    <w:div w:id="612588897">
      <w:marLeft w:val="0"/>
      <w:marRight w:val="0"/>
      <w:marTop w:val="0"/>
      <w:marBottom w:val="0"/>
      <w:divBdr>
        <w:top w:val="none" w:sz="0" w:space="0" w:color="auto"/>
        <w:left w:val="none" w:sz="0" w:space="0" w:color="auto"/>
        <w:bottom w:val="none" w:sz="0" w:space="0" w:color="auto"/>
        <w:right w:val="none" w:sz="0" w:space="0" w:color="auto"/>
      </w:divBdr>
    </w:div>
    <w:div w:id="612588898">
      <w:marLeft w:val="0"/>
      <w:marRight w:val="0"/>
      <w:marTop w:val="0"/>
      <w:marBottom w:val="0"/>
      <w:divBdr>
        <w:top w:val="none" w:sz="0" w:space="0" w:color="auto"/>
        <w:left w:val="none" w:sz="0" w:space="0" w:color="auto"/>
        <w:bottom w:val="none" w:sz="0" w:space="0" w:color="auto"/>
        <w:right w:val="none" w:sz="0" w:space="0" w:color="auto"/>
      </w:divBdr>
    </w:div>
    <w:div w:id="612588899">
      <w:marLeft w:val="0"/>
      <w:marRight w:val="0"/>
      <w:marTop w:val="0"/>
      <w:marBottom w:val="0"/>
      <w:divBdr>
        <w:top w:val="none" w:sz="0" w:space="0" w:color="auto"/>
        <w:left w:val="none" w:sz="0" w:space="0" w:color="auto"/>
        <w:bottom w:val="none" w:sz="0" w:space="0" w:color="auto"/>
        <w:right w:val="none" w:sz="0" w:space="0" w:color="auto"/>
      </w:divBdr>
    </w:div>
    <w:div w:id="612588900">
      <w:marLeft w:val="0"/>
      <w:marRight w:val="0"/>
      <w:marTop w:val="0"/>
      <w:marBottom w:val="0"/>
      <w:divBdr>
        <w:top w:val="none" w:sz="0" w:space="0" w:color="auto"/>
        <w:left w:val="none" w:sz="0" w:space="0" w:color="auto"/>
        <w:bottom w:val="none" w:sz="0" w:space="0" w:color="auto"/>
        <w:right w:val="none" w:sz="0" w:space="0" w:color="auto"/>
      </w:divBdr>
    </w:div>
    <w:div w:id="612588901">
      <w:marLeft w:val="0"/>
      <w:marRight w:val="0"/>
      <w:marTop w:val="0"/>
      <w:marBottom w:val="0"/>
      <w:divBdr>
        <w:top w:val="none" w:sz="0" w:space="0" w:color="auto"/>
        <w:left w:val="none" w:sz="0" w:space="0" w:color="auto"/>
        <w:bottom w:val="none" w:sz="0" w:space="0" w:color="auto"/>
        <w:right w:val="none" w:sz="0" w:space="0" w:color="auto"/>
      </w:divBdr>
    </w:div>
    <w:div w:id="612588902">
      <w:marLeft w:val="0"/>
      <w:marRight w:val="0"/>
      <w:marTop w:val="0"/>
      <w:marBottom w:val="0"/>
      <w:divBdr>
        <w:top w:val="none" w:sz="0" w:space="0" w:color="auto"/>
        <w:left w:val="none" w:sz="0" w:space="0" w:color="auto"/>
        <w:bottom w:val="none" w:sz="0" w:space="0" w:color="auto"/>
        <w:right w:val="none" w:sz="0" w:space="0" w:color="auto"/>
      </w:divBdr>
    </w:div>
    <w:div w:id="612588903">
      <w:marLeft w:val="0"/>
      <w:marRight w:val="0"/>
      <w:marTop w:val="0"/>
      <w:marBottom w:val="0"/>
      <w:divBdr>
        <w:top w:val="none" w:sz="0" w:space="0" w:color="auto"/>
        <w:left w:val="none" w:sz="0" w:space="0" w:color="auto"/>
        <w:bottom w:val="none" w:sz="0" w:space="0" w:color="auto"/>
        <w:right w:val="none" w:sz="0" w:space="0" w:color="auto"/>
      </w:divBdr>
    </w:div>
    <w:div w:id="612588904">
      <w:marLeft w:val="0"/>
      <w:marRight w:val="0"/>
      <w:marTop w:val="0"/>
      <w:marBottom w:val="0"/>
      <w:divBdr>
        <w:top w:val="none" w:sz="0" w:space="0" w:color="auto"/>
        <w:left w:val="none" w:sz="0" w:space="0" w:color="auto"/>
        <w:bottom w:val="none" w:sz="0" w:space="0" w:color="auto"/>
        <w:right w:val="none" w:sz="0" w:space="0" w:color="auto"/>
      </w:divBdr>
    </w:div>
    <w:div w:id="612588905">
      <w:marLeft w:val="0"/>
      <w:marRight w:val="0"/>
      <w:marTop w:val="0"/>
      <w:marBottom w:val="0"/>
      <w:divBdr>
        <w:top w:val="none" w:sz="0" w:space="0" w:color="auto"/>
        <w:left w:val="none" w:sz="0" w:space="0" w:color="auto"/>
        <w:bottom w:val="none" w:sz="0" w:space="0" w:color="auto"/>
        <w:right w:val="none" w:sz="0" w:space="0" w:color="auto"/>
      </w:divBdr>
    </w:div>
    <w:div w:id="612588906">
      <w:marLeft w:val="0"/>
      <w:marRight w:val="0"/>
      <w:marTop w:val="0"/>
      <w:marBottom w:val="0"/>
      <w:divBdr>
        <w:top w:val="none" w:sz="0" w:space="0" w:color="auto"/>
        <w:left w:val="none" w:sz="0" w:space="0" w:color="auto"/>
        <w:bottom w:val="none" w:sz="0" w:space="0" w:color="auto"/>
        <w:right w:val="none" w:sz="0" w:space="0" w:color="auto"/>
      </w:divBdr>
    </w:div>
    <w:div w:id="612588907">
      <w:marLeft w:val="0"/>
      <w:marRight w:val="0"/>
      <w:marTop w:val="0"/>
      <w:marBottom w:val="0"/>
      <w:divBdr>
        <w:top w:val="none" w:sz="0" w:space="0" w:color="auto"/>
        <w:left w:val="none" w:sz="0" w:space="0" w:color="auto"/>
        <w:bottom w:val="none" w:sz="0" w:space="0" w:color="auto"/>
        <w:right w:val="none" w:sz="0" w:space="0" w:color="auto"/>
      </w:divBdr>
    </w:div>
    <w:div w:id="612588908">
      <w:marLeft w:val="0"/>
      <w:marRight w:val="0"/>
      <w:marTop w:val="0"/>
      <w:marBottom w:val="0"/>
      <w:divBdr>
        <w:top w:val="none" w:sz="0" w:space="0" w:color="auto"/>
        <w:left w:val="none" w:sz="0" w:space="0" w:color="auto"/>
        <w:bottom w:val="none" w:sz="0" w:space="0" w:color="auto"/>
        <w:right w:val="none" w:sz="0" w:space="0" w:color="auto"/>
      </w:divBdr>
    </w:div>
    <w:div w:id="612588909">
      <w:marLeft w:val="0"/>
      <w:marRight w:val="0"/>
      <w:marTop w:val="0"/>
      <w:marBottom w:val="0"/>
      <w:divBdr>
        <w:top w:val="none" w:sz="0" w:space="0" w:color="auto"/>
        <w:left w:val="none" w:sz="0" w:space="0" w:color="auto"/>
        <w:bottom w:val="none" w:sz="0" w:space="0" w:color="auto"/>
        <w:right w:val="none" w:sz="0" w:space="0" w:color="auto"/>
      </w:divBdr>
    </w:div>
    <w:div w:id="612588910">
      <w:marLeft w:val="0"/>
      <w:marRight w:val="0"/>
      <w:marTop w:val="0"/>
      <w:marBottom w:val="0"/>
      <w:divBdr>
        <w:top w:val="none" w:sz="0" w:space="0" w:color="auto"/>
        <w:left w:val="none" w:sz="0" w:space="0" w:color="auto"/>
        <w:bottom w:val="none" w:sz="0" w:space="0" w:color="auto"/>
        <w:right w:val="none" w:sz="0" w:space="0" w:color="auto"/>
      </w:divBdr>
    </w:div>
    <w:div w:id="612588911">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12588913">
      <w:marLeft w:val="0"/>
      <w:marRight w:val="0"/>
      <w:marTop w:val="0"/>
      <w:marBottom w:val="0"/>
      <w:divBdr>
        <w:top w:val="none" w:sz="0" w:space="0" w:color="auto"/>
        <w:left w:val="none" w:sz="0" w:space="0" w:color="auto"/>
        <w:bottom w:val="none" w:sz="0" w:space="0" w:color="auto"/>
        <w:right w:val="none" w:sz="0" w:space="0" w:color="auto"/>
      </w:divBdr>
    </w:div>
    <w:div w:id="612588914">
      <w:marLeft w:val="0"/>
      <w:marRight w:val="0"/>
      <w:marTop w:val="0"/>
      <w:marBottom w:val="0"/>
      <w:divBdr>
        <w:top w:val="none" w:sz="0" w:space="0" w:color="auto"/>
        <w:left w:val="none" w:sz="0" w:space="0" w:color="auto"/>
        <w:bottom w:val="none" w:sz="0" w:space="0" w:color="auto"/>
        <w:right w:val="none" w:sz="0" w:space="0" w:color="auto"/>
      </w:divBdr>
    </w:div>
    <w:div w:id="612588915">
      <w:marLeft w:val="0"/>
      <w:marRight w:val="0"/>
      <w:marTop w:val="0"/>
      <w:marBottom w:val="0"/>
      <w:divBdr>
        <w:top w:val="none" w:sz="0" w:space="0" w:color="auto"/>
        <w:left w:val="none" w:sz="0" w:space="0" w:color="auto"/>
        <w:bottom w:val="none" w:sz="0" w:space="0" w:color="auto"/>
        <w:right w:val="none" w:sz="0" w:space="0" w:color="auto"/>
      </w:divBdr>
    </w:div>
    <w:div w:id="612588916">
      <w:marLeft w:val="0"/>
      <w:marRight w:val="0"/>
      <w:marTop w:val="0"/>
      <w:marBottom w:val="0"/>
      <w:divBdr>
        <w:top w:val="none" w:sz="0" w:space="0" w:color="auto"/>
        <w:left w:val="none" w:sz="0" w:space="0" w:color="auto"/>
        <w:bottom w:val="none" w:sz="0" w:space="0" w:color="auto"/>
        <w:right w:val="none" w:sz="0" w:space="0" w:color="auto"/>
      </w:divBdr>
    </w:div>
    <w:div w:id="612588917">
      <w:marLeft w:val="0"/>
      <w:marRight w:val="0"/>
      <w:marTop w:val="0"/>
      <w:marBottom w:val="0"/>
      <w:divBdr>
        <w:top w:val="none" w:sz="0" w:space="0" w:color="auto"/>
        <w:left w:val="none" w:sz="0" w:space="0" w:color="auto"/>
        <w:bottom w:val="none" w:sz="0" w:space="0" w:color="auto"/>
        <w:right w:val="none" w:sz="0" w:space="0" w:color="auto"/>
      </w:divBdr>
    </w:div>
    <w:div w:id="612588918">
      <w:marLeft w:val="0"/>
      <w:marRight w:val="0"/>
      <w:marTop w:val="0"/>
      <w:marBottom w:val="0"/>
      <w:divBdr>
        <w:top w:val="none" w:sz="0" w:space="0" w:color="auto"/>
        <w:left w:val="none" w:sz="0" w:space="0" w:color="auto"/>
        <w:bottom w:val="none" w:sz="0" w:space="0" w:color="auto"/>
        <w:right w:val="none" w:sz="0" w:space="0" w:color="auto"/>
      </w:divBdr>
    </w:div>
    <w:div w:id="612588919">
      <w:marLeft w:val="0"/>
      <w:marRight w:val="0"/>
      <w:marTop w:val="0"/>
      <w:marBottom w:val="0"/>
      <w:divBdr>
        <w:top w:val="none" w:sz="0" w:space="0" w:color="auto"/>
        <w:left w:val="none" w:sz="0" w:space="0" w:color="auto"/>
        <w:bottom w:val="none" w:sz="0" w:space="0" w:color="auto"/>
        <w:right w:val="none" w:sz="0" w:space="0" w:color="auto"/>
      </w:divBdr>
    </w:div>
    <w:div w:id="612588920">
      <w:marLeft w:val="0"/>
      <w:marRight w:val="0"/>
      <w:marTop w:val="0"/>
      <w:marBottom w:val="0"/>
      <w:divBdr>
        <w:top w:val="none" w:sz="0" w:space="0" w:color="auto"/>
        <w:left w:val="none" w:sz="0" w:space="0" w:color="auto"/>
        <w:bottom w:val="none" w:sz="0" w:space="0" w:color="auto"/>
        <w:right w:val="none" w:sz="0" w:space="0" w:color="auto"/>
      </w:divBdr>
    </w:div>
    <w:div w:id="612588921">
      <w:marLeft w:val="0"/>
      <w:marRight w:val="0"/>
      <w:marTop w:val="0"/>
      <w:marBottom w:val="0"/>
      <w:divBdr>
        <w:top w:val="none" w:sz="0" w:space="0" w:color="auto"/>
        <w:left w:val="none" w:sz="0" w:space="0" w:color="auto"/>
        <w:bottom w:val="none" w:sz="0" w:space="0" w:color="auto"/>
        <w:right w:val="none" w:sz="0" w:space="0" w:color="auto"/>
      </w:divBdr>
    </w:div>
    <w:div w:id="612588922">
      <w:marLeft w:val="0"/>
      <w:marRight w:val="0"/>
      <w:marTop w:val="0"/>
      <w:marBottom w:val="0"/>
      <w:divBdr>
        <w:top w:val="none" w:sz="0" w:space="0" w:color="auto"/>
        <w:left w:val="none" w:sz="0" w:space="0" w:color="auto"/>
        <w:bottom w:val="none" w:sz="0" w:space="0" w:color="auto"/>
        <w:right w:val="none" w:sz="0" w:space="0" w:color="auto"/>
      </w:divBdr>
    </w:div>
    <w:div w:id="612588923">
      <w:marLeft w:val="0"/>
      <w:marRight w:val="0"/>
      <w:marTop w:val="0"/>
      <w:marBottom w:val="0"/>
      <w:divBdr>
        <w:top w:val="none" w:sz="0" w:space="0" w:color="auto"/>
        <w:left w:val="none" w:sz="0" w:space="0" w:color="auto"/>
        <w:bottom w:val="none" w:sz="0" w:space="0" w:color="auto"/>
        <w:right w:val="none" w:sz="0" w:space="0" w:color="auto"/>
      </w:divBdr>
    </w:div>
    <w:div w:id="612588924">
      <w:marLeft w:val="0"/>
      <w:marRight w:val="0"/>
      <w:marTop w:val="0"/>
      <w:marBottom w:val="0"/>
      <w:divBdr>
        <w:top w:val="none" w:sz="0" w:space="0" w:color="auto"/>
        <w:left w:val="none" w:sz="0" w:space="0" w:color="auto"/>
        <w:bottom w:val="none" w:sz="0" w:space="0" w:color="auto"/>
        <w:right w:val="none" w:sz="0" w:space="0" w:color="auto"/>
      </w:divBdr>
    </w:div>
    <w:div w:id="612588925">
      <w:marLeft w:val="0"/>
      <w:marRight w:val="0"/>
      <w:marTop w:val="0"/>
      <w:marBottom w:val="0"/>
      <w:divBdr>
        <w:top w:val="none" w:sz="0" w:space="0" w:color="auto"/>
        <w:left w:val="none" w:sz="0" w:space="0" w:color="auto"/>
        <w:bottom w:val="none" w:sz="0" w:space="0" w:color="auto"/>
        <w:right w:val="none" w:sz="0" w:space="0" w:color="auto"/>
      </w:divBdr>
    </w:div>
    <w:div w:id="612588926">
      <w:marLeft w:val="0"/>
      <w:marRight w:val="0"/>
      <w:marTop w:val="0"/>
      <w:marBottom w:val="0"/>
      <w:divBdr>
        <w:top w:val="none" w:sz="0" w:space="0" w:color="auto"/>
        <w:left w:val="none" w:sz="0" w:space="0" w:color="auto"/>
        <w:bottom w:val="none" w:sz="0" w:space="0" w:color="auto"/>
        <w:right w:val="none" w:sz="0" w:space="0" w:color="auto"/>
      </w:divBdr>
    </w:div>
    <w:div w:id="612588927">
      <w:marLeft w:val="0"/>
      <w:marRight w:val="0"/>
      <w:marTop w:val="0"/>
      <w:marBottom w:val="0"/>
      <w:divBdr>
        <w:top w:val="none" w:sz="0" w:space="0" w:color="auto"/>
        <w:left w:val="none" w:sz="0" w:space="0" w:color="auto"/>
        <w:bottom w:val="none" w:sz="0" w:space="0" w:color="auto"/>
        <w:right w:val="none" w:sz="0" w:space="0" w:color="auto"/>
      </w:divBdr>
    </w:div>
    <w:div w:id="612588928">
      <w:marLeft w:val="0"/>
      <w:marRight w:val="0"/>
      <w:marTop w:val="0"/>
      <w:marBottom w:val="0"/>
      <w:divBdr>
        <w:top w:val="none" w:sz="0" w:space="0" w:color="auto"/>
        <w:left w:val="none" w:sz="0" w:space="0" w:color="auto"/>
        <w:bottom w:val="none" w:sz="0" w:space="0" w:color="auto"/>
        <w:right w:val="none" w:sz="0" w:space="0" w:color="auto"/>
      </w:divBdr>
    </w:div>
    <w:div w:id="612588929">
      <w:marLeft w:val="0"/>
      <w:marRight w:val="0"/>
      <w:marTop w:val="0"/>
      <w:marBottom w:val="0"/>
      <w:divBdr>
        <w:top w:val="none" w:sz="0" w:space="0" w:color="auto"/>
        <w:left w:val="none" w:sz="0" w:space="0" w:color="auto"/>
        <w:bottom w:val="none" w:sz="0" w:space="0" w:color="auto"/>
        <w:right w:val="none" w:sz="0" w:space="0" w:color="auto"/>
      </w:divBdr>
    </w:div>
    <w:div w:id="612588930">
      <w:marLeft w:val="0"/>
      <w:marRight w:val="0"/>
      <w:marTop w:val="0"/>
      <w:marBottom w:val="0"/>
      <w:divBdr>
        <w:top w:val="none" w:sz="0" w:space="0" w:color="auto"/>
        <w:left w:val="none" w:sz="0" w:space="0" w:color="auto"/>
        <w:bottom w:val="none" w:sz="0" w:space="0" w:color="auto"/>
        <w:right w:val="none" w:sz="0" w:space="0" w:color="auto"/>
      </w:divBdr>
    </w:div>
    <w:div w:id="612588931">
      <w:marLeft w:val="0"/>
      <w:marRight w:val="0"/>
      <w:marTop w:val="0"/>
      <w:marBottom w:val="0"/>
      <w:divBdr>
        <w:top w:val="none" w:sz="0" w:space="0" w:color="auto"/>
        <w:left w:val="none" w:sz="0" w:space="0" w:color="auto"/>
        <w:bottom w:val="none" w:sz="0" w:space="0" w:color="auto"/>
        <w:right w:val="none" w:sz="0" w:space="0" w:color="auto"/>
      </w:divBdr>
    </w:div>
    <w:div w:id="612588932">
      <w:marLeft w:val="0"/>
      <w:marRight w:val="0"/>
      <w:marTop w:val="0"/>
      <w:marBottom w:val="0"/>
      <w:divBdr>
        <w:top w:val="none" w:sz="0" w:space="0" w:color="auto"/>
        <w:left w:val="none" w:sz="0" w:space="0" w:color="auto"/>
        <w:bottom w:val="none" w:sz="0" w:space="0" w:color="auto"/>
        <w:right w:val="none" w:sz="0" w:space="0" w:color="auto"/>
      </w:divBdr>
    </w:div>
    <w:div w:id="612588933">
      <w:marLeft w:val="0"/>
      <w:marRight w:val="0"/>
      <w:marTop w:val="0"/>
      <w:marBottom w:val="0"/>
      <w:divBdr>
        <w:top w:val="none" w:sz="0" w:space="0" w:color="auto"/>
        <w:left w:val="none" w:sz="0" w:space="0" w:color="auto"/>
        <w:bottom w:val="none" w:sz="0" w:space="0" w:color="auto"/>
        <w:right w:val="none" w:sz="0" w:space="0" w:color="auto"/>
      </w:divBdr>
    </w:div>
    <w:div w:id="612588934">
      <w:marLeft w:val="0"/>
      <w:marRight w:val="0"/>
      <w:marTop w:val="0"/>
      <w:marBottom w:val="0"/>
      <w:divBdr>
        <w:top w:val="none" w:sz="0" w:space="0" w:color="auto"/>
        <w:left w:val="none" w:sz="0" w:space="0" w:color="auto"/>
        <w:bottom w:val="none" w:sz="0" w:space="0" w:color="auto"/>
        <w:right w:val="none" w:sz="0" w:space="0" w:color="auto"/>
      </w:divBdr>
    </w:div>
    <w:div w:id="612588935">
      <w:marLeft w:val="0"/>
      <w:marRight w:val="0"/>
      <w:marTop w:val="0"/>
      <w:marBottom w:val="0"/>
      <w:divBdr>
        <w:top w:val="none" w:sz="0" w:space="0" w:color="auto"/>
        <w:left w:val="none" w:sz="0" w:space="0" w:color="auto"/>
        <w:bottom w:val="none" w:sz="0" w:space="0" w:color="auto"/>
        <w:right w:val="none" w:sz="0" w:space="0" w:color="auto"/>
      </w:divBdr>
    </w:div>
    <w:div w:id="612588936">
      <w:marLeft w:val="0"/>
      <w:marRight w:val="0"/>
      <w:marTop w:val="0"/>
      <w:marBottom w:val="0"/>
      <w:divBdr>
        <w:top w:val="none" w:sz="0" w:space="0" w:color="auto"/>
        <w:left w:val="none" w:sz="0" w:space="0" w:color="auto"/>
        <w:bottom w:val="none" w:sz="0" w:space="0" w:color="auto"/>
        <w:right w:val="none" w:sz="0" w:space="0" w:color="auto"/>
      </w:divBdr>
    </w:div>
    <w:div w:id="612588937">
      <w:marLeft w:val="0"/>
      <w:marRight w:val="0"/>
      <w:marTop w:val="0"/>
      <w:marBottom w:val="0"/>
      <w:divBdr>
        <w:top w:val="none" w:sz="0" w:space="0" w:color="auto"/>
        <w:left w:val="none" w:sz="0" w:space="0" w:color="auto"/>
        <w:bottom w:val="none" w:sz="0" w:space="0" w:color="auto"/>
        <w:right w:val="none" w:sz="0" w:space="0" w:color="auto"/>
      </w:divBdr>
    </w:div>
    <w:div w:id="612588938">
      <w:marLeft w:val="0"/>
      <w:marRight w:val="0"/>
      <w:marTop w:val="0"/>
      <w:marBottom w:val="0"/>
      <w:divBdr>
        <w:top w:val="none" w:sz="0" w:space="0" w:color="auto"/>
        <w:left w:val="none" w:sz="0" w:space="0" w:color="auto"/>
        <w:bottom w:val="none" w:sz="0" w:space="0" w:color="auto"/>
        <w:right w:val="none" w:sz="0" w:space="0" w:color="auto"/>
      </w:divBdr>
    </w:div>
    <w:div w:id="612588939">
      <w:marLeft w:val="0"/>
      <w:marRight w:val="0"/>
      <w:marTop w:val="0"/>
      <w:marBottom w:val="0"/>
      <w:divBdr>
        <w:top w:val="none" w:sz="0" w:space="0" w:color="auto"/>
        <w:left w:val="none" w:sz="0" w:space="0" w:color="auto"/>
        <w:bottom w:val="none" w:sz="0" w:space="0" w:color="auto"/>
        <w:right w:val="none" w:sz="0" w:space="0" w:color="auto"/>
      </w:divBdr>
    </w:div>
    <w:div w:id="612588940">
      <w:marLeft w:val="0"/>
      <w:marRight w:val="0"/>
      <w:marTop w:val="0"/>
      <w:marBottom w:val="0"/>
      <w:divBdr>
        <w:top w:val="none" w:sz="0" w:space="0" w:color="auto"/>
        <w:left w:val="none" w:sz="0" w:space="0" w:color="auto"/>
        <w:bottom w:val="none" w:sz="0" w:space="0" w:color="auto"/>
        <w:right w:val="none" w:sz="0" w:space="0" w:color="auto"/>
      </w:divBdr>
    </w:div>
    <w:div w:id="612588941">
      <w:marLeft w:val="0"/>
      <w:marRight w:val="0"/>
      <w:marTop w:val="0"/>
      <w:marBottom w:val="0"/>
      <w:divBdr>
        <w:top w:val="none" w:sz="0" w:space="0" w:color="auto"/>
        <w:left w:val="none" w:sz="0" w:space="0" w:color="auto"/>
        <w:bottom w:val="none" w:sz="0" w:space="0" w:color="auto"/>
        <w:right w:val="none" w:sz="0" w:space="0" w:color="auto"/>
      </w:divBdr>
    </w:div>
    <w:div w:id="612588942">
      <w:marLeft w:val="0"/>
      <w:marRight w:val="0"/>
      <w:marTop w:val="0"/>
      <w:marBottom w:val="0"/>
      <w:divBdr>
        <w:top w:val="none" w:sz="0" w:space="0" w:color="auto"/>
        <w:left w:val="none" w:sz="0" w:space="0" w:color="auto"/>
        <w:bottom w:val="none" w:sz="0" w:space="0" w:color="auto"/>
        <w:right w:val="none" w:sz="0" w:space="0" w:color="auto"/>
      </w:divBdr>
    </w:div>
    <w:div w:id="612588943">
      <w:marLeft w:val="0"/>
      <w:marRight w:val="0"/>
      <w:marTop w:val="0"/>
      <w:marBottom w:val="0"/>
      <w:divBdr>
        <w:top w:val="none" w:sz="0" w:space="0" w:color="auto"/>
        <w:left w:val="none" w:sz="0" w:space="0" w:color="auto"/>
        <w:bottom w:val="none" w:sz="0" w:space="0" w:color="auto"/>
        <w:right w:val="none" w:sz="0" w:space="0" w:color="auto"/>
      </w:divBdr>
    </w:div>
    <w:div w:id="612588944">
      <w:marLeft w:val="0"/>
      <w:marRight w:val="0"/>
      <w:marTop w:val="0"/>
      <w:marBottom w:val="0"/>
      <w:divBdr>
        <w:top w:val="none" w:sz="0" w:space="0" w:color="auto"/>
        <w:left w:val="none" w:sz="0" w:space="0" w:color="auto"/>
        <w:bottom w:val="none" w:sz="0" w:space="0" w:color="auto"/>
        <w:right w:val="none" w:sz="0" w:space="0" w:color="auto"/>
      </w:divBdr>
    </w:div>
    <w:div w:id="612588945">
      <w:marLeft w:val="0"/>
      <w:marRight w:val="0"/>
      <w:marTop w:val="0"/>
      <w:marBottom w:val="0"/>
      <w:divBdr>
        <w:top w:val="none" w:sz="0" w:space="0" w:color="auto"/>
        <w:left w:val="none" w:sz="0" w:space="0" w:color="auto"/>
        <w:bottom w:val="none" w:sz="0" w:space="0" w:color="auto"/>
        <w:right w:val="none" w:sz="0" w:space="0" w:color="auto"/>
      </w:divBdr>
    </w:div>
    <w:div w:id="612588946">
      <w:marLeft w:val="0"/>
      <w:marRight w:val="0"/>
      <w:marTop w:val="0"/>
      <w:marBottom w:val="0"/>
      <w:divBdr>
        <w:top w:val="none" w:sz="0" w:space="0" w:color="auto"/>
        <w:left w:val="none" w:sz="0" w:space="0" w:color="auto"/>
        <w:bottom w:val="none" w:sz="0" w:space="0" w:color="auto"/>
        <w:right w:val="none" w:sz="0" w:space="0" w:color="auto"/>
      </w:divBdr>
    </w:div>
    <w:div w:id="612588947">
      <w:marLeft w:val="0"/>
      <w:marRight w:val="0"/>
      <w:marTop w:val="0"/>
      <w:marBottom w:val="0"/>
      <w:divBdr>
        <w:top w:val="none" w:sz="0" w:space="0" w:color="auto"/>
        <w:left w:val="none" w:sz="0" w:space="0" w:color="auto"/>
        <w:bottom w:val="none" w:sz="0" w:space="0" w:color="auto"/>
        <w:right w:val="none" w:sz="0" w:space="0" w:color="auto"/>
      </w:divBdr>
    </w:div>
    <w:div w:id="612588948">
      <w:marLeft w:val="0"/>
      <w:marRight w:val="0"/>
      <w:marTop w:val="0"/>
      <w:marBottom w:val="0"/>
      <w:divBdr>
        <w:top w:val="none" w:sz="0" w:space="0" w:color="auto"/>
        <w:left w:val="none" w:sz="0" w:space="0" w:color="auto"/>
        <w:bottom w:val="none" w:sz="0" w:space="0" w:color="auto"/>
        <w:right w:val="none" w:sz="0" w:space="0" w:color="auto"/>
      </w:divBdr>
    </w:div>
    <w:div w:id="612588949">
      <w:marLeft w:val="0"/>
      <w:marRight w:val="0"/>
      <w:marTop w:val="0"/>
      <w:marBottom w:val="0"/>
      <w:divBdr>
        <w:top w:val="none" w:sz="0" w:space="0" w:color="auto"/>
        <w:left w:val="none" w:sz="0" w:space="0" w:color="auto"/>
        <w:bottom w:val="none" w:sz="0" w:space="0" w:color="auto"/>
        <w:right w:val="none" w:sz="0" w:space="0" w:color="auto"/>
      </w:divBdr>
    </w:div>
    <w:div w:id="612588950">
      <w:marLeft w:val="0"/>
      <w:marRight w:val="0"/>
      <w:marTop w:val="0"/>
      <w:marBottom w:val="0"/>
      <w:divBdr>
        <w:top w:val="none" w:sz="0" w:space="0" w:color="auto"/>
        <w:left w:val="none" w:sz="0" w:space="0" w:color="auto"/>
        <w:bottom w:val="none" w:sz="0" w:space="0" w:color="auto"/>
        <w:right w:val="none" w:sz="0" w:space="0" w:color="auto"/>
      </w:divBdr>
    </w:div>
    <w:div w:id="612588951">
      <w:marLeft w:val="0"/>
      <w:marRight w:val="0"/>
      <w:marTop w:val="0"/>
      <w:marBottom w:val="0"/>
      <w:divBdr>
        <w:top w:val="none" w:sz="0" w:space="0" w:color="auto"/>
        <w:left w:val="none" w:sz="0" w:space="0" w:color="auto"/>
        <w:bottom w:val="none" w:sz="0" w:space="0" w:color="auto"/>
        <w:right w:val="none" w:sz="0" w:space="0" w:color="auto"/>
      </w:divBdr>
    </w:div>
    <w:div w:id="612588952">
      <w:marLeft w:val="0"/>
      <w:marRight w:val="0"/>
      <w:marTop w:val="0"/>
      <w:marBottom w:val="0"/>
      <w:divBdr>
        <w:top w:val="none" w:sz="0" w:space="0" w:color="auto"/>
        <w:left w:val="none" w:sz="0" w:space="0" w:color="auto"/>
        <w:bottom w:val="none" w:sz="0" w:space="0" w:color="auto"/>
        <w:right w:val="none" w:sz="0" w:space="0" w:color="auto"/>
      </w:divBdr>
    </w:div>
    <w:div w:id="612588953">
      <w:marLeft w:val="0"/>
      <w:marRight w:val="0"/>
      <w:marTop w:val="0"/>
      <w:marBottom w:val="0"/>
      <w:divBdr>
        <w:top w:val="none" w:sz="0" w:space="0" w:color="auto"/>
        <w:left w:val="none" w:sz="0" w:space="0" w:color="auto"/>
        <w:bottom w:val="none" w:sz="0" w:space="0" w:color="auto"/>
        <w:right w:val="none" w:sz="0" w:space="0" w:color="auto"/>
      </w:divBdr>
    </w:div>
    <w:div w:id="612588954">
      <w:marLeft w:val="0"/>
      <w:marRight w:val="0"/>
      <w:marTop w:val="0"/>
      <w:marBottom w:val="0"/>
      <w:divBdr>
        <w:top w:val="none" w:sz="0" w:space="0" w:color="auto"/>
        <w:left w:val="none" w:sz="0" w:space="0" w:color="auto"/>
        <w:bottom w:val="none" w:sz="0" w:space="0" w:color="auto"/>
        <w:right w:val="none" w:sz="0" w:space="0" w:color="auto"/>
      </w:divBdr>
    </w:div>
    <w:div w:id="612588955">
      <w:marLeft w:val="0"/>
      <w:marRight w:val="0"/>
      <w:marTop w:val="0"/>
      <w:marBottom w:val="0"/>
      <w:divBdr>
        <w:top w:val="none" w:sz="0" w:space="0" w:color="auto"/>
        <w:left w:val="none" w:sz="0" w:space="0" w:color="auto"/>
        <w:bottom w:val="none" w:sz="0" w:space="0" w:color="auto"/>
        <w:right w:val="none" w:sz="0" w:space="0" w:color="auto"/>
      </w:divBdr>
    </w:div>
    <w:div w:id="612588956">
      <w:marLeft w:val="0"/>
      <w:marRight w:val="0"/>
      <w:marTop w:val="0"/>
      <w:marBottom w:val="0"/>
      <w:divBdr>
        <w:top w:val="none" w:sz="0" w:space="0" w:color="auto"/>
        <w:left w:val="none" w:sz="0" w:space="0" w:color="auto"/>
        <w:bottom w:val="none" w:sz="0" w:space="0" w:color="auto"/>
        <w:right w:val="none" w:sz="0" w:space="0" w:color="auto"/>
      </w:divBdr>
    </w:div>
    <w:div w:id="612588957">
      <w:marLeft w:val="0"/>
      <w:marRight w:val="0"/>
      <w:marTop w:val="0"/>
      <w:marBottom w:val="0"/>
      <w:divBdr>
        <w:top w:val="none" w:sz="0" w:space="0" w:color="auto"/>
        <w:left w:val="none" w:sz="0" w:space="0" w:color="auto"/>
        <w:bottom w:val="none" w:sz="0" w:space="0" w:color="auto"/>
        <w:right w:val="none" w:sz="0" w:space="0" w:color="auto"/>
      </w:divBdr>
    </w:div>
    <w:div w:id="612588958">
      <w:marLeft w:val="0"/>
      <w:marRight w:val="0"/>
      <w:marTop w:val="0"/>
      <w:marBottom w:val="0"/>
      <w:divBdr>
        <w:top w:val="none" w:sz="0" w:space="0" w:color="auto"/>
        <w:left w:val="none" w:sz="0" w:space="0" w:color="auto"/>
        <w:bottom w:val="none" w:sz="0" w:space="0" w:color="auto"/>
        <w:right w:val="none" w:sz="0" w:space="0" w:color="auto"/>
      </w:divBdr>
    </w:div>
    <w:div w:id="612588959">
      <w:marLeft w:val="0"/>
      <w:marRight w:val="0"/>
      <w:marTop w:val="0"/>
      <w:marBottom w:val="0"/>
      <w:divBdr>
        <w:top w:val="none" w:sz="0" w:space="0" w:color="auto"/>
        <w:left w:val="none" w:sz="0" w:space="0" w:color="auto"/>
        <w:bottom w:val="none" w:sz="0" w:space="0" w:color="auto"/>
        <w:right w:val="none" w:sz="0" w:space="0" w:color="auto"/>
      </w:divBdr>
    </w:div>
    <w:div w:id="612588960">
      <w:marLeft w:val="0"/>
      <w:marRight w:val="0"/>
      <w:marTop w:val="0"/>
      <w:marBottom w:val="0"/>
      <w:divBdr>
        <w:top w:val="none" w:sz="0" w:space="0" w:color="auto"/>
        <w:left w:val="none" w:sz="0" w:space="0" w:color="auto"/>
        <w:bottom w:val="none" w:sz="0" w:space="0" w:color="auto"/>
        <w:right w:val="none" w:sz="0" w:space="0" w:color="auto"/>
      </w:divBdr>
    </w:div>
    <w:div w:id="612588961">
      <w:marLeft w:val="0"/>
      <w:marRight w:val="0"/>
      <w:marTop w:val="0"/>
      <w:marBottom w:val="0"/>
      <w:divBdr>
        <w:top w:val="none" w:sz="0" w:space="0" w:color="auto"/>
        <w:left w:val="none" w:sz="0" w:space="0" w:color="auto"/>
        <w:bottom w:val="none" w:sz="0" w:space="0" w:color="auto"/>
        <w:right w:val="none" w:sz="0" w:space="0" w:color="auto"/>
      </w:divBdr>
    </w:div>
    <w:div w:id="612588962">
      <w:marLeft w:val="0"/>
      <w:marRight w:val="0"/>
      <w:marTop w:val="0"/>
      <w:marBottom w:val="0"/>
      <w:divBdr>
        <w:top w:val="none" w:sz="0" w:space="0" w:color="auto"/>
        <w:left w:val="none" w:sz="0" w:space="0" w:color="auto"/>
        <w:bottom w:val="none" w:sz="0" w:space="0" w:color="auto"/>
        <w:right w:val="none" w:sz="0" w:space="0" w:color="auto"/>
      </w:divBdr>
    </w:div>
    <w:div w:id="612588963">
      <w:marLeft w:val="0"/>
      <w:marRight w:val="0"/>
      <w:marTop w:val="0"/>
      <w:marBottom w:val="0"/>
      <w:divBdr>
        <w:top w:val="none" w:sz="0" w:space="0" w:color="auto"/>
        <w:left w:val="none" w:sz="0" w:space="0" w:color="auto"/>
        <w:bottom w:val="none" w:sz="0" w:space="0" w:color="auto"/>
        <w:right w:val="none" w:sz="0" w:space="0" w:color="auto"/>
      </w:divBdr>
    </w:div>
    <w:div w:id="612588964">
      <w:marLeft w:val="0"/>
      <w:marRight w:val="0"/>
      <w:marTop w:val="0"/>
      <w:marBottom w:val="0"/>
      <w:divBdr>
        <w:top w:val="none" w:sz="0" w:space="0" w:color="auto"/>
        <w:left w:val="none" w:sz="0" w:space="0" w:color="auto"/>
        <w:bottom w:val="none" w:sz="0" w:space="0" w:color="auto"/>
        <w:right w:val="none" w:sz="0" w:space="0" w:color="auto"/>
      </w:divBdr>
    </w:div>
    <w:div w:id="612588965">
      <w:marLeft w:val="0"/>
      <w:marRight w:val="0"/>
      <w:marTop w:val="0"/>
      <w:marBottom w:val="0"/>
      <w:divBdr>
        <w:top w:val="none" w:sz="0" w:space="0" w:color="auto"/>
        <w:left w:val="none" w:sz="0" w:space="0" w:color="auto"/>
        <w:bottom w:val="none" w:sz="0" w:space="0" w:color="auto"/>
        <w:right w:val="none" w:sz="0" w:space="0" w:color="auto"/>
      </w:divBdr>
    </w:div>
    <w:div w:id="612588966">
      <w:marLeft w:val="0"/>
      <w:marRight w:val="0"/>
      <w:marTop w:val="0"/>
      <w:marBottom w:val="0"/>
      <w:divBdr>
        <w:top w:val="none" w:sz="0" w:space="0" w:color="auto"/>
        <w:left w:val="none" w:sz="0" w:space="0" w:color="auto"/>
        <w:bottom w:val="none" w:sz="0" w:space="0" w:color="auto"/>
        <w:right w:val="none" w:sz="0" w:space="0" w:color="auto"/>
      </w:divBdr>
    </w:div>
    <w:div w:id="612588967">
      <w:marLeft w:val="0"/>
      <w:marRight w:val="0"/>
      <w:marTop w:val="0"/>
      <w:marBottom w:val="0"/>
      <w:divBdr>
        <w:top w:val="none" w:sz="0" w:space="0" w:color="auto"/>
        <w:left w:val="none" w:sz="0" w:space="0" w:color="auto"/>
        <w:bottom w:val="none" w:sz="0" w:space="0" w:color="auto"/>
        <w:right w:val="none" w:sz="0" w:space="0" w:color="auto"/>
      </w:divBdr>
    </w:div>
    <w:div w:id="612588968">
      <w:marLeft w:val="0"/>
      <w:marRight w:val="0"/>
      <w:marTop w:val="0"/>
      <w:marBottom w:val="0"/>
      <w:divBdr>
        <w:top w:val="none" w:sz="0" w:space="0" w:color="auto"/>
        <w:left w:val="none" w:sz="0" w:space="0" w:color="auto"/>
        <w:bottom w:val="none" w:sz="0" w:space="0" w:color="auto"/>
        <w:right w:val="none" w:sz="0" w:space="0" w:color="auto"/>
      </w:divBdr>
    </w:div>
    <w:div w:id="612588969">
      <w:marLeft w:val="0"/>
      <w:marRight w:val="0"/>
      <w:marTop w:val="0"/>
      <w:marBottom w:val="0"/>
      <w:divBdr>
        <w:top w:val="none" w:sz="0" w:space="0" w:color="auto"/>
        <w:left w:val="none" w:sz="0" w:space="0" w:color="auto"/>
        <w:bottom w:val="none" w:sz="0" w:space="0" w:color="auto"/>
        <w:right w:val="none" w:sz="0" w:space="0" w:color="auto"/>
      </w:divBdr>
    </w:div>
    <w:div w:id="612588970">
      <w:marLeft w:val="0"/>
      <w:marRight w:val="0"/>
      <w:marTop w:val="0"/>
      <w:marBottom w:val="0"/>
      <w:divBdr>
        <w:top w:val="none" w:sz="0" w:space="0" w:color="auto"/>
        <w:left w:val="none" w:sz="0" w:space="0" w:color="auto"/>
        <w:bottom w:val="none" w:sz="0" w:space="0" w:color="auto"/>
        <w:right w:val="none" w:sz="0" w:space="0" w:color="auto"/>
      </w:divBdr>
    </w:div>
    <w:div w:id="612588971">
      <w:marLeft w:val="0"/>
      <w:marRight w:val="0"/>
      <w:marTop w:val="0"/>
      <w:marBottom w:val="0"/>
      <w:divBdr>
        <w:top w:val="none" w:sz="0" w:space="0" w:color="auto"/>
        <w:left w:val="none" w:sz="0" w:space="0" w:color="auto"/>
        <w:bottom w:val="none" w:sz="0" w:space="0" w:color="auto"/>
        <w:right w:val="none" w:sz="0" w:space="0" w:color="auto"/>
      </w:divBdr>
    </w:div>
    <w:div w:id="612588972">
      <w:marLeft w:val="0"/>
      <w:marRight w:val="0"/>
      <w:marTop w:val="0"/>
      <w:marBottom w:val="0"/>
      <w:divBdr>
        <w:top w:val="none" w:sz="0" w:space="0" w:color="auto"/>
        <w:left w:val="none" w:sz="0" w:space="0" w:color="auto"/>
        <w:bottom w:val="none" w:sz="0" w:space="0" w:color="auto"/>
        <w:right w:val="none" w:sz="0" w:space="0" w:color="auto"/>
      </w:divBdr>
    </w:div>
    <w:div w:id="612588973">
      <w:marLeft w:val="0"/>
      <w:marRight w:val="0"/>
      <w:marTop w:val="0"/>
      <w:marBottom w:val="0"/>
      <w:divBdr>
        <w:top w:val="none" w:sz="0" w:space="0" w:color="auto"/>
        <w:left w:val="none" w:sz="0" w:space="0" w:color="auto"/>
        <w:bottom w:val="none" w:sz="0" w:space="0" w:color="auto"/>
        <w:right w:val="none" w:sz="0" w:space="0" w:color="auto"/>
      </w:divBdr>
    </w:div>
    <w:div w:id="612588974">
      <w:marLeft w:val="0"/>
      <w:marRight w:val="0"/>
      <w:marTop w:val="0"/>
      <w:marBottom w:val="0"/>
      <w:divBdr>
        <w:top w:val="none" w:sz="0" w:space="0" w:color="auto"/>
        <w:left w:val="none" w:sz="0" w:space="0" w:color="auto"/>
        <w:bottom w:val="none" w:sz="0" w:space="0" w:color="auto"/>
        <w:right w:val="none" w:sz="0" w:space="0" w:color="auto"/>
      </w:divBdr>
    </w:div>
    <w:div w:id="612588975">
      <w:marLeft w:val="0"/>
      <w:marRight w:val="0"/>
      <w:marTop w:val="0"/>
      <w:marBottom w:val="0"/>
      <w:divBdr>
        <w:top w:val="none" w:sz="0" w:space="0" w:color="auto"/>
        <w:left w:val="none" w:sz="0" w:space="0" w:color="auto"/>
        <w:bottom w:val="none" w:sz="0" w:space="0" w:color="auto"/>
        <w:right w:val="none" w:sz="0" w:space="0" w:color="auto"/>
      </w:divBdr>
    </w:div>
    <w:div w:id="612588976">
      <w:marLeft w:val="0"/>
      <w:marRight w:val="0"/>
      <w:marTop w:val="0"/>
      <w:marBottom w:val="0"/>
      <w:divBdr>
        <w:top w:val="none" w:sz="0" w:space="0" w:color="auto"/>
        <w:left w:val="none" w:sz="0" w:space="0" w:color="auto"/>
        <w:bottom w:val="none" w:sz="0" w:space="0" w:color="auto"/>
        <w:right w:val="none" w:sz="0" w:space="0" w:color="auto"/>
      </w:divBdr>
    </w:div>
    <w:div w:id="612588977">
      <w:marLeft w:val="0"/>
      <w:marRight w:val="0"/>
      <w:marTop w:val="0"/>
      <w:marBottom w:val="0"/>
      <w:divBdr>
        <w:top w:val="none" w:sz="0" w:space="0" w:color="auto"/>
        <w:left w:val="none" w:sz="0" w:space="0" w:color="auto"/>
        <w:bottom w:val="none" w:sz="0" w:space="0" w:color="auto"/>
        <w:right w:val="none" w:sz="0" w:space="0" w:color="auto"/>
      </w:divBdr>
    </w:div>
    <w:div w:id="612588978">
      <w:marLeft w:val="0"/>
      <w:marRight w:val="0"/>
      <w:marTop w:val="0"/>
      <w:marBottom w:val="0"/>
      <w:divBdr>
        <w:top w:val="none" w:sz="0" w:space="0" w:color="auto"/>
        <w:left w:val="none" w:sz="0" w:space="0" w:color="auto"/>
        <w:bottom w:val="none" w:sz="0" w:space="0" w:color="auto"/>
        <w:right w:val="none" w:sz="0" w:space="0" w:color="auto"/>
      </w:divBdr>
    </w:div>
    <w:div w:id="612588979">
      <w:marLeft w:val="0"/>
      <w:marRight w:val="0"/>
      <w:marTop w:val="0"/>
      <w:marBottom w:val="0"/>
      <w:divBdr>
        <w:top w:val="none" w:sz="0" w:space="0" w:color="auto"/>
        <w:left w:val="none" w:sz="0" w:space="0" w:color="auto"/>
        <w:bottom w:val="none" w:sz="0" w:space="0" w:color="auto"/>
        <w:right w:val="none" w:sz="0" w:space="0" w:color="auto"/>
      </w:divBdr>
    </w:div>
    <w:div w:id="612588980">
      <w:marLeft w:val="0"/>
      <w:marRight w:val="0"/>
      <w:marTop w:val="0"/>
      <w:marBottom w:val="0"/>
      <w:divBdr>
        <w:top w:val="none" w:sz="0" w:space="0" w:color="auto"/>
        <w:left w:val="none" w:sz="0" w:space="0" w:color="auto"/>
        <w:bottom w:val="none" w:sz="0" w:space="0" w:color="auto"/>
        <w:right w:val="none" w:sz="0" w:space="0" w:color="auto"/>
      </w:divBdr>
    </w:div>
    <w:div w:id="612588981">
      <w:marLeft w:val="0"/>
      <w:marRight w:val="0"/>
      <w:marTop w:val="0"/>
      <w:marBottom w:val="0"/>
      <w:divBdr>
        <w:top w:val="none" w:sz="0" w:space="0" w:color="auto"/>
        <w:left w:val="none" w:sz="0" w:space="0" w:color="auto"/>
        <w:bottom w:val="none" w:sz="0" w:space="0" w:color="auto"/>
        <w:right w:val="none" w:sz="0" w:space="0" w:color="auto"/>
      </w:divBdr>
    </w:div>
    <w:div w:id="612588982">
      <w:marLeft w:val="0"/>
      <w:marRight w:val="0"/>
      <w:marTop w:val="0"/>
      <w:marBottom w:val="0"/>
      <w:divBdr>
        <w:top w:val="none" w:sz="0" w:space="0" w:color="auto"/>
        <w:left w:val="none" w:sz="0" w:space="0" w:color="auto"/>
        <w:bottom w:val="none" w:sz="0" w:space="0" w:color="auto"/>
        <w:right w:val="none" w:sz="0" w:space="0" w:color="auto"/>
      </w:divBdr>
    </w:div>
    <w:div w:id="612588983">
      <w:marLeft w:val="0"/>
      <w:marRight w:val="0"/>
      <w:marTop w:val="0"/>
      <w:marBottom w:val="0"/>
      <w:divBdr>
        <w:top w:val="none" w:sz="0" w:space="0" w:color="auto"/>
        <w:left w:val="none" w:sz="0" w:space="0" w:color="auto"/>
        <w:bottom w:val="none" w:sz="0" w:space="0" w:color="auto"/>
        <w:right w:val="none" w:sz="0" w:space="0" w:color="auto"/>
      </w:divBdr>
    </w:div>
    <w:div w:id="612588984">
      <w:marLeft w:val="0"/>
      <w:marRight w:val="0"/>
      <w:marTop w:val="0"/>
      <w:marBottom w:val="0"/>
      <w:divBdr>
        <w:top w:val="none" w:sz="0" w:space="0" w:color="auto"/>
        <w:left w:val="none" w:sz="0" w:space="0" w:color="auto"/>
        <w:bottom w:val="none" w:sz="0" w:space="0" w:color="auto"/>
        <w:right w:val="none" w:sz="0" w:space="0" w:color="auto"/>
      </w:divBdr>
    </w:div>
    <w:div w:id="612588985">
      <w:marLeft w:val="0"/>
      <w:marRight w:val="0"/>
      <w:marTop w:val="0"/>
      <w:marBottom w:val="0"/>
      <w:divBdr>
        <w:top w:val="none" w:sz="0" w:space="0" w:color="auto"/>
        <w:left w:val="none" w:sz="0" w:space="0" w:color="auto"/>
        <w:bottom w:val="none" w:sz="0" w:space="0" w:color="auto"/>
        <w:right w:val="none" w:sz="0" w:space="0" w:color="auto"/>
      </w:divBdr>
    </w:div>
    <w:div w:id="612588986">
      <w:marLeft w:val="0"/>
      <w:marRight w:val="0"/>
      <w:marTop w:val="0"/>
      <w:marBottom w:val="0"/>
      <w:divBdr>
        <w:top w:val="none" w:sz="0" w:space="0" w:color="auto"/>
        <w:left w:val="none" w:sz="0" w:space="0" w:color="auto"/>
        <w:bottom w:val="none" w:sz="0" w:space="0" w:color="auto"/>
        <w:right w:val="none" w:sz="0" w:space="0" w:color="auto"/>
      </w:divBdr>
    </w:div>
    <w:div w:id="612588987">
      <w:marLeft w:val="0"/>
      <w:marRight w:val="0"/>
      <w:marTop w:val="0"/>
      <w:marBottom w:val="0"/>
      <w:divBdr>
        <w:top w:val="none" w:sz="0" w:space="0" w:color="auto"/>
        <w:left w:val="none" w:sz="0" w:space="0" w:color="auto"/>
        <w:bottom w:val="none" w:sz="0" w:space="0" w:color="auto"/>
        <w:right w:val="none" w:sz="0" w:space="0" w:color="auto"/>
      </w:divBdr>
    </w:div>
    <w:div w:id="612588988">
      <w:marLeft w:val="0"/>
      <w:marRight w:val="0"/>
      <w:marTop w:val="0"/>
      <w:marBottom w:val="0"/>
      <w:divBdr>
        <w:top w:val="none" w:sz="0" w:space="0" w:color="auto"/>
        <w:left w:val="none" w:sz="0" w:space="0" w:color="auto"/>
        <w:bottom w:val="none" w:sz="0" w:space="0" w:color="auto"/>
        <w:right w:val="none" w:sz="0" w:space="0" w:color="auto"/>
      </w:divBdr>
    </w:div>
    <w:div w:id="612588989">
      <w:marLeft w:val="0"/>
      <w:marRight w:val="0"/>
      <w:marTop w:val="0"/>
      <w:marBottom w:val="0"/>
      <w:divBdr>
        <w:top w:val="none" w:sz="0" w:space="0" w:color="auto"/>
        <w:left w:val="none" w:sz="0" w:space="0" w:color="auto"/>
        <w:bottom w:val="none" w:sz="0" w:space="0" w:color="auto"/>
        <w:right w:val="none" w:sz="0" w:space="0" w:color="auto"/>
      </w:divBdr>
    </w:div>
    <w:div w:id="805854062">
      <w:bodyDiv w:val="1"/>
      <w:marLeft w:val="0"/>
      <w:marRight w:val="0"/>
      <w:marTop w:val="0"/>
      <w:marBottom w:val="0"/>
      <w:divBdr>
        <w:top w:val="none" w:sz="0" w:space="0" w:color="auto"/>
        <w:left w:val="none" w:sz="0" w:space="0" w:color="auto"/>
        <w:bottom w:val="none" w:sz="0" w:space="0" w:color="auto"/>
        <w:right w:val="none" w:sz="0" w:space="0" w:color="auto"/>
      </w:divBdr>
    </w:div>
    <w:div w:id="813833557">
      <w:bodyDiv w:val="1"/>
      <w:marLeft w:val="0"/>
      <w:marRight w:val="0"/>
      <w:marTop w:val="0"/>
      <w:marBottom w:val="0"/>
      <w:divBdr>
        <w:top w:val="none" w:sz="0" w:space="0" w:color="auto"/>
        <w:left w:val="none" w:sz="0" w:space="0" w:color="auto"/>
        <w:bottom w:val="none" w:sz="0" w:space="0" w:color="auto"/>
        <w:right w:val="none" w:sz="0" w:space="0" w:color="auto"/>
      </w:divBdr>
    </w:div>
    <w:div w:id="885221747">
      <w:bodyDiv w:val="1"/>
      <w:marLeft w:val="0"/>
      <w:marRight w:val="0"/>
      <w:marTop w:val="0"/>
      <w:marBottom w:val="0"/>
      <w:divBdr>
        <w:top w:val="none" w:sz="0" w:space="0" w:color="auto"/>
        <w:left w:val="none" w:sz="0" w:space="0" w:color="auto"/>
        <w:bottom w:val="none" w:sz="0" w:space="0" w:color="auto"/>
        <w:right w:val="none" w:sz="0" w:space="0" w:color="auto"/>
      </w:divBdr>
    </w:div>
    <w:div w:id="967473038">
      <w:bodyDiv w:val="1"/>
      <w:marLeft w:val="0"/>
      <w:marRight w:val="0"/>
      <w:marTop w:val="0"/>
      <w:marBottom w:val="0"/>
      <w:divBdr>
        <w:top w:val="none" w:sz="0" w:space="0" w:color="auto"/>
        <w:left w:val="none" w:sz="0" w:space="0" w:color="auto"/>
        <w:bottom w:val="none" w:sz="0" w:space="0" w:color="auto"/>
        <w:right w:val="none" w:sz="0" w:space="0" w:color="auto"/>
      </w:divBdr>
    </w:div>
    <w:div w:id="980305705">
      <w:bodyDiv w:val="1"/>
      <w:marLeft w:val="0"/>
      <w:marRight w:val="0"/>
      <w:marTop w:val="0"/>
      <w:marBottom w:val="0"/>
      <w:divBdr>
        <w:top w:val="none" w:sz="0" w:space="0" w:color="auto"/>
        <w:left w:val="none" w:sz="0" w:space="0" w:color="auto"/>
        <w:bottom w:val="none" w:sz="0" w:space="0" w:color="auto"/>
        <w:right w:val="none" w:sz="0" w:space="0" w:color="auto"/>
      </w:divBdr>
    </w:div>
    <w:div w:id="1103648103">
      <w:bodyDiv w:val="1"/>
      <w:marLeft w:val="0"/>
      <w:marRight w:val="0"/>
      <w:marTop w:val="0"/>
      <w:marBottom w:val="0"/>
      <w:divBdr>
        <w:top w:val="none" w:sz="0" w:space="0" w:color="auto"/>
        <w:left w:val="none" w:sz="0" w:space="0" w:color="auto"/>
        <w:bottom w:val="none" w:sz="0" w:space="0" w:color="auto"/>
        <w:right w:val="none" w:sz="0" w:space="0" w:color="auto"/>
      </w:divBdr>
    </w:div>
    <w:div w:id="1115438729">
      <w:bodyDiv w:val="1"/>
      <w:marLeft w:val="0"/>
      <w:marRight w:val="0"/>
      <w:marTop w:val="0"/>
      <w:marBottom w:val="0"/>
      <w:divBdr>
        <w:top w:val="none" w:sz="0" w:space="0" w:color="auto"/>
        <w:left w:val="none" w:sz="0" w:space="0" w:color="auto"/>
        <w:bottom w:val="none" w:sz="0" w:space="0" w:color="auto"/>
        <w:right w:val="none" w:sz="0" w:space="0" w:color="auto"/>
      </w:divBdr>
    </w:div>
    <w:div w:id="1139030797">
      <w:bodyDiv w:val="1"/>
      <w:marLeft w:val="0"/>
      <w:marRight w:val="0"/>
      <w:marTop w:val="0"/>
      <w:marBottom w:val="0"/>
      <w:divBdr>
        <w:top w:val="none" w:sz="0" w:space="0" w:color="auto"/>
        <w:left w:val="none" w:sz="0" w:space="0" w:color="auto"/>
        <w:bottom w:val="none" w:sz="0" w:space="0" w:color="auto"/>
        <w:right w:val="none" w:sz="0" w:space="0" w:color="auto"/>
      </w:divBdr>
    </w:div>
    <w:div w:id="1149900193">
      <w:bodyDiv w:val="1"/>
      <w:marLeft w:val="0"/>
      <w:marRight w:val="0"/>
      <w:marTop w:val="0"/>
      <w:marBottom w:val="0"/>
      <w:divBdr>
        <w:top w:val="none" w:sz="0" w:space="0" w:color="auto"/>
        <w:left w:val="none" w:sz="0" w:space="0" w:color="auto"/>
        <w:bottom w:val="none" w:sz="0" w:space="0" w:color="auto"/>
        <w:right w:val="none" w:sz="0" w:space="0" w:color="auto"/>
      </w:divBdr>
    </w:div>
    <w:div w:id="1181161425">
      <w:bodyDiv w:val="1"/>
      <w:marLeft w:val="0"/>
      <w:marRight w:val="0"/>
      <w:marTop w:val="0"/>
      <w:marBottom w:val="0"/>
      <w:divBdr>
        <w:top w:val="none" w:sz="0" w:space="0" w:color="auto"/>
        <w:left w:val="none" w:sz="0" w:space="0" w:color="auto"/>
        <w:bottom w:val="none" w:sz="0" w:space="0" w:color="auto"/>
        <w:right w:val="none" w:sz="0" w:space="0" w:color="auto"/>
      </w:divBdr>
    </w:div>
    <w:div w:id="1220478249">
      <w:bodyDiv w:val="1"/>
      <w:marLeft w:val="0"/>
      <w:marRight w:val="0"/>
      <w:marTop w:val="0"/>
      <w:marBottom w:val="0"/>
      <w:divBdr>
        <w:top w:val="none" w:sz="0" w:space="0" w:color="auto"/>
        <w:left w:val="none" w:sz="0" w:space="0" w:color="auto"/>
        <w:bottom w:val="none" w:sz="0" w:space="0" w:color="auto"/>
        <w:right w:val="none" w:sz="0" w:space="0" w:color="auto"/>
      </w:divBdr>
    </w:div>
    <w:div w:id="1240477180">
      <w:bodyDiv w:val="1"/>
      <w:marLeft w:val="0"/>
      <w:marRight w:val="0"/>
      <w:marTop w:val="0"/>
      <w:marBottom w:val="0"/>
      <w:divBdr>
        <w:top w:val="none" w:sz="0" w:space="0" w:color="auto"/>
        <w:left w:val="none" w:sz="0" w:space="0" w:color="auto"/>
        <w:bottom w:val="none" w:sz="0" w:space="0" w:color="auto"/>
        <w:right w:val="none" w:sz="0" w:space="0" w:color="auto"/>
      </w:divBdr>
    </w:div>
    <w:div w:id="1246920245">
      <w:bodyDiv w:val="1"/>
      <w:marLeft w:val="0"/>
      <w:marRight w:val="0"/>
      <w:marTop w:val="0"/>
      <w:marBottom w:val="0"/>
      <w:divBdr>
        <w:top w:val="none" w:sz="0" w:space="0" w:color="auto"/>
        <w:left w:val="none" w:sz="0" w:space="0" w:color="auto"/>
        <w:bottom w:val="none" w:sz="0" w:space="0" w:color="auto"/>
        <w:right w:val="none" w:sz="0" w:space="0" w:color="auto"/>
      </w:divBdr>
    </w:div>
    <w:div w:id="1332374004">
      <w:bodyDiv w:val="1"/>
      <w:marLeft w:val="0"/>
      <w:marRight w:val="0"/>
      <w:marTop w:val="0"/>
      <w:marBottom w:val="0"/>
      <w:divBdr>
        <w:top w:val="none" w:sz="0" w:space="0" w:color="auto"/>
        <w:left w:val="none" w:sz="0" w:space="0" w:color="auto"/>
        <w:bottom w:val="none" w:sz="0" w:space="0" w:color="auto"/>
        <w:right w:val="none" w:sz="0" w:space="0" w:color="auto"/>
      </w:divBdr>
    </w:div>
    <w:div w:id="1362511950">
      <w:bodyDiv w:val="1"/>
      <w:marLeft w:val="0"/>
      <w:marRight w:val="0"/>
      <w:marTop w:val="0"/>
      <w:marBottom w:val="0"/>
      <w:divBdr>
        <w:top w:val="none" w:sz="0" w:space="0" w:color="auto"/>
        <w:left w:val="none" w:sz="0" w:space="0" w:color="auto"/>
        <w:bottom w:val="none" w:sz="0" w:space="0" w:color="auto"/>
        <w:right w:val="none" w:sz="0" w:space="0" w:color="auto"/>
      </w:divBdr>
    </w:div>
    <w:div w:id="1367682714">
      <w:bodyDiv w:val="1"/>
      <w:marLeft w:val="0"/>
      <w:marRight w:val="0"/>
      <w:marTop w:val="0"/>
      <w:marBottom w:val="0"/>
      <w:divBdr>
        <w:top w:val="none" w:sz="0" w:space="0" w:color="auto"/>
        <w:left w:val="none" w:sz="0" w:space="0" w:color="auto"/>
        <w:bottom w:val="none" w:sz="0" w:space="0" w:color="auto"/>
        <w:right w:val="none" w:sz="0" w:space="0" w:color="auto"/>
      </w:divBdr>
    </w:div>
    <w:div w:id="1450002703">
      <w:bodyDiv w:val="1"/>
      <w:marLeft w:val="0"/>
      <w:marRight w:val="0"/>
      <w:marTop w:val="0"/>
      <w:marBottom w:val="0"/>
      <w:divBdr>
        <w:top w:val="none" w:sz="0" w:space="0" w:color="auto"/>
        <w:left w:val="none" w:sz="0" w:space="0" w:color="auto"/>
        <w:bottom w:val="none" w:sz="0" w:space="0" w:color="auto"/>
        <w:right w:val="none" w:sz="0" w:space="0" w:color="auto"/>
      </w:divBdr>
    </w:div>
    <w:div w:id="1450735082">
      <w:bodyDiv w:val="1"/>
      <w:marLeft w:val="0"/>
      <w:marRight w:val="0"/>
      <w:marTop w:val="0"/>
      <w:marBottom w:val="0"/>
      <w:divBdr>
        <w:top w:val="none" w:sz="0" w:space="0" w:color="auto"/>
        <w:left w:val="none" w:sz="0" w:space="0" w:color="auto"/>
        <w:bottom w:val="none" w:sz="0" w:space="0" w:color="auto"/>
        <w:right w:val="none" w:sz="0" w:space="0" w:color="auto"/>
      </w:divBdr>
    </w:div>
    <w:div w:id="1452893945">
      <w:bodyDiv w:val="1"/>
      <w:marLeft w:val="0"/>
      <w:marRight w:val="0"/>
      <w:marTop w:val="0"/>
      <w:marBottom w:val="0"/>
      <w:divBdr>
        <w:top w:val="none" w:sz="0" w:space="0" w:color="auto"/>
        <w:left w:val="none" w:sz="0" w:space="0" w:color="auto"/>
        <w:bottom w:val="none" w:sz="0" w:space="0" w:color="auto"/>
        <w:right w:val="none" w:sz="0" w:space="0" w:color="auto"/>
      </w:divBdr>
    </w:div>
    <w:div w:id="1515218368">
      <w:bodyDiv w:val="1"/>
      <w:marLeft w:val="0"/>
      <w:marRight w:val="0"/>
      <w:marTop w:val="0"/>
      <w:marBottom w:val="0"/>
      <w:divBdr>
        <w:top w:val="none" w:sz="0" w:space="0" w:color="auto"/>
        <w:left w:val="none" w:sz="0" w:space="0" w:color="auto"/>
        <w:bottom w:val="none" w:sz="0" w:space="0" w:color="auto"/>
        <w:right w:val="none" w:sz="0" w:space="0" w:color="auto"/>
      </w:divBdr>
    </w:div>
    <w:div w:id="1709911240">
      <w:bodyDiv w:val="1"/>
      <w:marLeft w:val="0"/>
      <w:marRight w:val="0"/>
      <w:marTop w:val="0"/>
      <w:marBottom w:val="0"/>
      <w:divBdr>
        <w:top w:val="none" w:sz="0" w:space="0" w:color="auto"/>
        <w:left w:val="none" w:sz="0" w:space="0" w:color="auto"/>
        <w:bottom w:val="none" w:sz="0" w:space="0" w:color="auto"/>
        <w:right w:val="none" w:sz="0" w:space="0" w:color="auto"/>
      </w:divBdr>
    </w:div>
    <w:div w:id="1730566634">
      <w:bodyDiv w:val="1"/>
      <w:marLeft w:val="0"/>
      <w:marRight w:val="0"/>
      <w:marTop w:val="0"/>
      <w:marBottom w:val="0"/>
      <w:divBdr>
        <w:top w:val="none" w:sz="0" w:space="0" w:color="auto"/>
        <w:left w:val="none" w:sz="0" w:space="0" w:color="auto"/>
        <w:bottom w:val="none" w:sz="0" w:space="0" w:color="auto"/>
        <w:right w:val="none" w:sz="0" w:space="0" w:color="auto"/>
      </w:divBdr>
      <w:divsChild>
        <w:div w:id="862473594">
          <w:marLeft w:val="0"/>
          <w:marRight w:val="0"/>
          <w:marTop w:val="75"/>
          <w:marBottom w:val="0"/>
          <w:divBdr>
            <w:top w:val="none" w:sz="0" w:space="0" w:color="auto"/>
            <w:left w:val="none" w:sz="0" w:space="0" w:color="auto"/>
            <w:bottom w:val="none" w:sz="0" w:space="0" w:color="auto"/>
            <w:right w:val="none" w:sz="0" w:space="0" w:color="auto"/>
          </w:divBdr>
          <w:divsChild>
            <w:div w:id="1517691778">
              <w:marLeft w:val="0"/>
              <w:marRight w:val="0"/>
              <w:marTop w:val="0"/>
              <w:marBottom w:val="0"/>
              <w:divBdr>
                <w:top w:val="none" w:sz="0" w:space="0" w:color="auto"/>
                <w:left w:val="none" w:sz="0" w:space="0" w:color="auto"/>
                <w:bottom w:val="none" w:sz="0" w:space="0" w:color="auto"/>
                <w:right w:val="none" w:sz="0" w:space="0" w:color="auto"/>
              </w:divBdr>
              <w:divsChild>
                <w:div w:id="654527255">
                  <w:marLeft w:val="0"/>
                  <w:marRight w:val="0"/>
                  <w:marTop w:val="0"/>
                  <w:marBottom w:val="0"/>
                  <w:divBdr>
                    <w:top w:val="single" w:sz="6" w:space="0" w:color="999999"/>
                    <w:left w:val="single" w:sz="6" w:space="0" w:color="999999"/>
                    <w:bottom w:val="single" w:sz="6" w:space="0" w:color="666666"/>
                    <w:right w:val="single" w:sz="6" w:space="0" w:color="666666"/>
                  </w:divBdr>
                  <w:divsChild>
                    <w:div w:id="946931116">
                      <w:marLeft w:val="0"/>
                      <w:marRight w:val="0"/>
                      <w:marTop w:val="0"/>
                      <w:marBottom w:val="0"/>
                      <w:divBdr>
                        <w:top w:val="none" w:sz="0" w:space="0" w:color="auto"/>
                        <w:left w:val="none" w:sz="0" w:space="0" w:color="auto"/>
                        <w:bottom w:val="none" w:sz="0" w:space="0" w:color="auto"/>
                        <w:right w:val="none" w:sz="0" w:space="0" w:color="auto"/>
                      </w:divBdr>
                      <w:divsChild>
                        <w:div w:id="1134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79978">
      <w:bodyDiv w:val="1"/>
      <w:marLeft w:val="0"/>
      <w:marRight w:val="0"/>
      <w:marTop w:val="0"/>
      <w:marBottom w:val="0"/>
      <w:divBdr>
        <w:top w:val="none" w:sz="0" w:space="0" w:color="auto"/>
        <w:left w:val="none" w:sz="0" w:space="0" w:color="auto"/>
        <w:bottom w:val="none" w:sz="0" w:space="0" w:color="auto"/>
        <w:right w:val="none" w:sz="0" w:space="0" w:color="auto"/>
      </w:divBdr>
    </w:div>
    <w:div w:id="1835026208">
      <w:bodyDiv w:val="1"/>
      <w:marLeft w:val="0"/>
      <w:marRight w:val="0"/>
      <w:marTop w:val="0"/>
      <w:marBottom w:val="0"/>
      <w:divBdr>
        <w:top w:val="none" w:sz="0" w:space="0" w:color="auto"/>
        <w:left w:val="none" w:sz="0" w:space="0" w:color="auto"/>
        <w:bottom w:val="none" w:sz="0" w:space="0" w:color="auto"/>
        <w:right w:val="none" w:sz="0" w:space="0" w:color="auto"/>
      </w:divBdr>
    </w:div>
    <w:div w:id="1849640997">
      <w:bodyDiv w:val="1"/>
      <w:marLeft w:val="0"/>
      <w:marRight w:val="0"/>
      <w:marTop w:val="0"/>
      <w:marBottom w:val="0"/>
      <w:divBdr>
        <w:top w:val="none" w:sz="0" w:space="0" w:color="auto"/>
        <w:left w:val="none" w:sz="0" w:space="0" w:color="auto"/>
        <w:bottom w:val="none" w:sz="0" w:space="0" w:color="auto"/>
        <w:right w:val="none" w:sz="0" w:space="0" w:color="auto"/>
      </w:divBdr>
    </w:div>
    <w:div w:id="1928420904">
      <w:bodyDiv w:val="1"/>
      <w:marLeft w:val="0"/>
      <w:marRight w:val="0"/>
      <w:marTop w:val="0"/>
      <w:marBottom w:val="0"/>
      <w:divBdr>
        <w:top w:val="none" w:sz="0" w:space="0" w:color="auto"/>
        <w:left w:val="none" w:sz="0" w:space="0" w:color="auto"/>
        <w:bottom w:val="none" w:sz="0" w:space="0" w:color="auto"/>
        <w:right w:val="none" w:sz="0" w:space="0" w:color="auto"/>
      </w:divBdr>
    </w:div>
    <w:div w:id="1957901760">
      <w:bodyDiv w:val="1"/>
      <w:marLeft w:val="0"/>
      <w:marRight w:val="0"/>
      <w:marTop w:val="0"/>
      <w:marBottom w:val="0"/>
      <w:divBdr>
        <w:top w:val="none" w:sz="0" w:space="0" w:color="auto"/>
        <w:left w:val="none" w:sz="0" w:space="0" w:color="auto"/>
        <w:bottom w:val="none" w:sz="0" w:space="0" w:color="auto"/>
        <w:right w:val="none" w:sz="0" w:space="0" w:color="auto"/>
      </w:divBdr>
    </w:div>
    <w:div w:id="1961758046">
      <w:bodyDiv w:val="1"/>
      <w:marLeft w:val="0"/>
      <w:marRight w:val="0"/>
      <w:marTop w:val="0"/>
      <w:marBottom w:val="0"/>
      <w:divBdr>
        <w:top w:val="none" w:sz="0" w:space="0" w:color="auto"/>
        <w:left w:val="none" w:sz="0" w:space="0" w:color="auto"/>
        <w:bottom w:val="none" w:sz="0" w:space="0" w:color="auto"/>
        <w:right w:val="none" w:sz="0" w:space="0" w:color="auto"/>
      </w:divBdr>
    </w:div>
    <w:div w:id="209304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image" Target="media/image19.emf"/><Relationship Id="rId21" Type="http://schemas.openxmlformats.org/officeDocument/2006/relationships/image" Target="media/image12.png"/><Relationship Id="rId34" Type="http://schemas.openxmlformats.org/officeDocument/2006/relationships/chart" Target="charts/chart10.xml"/><Relationship Id="rId42" Type="http://schemas.openxmlformats.org/officeDocument/2006/relationships/chart" Target="charts/chart15.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hyperlink" Target="javascript:r(2)"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javascript:r(21)"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emf"/><Relationship Id="rId11" Type="http://schemas.openxmlformats.org/officeDocument/2006/relationships/image" Target="cid:image001.jpg@01D0A8F2.D6BEE0D0" TargetMode="External"/><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image" Target="media/image22.png"/><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image" Target="media/image27.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3.xml"/><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hyperlink" Target="javascript:r(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hyperlink" Target="javascript:r(14)"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hyperlink" Target="javascript:r(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hyperlink" Target="https://www.ctu.cz/ctu-online/pruzkum-nga.html" TargetMode="External"/><Relationship Id="rId59" Type="http://schemas.openxmlformats.org/officeDocument/2006/relationships/chart" Target="charts/chart24.xml"/><Relationship Id="rId67" Type="http://schemas.openxmlformats.org/officeDocument/2006/relationships/image" Target="media/image28.emf"/><Relationship Id="rId20" Type="http://schemas.openxmlformats.org/officeDocument/2006/relationships/image" Target="media/image11.png"/><Relationship Id="rId41" Type="http://schemas.openxmlformats.org/officeDocument/2006/relationships/chart" Target="charts/chart14.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hyperlink" Target="javascript:r(20)"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eznam.cz/mapa-rychlosti-internetu" TargetMode="External"/><Relationship Id="rId2" Type="http://schemas.openxmlformats.org/officeDocument/2006/relationships/hyperlink" Target="https://www.ctu.cz/ctu-online/pruzkum-nga.html" TargetMode="External"/><Relationship Id="rId1" Type="http://schemas.openxmlformats.org/officeDocument/2006/relationships/hyperlink" Target="http://ec.europa.eu/regional_policy/thefunds/fin_inst/index_en.cfm" TargetMode="External"/><Relationship Id="rId5" Type="http://schemas.openxmlformats.org/officeDocument/2006/relationships/hyperlink" Target="https://is.muni.cz/th/172093/esf_m/diplomova_prace.pdf" TargetMode="External"/><Relationship Id="rId4" Type="http://schemas.openxmlformats.org/officeDocument/2006/relationships/hyperlink" Target="http://is.muni.cz/th/323053/esf_m/Diplomova_prace-Monika_Vyskovsk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Pavel\Downloads\Investi&#269;n&#237;%20pl&#225;n%20Z&#225;ruky.xls"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FINAL\survey-2161998.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FINAL\survey-2161998.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FINAL\survey-2161998.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dokumenty\Prace\2014+\_EX%20ANTE\EX%20ANTE\PREFINAL\Kopie%20-%20dotazn&#237;k%20OPPIK_report_150211_final.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65833333333344"/>
          <c:y val="6.0633680555555701E-2"/>
          <c:w val="0.7748347222222226"/>
          <c:h val="0.60949869791666667"/>
        </c:manualLayout>
      </c:layout>
      <c:barChart>
        <c:barDir val="col"/>
        <c:grouping val="clustered"/>
        <c:varyColors val="0"/>
        <c:ser>
          <c:idx val="0"/>
          <c:order val="0"/>
          <c:tx>
            <c:strRef>
              <c:f>investice!$A$4</c:f>
              <c:strCache>
                <c:ptCount val="1"/>
                <c:pt idx="0">
                  <c:v>Investments of SME (million CZK)</c:v>
                </c:pt>
              </c:strCache>
            </c:strRef>
          </c:tx>
          <c:spPr>
            <a:solidFill>
              <a:schemeClr val="accent6">
                <a:lumMod val="75000"/>
              </a:schemeClr>
            </a:solidFill>
            <a:ln>
              <a:solidFill>
                <a:schemeClr val="accent6">
                  <a:lumMod val="50000"/>
                </a:schemeClr>
              </a:solidFill>
            </a:ln>
          </c:spPr>
          <c:invertIfNegative val="0"/>
          <c:dLbls>
            <c:spPr>
              <a:noFill/>
              <a:ln w="25911">
                <a:noFill/>
              </a:ln>
            </c:spPr>
            <c:txPr>
              <a:bodyPr rot="-5400000" vert="horz"/>
              <a:lstStyle/>
              <a:p>
                <a:pPr algn="ctr">
                  <a:defRPr sz="786" b="0" i="0" u="none" strike="noStrike" baseline="0">
                    <a:solidFill>
                      <a:srgbClr val="000000"/>
                    </a:solidFill>
                    <a:latin typeface="Calibri"/>
                    <a:ea typeface="Calibri"/>
                    <a:cs typeface="Calibri"/>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investice!$B$3:$F$3</c:f>
              <c:numCache>
                <c:formatCode>General</c:formatCode>
                <c:ptCount val="5"/>
                <c:pt idx="0">
                  <c:v>2009</c:v>
                </c:pt>
                <c:pt idx="1">
                  <c:v>2010</c:v>
                </c:pt>
                <c:pt idx="2">
                  <c:v>2011</c:v>
                </c:pt>
                <c:pt idx="3">
                  <c:v>2012</c:v>
                </c:pt>
                <c:pt idx="4">
                  <c:v>2013</c:v>
                </c:pt>
              </c:numCache>
            </c:numRef>
          </c:cat>
          <c:val>
            <c:numRef>
              <c:f>investice!$B$4:$F$4</c:f>
              <c:numCache>
                <c:formatCode>#,##0</c:formatCode>
                <c:ptCount val="5"/>
                <c:pt idx="0">
                  <c:v>393595</c:v>
                </c:pt>
                <c:pt idx="1">
                  <c:v>386851</c:v>
                </c:pt>
                <c:pt idx="2">
                  <c:v>380212</c:v>
                </c:pt>
                <c:pt idx="3">
                  <c:v>353123</c:v>
                </c:pt>
                <c:pt idx="4">
                  <c:v>321385</c:v>
                </c:pt>
              </c:numCache>
            </c:numRef>
          </c:val>
        </c:ser>
        <c:dLbls>
          <c:showLegendKey val="0"/>
          <c:showVal val="0"/>
          <c:showCatName val="0"/>
          <c:showSerName val="0"/>
          <c:showPercent val="0"/>
          <c:showBubbleSize val="0"/>
        </c:dLbls>
        <c:gapWidth val="70"/>
        <c:axId val="340579568"/>
        <c:axId val="340579960"/>
      </c:barChart>
      <c:lineChart>
        <c:grouping val="standard"/>
        <c:varyColors val="0"/>
        <c:ser>
          <c:idx val="1"/>
          <c:order val="1"/>
          <c:tx>
            <c:strRef>
              <c:f>investice!$A$5</c:f>
              <c:strCache>
                <c:ptCount val="1"/>
                <c:pt idx="0">
                  <c:v>Total investments regardless size of the subject (million CZK)</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spPr>
              <a:noFill/>
              <a:ln w="25911">
                <a:noFill/>
              </a:ln>
            </c:spPr>
            <c:txPr>
              <a:bodyPr/>
              <a:lstStyle/>
              <a:p>
                <a:pPr>
                  <a:defRPr sz="786" b="0" i="0" u="none" strike="noStrike" baseline="0">
                    <a:solidFill>
                      <a:srgbClr val="000000"/>
                    </a:solidFill>
                    <a:latin typeface="Calibri"/>
                    <a:ea typeface="Calibri"/>
                    <a:cs typeface="Calibri"/>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investice!$B$3:$F$3</c:f>
              <c:numCache>
                <c:formatCode>General</c:formatCode>
                <c:ptCount val="5"/>
                <c:pt idx="0">
                  <c:v>2009</c:v>
                </c:pt>
                <c:pt idx="1">
                  <c:v>2010</c:v>
                </c:pt>
                <c:pt idx="2">
                  <c:v>2011</c:v>
                </c:pt>
                <c:pt idx="3">
                  <c:v>2012</c:v>
                </c:pt>
                <c:pt idx="4">
                  <c:v>2013</c:v>
                </c:pt>
              </c:numCache>
            </c:numRef>
          </c:cat>
          <c:val>
            <c:numRef>
              <c:f>investice!$B$5:$F$5</c:f>
              <c:numCache>
                <c:formatCode>#,##0</c:formatCode>
                <c:ptCount val="5"/>
                <c:pt idx="0">
                  <c:v>644467</c:v>
                </c:pt>
                <c:pt idx="1">
                  <c:v>607265</c:v>
                </c:pt>
                <c:pt idx="2">
                  <c:v>635223</c:v>
                </c:pt>
                <c:pt idx="3">
                  <c:v>624845</c:v>
                </c:pt>
                <c:pt idx="4">
                  <c:v>581755</c:v>
                </c:pt>
              </c:numCache>
            </c:numRef>
          </c:val>
          <c:smooth val="0"/>
        </c:ser>
        <c:dLbls>
          <c:showLegendKey val="0"/>
          <c:showVal val="0"/>
          <c:showCatName val="0"/>
          <c:showSerName val="0"/>
          <c:showPercent val="0"/>
          <c:showBubbleSize val="0"/>
        </c:dLbls>
        <c:marker val="1"/>
        <c:smooth val="0"/>
        <c:axId val="340579568"/>
        <c:axId val="340579960"/>
      </c:lineChart>
      <c:catAx>
        <c:axId val="340579568"/>
        <c:scaling>
          <c:orientation val="minMax"/>
        </c:scaling>
        <c:delete val="0"/>
        <c:axPos val="b"/>
        <c:numFmt formatCode="General" sourceLinked="1"/>
        <c:majorTickMark val="out"/>
        <c:minorTickMark val="none"/>
        <c:tickLblPos val="nextTo"/>
        <c:txPr>
          <a:bodyPr rot="0" vert="horz"/>
          <a:lstStyle/>
          <a:p>
            <a:pPr>
              <a:defRPr sz="786" b="0" i="0" u="none" strike="noStrike" baseline="0">
                <a:solidFill>
                  <a:srgbClr val="000000"/>
                </a:solidFill>
                <a:latin typeface="Calibri"/>
                <a:ea typeface="Calibri"/>
                <a:cs typeface="Calibri"/>
              </a:defRPr>
            </a:pPr>
            <a:endParaRPr lang="cs-CZ"/>
          </a:p>
        </c:txPr>
        <c:crossAx val="340579960"/>
        <c:crosses val="autoZero"/>
        <c:auto val="1"/>
        <c:lblAlgn val="ctr"/>
        <c:lblOffset val="100"/>
        <c:noMultiLvlLbl val="0"/>
      </c:catAx>
      <c:valAx>
        <c:axId val="340579960"/>
        <c:scaling>
          <c:orientation val="minMax"/>
        </c:scaling>
        <c:delete val="0"/>
        <c:axPos val="l"/>
        <c:majorGridlines/>
        <c:numFmt formatCode="#,##0" sourceLinked="1"/>
        <c:majorTickMark val="out"/>
        <c:minorTickMark val="none"/>
        <c:tickLblPos val="nextTo"/>
        <c:txPr>
          <a:bodyPr rot="0" vert="horz"/>
          <a:lstStyle/>
          <a:p>
            <a:pPr>
              <a:defRPr sz="786" b="0" i="0" u="none" strike="noStrike" baseline="0">
                <a:solidFill>
                  <a:srgbClr val="000000"/>
                </a:solidFill>
                <a:latin typeface="Calibri"/>
                <a:ea typeface="Calibri"/>
                <a:cs typeface="Calibri"/>
              </a:defRPr>
            </a:pPr>
            <a:endParaRPr lang="cs-CZ"/>
          </a:p>
        </c:txPr>
        <c:crossAx val="340579568"/>
        <c:crosses val="autoZero"/>
        <c:crossBetween val="between"/>
      </c:valAx>
    </c:plotArea>
    <c:legend>
      <c:legendPos val="r"/>
      <c:layout>
        <c:manualLayout>
          <c:xMode val="edge"/>
          <c:yMode val="edge"/>
          <c:x val="0"/>
          <c:y val="0.66037756717904128"/>
          <c:w val="0.96000006365520518"/>
          <c:h val="0.33962243282095872"/>
        </c:manualLayout>
      </c:layout>
      <c:overlay val="0"/>
      <c:txPr>
        <a:bodyPr/>
        <a:lstStyle/>
        <a:p>
          <a:pPr>
            <a:defRPr sz="719" b="0" i="0" u="none" strike="noStrike" baseline="0">
              <a:solidFill>
                <a:srgbClr val="000000"/>
              </a:solidFill>
              <a:latin typeface="Calibri"/>
              <a:ea typeface="Calibri"/>
              <a:cs typeface="Calibri"/>
            </a:defRPr>
          </a:pPr>
          <a:endParaRPr lang="cs-CZ"/>
        </a:p>
      </c:txPr>
    </c:legend>
    <c:plotVisOnly val="1"/>
    <c:dispBlanksAs val="gap"/>
    <c:showDLblsOverMax val="0"/>
  </c:chart>
  <c:spPr>
    <a:ln w="6350" cap="flat" cmpd="sng" algn="ctr">
      <a:solidFill>
        <a:srgbClr val="000000"/>
      </a:solidFill>
      <a:prstDash val="solid"/>
      <a:miter lim="800000"/>
      <a:headEnd type="none" w="med" len="med"/>
      <a:tailEnd type="none" w="med" len="med"/>
    </a:ln>
  </c:spPr>
  <c:txPr>
    <a:bodyPr/>
    <a:lstStyle/>
    <a:p>
      <a:pPr>
        <a:defRPr sz="786" b="0" i="0" u="none" strike="noStrike" baseline="0">
          <a:solidFill>
            <a:srgbClr val="000000"/>
          </a:solidFill>
          <a:latin typeface="Calibri"/>
          <a:ea typeface="Calibri"/>
          <a:cs typeface="Calibri"/>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baseline="0"/>
                      <a:t>Long payback period of the project; </a:t>
                    </a:r>
                    <a:fld id="{9BC00067-DDFB-4E95-97E8-E710ED2BDEE6}"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baseline="0"/>
                      <a:t>Short business history; </a:t>
                    </a:r>
                    <a:fld id="{05FC5200-BCF7-4389-95D1-F2A8705C6374}"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baseline="0"/>
                      <a:t>Securitization possibilities; </a:t>
                    </a:r>
                    <a:fld id="{3B755BF7-92F7-448A-8A0E-0C6FC64D553D}"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Financial costs</a:t>
                    </a:r>
                    <a:r>
                      <a:rPr lang="en-US" baseline="0"/>
                      <a:t>; </a:t>
                    </a:r>
                    <a:fld id="{1403FED8-9560-4C88-ACD0-8D1C76363431}"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BF!$J$46:$J$49</c:f>
              <c:strCache>
                <c:ptCount val="4"/>
                <c:pt idx="0">
                  <c:v>Dlouhá doba návratnosti projektu</c:v>
                </c:pt>
                <c:pt idx="1">
                  <c:v>Krátká podnikatelská historie</c:v>
                </c:pt>
                <c:pt idx="2">
                  <c:v>Možnosti zajištění</c:v>
                </c:pt>
                <c:pt idx="3">
                  <c:v>Finanční náklady</c:v>
                </c:pt>
              </c:strCache>
            </c:strRef>
          </c:cat>
          <c:val>
            <c:numRef>
              <c:f>BF!$K$46:$K$49</c:f>
              <c:numCache>
                <c:formatCode>0.0%</c:formatCode>
                <c:ptCount val="4"/>
                <c:pt idx="0">
                  <c:v>0.64444444444444449</c:v>
                </c:pt>
                <c:pt idx="1">
                  <c:v>0.64444444444444449</c:v>
                </c:pt>
                <c:pt idx="2">
                  <c:v>0.8666666666666667</c:v>
                </c:pt>
                <c:pt idx="3">
                  <c:v>0.75555555555555554</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1-3 years</a:t>
                    </a:r>
                    <a:r>
                      <a:rPr lang="en-US" baseline="0"/>
                      <a:t>; </a:t>
                    </a:r>
                    <a:fld id="{2C94E614-A045-44DC-A7A8-7F16DF9B1AB4}"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a:t>3-5 years</a:t>
                    </a:r>
                    <a:r>
                      <a:rPr lang="en-US" baseline="0"/>
                      <a:t>; </a:t>
                    </a:r>
                    <a:fld id="{581B47F9-4F21-47DB-9622-85B75B48F661}"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5-10 years</a:t>
                    </a:r>
                    <a:r>
                      <a:rPr lang="en-US" baseline="0"/>
                      <a:t>; </a:t>
                    </a:r>
                    <a:fld id="{73B80ABC-B19F-42C9-9D33-16648C6977F8}"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a:t>more than 10 years</a:t>
                    </a:r>
                    <a:r>
                      <a:rPr lang="en-US" baseline="0"/>
                      <a:t>; </a:t>
                    </a:r>
                    <a:fld id="{68372220-CA7F-4C9B-8A78-063C3E1E538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OZE!$A$44:$A$47</c:f>
              <c:strCache>
                <c:ptCount val="4"/>
                <c:pt idx="0">
                  <c:v>Návratnost v horizontu 1-3 roky</c:v>
                </c:pt>
                <c:pt idx="1">
                  <c:v>Návratnost v horizontu 3-5 let</c:v>
                </c:pt>
                <c:pt idx="2">
                  <c:v>Návratnost v horizontu 5-10 let</c:v>
                </c:pt>
                <c:pt idx="3">
                  <c:v>Návratnost v horizontu 10 let a více</c:v>
                </c:pt>
              </c:strCache>
            </c:strRef>
          </c:cat>
          <c:val>
            <c:numRef>
              <c:f>OZE!$C$44:$C$47</c:f>
              <c:numCache>
                <c:formatCode>0.0%</c:formatCode>
                <c:ptCount val="4"/>
                <c:pt idx="0">
                  <c:v>4.3956043956043959E-2</c:v>
                </c:pt>
                <c:pt idx="1">
                  <c:v>0.26373626373626374</c:v>
                </c:pt>
                <c:pt idx="2">
                  <c:v>0.47252747252747251</c:v>
                </c:pt>
                <c:pt idx="3">
                  <c:v>0.21978021978021978</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baseline="0"/>
                      <a:t>Long payback period of the project; </a:t>
                    </a:r>
                    <a:fld id="{73D87499-35C1-450E-BFBB-6F8C159EC09B}"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Short business history</a:t>
                    </a:r>
                    <a:r>
                      <a:rPr lang="en-US" baseline="0"/>
                      <a:t>; </a:t>
                    </a:r>
                    <a:fld id="{B6164968-839A-4E7F-88B8-4C398CD6F1ED}"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Securitization possibilities</a:t>
                    </a:r>
                    <a:r>
                      <a:rPr lang="en-US" baseline="0"/>
                      <a:t>; </a:t>
                    </a:r>
                    <a:fld id="{0B2F583F-41E7-47D0-9B65-6643D488D485}"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Finacial costs</a:t>
                    </a:r>
                    <a:r>
                      <a:rPr lang="en-US" baseline="0"/>
                      <a:t>; </a:t>
                    </a:r>
                    <a:fld id="{A92AC8BC-5C59-4F6D-A077-F2876498153E}"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4"/>
              <c:tx>
                <c:rich>
                  <a:bodyPr/>
                  <a:lstStyle/>
                  <a:p>
                    <a:r>
                      <a:rPr lang="en-US"/>
                      <a:t>Economic potential of the project</a:t>
                    </a:r>
                    <a:r>
                      <a:rPr lang="en-US" baseline="0"/>
                      <a:t>; </a:t>
                    </a:r>
                    <a:fld id="{945DCE4A-8DD0-45E3-847B-2C78F67328BF}"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5"/>
              <c:layout>
                <c:manualLayout>
                  <c:x val="7.4999999999999997E-2"/>
                  <c:y val="0"/>
                </c:manualLayout>
              </c:layout>
              <c:tx>
                <c:rich>
                  <a:bodyPr/>
                  <a:lstStyle/>
                  <a:p>
                    <a:r>
                      <a:rPr lang="en-US"/>
                      <a:t>High level of indeptedness</a:t>
                    </a:r>
                    <a:r>
                      <a:rPr lang="en-US" baseline="0"/>
                      <a:t>; </a:t>
                    </a:r>
                    <a:fld id="{CE637763-132C-4368-86CC-F826139436D3}" type="VALUE">
                      <a:rPr lang="en-US" baseline="0"/>
                      <a:pPr/>
                      <a:t>[HODNOTA]</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OZE!$I$34:$I$39</c:f>
              <c:strCache>
                <c:ptCount val="6"/>
                <c:pt idx="0">
                  <c:v>Dlouhá doba návratnosti projektu</c:v>
                </c:pt>
                <c:pt idx="1">
                  <c:v>Krátká podnikatelská historie</c:v>
                </c:pt>
                <c:pt idx="2">
                  <c:v>Možnosti zajištění</c:v>
                </c:pt>
                <c:pt idx="3">
                  <c:v>Finanční náklady</c:v>
                </c:pt>
                <c:pt idx="4">
                  <c:v>Ekonomický potenciál projektu</c:v>
                </c:pt>
                <c:pt idx="5">
                  <c:v>Vysoká aktuální zadluženost</c:v>
                </c:pt>
              </c:strCache>
            </c:strRef>
          </c:cat>
          <c:val>
            <c:numRef>
              <c:f>OZE!$K$34:$K$39</c:f>
              <c:numCache>
                <c:formatCode>0.0%</c:formatCode>
                <c:ptCount val="6"/>
                <c:pt idx="0">
                  <c:v>0.72499999999999998</c:v>
                </c:pt>
                <c:pt idx="1">
                  <c:v>0.72499999999999998</c:v>
                </c:pt>
                <c:pt idx="2">
                  <c:v>0.97499999999999998</c:v>
                </c:pt>
                <c:pt idx="3">
                  <c:v>0.85</c:v>
                </c:pt>
                <c:pt idx="4">
                  <c:v>0.42499999999999999</c:v>
                </c:pt>
                <c:pt idx="5">
                  <c:v>0.2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1-3 years</a:t>
                    </a:r>
                    <a:r>
                      <a:rPr lang="en-US" baseline="0"/>
                      <a:t>; </a:t>
                    </a:r>
                    <a:fld id="{97E7FA85-7053-4F56-9A55-799C1D7AD7B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baseline="0"/>
                      <a:t>3-5 years; </a:t>
                    </a:r>
                    <a:fld id="{6B965771-9929-40DC-A449-FB7A4A2F57A0}"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5-10 years</a:t>
                    </a:r>
                    <a:r>
                      <a:rPr lang="en-US" baseline="0"/>
                      <a:t>; </a:t>
                    </a:r>
                    <a:fld id="{7294E4D8-B08E-4947-A73D-C4C2A4A871FC}"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more than 10 years</a:t>
                    </a:r>
                    <a:r>
                      <a:rPr lang="en-US" baseline="0"/>
                      <a:t>; </a:t>
                    </a:r>
                    <a:fld id="{85E016A6-28CC-4D1A-840D-E83C740CF299}"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EE!$A$44:$A$47</c:f>
              <c:strCache>
                <c:ptCount val="4"/>
                <c:pt idx="0">
                  <c:v>Návratnost v horizontu 1-3 roky</c:v>
                </c:pt>
                <c:pt idx="1">
                  <c:v>Návratnost v horizontu 3-5 let</c:v>
                </c:pt>
                <c:pt idx="2">
                  <c:v>Návratnost v horizontu 5-10 let</c:v>
                </c:pt>
                <c:pt idx="3">
                  <c:v>Návratnost v horizontu 10 let a více</c:v>
                </c:pt>
              </c:strCache>
            </c:strRef>
          </c:cat>
          <c:val>
            <c:numRef>
              <c:f>EE!$C$44:$C$47</c:f>
              <c:numCache>
                <c:formatCode>0.0%</c:formatCode>
                <c:ptCount val="4"/>
                <c:pt idx="0">
                  <c:v>0.14566929133858267</c:v>
                </c:pt>
                <c:pt idx="1">
                  <c:v>0.32283464566929132</c:v>
                </c:pt>
                <c:pt idx="2">
                  <c:v>0.43700787401574803</c:v>
                </c:pt>
                <c:pt idx="3">
                  <c:v>9.4488188976377951E-2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Without problem</a:t>
                    </a:r>
                    <a:r>
                      <a:rPr lang="en-US" baseline="0"/>
                      <a:t>; </a:t>
                    </a:r>
                    <a:fld id="{EAD8BF4B-8B18-442F-BB17-E8E26535CEEB}"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With little difficulties</a:t>
                    </a:r>
                    <a:r>
                      <a:rPr lang="en-US" baseline="0"/>
                      <a:t>; </a:t>
                    </a:r>
                    <a:fld id="{23039466-C4A0-437E-89A9-534D4B274E26}"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Availability is difficult</a:t>
                    </a:r>
                    <a:r>
                      <a:rPr lang="en-US" baseline="0"/>
                      <a:t>; </a:t>
                    </a:r>
                    <a:fld id="{6D2FD4A5-0784-4ADC-9EAD-1C621E8AE6EF}"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baseline="0"/>
                      <a:t>Availability is bad; </a:t>
                    </a:r>
                    <a:fld id="{7704DE5B-9768-4164-AEFD-76AF4C857035}"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EE!$I$25:$I$28</c:f>
              <c:strCache>
                <c:ptCount val="4"/>
                <c:pt idx="0">
                  <c:v>Bezproblémová</c:v>
                </c:pt>
                <c:pt idx="1">
                  <c:v>S menšími problémy</c:v>
                </c:pt>
                <c:pt idx="2">
                  <c:v>Dostupnost je obtížná</c:v>
                </c:pt>
                <c:pt idx="3">
                  <c:v>Dostupnost je špatná</c:v>
                </c:pt>
              </c:strCache>
            </c:strRef>
          </c:cat>
          <c:val>
            <c:numRef>
              <c:f>EE!$K$25:$K$28</c:f>
              <c:numCache>
                <c:formatCode>0.0%</c:formatCode>
                <c:ptCount val="4"/>
                <c:pt idx="0">
                  <c:v>0.48192771084337349</c:v>
                </c:pt>
                <c:pt idx="1">
                  <c:v>0.23293172690763053</c:v>
                </c:pt>
                <c:pt idx="2">
                  <c:v>0.16867469879518071</c:v>
                </c:pt>
                <c:pt idx="3">
                  <c:v>0.11646586345381527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Long payback period of the project</a:t>
                    </a:r>
                    <a:r>
                      <a:rPr lang="en-US" baseline="0"/>
                      <a:t>; </a:t>
                    </a:r>
                    <a:fld id="{97AD07CC-64CF-4E7A-845B-BD3FD81CB8EF}"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Short business history</a:t>
                    </a:r>
                    <a:r>
                      <a:rPr lang="en-US" baseline="0"/>
                      <a:t>; </a:t>
                    </a:r>
                    <a:fld id="{CA40B122-4008-4DB1-923B-89F525045EFB}"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Securitization possiblities</a:t>
                    </a:r>
                    <a:r>
                      <a:rPr lang="en-US" baseline="0"/>
                      <a:t>; </a:t>
                    </a:r>
                    <a:fld id="{2C124A6C-3984-4D8A-A179-9CED652081B7}"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Financial costs</a:t>
                    </a:r>
                    <a:r>
                      <a:rPr lang="en-US" baseline="0"/>
                      <a:t>; </a:t>
                    </a:r>
                    <a:fld id="{F02B5FE0-79B3-4EE0-A7FD-4A5BF990174C}"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EE!$J$47:$J$50</c:f>
              <c:strCache>
                <c:ptCount val="4"/>
                <c:pt idx="0">
                  <c:v>Dlouhá doba návratnosti projektu</c:v>
                </c:pt>
                <c:pt idx="1">
                  <c:v>Krátká podnikatelská historie</c:v>
                </c:pt>
                <c:pt idx="2">
                  <c:v>Možnosti zajištění</c:v>
                </c:pt>
                <c:pt idx="3">
                  <c:v>Finanční náklady</c:v>
                </c:pt>
              </c:strCache>
            </c:strRef>
          </c:cat>
          <c:val>
            <c:numRef>
              <c:f>EE!$K$47:$K$50</c:f>
              <c:numCache>
                <c:formatCode>0.0%</c:formatCode>
                <c:ptCount val="4"/>
                <c:pt idx="0">
                  <c:v>0.54716981132075471</c:v>
                </c:pt>
                <c:pt idx="1">
                  <c:v>0.54716981132075471</c:v>
                </c:pt>
                <c:pt idx="2">
                  <c:v>0.73584905660377353</c:v>
                </c:pt>
                <c:pt idx="3">
                  <c:v>0.64150943396226412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1206.25</c:v>
                </c:pt>
                <c:pt idx="1">
                  <c:v>1206.25</c:v>
                </c:pt>
                <c:pt idx="2">
                  <c:v>1206.25</c:v>
                </c:pt>
                <c:pt idx="3">
                  <c:v>1206.25</c:v>
                </c:pt>
                <c:pt idx="4">
                  <c:v>1206.25</c:v>
                </c:pt>
                <c:pt idx="5">
                  <c:v>742.39864781019605</c:v>
                </c:pt>
                <c:pt idx="6">
                  <c:v>749.24977197934822</c:v>
                </c:pt>
                <c:pt idx="7">
                  <c:v>842.80021380983339</c:v>
                </c:pt>
              </c:numCache>
            </c:numRef>
          </c:val>
        </c:ser>
        <c:dLbls>
          <c:showLegendKey val="0"/>
          <c:showVal val="0"/>
          <c:showCatName val="0"/>
          <c:showSerName val="0"/>
          <c:showPercent val="0"/>
          <c:showBubbleSize val="0"/>
        </c:dLbls>
        <c:gapWidth val="150"/>
        <c:axId val="304071992"/>
        <c:axId val="30407238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1206.25</c:v>
                </c:pt>
                <c:pt idx="1">
                  <c:v>2412.5</c:v>
                </c:pt>
                <c:pt idx="2">
                  <c:v>3618.75</c:v>
                </c:pt>
                <c:pt idx="3">
                  <c:v>4825</c:v>
                </c:pt>
                <c:pt idx="4">
                  <c:v>6031.25</c:v>
                </c:pt>
                <c:pt idx="5">
                  <c:v>6773.6486478101961</c:v>
                </c:pt>
                <c:pt idx="6">
                  <c:v>7522.8984197895443</c:v>
                </c:pt>
                <c:pt idx="7">
                  <c:v>8365.698633599377</c:v>
                </c:pt>
              </c:numCache>
            </c:numRef>
          </c:val>
          <c:smooth val="0"/>
        </c:ser>
        <c:dLbls>
          <c:showLegendKey val="0"/>
          <c:showVal val="0"/>
          <c:showCatName val="0"/>
          <c:showSerName val="0"/>
          <c:showPercent val="0"/>
          <c:showBubbleSize val="0"/>
        </c:dLbls>
        <c:marker val="1"/>
        <c:smooth val="0"/>
        <c:axId val="304071992"/>
        <c:axId val="304072384"/>
      </c:lineChart>
      <c:catAx>
        <c:axId val="30407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072384"/>
        <c:crosses val="autoZero"/>
        <c:auto val="1"/>
        <c:lblAlgn val="ctr"/>
        <c:lblOffset val="100"/>
        <c:noMultiLvlLbl val="0"/>
      </c:catAx>
      <c:valAx>
        <c:axId val="30407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0719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1206.25</c:v>
                </c:pt>
                <c:pt idx="1">
                  <c:v>1206.25</c:v>
                </c:pt>
                <c:pt idx="2">
                  <c:v>1206.25</c:v>
                </c:pt>
                <c:pt idx="3">
                  <c:v>1206.25</c:v>
                </c:pt>
                <c:pt idx="4">
                  <c:v>1147.0317162416036</c:v>
                </c:pt>
                <c:pt idx="5">
                  <c:v>579.58080686864753</c:v>
                </c:pt>
                <c:pt idx="6">
                  <c:v>645.1938977180605</c:v>
                </c:pt>
                <c:pt idx="7">
                  <c:v>718.23490481279032</c:v>
                </c:pt>
              </c:numCache>
            </c:numRef>
          </c:val>
        </c:ser>
        <c:dLbls>
          <c:showLegendKey val="0"/>
          <c:showVal val="0"/>
          <c:showCatName val="0"/>
          <c:showSerName val="0"/>
          <c:showPercent val="0"/>
          <c:showBubbleSize val="0"/>
        </c:dLbls>
        <c:gapWidth val="150"/>
        <c:axId val="304073168"/>
        <c:axId val="41963672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1206.25</c:v>
                </c:pt>
                <c:pt idx="1">
                  <c:v>2412.5</c:v>
                </c:pt>
                <c:pt idx="2">
                  <c:v>3618.75</c:v>
                </c:pt>
                <c:pt idx="3">
                  <c:v>4825</c:v>
                </c:pt>
                <c:pt idx="4">
                  <c:v>5972.0317162416031</c:v>
                </c:pt>
                <c:pt idx="5">
                  <c:v>6551.6125231102505</c:v>
                </c:pt>
                <c:pt idx="6">
                  <c:v>7196.8064208283113</c:v>
                </c:pt>
                <c:pt idx="7">
                  <c:v>7915.0413256411011</c:v>
                </c:pt>
              </c:numCache>
            </c:numRef>
          </c:val>
          <c:smooth val="0"/>
        </c:ser>
        <c:dLbls>
          <c:showLegendKey val="0"/>
          <c:showVal val="0"/>
          <c:showCatName val="0"/>
          <c:showSerName val="0"/>
          <c:showPercent val="0"/>
          <c:showBubbleSize val="0"/>
        </c:dLbls>
        <c:marker val="1"/>
        <c:smooth val="0"/>
        <c:axId val="304073168"/>
        <c:axId val="419636720"/>
      </c:lineChart>
      <c:catAx>
        <c:axId val="30407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9636720"/>
        <c:crosses val="autoZero"/>
        <c:auto val="1"/>
        <c:lblAlgn val="ctr"/>
        <c:lblOffset val="100"/>
        <c:noMultiLvlLbl val="0"/>
      </c:catAx>
      <c:valAx>
        <c:axId val="41963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0731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 MSP</a:t>
            </a:r>
            <a:endParaRPr lang="cs-CZ" b="1" baseline="0">
              <a:solidFill>
                <a:schemeClr val="tx1"/>
              </a:solidFill>
            </a:endParaRP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1145.9375</c:v>
                </c:pt>
                <c:pt idx="1">
                  <c:v>1145.9375</c:v>
                </c:pt>
                <c:pt idx="2">
                  <c:v>1145.9375</c:v>
                </c:pt>
                <c:pt idx="3">
                  <c:v>1145.9375</c:v>
                </c:pt>
                <c:pt idx="4">
                  <c:v>1145.9375</c:v>
                </c:pt>
                <c:pt idx="5">
                  <c:v>613.09220753466218</c:v>
                </c:pt>
                <c:pt idx="6">
                  <c:v>632.17523274827067</c:v>
                </c:pt>
                <c:pt idx="7">
                  <c:v>734.50847711129143</c:v>
                </c:pt>
              </c:numCache>
            </c:numRef>
          </c:val>
        </c:ser>
        <c:dLbls>
          <c:showLegendKey val="0"/>
          <c:showVal val="0"/>
          <c:showCatName val="0"/>
          <c:showSerName val="0"/>
          <c:showPercent val="0"/>
          <c:showBubbleSize val="0"/>
        </c:dLbls>
        <c:gapWidth val="150"/>
        <c:axId val="419637504"/>
        <c:axId val="419637896"/>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1145.9375</c:v>
                </c:pt>
                <c:pt idx="1">
                  <c:v>2291.875</c:v>
                </c:pt>
                <c:pt idx="2">
                  <c:v>3437.8125</c:v>
                </c:pt>
                <c:pt idx="3">
                  <c:v>4583.75</c:v>
                </c:pt>
                <c:pt idx="4">
                  <c:v>5729.6875</c:v>
                </c:pt>
                <c:pt idx="5">
                  <c:v>6342.7797075346625</c:v>
                </c:pt>
                <c:pt idx="6">
                  <c:v>6974.9549402829334</c:v>
                </c:pt>
                <c:pt idx="7">
                  <c:v>7709.463417394225</c:v>
                </c:pt>
              </c:numCache>
            </c:numRef>
          </c:val>
          <c:smooth val="0"/>
        </c:ser>
        <c:dLbls>
          <c:showLegendKey val="0"/>
          <c:showVal val="0"/>
          <c:showCatName val="0"/>
          <c:showSerName val="0"/>
          <c:showPercent val="0"/>
          <c:showBubbleSize val="0"/>
        </c:dLbls>
        <c:marker val="1"/>
        <c:smooth val="0"/>
        <c:axId val="419637504"/>
        <c:axId val="419637896"/>
      </c:lineChart>
      <c:catAx>
        <c:axId val="4196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9637896"/>
        <c:crosses val="autoZero"/>
        <c:auto val="1"/>
        <c:lblAlgn val="ctr"/>
        <c:lblOffset val="100"/>
        <c:noMultiLvlLbl val="0"/>
      </c:catAx>
      <c:valAx>
        <c:axId val="419637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96375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137.5</c:v>
                </c:pt>
                <c:pt idx="5">
                  <c:v>84.625752600125963</c:v>
                </c:pt>
                <c:pt idx="6">
                  <c:v>85.406709759303936</c:v>
                </c:pt>
                <c:pt idx="7">
                  <c:v>96.070490693348887</c:v>
                </c:pt>
              </c:numCache>
            </c:numRef>
          </c:val>
        </c:ser>
        <c:dLbls>
          <c:showLegendKey val="0"/>
          <c:showVal val="0"/>
          <c:showCatName val="0"/>
          <c:showSerName val="0"/>
          <c:showPercent val="0"/>
          <c:showBubbleSize val="0"/>
        </c:dLbls>
        <c:gapWidth val="150"/>
        <c:axId val="389336296"/>
        <c:axId val="38933668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687.5</c:v>
                </c:pt>
                <c:pt idx="5">
                  <c:v>772.12575260012591</c:v>
                </c:pt>
                <c:pt idx="6">
                  <c:v>857.53246235942981</c:v>
                </c:pt>
                <c:pt idx="7">
                  <c:v>953.60295305277873</c:v>
                </c:pt>
              </c:numCache>
            </c:numRef>
          </c:val>
          <c:smooth val="0"/>
        </c:ser>
        <c:dLbls>
          <c:showLegendKey val="0"/>
          <c:showVal val="0"/>
          <c:showCatName val="0"/>
          <c:showSerName val="0"/>
          <c:showPercent val="0"/>
          <c:showBubbleSize val="0"/>
        </c:dLbls>
        <c:marker val="1"/>
        <c:smooth val="0"/>
        <c:axId val="389336296"/>
        <c:axId val="389336688"/>
      </c:lineChart>
      <c:catAx>
        <c:axId val="38933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9336688"/>
        <c:crosses val="autoZero"/>
        <c:auto val="1"/>
        <c:lblAlgn val="ctr"/>
        <c:lblOffset val="100"/>
        <c:noMultiLvlLbl val="0"/>
      </c:catAx>
      <c:valAx>
        <c:axId val="38933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93362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Rate of return 1-3 years</a:t>
                    </a:r>
                    <a:r>
                      <a:rPr lang="en-US" baseline="0"/>
                      <a:t>; </a:t>
                    </a:r>
                    <a:fld id="{64DB8ADD-4767-4B93-BC6F-B27AF8A67A1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a:t>Rate pf retirm 3-5 years</a:t>
                    </a:r>
                    <a:r>
                      <a:rPr lang="en-US" baseline="0"/>
                      <a:t>; </a:t>
                    </a:r>
                    <a:fld id="{A0A6EE38-C099-4BD0-A575-F98208C308B8}"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Rate of return 5-10 years; </a:t>
                    </a:r>
                    <a:fld id="{9C32340E-E454-4E5E-BE62-3C1788AEAD2F}" type="VALUE">
                      <a:rPr lang="en-US" baseline="0"/>
                      <a:pPr/>
                      <a:t>[HODNOTA]</a:t>
                    </a:fld>
                    <a:endParaRPr lang="en-US"/>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sz="800" b="0" i="0" u="none" strike="noStrike" kern="1200" baseline="0">
                        <a:solidFill>
                          <a:sysClr val="windowText" lastClr="000000"/>
                        </a:solidFill>
                      </a:rPr>
                      <a:t>Rate of return more than 10 years; 1,4%</a:t>
                    </a:r>
                    <a:endParaRPr lang="en-US" sz="800"/>
                  </a:p>
                </c:rich>
              </c:tx>
              <c:dLblPos val="outEnd"/>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pPr>
                <a:endParaRPr lang="cs-CZ"/>
              </a:p>
            </c:tx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'Investice do výroby'!$A$43:$A$46</c:f>
              <c:strCache>
                <c:ptCount val="4"/>
                <c:pt idx="0">
                  <c:v>Návratnost v horizontu 1-3 roky</c:v>
                </c:pt>
                <c:pt idx="1">
                  <c:v>Návratnost v horizontu 3-5 let</c:v>
                </c:pt>
                <c:pt idx="2">
                  <c:v>Návratnost v horizontu 5-10 let</c:v>
                </c:pt>
                <c:pt idx="3">
                  <c:v>Návratnost v horizontu 10 let a více</c:v>
                </c:pt>
              </c:strCache>
            </c:strRef>
          </c:cat>
          <c:val>
            <c:numRef>
              <c:f>'Investice do výroby'!$C$43:$C$46</c:f>
              <c:numCache>
                <c:formatCode>0.0%</c:formatCode>
                <c:ptCount val="4"/>
                <c:pt idx="0">
                  <c:v>0.15582191780821919</c:v>
                </c:pt>
                <c:pt idx="1">
                  <c:v>0.5702054794520548</c:v>
                </c:pt>
                <c:pt idx="2">
                  <c:v>0.26027397260273971</c:v>
                </c:pt>
                <c:pt idx="3">
                  <c:v>1.3698630136986301E-2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130.7497293125144</c:v>
                </c:pt>
                <c:pt idx="5">
                  <c:v>66.066205964301787</c:v>
                </c:pt>
                <c:pt idx="6">
                  <c:v>73.545418392732316</c:v>
                </c:pt>
                <c:pt idx="7">
                  <c:v>81.871336299903575</c:v>
                </c:pt>
              </c:numCache>
            </c:numRef>
          </c:val>
        </c:ser>
        <c:dLbls>
          <c:showLegendKey val="0"/>
          <c:showVal val="0"/>
          <c:showCatName val="0"/>
          <c:showSerName val="0"/>
          <c:showPercent val="0"/>
          <c:showBubbleSize val="0"/>
        </c:dLbls>
        <c:gapWidth val="150"/>
        <c:axId val="389337472"/>
        <c:axId val="38933786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680.74972931251443</c:v>
                </c:pt>
                <c:pt idx="5">
                  <c:v>746.81593527681616</c:v>
                </c:pt>
                <c:pt idx="6">
                  <c:v>820.36135366954852</c:v>
                </c:pt>
                <c:pt idx="7">
                  <c:v>902.23268996945205</c:v>
                </c:pt>
              </c:numCache>
            </c:numRef>
          </c:val>
          <c:smooth val="0"/>
        </c:ser>
        <c:dLbls>
          <c:showLegendKey val="0"/>
          <c:showVal val="0"/>
          <c:showCatName val="0"/>
          <c:showSerName val="0"/>
          <c:showPercent val="0"/>
          <c:showBubbleSize val="0"/>
        </c:dLbls>
        <c:marker val="1"/>
        <c:smooth val="0"/>
        <c:axId val="389337472"/>
        <c:axId val="389337864"/>
      </c:lineChart>
      <c:catAx>
        <c:axId val="3893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9337864"/>
        <c:crosses val="autoZero"/>
        <c:auto val="1"/>
        <c:lblAlgn val="ctr"/>
        <c:lblOffset val="100"/>
        <c:noMultiLvlLbl val="0"/>
      </c:catAx>
      <c:valAx>
        <c:axId val="389337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93374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Brownfields</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130.625</c:v>
                </c:pt>
                <c:pt idx="1">
                  <c:v>130.625</c:v>
                </c:pt>
                <c:pt idx="2">
                  <c:v>130.625</c:v>
                </c:pt>
                <c:pt idx="3">
                  <c:v>130.625</c:v>
                </c:pt>
                <c:pt idx="4">
                  <c:v>130.625</c:v>
                </c:pt>
                <c:pt idx="5">
                  <c:v>69.88615837182671</c:v>
                </c:pt>
                <c:pt idx="6">
                  <c:v>72.061425494621588</c:v>
                </c:pt>
                <c:pt idx="7">
                  <c:v>83.726354903877734</c:v>
                </c:pt>
              </c:numCache>
            </c:numRef>
          </c:val>
        </c:ser>
        <c:dLbls>
          <c:showLegendKey val="0"/>
          <c:showVal val="0"/>
          <c:showCatName val="0"/>
          <c:showSerName val="0"/>
          <c:showPercent val="0"/>
          <c:showBubbleSize val="0"/>
        </c:dLbls>
        <c:gapWidth val="150"/>
        <c:axId val="391899928"/>
        <c:axId val="39190032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130.625</c:v>
                </c:pt>
                <c:pt idx="1">
                  <c:v>261.25</c:v>
                </c:pt>
                <c:pt idx="2">
                  <c:v>391.875</c:v>
                </c:pt>
                <c:pt idx="3">
                  <c:v>522.5</c:v>
                </c:pt>
                <c:pt idx="4">
                  <c:v>653.125</c:v>
                </c:pt>
                <c:pt idx="5">
                  <c:v>723.0111583718267</c:v>
                </c:pt>
                <c:pt idx="6">
                  <c:v>795.07258386644833</c:v>
                </c:pt>
                <c:pt idx="7">
                  <c:v>878.798938770326</c:v>
                </c:pt>
              </c:numCache>
            </c:numRef>
          </c:val>
          <c:smooth val="0"/>
        </c:ser>
        <c:dLbls>
          <c:showLegendKey val="0"/>
          <c:showVal val="0"/>
          <c:showCatName val="0"/>
          <c:showSerName val="0"/>
          <c:showPercent val="0"/>
          <c:showBubbleSize val="0"/>
        </c:dLbls>
        <c:marker val="1"/>
        <c:smooth val="0"/>
        <c:axId val="391899928"/>
        <c:axId val="391900320"/>
      </c:lineChart>
      <c:catAx>
        <c:axId val="39189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900320"/>
        <c:crosses val="autoZero"/>
        <c:auto val="1"/>
        <c:lblAlgn val="ctr"/>
        <c:lblOffset val="100"/>
        <c:noMultiLvlLbl val="0"/>
      </c:catAx>
      <c:valAx>
        <c:axId val="39190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89992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100</c:v>
                </c:pt>
                <c:pt idx="1">
                  <c:v>100</c:v>
                </c:pt>
                <c:pt idx="2">
                  <c:v>100</c:v>
                </c:pt>
                <c:pt idx="3">
                  <c:v>100</c:v>
                </c:pt>
                <c:pt idx="4">
                  <c:v>100</c:v>
                </c:pt>
                <c:pt idx="5">
                  <c:v>61.546001891000643</c:v>
                </c:pt>
                <c:pt idx="6">
                  <c:v>62.113970734039206</c:v>
                </c:pt>
                <c:pt idx="7">
                  <c:v>69.869447776980991</c:v>
                </c:pt>
              </c:numCache>
            </c:numRef>
          </c:val>
        </c:ser>
        <c:dLbls>
          <c:showLegendKey val="0"/>
          <c:showVal val="0"/>
          <c:showCatName val="0"/>
          <c:showSerName val="0"/>
          <c:showPercent val="0"/>
          <c:showBubbleSize val="0"/>
        </c:dLbls>
        <c:gapWidth val="150"/>
        <c:axId val="391900712"/>
        <c:axId val="39190110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100</c:v>
                </c:pt>
                <c:pt idx="1">
                  <c:v>200</c:v>
                </c:pt>
                <c:pt idx="2">
                  <c:v>300</c:v>
                </c:pt>
                <c:pt idx="3">
                  <c:v>400</c:v>
                </c:pt>
                <c:pt idx="4">
                  <c:v>500</c:v>
                </c:pt>
                <c:pt idx="5">
                  <c:v>561.54600189100063</c:v>
                </c:pt>
                <c:pt idx="6">
                  <c:v>623.65997262503981</c:v>
                </c:pt>
                <c:pt idx="7">
                  <c:v>693.52942040202083</c:v>
                </c:pt>
              </c:numCache>
            </c:numRef>
          </c:val>
          <c:smooth val="0"/>
        </c:ser>
        <c:dLbls>
          <c:showLegendKey val="0"/>
          <c:showVal val="0"/>
          <c:showCatName val="0"/>
          <c:showSerName val="0"/>
          <c:showPercent val="0"/>
          <c:showBubbleSize val="0"/>
        </c:dLbls>
        <c:marker val="1"/>
        <c:smooth val="0"/>
        <c:axId val="391900712"/>
        <c:axId val="391901104"/>
      </c:lineChart>
      <c:catAx>
        <c:axId val="39190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901104"/>
        <c:crosses val="autoZero"/>
        <c:auto val="1"/>
        <c:lblAlgn val="ctr"/>
        <c:lblOffset val="100"/>
        <c:noMultiLvlLbl val="0"/>
      </c:catAx>
      <c:valAx>
        <c:axId val="39190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9007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100</c:v>
                </c:pt>
                <c:pt idx="1">
                  <c:v>100</c:v>
                </c:pt>
                <c:pt idx="2">
                  <c:v>100</c:v>
                </c:pt>
                <c:pt idx="3">
                  <c:v>100</c:v>
                </c:pt>
                <c:pt idx="4">
                  <c:v>95.090712227283149</c:v>
                </c:pt>
                <c:pt idx="5">
                  <c:v>48.048149792219476</c:v>
                </c:pt>
                <c:pt idx="6">
                  <c:v>53.48757701289621</c:v>
                </c:pt>
                <c:pt idx="7">
                  <c:v>59.542790036293496</c:v>
                </c:pt>
              </c:numCache>
            </c:numRef>
          </c:val>
        </c:ser>
        <c:dLbls>
          <c:showLegendKey val="0"/>
          <c:showVal val="0"/>
          <c:showCatName val="0"/>
          <c:showSerName val="0"/>
          <c:showPercent val="0"/>
          <c:showBubbleSize val="0"/>
        </c:dLbls>
        <c:gapWidth val="150"/>
        <c:axId val="435367104"/>
        <c:axId val="435367496"/>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100</c:v>
                </c:pt>
                <c:pt idx="1">
                  <c:v>200</c:v>
                </c:pt>
                <c:pt idx="2">
                  <c:v>300</c:v>
                </c:pt>
                <c:pt idx="3">
                  <c:v>400</c:v>
                </c:pt>
                <c:pt idx="4">
                  <c:v>495.09071222728312</c:v>
                </c:pt>
                <c:pt idx="5">
                  <c:v>543.13886201950254</c:v>
                </c:pt>
                <c:pt idx="6">
                  <c:v>596.62643903239871</c:v>
                </c:pt>
                <c:pt idx="7">
                  <c:v>656.16922906869218</c:v>
                </c:pt>
              </c:numCache>
            </c:numRef>
          </c:val>
          <c:smooth val="0"/>
        </c:ser>
        <c:dLbls>
          <c:showLegendKey val="0"/>
          <c:showVal val="0"/>
          <c:showCatName val="0"/>
          <c:showSerName val="0"/>
          <c:showPercent val="0"/>
          <c:showBubbleSize val="0"/>
        </c:dLbls>
        <c:marker val="1"/>
        <c:smooth val="0"/>
        <c:axId val="435367104"/>
        <c:axId val="435367496"/>
      </c:lineChart>
      <c:catAx>
        <c:axId val="4353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5367496"/>
        <c:crosses val="autoZero"/>
        <c:auto val="1"/>
        <c:lblAlgn val="ctr"/>
        <c:lblOffset val="100"/>
        <c:noMultiLvlLbl val="0"/>
      </c:catAx>
      <c:valAx>
        <c:axId val="435367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53671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OZE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95</c:v>
                </c:pt>
                <c:pt idx="1">
                  <c:v>95</c:v>
                </c:pt>
                <c:pt idx="2">
                  <c:v>95</c:v>
                </c:pt>
                <c:pt idx="3">
                  <c:v>95</c:v>
                </c:pt>
                <c:pt idx="4">
                  <c:v>95</c:v>
                </c:pt>
                <c:pt idx="5">
                  <c:v>50.826296997692154</c:v>
                </c:pt>
                <c:pt idx="6">
                  <c:v>52.40830945063383</c:v>
                </c:pt>
                <c:pt idx="7">
                  <c:v>60.891894475547524</c:v>
                </c:pt>
              </c:numCache>
            </c:numRef>
          </c:val>
        </c:ser>
        <c:dLbls>
          <c:showLegendKey val="0"/>
          <c:showVal val="0"/>
          <c:showCatName val="0"/>
          <c:showSerName val="0"/>
          <c:showPercent val="0"/>
          <c:showBubbleSize val="0"/>
        </c:dLbls>
        <c:gapWidth val="150"/>
        <c:axId val="435368280"/>
        <c:axId val="353382344"/>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95</c:v>
                </c:pt>
                <c:pt idx="1">
                  <c:v>190</c:v>
                </c:pt>
                <c:pt idx="2">
                  <c:v>285</c:v>
                </c:pt>
                <c:pt idx="3">
                  <c:v>380</c:v>
                </c:pt>
                <c:pt idx="4">
                  <c:v>475</c:v>
                </c:pt>
                <c:pt idx="5">
                  <c:v>525.82629699769211</c:v>
                </c:pt>
                <c:pt idx="6">
                  <c:v>578.23460644832596</c:v>
                </c:pt>
                <c:pt idx="7">
                  <c:v>639.12650092387344</c:v>
                </c:pt>
              </c:numCache>
            </c:numRef>
          </c:val>
          <c:smooth val="0"/>
        </c:ser>
        <c:dLbls>
          <c:showLegendKey val="0"/>
          <c:showVal val="0"/>
          <c:showCatName val="0"/>
          <c:showSerName val="0"/>
          <c:showPercent val="0"/>
          <c:showBubbleSize val="0"/>
        </c:dLbls>
        <c:marker val="1"/>
        <c:smooth val="0"/>
        <c:axId val="435368280"/>
        <c:axId val="353382344"/>
      </c:lineChart>
      <c:catAx>
        <c:axId val="43536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382344"/>
        <c:crosses val="autoZero"/>
        <c:auto val="1"/>
        <c:lblAlgn val="ctr"/>
        <c:lblOffset val="100"/>
        <c:noMultiLvlLbl val="0"/>
      </c:catAx>
      <c:valAx>
        <c:axId val="353382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53682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137.5</c:v>
                </c:pt>
                <c:pt idx="5">
                  <c:v>84.625752600125963</c:v>
                </c:pt>
                <c:pt idx="6">
                  <c:v>85.406709759303936</c:v>
                </c:pt>
                <c:pt idx="7">
                  <c:v>96.070490693348887</c:v>
                </c:pt>
              </c:numCache>
            </c:numRef>
          </c:val>
        </c:ser>
        <c:dLbls>
          <c:showLegendKey val="0"/>
          <c:showVal val="0"/>
          <c:showCatName val="0"/>
          <c:showSerName val="0"/>
          <c:showPercent val="0"/>
          <c:showBubbleSize val="0"/>
        </c:dLbls>
        <c:gapWidth val="150"/>
        <c:axId val="353383128"/>
        <c:axId val="353383520"/>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687.5</c:v>
                </c:pt>
                <c:pt idx="5">
                  <c:v>772.12575260012591</c:v>
                </c:pt>
                <c:pt idx="6">
                  <c:v>857.53246235942981</c:v>
                </c:pt>
                <c:pt idx="7">
                  <c:v>953.60295305277873</c:v>
                </c:pt>
              </c:numCache>
            </c:numRef>
          </c:val>
          <c:smooth val="0"/>
        </c:ser>
        <c:dLbls>
          <c:showLegendKey val="0"/>
          <c:showVal val="0"/>
          <c:showCatName val="0"/>
          <c:showSerName val="0"/>
          <c:showPercent val="0"/>
          <c:showBubbleSize val="0"/>
        </c:dLbls>
        <c:marker val="1"/>
        <c:smooth val="0"/>
        <c:axId val="353383128"/>
        <c:axId val="353383520"/>
      </c:lineChart>
      <c:catAx>
        <c:axId val="35338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383520"/>
        <c:crosses val="autoZero"/>
        <c:auto val="1"/>
        <c:lblAlgn val="ctr"/>
        <c:lblOffset val="100"/>
        <c:noMultiLvlLbl val="0"/>
      </c:catAx>
      <c:valAx>
        <c:axId val="35338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38312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137.5</c:v>
                </c:pt>
                <c:pt idx="1">
                  <c:v>137.5</c:v>
                </c:pt>
                <c:pt idx="2">
                  <c:v>137.5</c:v>
                </c:pt>
                <c:pt idx="3">
                  <c:v>137.5</c:v>
                </c:pt>
                <c:pt idx="4">
                  <c:v>130.7497293125144</c:v>
                </c:pt>
                <c:pt idx="5">
                  <c:v>66.066205964301787</c:v>
                </c:pt>
                <c:pt idx="6">
                  <c:v>73.545418392732316</c:v>
                </c:pt>
                <c:pt idx="7">
                  <c:v>81.871336299903575</c:v>
                </c:pt>
              </c:numCache>
            </c:numRef>
          </c:val>
        </c:ser>
        <c:dLbls>
          <c:showLegendKey val="0"/>
          <c:showVal val="0"/>
          <c:showCatName val="0"/>
          <c:showSerName val="0"/>
          <c:showPercent val="0"/>
          <c:showBubbleSize val="0"/>
        </c:dLbls>
        <c:gapWidth val="150"/>
        <c:axId val="298743240"/>
        <c:axId val="298743632"/>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137.5</c:v>
                </c:pt>
                <c:pt idx="1">
                  <c:v>275</c:v>
                </c:pt>
                <c:pt idx="2">
                  <c:v>412.5</c:v>
                </c:pt>
                <c:pt idx="3">
                  <c:v>550</c:v>
                </c:pt>
                <c:pt idx="4">
                  <c:v>680.74972931251443</c:v>
                </c:pt>
                <c:pt idx="5">
                  <c:v>746.81593527681616</c:v>
                </c:pt>
                <c:pt idx="6">
                  <c:v>820.36135366954852</c:v>
                </c:pt>
                <c:pt idx="7">
                  <c:v>902.23268996945205</c:v>
                </c:pt>
              </c:numCache>
            </c:numRef>
          </c:val>
          <c:smooth val="0"/>
        </c:ser>
        <c:dLbls>
          <c:showLegendKey val="0"/>
          <c:showVal val="0"/>
          <c:showCatName val="0"/>
          <c:showSerName val="0"/>
          <c:showPercent val="0"/>
          <c:showBubbleSize val="0"/>
        </c:dLbls>
        <c:marker val="1"/>
        <c:smooth val="0"/>
        <c:axId val="298743240"/>
        <c:axId val="298743632"/>
      </c:lineChart>
      <c:catAx>
        <c:axId val="29874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43632"/>
        <c:crosses val="autoZero"/>
        <c:auto val="1"/>
        <c:lblAlgn val="ctr"/>
        <c:lblOffset val="100"/>
        <c:noMultiLvlLbl val="0"/>
      </c:catAx>
      <c:valAx>
        <c:axId val="29874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432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Úspory energie</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130.625</c:v>
                </c:pt>
                <c:pt idx="1">
                  <c:v>130.625</c:v>
                </c:pt>
                <c:pt idx="2">
                  <c:v>130.625</c:v>
                </c:pt>
                <c:pt idx="3">
                  <c:v>130.625</c:v>
                </c:pt>
                <c:pt idx="4">
                  <c:v>130.625</c:v>
                </c:pt>
                <c:pt idx="5">
                  <c:v>69.88615837182671</c:v>
                </c:pt>
                <c:pt idx="6">
                  <c:v>72.061425494621588</c:v>
                </c:pt>
                <c:pt idx="7">
                  <c:v>83.726354903877734</c:v>
                </c:pt>
              </c:numCache>
            </c:numRef>
          </c:val>
        </c:ser>
        <c:dLbls>
          <c:showLegendKey val="0"/>
          <c:showVal val="0"/>
          <c:showCatName val="0"/>
          <c:showSerName val="0"/>
          <c:showPercent val="0"/>
          <c:showBubbleSize val="0"/>
        </c:dLbls>
        <c:gapWidth val="150"/>
        <c:axId val="298744416"/>
        <c:axId val="298744808"/>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130.625</c:v>
                </c:pt>
                <c:pt idx="1">
                  <c:v>261.25</c:v>
                </c:pt>
                <c:pt idx="2">
                  <c:v>391.875</c:v>
                </c:pt>
                <c:pt idx="3">
                  <c:v>522.5</c:v>
                </c:pt>
                <c:pt idx="4">
                  <c:v>653.125</c:v>
                </c:pt>
                <c:pt idx="5">
                  <c:v>723.0111583718267</c:v>
                </c:pt>
                <c:pt idx="6">
                  <c:v>795.07258386644833</c:v>
                </c:pt>
                <c:pt idx="7">
                  <c:v>878.798938770326</c:v>
                </c:pt>
              </c:numCache>
            </c:numRef>
          </c:val>
          <c:smooth val="0"/>
        </c:ser>
        <c:dLbls>
          <c:showLegendKey val="0"/>
          <c:showVal val="0"/>
          <c:showCatName val="0"/>
          <c:showSerName val="0"/>
          <c:showPercent val="0"/>
          <c:showBubbleSize val="0"/>
        </c:dLbls>
        <c:marker val="1"/>
        <c:smooth val="0"/>
        <c:axId val="298744416"/>
        <c:axId val="298744808"/>
      </c:lineChart>
      <c:catAx>
        <c:axId val="2987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44808"/>
        <c:crosses val="autoZero"/>
        <c:auto val="1"/>
        <c:lblAlgn val="ctr"/>
        <c:lblOffset val="100"/>
        <c:noMultiLvlLbl val="0"/>
      </c:catAx>
      <c:valAx>
        <c:axId val="29874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444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'[Kopie - MPO ultimate_final aaaaa.xlsx]Úvěry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'[Kopie - MPO ultimate_final aaaaa.xlsx]Úvěry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'[Kopie - MPO ultimate_final aaaaa.xlsx]Úvěry Energie RIZIKO'!$F$92:$M$92</c:f>
              <c:numCache>
                <c:formatCode>#,##0</c:formatCode>
                <c:ptCount val="8"/>
                <c:pt idx="0">
                  <c:v>75</c:v>
                </c:pt>
                <c:pt idx="1">
                  <c:v>75</c:v>
                </c:pt>
                <c:pt idx="2">
                  <c:v>75</c:v>
                </c:pt>
                <c:pt idx="3">
                  <c:v>75</c:v>
                </c:pt>
                <c:pt idx="4">
                  <c:v>75</c:v>
                </c:pt>
                <c:pt idx="5">
                  <c:v>46.159501418250514</c:v>
                </c:pt>
                <c:pt idx="6">
                  <c:v>46.585478050529417</c:v>
                </c:pt>
                <c:pt idx="7">
                  <c:v>52.40208583273575</c:v>
                </c:pt>
              </c:numCache>
            </c:numRef>
          </c:val>
        </c:ser>
        <c:dLbls>
          <c:showLegendKey val="0"/>
          <c:showVal val="0"/>
          <c:showCatName val="0"/>
          <c:showSerName val="0"/>
          <c:showPercent val="0"/>
          <c:showBubbleSize val="0"/>
        </c:dLbls>
        <c:gapWidth val="150"/>
        <c:axId val="298729296"/>
        <c:axId val="298729688"/>
      </c:barChart>
      <c:lineChart>
        <c:grouping val="standard"/>
        <c:varyColors val="0"/>
        <c:ser>
          <c:idx val="1"/>
          <c:order val="1"/>
          <c:tx>
            <c:strRef>
              <c:f>'[Kopie - MPO ultimate_final aaaaa.xlsx]Úvěry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'[Kopie - MPO ultimate_final aaaaa.xlsx]Úvěry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'[Kopie - MPO ultimate_final aaaaa.xlsx]Úvěry Energie RIZIKO'!$F$93:$M$93</c:f>
              <c:numCache>
                <c:formatCode>#,##0</c:formatCode>
                <c:ptCount val="8"/>
                <c:pt idx="0">
                  <c:v>75</c:v>
                </c:pt>
                <c:pt idx="1">
                  <c:v>150</c:v>
                </c:pt>
                <c:pt idx="2">
                  <c:v>225</c:v>
                </c:pt>
                <c:pt idx="3">
                  <c:v>300</c:v>
                </c:pt>
                <c:pt idx="4">
                  <c:v>375</c:v>
                </c:pt>
                <c:pt idx="5">
                  <c:v>421.1595014182505</c:v>
                </c:pt>
                <c:pt idx="6">
                  <c:v>467.74497946877989</c:v>
                </c:pt>
                <c:pt idx="7">
                  <c:v>520.14706530151568</c:v>
                </c:pt>
              </c:numCache>
            </c:numRef>
          </c:val>
          <c:smooth val="0"/>
        </c:ser>
        <c:dLbls>
          <c:showLegendKey val="0"/>
          <c:showVal val="0"/>
          <c:showCatName val="0"/>
          <c:showSerName val="0"/>
          <c:showPercent val="0"/>
          <c:showBubbleSize val="0"/>
        </c:dLbls>
        <c:marker val="1"/>
        <c:smooth val="0"/>
        <c:axId val="298729296"/>
        <c:axId val="298729688"/>
      </c:lineChart>
      <c:catAx>
        <c:axId val="2987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29688"/>
        <c:crosses val="autoZero"/>
        <c:auto val="1"/>
        <c:lblAlgn val="ctr"/>
        <c:lblOffset val="100"/>
        <c:noMultiLvlLbl val="0"/>
      </c:catAx>
      <c:valAx>
        <c:axId val="298729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292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75</c:v>
                </c:pt>
                <c:pt idx="1">
                  <c:v>75</c:v>
                </c:pt>
                <c:pt idx="2">
                  <c:v>75</c:v>
                </c:pt>
                <c:pt idx="3">
                  <c:v>75</c:v>
                </c:pt>
                <c:pt idx="4">
                  <c:v>71.318034170462397</c:v>
                </c:pt>
                <c:pt idx="5">
                  <c:v>36.036112344164614</c:v>
                </c:pt>
                <c:pt idx="6">
                  <c:v>40.115682759672168</c:v>
                </c:pt>
                <c:pt idx="7">
                  <c:v>44.657092527220129</c:v>
                </c:pt>
              </c:numCache>
            </c:numRef>
          </c:val>
        </c:ser>
        <c:dLbls>
          <c:showLegendKey val="0"/>
          <c:showVal val="0"/>
          <c:showCatName val="0"/>
          <c:showSerName val="0"/>
          <c:showPercent val="0"/>
          <c:showBubbleSize val="0"/>
        </c:dLbls>
        <c:gapWidth val="150"/>
        <c:axId val="298730472"/>
        <c:axId val="373487376"/>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75</c:v>
                </c:pt>
                <c:pt idx="1">
                  <c:v>150</c:v>
                </c:pt>
                <c:pt idx="2">
                  <c:v>225</c:v>
                </c:pt>
                <c:pt idx="3">
                  <c:v>300</c:v>
                </c:pt>
                <c:pt idx="4">
                  <c:v>371.3180341704624</c:v>
                </c:pt>
                <c:pt idx="5">
                  <c:v>407.35414651462702</c:v>
                </c:pt>
                <c:pt idx="6">
                  <c:v>447.46982927429917</c:v>
                </c:pt>
                <c:pt idx="7">
                  <c:v>492.1269218015193</c:v>
                </c:pt>
              </c:numCache>
            </c:numRef>
          </c:val>
          <c:smooth val="0"/>
        </c:ser>
        <c:dLbls>
          <c:showLegendKey val="0"/>
          <c:showVal val="0"/>
          <c:showCatName val="0"/>
          <c:showSerName val="0"/>
          <c:showPercent val="0"/>
          <c:showBubbleSize val="0"/>
        </c:dLbls>
        <c:marker val="1"/>
        <c:smooth val="0"/>
        <c:axId val="298730472"/>
        <c:axId val="373487376"/>
      </c:lineChart>
      <c:catAx>
        <c:axId val="29873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487376"/>
        <c:crosses val="autoZero"/>
        <c:auto val="1"/>
        <c:lblAlgn val="ctr"/>
        <c:lblOffset val="100"/>
        <c:noMultiLvlLbl val="0"/>
      </c:catAx>
      <c:valAx>
        <c:axId val="37348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7304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baseline="0"/>
                      <a:t>Without problem; </a:t>
                    </a:r>
                    <a:fld id="{7E3A3BC9-C0AE-4311-BA9D-CC73DFBD64B7}"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a:t>Availability with little difficulties</a:t>
                    </a:r>
                    <a:r>
                      <a:rPr lang="en-US" baseline="0"/>
                      <a:t>; </a:t>
                    </a:r>
                    <a:fld id="{B8524DD8-D527-4571-855D-DAD0BF57500A}"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Difficult avaibility</a:t>
                    </a:r>
                    <a:r>
                      <a:rPr lang="en-US" baseline="0"/>
                      <a:t>; </a:t>
                    </a:r>
                    <a:fld id="{1E8CB558-480C-44CB-8B23-1A0666B65E65}"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a:t>Bad availability</a:t>
                    </a:r>
                    <a:r>
                      <a:rPr lang="en-US" baseline="0"/>
                      <a:t>; </a:t>
                    </a:r>
                    <a:fld id="{B64152EA-2100-441F-9464-F4D63AE276D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'Investice do výroby'!$I$24:$I$27</c:f>
              <c:strCache>
                <c:ptCount val="4"/>
                <c:pt idx="0">
                  <c:v>Bezproblémová</c:v>
                </c:pt>
                <c:pt idx="1">
                  <c:v>S menšími problémy</c:v>
                </c:pt>
                <c:pt idx="2">
                  <c:v>Dostupnost je obtížná</c:v>
                </c:pt>
                <c:pt idx="3">
                  <c:v>Dostupnost je špatná</c:v>
                </c:pt>
              </c:strCache>
            </c:strRef>
          </c:cat>
          <c:val>
            <c:numRef>
              <c:f>'Investice do výroby'!$K$24:$K$27</c:f>
              <c:numCache>
                <c:formatCode>0.0%</c:formatCode>
                <c:ptCount val="4"/>
                <c:pt idx="0">
                  <c:v>0.45601436265709155</c:v>
                </c:pt>
                <c:pt idx="1">
                  <c:v>0.23877917414721722</c:v>
                </c:pt>
                <c:pt idx="2">
                  <c:v>0.16517055655296231</c:v>
                </c:pt>
                <c:pt idx="3">
                  <c:v>0.14003590664272891</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Úvěry</a:t>
            </a:r>
            <a:r>
              <a:rPr lang="cs-CZ" b="1" baseline="0">
                <a:solidFill>
                  <a:schemeClr val="tx1"/>
                </a:solidFill>
              </a:rPr>
              <a:t> KVET</a:t>
            </a:r>
          </a:p>
        </c:rich>
      </c:tx>
      <c:layout/>
      <c:overlay val="0"/>
      <c:spPr>
        <a:noFill/>
        <a:ln>
          <a:noFill/>
        </a:ln>
        <a:effectLst/>
      </c:spPr>
    </c:title>
    <c:autoTitleDeleted val="0"/>
    <c:plotArea>
      <c:layout/>
      <c:barChart>
        <c:barDir val="col"/>
        <c:grouping val="clustered"/>
        <c:varyColors val="0"/>
        <c:ser>
          <c:idx val="0"/>
          <c:order val="0"/>
          <c:tx>
            <c:strRef>
              <c:f>'[1]Úvěry Energie RIZIKO'!$A$92:$E$92</c:f>
              <c:strCache>
                <c:ptCount val="1"/>
                <c:pt idx="0">
                  <c:v>Proinvestované prostředky OP PIK</c:v>
                </c:pt>
              </c:strCache>
            </c:strRef>
          </c:tx>
          <c:spPr>
            <a:solidFill>
              <a:schemeClr val="accent1"/>
            </a:solidFill>
            <a:ln>
              <a:solidFill>
                <a:schemeClr val="accent3"/>
              </a:solidFill>
            </a:ln>
            <a:effectLst/>
          </c:spPr>
          <c:invertIfNegative val="0"/>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RIZIKO'!$F$92:$M$92</c:f>
              <c:numCache>
                <c:formatCode>#,##0</c:formatCode>
                <c:ptCount val="8"/>
                <c:pt idx="0">
                  <c:v>71.25</c:v>
                </c:pt>
                <c:pt idx="1">
                  <c:v>71.25</c:v>
                </c:pt>
                <c:pt idx="2">
                  <c:v>71.25</c:v>
                </c:pt>
                <c:pt idx="3">
                  <c:v>71.25</c:v>
                </c:pt>
                <c:pt idx="4">
                  <c:v>71.25</c:v>
                </c:pt>
                <c:pt idx="5">
                  <c:v>38.119722748269083</c:v>
                </c:pt>
                <c:pt idx="6">
                  <c:v>39.30623208797541</c:v>
                </c:pt>
                <c:pt idx="7">
                  <c:v>45.66892085666062</c:v>
                </c:pt>
              </c:numCache>
            </c:numRef>
          </c:val>
        </c:ser>
        <c:dLbls>
          <c:showLegendKey val="0"/>
          <c:showVal val="0"/>
          <c:showCatName val="0"/>
          <c:showSerName val="0"/>
          <c:showPercent val="0"/>
          <c:showBubbleSize val="0"/>
        </c:dLbls>
        <c:gapWidth val="150"/>
        <c:axId val="373488160"/>
        <c:axId val="373488552"/>
      </c:barChart>
      <c:lineChart>
        <c:grouping val="standard"/>
        <c:varyColors val="0"/>
        <c:ser>
          <c:idx val="1"/>
          <c:order val="1"/>
          <c:tx>
            <c:strRef>
              <c:f>'[1]Úvěry Energie RIZIKO'!$A$93:$E$93</c:f>
              <c:strCache>
                <c:ptCount val="1"/>
                <c:pt idx="0">
                  <c:v>Kumulované proinvestované prostředky OP PIK</c:v>
                </c:pt>
              </c:strCache>
            </c:strRef>
          </c:tx>
          <c:spPr>
            <a:ln w="28575" cap="rnd">
              <a:solidFill>
                <a:schemeClr val="accent3"/>
              </a:solidFill>
              <a:round/>
            </a:ln>
            <a:effectLst/>
          </c:spPr>
          <c:marker>
            <c:symbol val="none"/>
          </c:marker>
          <c:cat>
            <c:numRef>
              <c:f>'[1]Úvěry Energie RIZIKO'!$F$91:$M$91</c:f>
              <c:numCache>
                <c:formatCode>General</c:formatCode>
                <c:ptCount val="8"/>
                <c:pt idx="0">
                  <c:v>2016</c:v>
                </c:pt>
                <c:pt idx="1">
                  <c:v>2017</c:v>
                </c:pt>
                <c:pt idx="2">
                  <c:v>2018</c:v>
                </c:pt>
                <c:pt idx="3">
                  <c:v>2019</c:v>
                </c:pt>
                <c:pt idx="4">
                  <c:v>2020</c:v>
                </c:pt>
                <c:pt idx="5">
                  <c:v>2021</c:v>
                </c:pt>
                <c:pt idx="6">
                  <c:v>2022</c:v>
                </c:pt>
                <c:pt idx="7">
                  <c:v>2023</c:v>
                </c:pt>
              </c:numCache>
            </c:numRef>
          </c:cat>
          <c:val>
            <c:numRef>
              <c:f>'[1]Úvěry Energie RIZIKO'!$F$93:$M$93</c:f>
              <c:numCache>
                <c:formatCode>#,##0</c:formatCode>
                <c:ptCount val="8"/>
                <c:pt idx="0">
                  <c:v>71.25</c:v>
                </c:pt>
                <c:pt idx="1">
                  <c:v>142.5</c:v>
                </c:pt>
                <c:pt idx="2">
                  <c:v>213.75</c:v>
                </c:pt>
                <c:pt idx="3">
                  <c:v>285</c:v>
                </c:pt>
                <c:pt idx="4">
                  <c:v>356.25</c:v>
                </c:pt>
                <c:pt idx="5">
                  <c:v>394.36972274826906</c:v>
                </c:pt>
                <c:pt idx="6">
                  <c:v>433.67595483624444</c:v>
                </c:pt>
                <c:pt idx="7">
                  <c:v>479.34487569290508</c:v>
                </c:pt>
              </c:numCache>
            </c:numRef>
          </c:val>
          <c:smooth val="0"/>
        </c:ser>
        <c:dLbls>
          <c:showLegendKey val="0"/>
          <c:showVal val="0"/>
          <c:showCatName val="0"/>
          <c:showSerName val="0"/>
          <c:showPercent val="0"/>
          <c:showBubbleSize val="0"/>
        </c:dLbls>
        <c:marker val="1"/>
        <c:smooth val="0"/>
        <c:axId val="373488160"/>
        <c:axId val="373488552"/>
      </c:lineChart>
      <c:catAx>
        <c:axId val="3734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488552"/>
        <c:crosses val="autoZero"/>
        <c:auto val="1"/>
        <c:lblAlgn val="ctr"/>
        <c:lblOffset val="100"/>
        <c:noMultiLvlLbl val="0"/>
      </c:catAx>
      <c:valAx>
        <c:axId val="37348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34881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baseline="0"/>
                      <a:t>Long payback period of the project; </a:t>
                    </a:r>
                    <a:fld id="{62E0261E-7EED-4A1D-B894-AF8DFAC98F06}"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baseline="0"/>
                      <a:t>Short business history; </a:t>
                    </a:r>
                    <a:fld id="{58893B5F-C9D2-494C-9B40-24F94E035595}"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Securitization possibilities</a:t>
                    </a:r>
                    <a:r>
                      <a:rPr lang="en-US" baseline="0"/>
                      <a:t>; </a:t>
                    </a:r>
                    <a:fld id="{025C3FD8-37C0-4B2F-B4DD-961A70A238EB}"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a:t>Financial costs</a:t>
                    </a:r>
                    <a:r>
                      <a:rPr lang="en-US" baseline="0"/>
                      <a:t>; </a:t>
                    </a:r>
                    <a:fld id="{77E75CE2-E434-41D9-B83E-E3CED242AD56}"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'Investice do výroby'!$I$33:$I$36</c:f>
              <c:strCache>
                <c:ptCount val="4"/>
                <c:pt idx="0">
                  <c:v>Dlouhá doba návratnosti projektu</c:v>
                </c:pt>
                <c:pt idx="1">
                  <c:v>Krátká podnikatelská historie</c:v>
                </c:pt>
                <c:pt idx="2">
                  <c:v>Možnosti zajištění</c:v>
                </c:pt>
                <c:pt idx="3">
                  <c:v>Finanční náklady</c:v>
                </c:pt>
              </c:strCache>
            </c:strRef>
          </c:cat>
          <c:val>
            <c:numRef>
              <c:f>'Investice do výroby'!$K$33:$K$36</c:f>
              <c:numCache>
                <c:formatCode>0.0%</c:formatCode>
                <c:ptCount val="4"/>
                <c:pt idx="0">
                  <c:v>0.29411764705882354</c:v>
                </c:pt>
                <c:pt idx="1">
                  <c:v>0.29411764705882354</c:v>
                </c:pt>
                <c:pt idx="2">
                  <c:v>0.5117647058823529</c:v>
                </c:pt>
                <c:pt idx="3">
                  <c:v>0.34705882352941175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98705916277052E-2"/>
          <c:y val="0.2542446982859537"/>
          <c:w val="0.66680180180180171"/>
          <c:h val="0.6500728254038667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0.19582757549812738"/>
                  <c:y val="-5.5734476228446128E-2"/>
                </c:manualLayout>
              </c:layout>
              <c:tx>
                <c:rich>
                  <a:bodyPr/>
                  <a:lstStyle/>
                  <a:p>
                    <a:r>
                      <a:rPr lang="en-US"/>
                      <a:t>Maturity</a:t>
                    </a:r>
                    <a:r>
                      <a:rPr lang="en-US" baseline="0"/>
                      <a:t>; </a:t>
                    </a:r>
                    <a:fld id="{926287FF-81B5-4B16-9A92-E8B40697BFAD}" type="VALUE">
                      <a:rPr lang="en-US" baseline="0"/>
                      <a:pPr/>
                      <a:t>[HODNOTA]</a:t>
                    </a:fld>
                    <a:endParaRPr lang="en-US" baseline="0"/>
                  </a:p>
                </c:rich>
              </c:tx>
              <c:dLblPos val="bestFi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1"/>
              <c:layout>
                <c:manualLayout>
                  <c:x val="-4.2906949185840641E-3"/>
                  <c:y val="-0.11267605633802817"/>
                </c:manualLayout>
              </c:layout>
              <c:tx>
                <c:rich>
                  <a:bodyPr/>
                  <a:lstStyle/>
                  <a:p>
                    <a:r>
                      <a:rPr lang="en-US"/>
                      <a:t>Expansion</a:t>
                    </a:r>
                    <a:r>
                      <a:rPr lang="en-US" baseline="0"/>
                      <a:t>; </a:t>
                    </a:r>
                    <a:fld id="{B07FC1A6-60E9-4956-95A7-AEFC9BDA6826}" type="VALUE">
                      <a:rPr lang="en-US" baseline="0"/>
                      <a:pPr/>
                      <a:t>[HODNOTA]</a:t>
                    </a:fld>
                    <a:endParaRPr lang="en-US" baseline="0"/>
                  </a:p>
                </c:rich>
              </c:tx>
              <c:dLblPos val="bestFi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2"/>
              <c:layout/>
              <c:tx>
                <c:rich>
                  <a:bodyPr/>
                  <a:lstStyle/>
                  <a:p>
                    <a:r>
                      <a:rPr lang="en-US" baseline="0"/>
                      <a:t>Startup; </a:t>
                    </a:r>
                    <a:fld id="{2950A74D-65B6-41C9-9CA4-5494E962BD73}"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6.4360423778760962E-3"/>
                  <c:y val="0.215962441314554"/>
                </c:manualLayout>
              </c:layout>
              <c:tx>
                <c:rich>
                  <a:bodyPr/>
                  <a:lstStyle/>
                  <a:p>
                    <a:r>
                      <a:rPr lang="en-US"/>
                      <a:t>Post-creation</a:t>
                    </a:r>
                    <a:r>
                      <a:rPr lang="en-US" baseline="0"/>
                      <a:t>; </a:t>
                    </a:r>
                    <a:fld id="{3FAB6C59-D39A-4DAD-B3AD-FD14805EBBC6}" type="VALUE">
                      <a:rPr lang="en-US" baseline="0"/>
                      <a:pPr/>
                      <a:t>[HODNOTA]</a:t>
                    </a:fld>
                    <a:endParaRPr lang="en-US" baseline="0"/>
                  </a:p>
                </c:rich>
              </c:tx>
              <c:dLblPos val="bestFi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4"/>
              <c:layout>
                <c:manualLayout>
                  <c:x val="-0.13944758485398207"/>
                  <c:y val="5.4638543485231769E-2"/>
                </c:manualLayout>
              </c:layout>
              <c:tx>
                <c:rich>
                  <a:bodyPr/>
                  <a:lstStyle/>
                  <a:p>
                    <a:r>
                      <a:rPr lang="en-US"/>
                      <a:t>Seed</a:t>
                    </a:r>
                    <a:r>
                      <a:rPr lang="en-US" baseline="0"/>
                      <a:t>; </a:t>
                    </a:r>
                    <a:fld id="{74C1A9AF-6298-4F05-B315-3250D75D51CC}" type="VALUE">
                      <a:rPr lang="en-US" baseline="0"/>
                      <a:pPr/>
                      <a:t>[HODNOTA]</a:t>
                    </a:fld>
                    <a:endParaRPr lang="en-US" baseline="0"/>
                  </a:p>
                </c:rich>
              </c:tx>
              <c:dLblPos val="bestFi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5"/>
              <c:layout>
                <c:manualLayout>
                  <c:x val="-3.2180211889380479E-2"/>
                  <c:y val="-2.714932126696833E-2"/>
                </c:manualLayout>
              </c:layout>
              <c:tx>
                <c:rich>
                  <a:bodyPr/>
                  <a:lstStyle/>
                  <a:p>
                    <a:r>
                      <a:rPr lang="en-US" baseline="0"/>
                      <a:t>Buyout/Transmission; </a:t>
                    </a:r>
                    <a:fld id="{B7549748-3410-4A78-8082-47038A455511}" type="VALUE">
                      <a:rPr lang="en-US" baseline="0"/>
                      <a:pPr/>
                      <a:t>[HODNOTA]</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6"/>
              <c:layout>
                <c:manualLayout>
                  <c:x val="0.1008313305867255"/>
                  <c:y val="-9.0497737556561094E-3"/>
                </c:manualLayout>
              </c:layout>
              <c:tx>
                <c:rich>
                  <a:bodyPr/>
                  <a:lstStyle/>
                  <a:p>
                    <a:r>
                      <a:rPr lang="en-US"/>
                      <a:t>Redeployment</a:t>
                    </a:r>
                    <a:r>
                      <a:rPr lang="en-US" baseline="0"/>
                      <a:t>; </a:t>
                    </a:r>
                    <a:fld id="{32B8A494-613C-450E-BE17-E6116E51BBBB}" type="VALUE">
                      <a:rPr lang="en-US" baseline="0"/>
                      <a:pPr/>
                      <a:t>[HODNOTA]</a:t>
                    </a:fld>
                    <a:endParaRPr lang="en-US" baseline="0"/>
                  </a:p>
                </c:rich>
              </c:tx>
              <c:dLblPos val="bestFit"/>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'Fáze podnikání'!$G$10:$G$16</c:f>
              <c:strCache>
                <c:ptCount val="7"/>
                <c:pt idx="0">
                  <c:v>Fáze Maturity</c:v>
                </c:pt>
                <c:pt idx="1">
                  <c:v>Fáze Růstová „Expansion“</c:v>
                </c:pt>
                <c:pt idx="2">
                  <c:v>Fáze Startovní brzká „Start-up“</c:v>
                </c:pt>
                <c:pt idx="3">
                  <c:v>Fáze Startovní pozdní „Post-creation“</c:v>
                </c:pt>
                <c:pt idx="4">
                  <c:v>Fáze Zárodečná „Seed"</c:v>
                </c:pt>
                <c:pt idx="5">
                  <c:v>Fáze Změny „Buyout/transmission“</c:v>
                </c:pt>
                <c:pt idx="6">
                  <c:v>Fáze Znovu-nastartování „Redeployment“</c:v>
                </c:pt>
              </c:strCache>
            </c:strRef>
          </c:cat>
          <c:val>
            <c:numRef>
              <c:f>'Fáze podnikání'!$H$10:$H$16</c:f>
              <c:numCache>
                <c:formatCode>0.00%</c:formatCode>
                <c:ptCount val="7"/>
                <c:pt idx="0">
                  <c:v>3.3898305084745763E-2</c:v>
                </c:pt>
                <c:pt idx="1">
                  <c:v>0.3559322033898305</c:v>
                </c:pt>
                <c:pt idx="2">
                  <c:v>0.11864406779661017</c:v>
                </c:pt>
                <c:pt idx="3">
                  <c:v>0.38983050847457629</c:v>
                </c:pt>
                <c:pt idx="4">
                  <c:v>6.7796610169491525E-2</c:v>
                </c:pt>
                <c:pt idx="5">
                  <c:v>1.6949152542372881E-2</c:v>
                </c:pt>
                <c:pt idx="6">
                  <c:v>1.6949152542372881E-2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29661553316042"/>
          <c:y val="0.15046296296296297"/>
          <c:w val="0.71111111111111114"/>
          <c:h val="0.675925925925925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tx>
                <c:rich>
                  <a:bodyPr/>
                  <a:lstStyle/>
                  <a:p>
                    <a:r>
                      <a:rPr lang="en-US"/>
                      <a:t>Long payback period of the project</a:t>
                    </a:r>
                    <a:r>
                      <a:rPr lang="en-US" baseline="0"/>
                      <a:t>; </a:t>
                    </a:r>
                    <a:fld id="{F6F1B2C6-7139-48B7-A7BD-5DC6BFC0B276}" type="VALUE">
                      <a:rPr lang="en-US" baseline="0"/>
                      <a:pPr/>
                      <a:t>[HODNOTA]</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3.0322045170724756E-2"/>
                  <c:y val="6.8963983668708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Short business history; </a:t>
                    </a:r>
                    <a:fld id="{1610AB59-220B-44E2-A407-0979B5E73107}" type="VALUE">
                      <a:rPr lang="en-US" baseline="0"/>
                      <a:pPr>
                        <a:defRPr sz="900" b="0" i="0" u="none" strike="noStrike" kern="1200" baseline="0">
                          <a:solidFill>
                            <a:schemeClr val="tx1">
                              <a:lumMod val="75000"/>
                              <a:lumOff val="25000"/>
                            </a:schemeClr>
                          </a:solidFill>
                          <a:latin typeface="+mn-lt"/>
                          <a:ea typeface="+mn-ea"/>
                          <a:cs typeface="+mn-cs"/>
                        </a:defRPr>
                      </a:pPr>
                      <a:t>[HODNOTA]</a:t>
                    </a:fld>
                    <a:endParaRPr lang="en-US" baseline="0"/>
                  </a:p>
                </c:rich>
              </c:tx>
              <c:spPr>
                <a:noFill/>
                <a:ln>
                  <a:noFill/>
                </a:ln>
                <a:effectLst/>
              </c:spPr>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manualLayout>
                      <c:w val="0.14593046334274881"/>
                      <c:h val="0.2313425925925926"/>
                    </c:manualLayout>
                  </c15:layout>
                  <c15:dlblFieldTable/>
                  <c15:showDataLabelsRange val="0"/>
                </c:ext>
              </c:extLst>
            </c:dLbl>
            <c:dLbl>
              <c:idx val="2"/>
              <c:layout>
                <c:manualLayout>
                  <c:x val="-0.12482884951881015"/>
                  <c:y val="-5.6399095946340037E-2"/>
                </c:manualLayout>
              </c:layout>
              <c:tx>
                <c:rich>
                  <a:bodyPr/>
                  <a:lstStyle/>
                  <a:p>
                    <a:r>
                      <a:rPr lang="en-US"/>
                      <a:t>Securitization possibilities</a:t>
                    </a:r>
                    <a:r>
                      <a:rPr lang="en-US" baseline="0"/>
                      <a:t>; </a:t>
                    </a:r>
                    <a:fld id="{7CAFC431-2C70-4EFE-B83C-40DBD365195C}"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3"/>
              <c:layout>
                <c:manualLayout>
                  <c:x val="-1.7758957213777047E-3"/>
                  <c:y val="3.1150481189851226E-2"/>
                </c:manualLayout>
              </c:layout>
              <c:tx>
                <c:rich>
                  <a:bodyPr/>
                  <a:lstStyle/>
                  <a:p>
                    <a:r>
                      <a:rPr lang="en-US" baseline="0"/>
                      <a:t>Financial costs; </a:t>
                    </a:r>
                    <a:fld id="{A59A0A04-367A-40FA-9848-CE934DB03DAC}"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4"/>
              <c:layout/>
              <c:tx>
                <c:rich>
                  <a:bodyPr/>
                  <a:lstStyle/>
                  <a:p>
                    <a:r>
                      <a:rPr lang="en-US" baseline="0"/>
                      <a:t>Economic potential of the project; </a:t>
                    </a:r>
                    <a:fld id="{456F6D2A-B790-4A78-B399-8C57597EF2CF}" type="VALUE">
                      <a:rPr lang="en-US" baseline="0"/>
                      <a:pPr/>
                      <a:t>[HODNOTA]</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5"/>
              <c:layout/>
              <c:tx>
                <c:rich>
                  <a:bodyPr/>
                  <a:lstStyle/>
                  <a:p>
                    <a:r>
                      <a:rPr lang="en-US" baseline="0"/>
                      <a:t>High level of indeptedness; </a:t>
                    </a:r>
                    <a:fld id="{DA350282-CEA5-40F8-8326-E7A7639DAA58}" type="VALUE">
                      <a:rPr lang="en-US" baseline="0"/>
                      <a:pPr/>
                      <a:t>[HODNOTA]</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'Problémy fin'!$D$8:$D$13</c:f>
              <c:strCache>
                <c:ptCount val="6"/>
                <c:pt idx="0">
                  <c:v>Dlouhá doba návratnosti projektu</c:v>
                </c:pt>
                <c:pt idx="1">
                  <c:v>Krátká podnikatelská historie</c:v>
                </c:pt>
                <c:pt idx="2">
                  <c:v>Možnosti zajištění</c:v>
                </c:pt>
                <c:pt idx="3">
                  <c:v>Finanční náklady</c:v>
                </c:pt>
                <c:pt idx="4">
                  <c:v>Ekonomický potenciál projektu</c:v>
                </c:pt>
                <c:pt idx="5">
                  <c:v>Vysoká aktuální zadluženost</c:v>
                </c:pt>
              </c:strCache>
            </c:strRef>
          </c:cat>
          <c:val>
            <c:numRef>
              <c:f>'Problémy fin'!$F$8:$F$13</c:f>
              <c:numCache>
                <c:formatCode>0.0%</c:formatCode>
                <c:ptCount val="6"/>
                <c:pt idx="0">
                  <c:v>0.11627906976744186</c:v>
                </c:pt>
                <c:pt idx="1">
                  <c:v>0.32558139534883723</c:v>
                </c:pt>
                <c:pt idx="2">
                  <c:v>0.37209302325581395</c:v>
                </c:pt>
                <c:pt idx="3">
                  <c:v>0.11627906976744186</c:v>
                </c:pt>
                <c:pt idx="4">
                  <c:v>0.16279069767441862</c:v>
                </c:pt>
                <c:pt idx="5">
                  <c:v>4.6511627906976744E-2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55"/>
          <c:y val="0.2013888888888889"/>
          <c:w val="0.41111111111111104"/>
          <c:h val="0.68518518518518512"/>
        </c:manualLayout>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6.9444444444444448E-2"/>
                  <c:y val="-0.15277777777777779"/>
                </c:manualLayout>
              </c:layout>
              <c:tx>
                <c:rich>
                  <a:bodyPr/>
                  <a:lstStyle/>
                  <a:p>
                    <a:r>
                      <a:rPr lang="en-US"/>
                      <a:t>more than 10 years</a:t>
                    </a:r>
                    <a:r>
                      <a:rPr lang="en-US" baseline="0"/>
                      <a:t>; </a:t>
                    </a:r>
                    <a:fld id="{ED85D829-0C07-45D3-B8E2-90B0298AA1D1}"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1"/>
              <c:layout>
                <c:manualLayout>
                  <c:x val="0.18333333333333343"/>
                  <c:y val="2.3148148148148147E-2"/>
                </c:manualLayout>
              </c:layout>
              <c:tx>
                <c:rich>
                  <a:bodyPr/>
                  <a:lstStyle/>
                  <a:p>
                    <a:r>
                      <a:rPr lang="en-US"/>
                      <a:t>1-3 years</a:t>
                    </a:r>
                    <a:r>
                      <a:rPr lang="en-US" baseline="0"/>
                      <a:t>; </a:t>
                    </a:r>
                    <a:fld id="{CF7FC7AB-E38E-47A3-B0AD-720838B29F79}"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2"/>
              <c:layout>
                <c:manualLayout>
                  <c:x val="-0.15277777777777779"/>
                  <c:y val="0.14814814814814814"/>
                </c:manualLayout>
              </c:layout>
              <c:tx>
                <c:rich>
                  <a:bodyPr/>
                  <a:lstStyle/>
                  <a:p>
                    <a:r>
                      <a:rPr lang="en-US" baseline="0"/>
                      <a:t>3-5 years; </a:t>
                    </a:r>
                    <a:fld id="{6143A602-D125-4A75-B8D5-B1E2891D0F31}"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dLbl>
              <c:idx val="3"/>
              <c:layout>
                <c:manualLayout>
                  <c:x val="-0.13333333333333336"/>
                  <c:y val="-0.13425925925925927"/>
                </c:manualLayout>
              </c:layout>
              <c:tx>
                <c:rich>
                  <a:bodyPr/>
                  <a:lstStyle/>
                  <a:p>
                    <a:r>
                      <a:rPr lang="en-US"/>
                      <a:t>5-10 years</a:t>
                    </a:r>
                    <a:r>
                      <a:rPr lang="en-US" baseline="0"/>
                      <a:t>; </a:t>
                    </a:r>
                    <a:fld id="{F2205931-3666-443F-96E3-28BDA08882A1}" type="VALUE">
                      <a:rPr lang="en-US" baseline="0"/>
                      <a:pPr/>
                      <a:t>[HODNOTA]</a:t>
                    </a:fld>
                    <a:endParaRPr lang="en-US" baseline="0"/>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'Doba návratnosti'!$D$7:$D$10</c:f>
              <c:strCache>
                <c:ptCount val="4"/>
                <c:pt idx="0">
                  <c:v>V horizontu 10 let a více</c:v>
                </c:pt>
                <c:pt idx="1">
                  <c:v>V horizontu 1-3 roky</c:v>
                </c:pt>
                <c:pt idx="2">
                  <c:v>V horizontu 3-5 let</c:v>
                </c:pt>
                <c:pt idx="3">
                  <c:v>V horizontu 5-10 let</c:v>
                </c:pt>
              </c:strCache>
            </c:strRef>
          </c:cat>
          <c:val>
            <c:numRef>
              <c:f>'Doba návratnosti'!$E$7:$E$10</c:f>
              <c:numCache>
                <c:formatCode>0.0%</c:formatCode>
                <c:ptCount val="4"/>
                <c:pt idx="0">
                  <c:v>1.9230769230769232E-2</c:v>
                </c:pt>
                <c:pt idx="1">
                  <c:v>0.28846153846153844</c:v>
                </c:pt>
                <c:pt idx="2">
                  <c:v>0.55769230769230771</c:v>
                </c:pt>
                <c:pt idx="3">
                  <c:v>0.13461538461538461</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1-3 years</a:t>
                    </a:r>
                    <a:r>
                      <a:rPr lang="en-US" baseline="0"/>
                      <a:t>; </a:t>
                    </a:r>
                    <a:fld id="{6D745735-35BD-45FA-A545-B058781BE314}"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r>
                      <a:rPr lang="en-US"/>
                      <a:t>3-5 years</a:t>
                    </a:r>
                    <a:r>
                      <a:rPr lang="en-US" baseline="0"/>
                      <a:t>; </a:t>
                    </a:r>
                    <a:fld id="{385DA67A-A7CB-43EE-B6A1-0A912E994FB5}"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r>
                      <a:rPr lang="en-US"/>
                      <a:t>5-10 years</a:t>
                    </a:r>
                    <a:r>
                      <a:rPr lang="en-US" baseline="0"/>
                      <a:t>; </a:t>
                    </a:r>
                    <a:fld id="{558C623D-58A1-4EA0-A3A6-530DA96D8170}"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a:t>more than 10 years</a:t>
                    </a:r>
                    <a:r>
                      <a:rPr lang="en-US" baseline="0"/>
                      <a:t>; </a:t>
                    </a:r>
                    <a:fld id="{A46D7532-5110-4254-A484-6C5B977E0C6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BF!$A$43:$A$46</c:f>
              <c:strCache>
                <c:ptCount val="4"/>
                <c:pt idx="0">
                  <c:v>Návratnost v horizontu 1-3 roky</c:v>
                </c:pt>
                <c:pt idx="1">
                  <c:v>Návratnost v horizontu 3-5 let</c:v>
                </c:pt>
                <c:pt idx="2">
                  <c:v>Návratnost v horizontu 5-10 let</c:v>
                </c:pt>
                <c:pt idx="3">
                  <c:v>Návratnost v horizontu 10 let a více</c:v>
                </c:pt>
              </c:strCache>
            </c:strRef>
          </c:cat>
          <c:val>
            <c:numRef>
              <c:f>BF!$C$43:$C$46</c:f>
              <c:numCache>
                <c:formatCode>0.0%</c:formatCode>
                <c:ptCount val="4"/>
                <c:pt idx="0">
                  <c:v>3.5714285714285712E-2</c:v>
                </c:pt>
                <c:pt idx="1">
                  <c:v>0.16964285714285715</c:v>
                </c:pt>
                <c:pt idx="2">
                  <c:v>0.5089285714285714</c:v>
                </c:pt>
                <c:pt idx="3">
                  <c:v>0.2857142857142857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baseline="0"/>
                      <a:t>Without problem; </a:t>
                    </a:r>
                    <a:fld id="{244DBA79-1674-43DE-B2BE-4BC9BE884A52}"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With little difficulties;</a:t>
                    </a:r>
                    <a:r>
                      <a:rPr lang="en-US" baseline="0"/>
                      <a:t> </a:t>
                    </a:r>
                    <a:fld id="{579A1E49-0CCB-4764-9BDC-2D56224E3356}"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Availability is difficult</a:t>
                    </a:r>
                    <a:r>
                      <a:rPr lang="en-US" baseline="0"/>
                      <a:t>; </a:t>
                    </a:r>
                    <a:fld id="{E7864D8D-BA54-44AD-94AB-66EC1141D320}"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baseline="0"/>
                      <a:t>Availability is bad; </a:t>
                    </a:r>
                    <a:fld id="{4F370CCA-212E-46AB-8292-26C4AD3E444A}" type="VALUE">
                      <a:rPr lang="en-US" baseline="0"/>
                      <a:pPr/>
                      <a:t>[HODNOTA]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1"/>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extLst>
          </c:dLbls>
          <c:cat>
            <c:strRef>
              <c:f>BF!$I$24:$I$27</c:f>
              <c:strCache>
                <c:ptCount val="4"/>
                <c:pt idx="0">
                  <c:v>Bezproblémová</c:v>
                </c:pt>
                <c:pt idx="1">
                  <c:v>S menšími problémy</c:v>
                </c:pt>
                <c:pt idx="2">
                  <c:v>Dostupnost je obtížná</c:v>
                </c:pt>
                <c:pt idx="3">
                  <c:v>Dostupnost je špatná</c:v>
                </c:pt>
              </c:strCache>
            </c:strRef>
          </c:cat>
          <c:val>
            <c:numRef>
              <c:f>BF!$K$24:$K$27</c:f>
              <c:numCache>
                <c:formatCode>0.0%</c:formatCode>
                <c:ptCount val="4"/>
                <c:pt idx="0">
                  <c:v>0.40952380952380951</c:v>
                </c:pt>
                <c:pt idx="1">
                  <c:v>0.25714285714285712</c:v>
                </c:pt>
                <c:pt idx="2">
                  <c:v>0.15238095238095239</c:v>
                </c:pt>
                <c:pt idx="3">
                  <c:v>0.18095238095238095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406E4-83C4-4942-A94E-9CB61D96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77DD5131.dotm</Template>
  <TotalTime>420</TotalTime>
  <Pages>245</Pages>
  <Words>94348</Words>
  <Characters>524129</Characters>
  <Application>Microsoft Office Word</Application>
  <DocSecurity>0</DocSecurity>
  <Lines>4367</Lines>
  <Paragraphs>1234</Paragraphs>
  <ScaleCrop>false</ScaleCrop>
  <HeadingPairs>
    <vt:vector size="2" baseType="variant">
      <vt:variant>
        <vt:lpstr>Název</vt:lpstr>
      </vt:variant>
      <vt:variant>
        <vt:i4>1</vt:i4>
      </vt:variant>
    </vt:vector>
  </HeadingPairs>
  <TitlesOfParts>
    <vt:vector size="1" baseType="lpstr">
      <vt:lpstr>Předběžné posouzení finančních nástrojů</vt:lpstr>
    </vt:vector>
  </TitlesOfParts>
  <Company/>
  <LinksUpToDate>false</LinksUpToDate>
  <CharactersWithSpaces>617243</CharactersWithSpaces>
  <SharedDoc>false</SharedDoc>
  <HLinks>
    <vt:vector size="612" baseType="variant">
      <vt:variant>
        <vt:i4>3997736</vt:i4>
      </vt:variant>
      <vt:variant>
        <vt:i4>669</vt:i4>
      </vt:variant>
      <vt:variant>
        <vt:i4>0</vt:i4>
      </vt:variant>
      <vt:variant>
        <vt:i4>5</vt:i4>
      </vt:variant>
      <vt:variant>
        <vt:lpwstr>https://www.ctu.cz/ctu-online/pruzkum-nga.html</vt:lpwstr>
      </vt:variant>
      <vt:variant>
        <vt:lpwstr/>
      </vt:variant>
      <vt:variant>
        <vt:i4>1376310</vt:i4>
      </vt:variant>
      <vt:variant>
        <vt:i4>572</vt:i4>
      </vt:variant>
      <vt:variant>
        <vt:i4>0</vt:i4>
      </vt:variant>
      <vt:variant>
        <vt:i4>5</vt:i4>
      </vt:variant>
      <vt:variant>
        <vt:lpwstr/>
      </vt:variant>
      <vt:variant>
        <vt:lpwstr>_Toc419183313</vt:lpwstr>
      </vt:variant>
      <vt:variant>
        <vt:i4>1376310</vt:i4>
      </vt:variant>
      <vt:variant>
        <vt:i4>566</vt:i4>
      </vt:variant>
      <vt:variant>
        <vt:i4>0</vt:i4>
      </vt:variant>
      <vt:variant>
        <vt:i4>5</vt:i4>
      </vt:variant>
      <vt:variant>
        <vt:lpwstr/>
      </vt:variant>
      <vt:variant>
        <vt:lpwstr>_Toc419183312</vt:lpwstr>
      </vt:variant>
      <vt:variant>
        <vt:i4>1376310</vt:i4>
      </vt:variant>
      <vt:variant>
        <vt:i4>560</vt:i4>
      </vt:variant>
      <vt:variant>
        <vt:i4>0</vt:i4>
      </vt:variant>
      <vt:variant>
        <vt:i4>5</vt:i4>
      </vt:variant>
      <vt:variant>
        <vt:lpwstr/>
      </vt:variant>
      <vt:variant>
        <vt:lpwstr>_Toc419183311</vt:lpwstr>
      </vt:variant>
      <vt:variant>
        <vt:i4>1376310</vt:i4>
      </vt:variant>
      <vt:variant>
        <vt:i4>554</vt:i4>
      </vt:variant>
      <vt:variant>
        <vt:i4>0</vt:i4>
      </vt:variant>
      <vt:variant>
        <vt:i4>5</vt:i4>
      </vt:variant>
      <vt:variant>
        <vt:lpwstr/>
      </vt:variant>
      <vt:variant>
        <vt:lpwstr>_Toc419183310</vt:lpwstr>
      </vt:variant>
      <vt:variant>
        <vt:i4>1310774</vt:i4>
      </vt:variant>
      <vt:variant>
        <vt:i4>548</vt:i4>
      </vt:variant>
      <vt:variant>
        <vt:i4>0</vt:i4>
      </vt:variant>
      <vt:variant>
        <vt:i4>5</vt:i4>
      </vt:variant>
      <vt:variant>
        <vt:lpwstr/>
      </vt:variant>
      <vt:variant>
        <vt:lpwstr>_Toc419183309</vt:lpwstr>
      </vt:variant>
      <vt:variant>
        <vt:i4>1310774</vt:i4>
      </vt:variant>
      <vt:variant>
        <vt:i4>542</vt:i4>
      </vt:variant>
      <vt:variant>
        <vt:i4>0</vt:i4>
      </vt:variant>
      <vt:variant>
        <vt:i4>5</vt:i4>
      </vt:variant>
      <vt:variant>
        <vt:lpwstr/>
      </vt:variant>
      <vt:variant>
        <vt:lpwstr>_Toc419183308</vt:lpwstr>
      </vt:variant>
      <vt:variant>
        <vt:i4>1310774</vt:i4>
      </vt:variant>
      <vt:variant>
        <vt:i4>536</vt:i4>
      </vt:variant>
      <vt:variant>
        <vt:i4>0</vt:i4>
      </vt:variant>
      <vt:variant>
        <vt:i4>5</vt:i4>
      </vt:variant>
      <vt:variant>
        <vt:lpwstr/>
      </vt:variant>
      <vt:variant>
        <vt:lpwstr>_Toc419183307</vt:lpwstr>
      </vt:variant>
      <vt:variant>
        <vt:i4>1310774</vt:i4>
      </vt:variant>
      <vt:variant>
        <vt:i4>530</vt:i4>
      </vt:variant>
      <vt:variant>
        <vt:i4>0</vt:i4>
      </vt:variant>
      <vt:variant>
        <vt:i4>5</vt:i4>
      </vt:variant>
      <vt:variant>
        <vt:lpwstr/>
      </vt:variant>
      <vt:variant>
        <vt:lpwstr>_Toc419183306</vt:lpwstr>
      </vt:variant>
      <vt:variant>
        <vt:i4>1310774</vt:i4>
      </vt:variant>
      <vt:variant>
        <vt:i4>524</vt:i4>
      </vt:variant>
      <vt:variant>
        <vt:i4>0</vt:i4>
      </vt:variant>
      <vt:variant>
        <vt:i4>5</vt:i4>
      </vt:variant>
      <vt:variant>
        <vt:lpwstr/>
      </vt:variant>
      <vt:variant>
        <vt:lpwstr>_Toc419183305</vt:lpwstr>
      </vt:variant>
      <vt:variant>
        <vt:i4>1310774</vt:i4>
      </vt:variant>
      <vt:variant>
        <vt:i4>518</vt:i4>
      </vt:variant>
      <vt:variant>
        <vt:i4>0</vt:i4>
      </vt:variant>
      <vt:variant>
        <vt:i4>5</vt:i4>
      </vt:variant>
      <vt:variant>
        <vt:lpwstr/>
      </vt:variant>
      <vt:variant>
        <vt:lpwstr>_Toc419183304</vt:lpwstr>
      </vt:variant>
      <vt:variant>
        <vt:i4>1310774</vt:i4>
      </vt:variant>
      <vt:variant>
        <vt:i4>512</vt:i4>
      </vt:variant>
      <vt:variant>
        <vt:i4>0</vt:i4>
      </vt:variant>
      <vt:variant>
        <vt:i4>5</vt:i4>
      </vt:variant>
      <vt:variant>
        <vt:lpwstr/>
      </vt:variant>
      <vt:variant>
        <vt:lpwstr>_Toc419183303</vt:lpwstr>
      </vt:variant>
      <vt:variant>
        <vt:i4>1310774</vt:i4>
      </vt:variant>
      <vt:variant>
        <vt:i4>506</vt:i4>
      </vt:variant>
      <vt:variant>
        <vt:i4>0</vt:i4>
      </vt:variant>
      <vt:variant>
        <vt:i4>5</vt:i4>
      </vt:variant>
      <vt:variant>
        <vt:lpwstr/>
      </vt:variant>
      <vt:variant>
        <vt:lpwstr>_Toc419183302</vt:lpwstr>
      </vt:variant>
      <vt:variant>
        <vt:i4>1310774</vt:i4>
      </vt:variant>
      <vt:variant>
        <vt:i4>500</vt:i4>
      </vt:variant>
      <vt:variant>
        <vt:i4>0</vt:i4>
      </vt:variant>
      <vt:variant>
        <vt:i4>5</vt:i4>
      </vt:variant>
      <vt:variant>
        <vt:lpwstr/>
      </vt:variant>
      <vt:variant>
        <vt:lpwstr>_Toc419183301</vt:lpwstr>
      </vt:variant>
      <vt:variant>
        <vt:i4>1310774</vt:i4>
      </vt:variant>
      <vt:variant>
        <vt:i4>494</vt:i4>
      </vt:variant>
      <vt:variant>
        <vt:i4>0</vt:i4>
      </vt:variant>
      <vt:variant>
        <vt:i4>5</vt:i4>
      </vt:variant>
      <vt:variant>
        <vt:lpwstr/>
      </vt:variant>
      <vt:variant>
        <vt:lpwstr>_Toc419183300</vt:lpwstr>
      </vt:variant>
      <vt:variant>
        <vt:i4>1900599</vt:i4>
      </vt:variant>
      <vt:variant>
        <vt:i4>488</vt:i4>
      </vt:variant>
      <vt:variant>
        <vt:i4>0</vt:i4>
      </vt:variant>
      <vt:variant>
        <vt:i4>5</vt:i4>
      </vt:variant>
      <vt:variant>
        <vt:lpwstr/>
      </vt:variant>
      <vt:variant>
        <vt:lpwstr>_Toc419183299</vt:lpwstr>
      </vt:variant>
      <vt:variant>
        <vt:i4>1900599</vt:i4>
      </vt:variant>
      <vt:variant>
        <vt:i4>482</vt:i4>
      </vt:variant>
      <vt:variant>
        <vt:i4>0</vt:i4>
      </vt:variant>
      <vt:variant>
        <vt:i4>5</vt:i4>
      </vt:variant>
      <vt:variant>
        <vt:lpwstr/>
      </vt:variant>
      <vt:variant>
        <vt:lpwstr>_Toc419183298</vt:lpwstr>
      </vt:variant>
      <vt:variant>
        <vt:i4>1900599</vt:i4>
      </vt:variant>
      <vt:variant>
        <vt:i4>476</vt:i4>
      </vt:variant>
      <vt:variant>
        <vt:i4>0</vt:i4>
      </vt:variant>
      <vt:variant>
        <vt:i4>5</vt:i4>
      </vt:variant>
      <vt:variant>
        <vt:lpwstr/>
      </vt:variant>
      <vt:variant>
        <vt:lpwstr>_Toc419183297</vt:lpwstr>
      </vt:variant>
      <vt:variant>
        <vt:i4>1900599</vt:i4>
      </vt:variant>
      <vt:variant>
        <vt:i4>470</vt:i4>
      </vt:variant>
      <vt:variant>
        <vt:i4>0</vt:i4>
      </vt:variant>
      <vt:variant>
        <vt:i4>5</vt:i4>
      </vt:variant>
      <vt:variant>
        <vt:lpwstr/>
      </vt:variant>
      <vt:variant>
        <vt:lpwstr>_Toc419183296</vt:lpwstr>
      </vt:variant>
      <vt:variant>
        <vt:i4>1900599</vt:i4>
      </vt:variant>
      <vt:variant>
        <vt:i4>464</vt:i4>
      </vt:variant>
      <vt:variant>
        <vt:i4>0</vt:i4>
      </vt:variant>
      <vt:variant>
        <vt:i4>5</vt:i4>
      </vt:variant>
      <vt:variant>
        <vt:lpwstr/>
      </vt:variant>
      <vt:variant>
        <vt:lpwstr>_Toc419183295</vt:lpwstr>
      </vt:variant>
      <vt:variant>
        <vt:i4>1900599</vt:i4>
      </vt:variant>
      <vt:variant>
        <vt:i4>458</vt:i4>
      </vt:variant>
      <vt:variant>
        <vt:i4>0</vt:i4>
      </vt:variant>
      <vt:variant>
        <vt:i4>5</vt:i4>
      </vt:variant>
      <vt:variant>
        <vt:lpwstr/>
      </vt:variant>
      <vt:variant>
        <vt:lpwstr>_Toc419183294</vt:lpwstr>
      </vt:variant>
      <vt:variant>
        <vt:i4>1900599</vt:i4>
      </vt:variant>
      <vt:variant>
        <vt:i4>452</vt:i4>
      </vt:variant>
      <vt:variant>
        <vt:i4>0</vt:i4>
      </vt:variant>
      <vt:variant>
        <vt:i4>5</vt:i4>
      </vt:variant>
      <vt:variant>
        <vt:lpwstr/>
      </vt:variant>
      <vt:variant>
        <vt:lpwstr>_Toc419183293</vt:lpwstr>
      </vt:variant>
      <vt:variant>
        <vt:i4>1900599</vt:i4>
      </vt:variant>
      <vt:variant>
        <vt:i4>446</vt:i4>
      </vt:variant>
      <vt:variant>
        <vt:i4>0</vt:i4>
      </vt:variant>
      <vt:variant>
        <vt:i4>5</vt:i4>
      </vt:variant>
      <vt:variant>
        <vt:lpwstr/>
      </vt:variant>
      <vt:variant>
        <vt:lpwstr>_Toc419183292</vt:lpwstr>
      </vt:variant>
      <vt:variant>
        <vt:i4>1900599</vt:i4>
      </vt:variant>
      <vt:variant>
        <vt:i4>440</vt:i4>
      </vt:variant>
      <vt:variant>
        <vt:i4>0</vt:i4>
      </vt:variant>
      <vt:variant>
        <vt:i4>5</vt:i4>
      </vt:variant>
      <vt:variant>
        <vt:lpwstr/>
      </vt:variant>
      <vt:variant>
        <vt:lpwstr>_Toc419183291</vt:lpwstr>
      </vt:variant>
      <vt:variant>
        <vt:i4>1835063</vt:i4>
      </vt:variant>
      <vt:variant>
        <vt:i4>434</vt:i4>
      </vt:variant>
      <vt:variant>
        <vt:i4>0</vt:i4>
      </vt:variant>
      <vt:variant>
        <vt:i4>5</vt:i4>
      </vt:variant>
      <vt:variant>
        <vt:lpwstr/>
      </vt:variant>
      <vt:variant>
        <vt:lpwstr>_Toc419183289</vt:lpwstr>
      </vt:variant>
      <vt:variant>
        <vt:i4>1835063</vt:i4>
      </vt:variant>
      <vt:variant>
        <vt:i4>428</vt:i4>
      </vt:variant>
      <vt:variant>
        <vt:i4>0</vt:i4>
      </vt:variant>
      <vt:variant>
        <vt:i4>5</vt:i4>
      </vt:variant>
      <vt:variant>
        <vt:lpwstr/>
      </vt:variant>
      <vt:variant>
        <vt:lpwstr>_Toc419183287</vt:lpwstr>
      </vt:variant>
      <vt:variant>
        <vt:i4>1835063</vt:i4>
      </vt:variant>
      <vt:variant>
        <vt:i4>422</vt:i4>
      </vt:variant>
      <vt:variant>
        <vt:i4>0</vt:i4>
      </vt:variant>
      <vt:variant>
        <vt:i4>5</vt:i4>
      </vt:variant>
      <vt:variant>
        <vt:lpwstr/>
      </vt:variant>
      <vt:variant>
        <vt:lpwstr>_Toc419183286</vt:lpwstr>
      </vt:variant>
      <vt:variant>
        <vt:i4>1835063</vt:i4>
      </vt:variant>
      <vt:variant>
        <vt:i4>416</vt:i4>
      </vt:variant>
      <vt:variant>
        <vt:i4>0</vt:i4>
      </vt:variant>
      <vt:variant>
        <vt:i4>5</vt:i4>
      </vt:variant>
      <vt:variant>
        <vt:lpwstr/>
      </vt:variant>
      <vt:variant>
        <vt:lpwstr>_Toc419183285</vt:lpwstr>
      </vt:variant>
      <vt:variant>
        <vt:i4>1835063</vt:i4>
      </vt:variant>
      <vt:variant>
        <vt:i4>410</vt:i4>
      </vt:variant>
      <vt:variant>
        <vt:i4>0</vt:i4>
      </vt:variant>
      <vt:variant>
        <vt:i4>5</vt:i4>
      </vt:variant>
      <vt:variant>
        <vt:lpwstr/>
      </vt:variant>
      <vt:variant>
        <vt:lpwstr>_Toc419183284</vt:lpwstr>
      </vt:variant>
      <vt:variant>
        <vt:i4>1835063</vt:i4>
      </vt:variant>
      <vt:variant>
        <vt:i4>404</vt:i4>
      </vt:variant>
      <vt:variant>
        <vt:i4>0</vt:i4>
      </vt:variant>
      <vt:variant>
        <vt:i4>5</vt:i4>
      </vt:variant>
      <vt:variant>
        <vt:lpwstr/>
      </vt:variant>
      <vt:variant>
        <vt:lpwstr>_Toc419183283</vt:lpwstr>
      </vt:variant>
      <vt:variant>
        <vt:i4>1835063</vt:i4>
      </vt:variant>
      <vt:variant>
        <vt:i4>398</vt:i4>
      </vt:variant>
      <vt:variant>
        <vt:i4>0</vt:i4>
      </vt:variant>
      <vt:variant>
        <vt:i4>5</vt:i4>
      </vt:variant>
      <vt:variant>
        <vt:lpwstr/>
      </vt:variant>
      <vt:variant>
        <vt:lpwstr>_Toc419183282</vt:lpwstr>
      </vt:variant>
      <vt:variant>
        <vt:i4>1835063</vt:i4>
      </vt:variant>
      <vt:variant>
        <vt:i4>392</vt:i4>
      </vt:variant>
      <vt:variant>
        <vt:i4>0</vt:i4>
      </vt:variant>
      <vt:variant>
        <vt:i4>5</vt:i4>
      </vt:variant>
      <vt:variant>
        <vt:lpwstr/>
      </vt:variant>
      <vt:variant>
        <vt:lpwstr>_Toc419183281</vt:lpwstr>
      </vt:variant>
      <vt:variant>
        <vt:i4>1835063</vt:i4>
      </vt:variant>
      <vt:variant>
        <vt:i4>386</vt:i4>
      </vt:variant>
      <vt:variant>
        <vt:i4>0</vt:i4>
      </vt:variant>
      <vt:variant>
        <vt:i4>5</vt:i4>
      </vt:variant>
      <vt:variant>
        <vt:lpwstr/>
      </vt:variant>
      <vt:variant>
        <vt:lpwstr>_Toc419183280</vt:lpwstr>
      </vt:variant>
      <vt:variant>
        <vt:i4>1245239</vt:i4>
      </vt:variant>
      <vt:variant>
        <vt:i4>380</vt:i4>
      </vt:variant>
      <vt:variant>
        <vt:i4>0</vt:i4>
      </vt:variant>
      <vt:variant>
        <vt:i4>5</vt:i4>
      </vt:variant>
      <vt:variant>
        <vt:lpwstr/>
      </vt:variant>
      <vt:variant>
        <vt:lpwstr>_Toc419183279</vt:lpwstr>
      </vt:variant>
      <vt:variant>
        <vt:i4>1245239</vt:i4>
      </vt:variant>
      <vt:variant>
        <vt:i4>374</vt:i4>
      </vt:variant>
      <vt:variant>
        <vt:i4>0</vt:i4>
      </vt:variant>
      <vt:variant>
        <vt:i4>5</vt:i4>
      </vt:variant>
      <vt:variant>
        <vt:lpwstr/>
      </vt:variant>
      <vt:variant>
        <vt:lpwstr>_Toc419183278</vt:lpwstr>
      </vt:variant>
      <vt:variant>
        <vt:i4>1245239</vt:i4>
      </vt:variant>
      <vt:variant>
        <vt:i4>368</vt:i4>
      </vt:variant>
      <vt:variant>
        <vt:i4>0</vt:i4>
      </vt:variant>
      <vt:variant>
        <vt:i4>5</vt:i4>
      </vt:variant>
      <vt:variant>
        <vt:lpwstr/>
      </vt:variant>
      <vt:variant>
        <vt:lpwstr>_Toc419183277</vt:lpwstr>
      </vt:variant>
      <vt:variant>
        <vt:i4>1245239</vt:i4>
      </vt:variant>
      <vt:variant>
        <vt:i4>362</vt:i4>
      </vt:variant>
      <vt:variant>
        <vt:i4>0</vt:i4>
      </vt:variant>
      <vt:variant>
        <vt:i4>5</vt:i4>
      </vt:variant>
      <vt:variant>
        <vt:lpwstr/>
      </vt:variant>
      <vt:variant>
        <vt:lpwstr>_Toc419183276</vt:lpwstr>
      </vt:variant>
      <vt:variant>
        <vt:i4>1245239</vt:i4>
      </vt:variant>
      <vt:variant>
        <vt:i4>356</vt:i4>
      </vt:variant>
      <vt:variant>
        <vt:i4>0</vt:i4>
      </vt:variant>
      <vt:variant>
        <vt:i4>5</vt:i4>
      </vt:variant>
      <vt:variant>
        <vt:lpwstr/>
      </vt:variant>
      <vt:variant>
        <vt:lpwstr>_Toc419183275</vt:lpwstr>
      </vt:variant>
      <vt:variant>
        <vt:i4>1245239</vt:i4>
      </vt:variant>
      <vt:variant>
        <vt:i4>350</vt:i4>
      </vt:variant>
      <vt:variant>
        <vt:i4>0</vt:i4>
      </vt:variant>
      <vt:variant>
        <vt:i4>5</vt:i4>
      </vt:variant>
      <vt:variant>
        <vt:lpwstr/>
      </vt:variant>
      <vt:variant>
        <vt:lpwstr>_Toc419183274</vt:lpwstr>
      </vt:variant>
      <vt:variant>
        <vt:i4>1245239</vt:i4>
      </vt:variant>
      <vt:variant>
        <vt:i4>344</vt:i4>
      </vt:variant>
      <vt:variant>
        <vt:i4>0</vt:i4>
      </vt:variant>
      <vt:variant>
        <vt:i4>5</vt:i4>
      </vt:variant>
      <vt:variant>
        <vt:lpwstr/>
      </vt:variant>
      <vt:variant>
        <vt:lpwstr>_Toc419183273</vt:lpwstr>
      </vt:variant>
      <vt:variant>
        <vt:i4>1245239</vt:i4>
      </vt:variant>
      <vt:variant>
        <vt:i4>338</vt:i4>
      </vt:variant>
      <vt:variant>
        <vt:i4>0</vt:i4>
      </vt:variant>
      <vt:variant>
        <vt:i4>5</vt:i4>
      </vt:variant>
      <vt:variant>
        <vt:lpwstr/>
      </vt:variant>
      <vt:variant>
        <vt:lpwstr>_Toc419183272</vt:lpwstr>
      </vt:variant>
      <vt:variant>
        <vt:i4>1245239</vt:i4>
      </vt:variant>
      <vt:variant>
        <vt:i4>332</vt:i4>
      </vt:variant>
      <vt:variant>
        <vt:i4>0</vt:i4>
      </vt:variant>
      <vt:variant>
        <vt:i4>5</vt:i4>
      </vt:variant>
      <vt:variant>
        <vt:lpwstr/>
      </vt:variant>
      <vt:variant>
        <vt:lpwstr>_Toc419183271</vt:lpwstr>
      </vt:variant>
      <vt:variant>
        <vt:i4>1245239</vt:i4>
      </vt:variant>
      <vt:variant>
        <vt:i4>326</vt:i4>
      </vt:variant>
      <vt:variant>
        <vt:i4>0</vt:i4>
      </vt:variant>
      <vt:variant>
        <vt:i4>5</vt:i4>
      </vt:variant>
      <vt:variant>
        <vt:lpwstr/>
      </vt:variant>
      <vt:variant>
        <vt:lpwstr>_Toc419183270</vt:lpwstr>
      </vt:variant>
      <vt:variant>
        <vt:i4>1179703</vt:i4>
      </vt:variant>
      <vt:variant>
        <vt:i4>320</vt:i4>
      </vt:variant>
      <vt:variant>
        <vt:i4>0</vt:i4>
      </vt:variant>
      <vt:variant>
        <vt:i4>5</vt:i4>
      </vt:variant>
      <vt:variant>
        <vt:lpwstr/>
      </vt:variant>
      <vt:variant>
        <vt:lpwstr>_Toc419183269</vt:lpwstr>
      </vt:variant>
      <vt:variant>
        <vt:i4>1179703</vt:i4>
      </vt:variant>
      <vt:variant>
        <vt:i4>314</vt:i4>
      </vt:variant>
      <vt:variant>
        <vt:i4>0</vt:i4>
      </vt:variant>
      <vt:variant>
        <vt:i4>5</vt:i4>
      </vt:variant>
      <vt:variant>
        <vt:lpwstr/>
      </vt:variant>
      <vt:variant>
        <vt:lpwstr>_Toc419183268</vt:lpwstr>
      </vt:variant>
      <vt:variant>
        <vt:i4>1179703</vt:i4>
      </vt:variant>
      <vt:variant>
        <vt:i4>308</vt:i4>
      </vt:variant>
      <vt:variant>
        <vt:i4>0</vt:i4>
      </vt:variant>
      <vt:variant>
        <vt:i4>5</vt:i4>
      </vt:variant>
      <vt:variant>
        <vt:lpwstr/>
      </vt:variant>
      <vt:variant>
        <vt:lpwstr>_Toc419183267</vt:lpwstr>
      </vt:variant>
      <vt:variant>
        <vt:i4>1179703</vt:i4>
      </vt:variant>
      <vt:variant>
        <vt:i4>302</vt:i4>
      </vt:variant>
      <vt:variant>
        <vt:i4>0</vt:i4>
      </vt:variant>
      <vt:variant>
        <vt:i4>5</vt:i4>
      </vt:variant>
      <vt:variant>
        <vt:lpwstr/>
      </vt:variant>
      <vt:variant>
        <vt:lpwstr>_Toc419183266</vt:lpwstr>
      </vt:variant>
      <vt:variant>
        <vt:i4>1179703</vt:i4>
      </vt:variant>
      <vt:variant>
        <vt:i4>296</vt:i4>
      </vt:variant>
      <vt:variant>
        <vt:i4>0</vt:i4>
      </vt:variant>
      <vt:variant>
        <vt:i4>5</vt:i4>
      </vt:variant>
      <vt:variant>
        <vt:lpwstr/>
      </vt:variant>
      <vt:variant>
        <vt:lpwstr>_Toc419183265</vt:lpwstr>
      </vt:variant>
      <vt:variant>
        <vt:i4>1179703</vt:i4>
      </vt:variant>
      <vt:variant>
        <vt:i4>290</vt:i4>
      </vt:variant>
      <vt:variant>
        <vt:i4>0</vt:i4>
      </vt:variant>
      <vt:variant>
        <vt:i4>5</vt:i4>
      </vt:variant>
      <vt:variant>
        <vt:lpwstr/>
      </vt:variant>
      <vt:variant>
        <vt:lpwstr>_Toc419183264</vt:lpwstr>
      </vt:variant>
      <vt:variant>
        <vt:i4>1179703</vt:i4>
      </vt:variant>
      <vt:variant>
        <vt:i4>284</vt:i4>
      </vt:variant>
      <vt:variant>
        <vt:i4>0</vt:i4>
      </vt:variant>
      <vt:variant>
        <vt:i4>5</vt:i4>
      </vt:variant>
      <vt:variant>
        <vt:lpwstr/>
      </vt:variant>
      <vt:variant>
        <vt:lpwstr>_Toc419183263</vt:lpwstr>
      </vt:variant>
      <vt:variant>
        <vt:i4>1179703</vt:i4>
      </vt:variant>
      <vt:variant>
        <vt:i4>278</vt:i4>
      </vt:variant>
      <vt:variant>
        <vt:i4>0</vt:i4>
      </vt:variant>
      <vt:variant>
        <vt:i4>5</vt:i4>
      </vt:variant>
      <vt:variant>
        <vt:lpwstr/>
      </vt:variant>
      <vt:variant>
        <vt:lpwstr>_Toc419183262</vt:lpwstr>
      </vt:variant>
      <vt:variant>
        <vt:i4>1179703</vt:i4>
      </vt:variant>
      <vt:variant>
        <vt:i4>272</vt:i4>
      </vt:variant>
      <vt:variant>
        <vt:i4>0</vt:i4>
      </vt:variant>
      <vt:variant>
        <vt:i4>5</vt:i4>
      </vt:variant>
      <vt:variant>
        <vt:lpwstr/>
      </vt:variant>
      <vt:variant>
        <vt:lpwstr>_Toc419183261</vt:lpwstr>
      </vt:variant>
      <vt:variant>
        <vt:i4>1179703</vt:i4>
      </vt:variant>
      <vt:variant>
        <vt:i4>266</vt:i4>
      </vt:variant>
      <vt:variant>
        <vt:i4>0</vt:i4>
      </vt:variant>
      <vt:variant>
        <vt:i4>5</vt:i4>
      </vt:variant>
      <vt:variant>
        <vt:lpwstr/>
      </vt:variant>
      <vt:variant>
        <vt:lpwstr>_Toc419183260</vt:lpwstr>
      </vt:variant>
      <vt:variant>
        <vt:i4>1114167</vt:i4>
      </vt:variant>
      <vt:variant>
        <vt:i4>260</vt:i4>
      </vt:variant>
      <vt:variant>
        <vt:i4>0</vt:i4>
      </vt:variant>
      <vt:variant>
        <vt:i4>5</vt:i4>
      </vt:variant>
      <vt:variant>
        <vt:lpwstr/>
      </vt:variant>
      <vt:variant>
        <vt:lpwstr>_Toc419183259</vt:lpwstr>
      </vt:variant>
      <vt:variant>
        <vt:i4>1114167</vt:i4>
      </vt:variant>
      <vt:variant>
        <vt:i4>254</vt:i4>
      </vt:variant>
      <vt:variant>
        <vt:i4>0</vt:i4>
      </vt:variant>
      <vt:variant>
        <vt:i4>5</vt:i4>
      </vt:variant>
      <vt:variant>
        <vt:lpwstr/>
      </vt:variant>
      <vt:variant>
        <vt:lpwstr>_Toc419183258</vt:lpwstr>
      </vt:variant>
      <vt:variant>
        <vt:i4>1114167</vt:i4>
      </vt:variant>
      <vt:variant>
        <vt:i4>248</vt:i4>
      </vt:variant>
      <vt:variant>
        <vt:i4>0</vt:i4>
      </vt:variant>
      <vt:variant>
        <vt:i4>5</vt:i4>
      </vt:variant>
      <vt:variant>
        <vt:lpwstr/>
      </vt:variant>
      <vt:variant>
        <vt:lpwstr>_Toc419183257</vt:lpwstr>
      </vt:variant>
      <vt:variant>
        <vt:i4>1114167</vt:i4>
      </vt:variant>
      <vt:variant>
        <vt:i4>242</vt:i4>
      </vt:variant>
      <vt:variant>
        <vt:i4>0</vt:i4>
      </vt:variant>
      <vt:variant>
        <vt:i4>5</vt:i4>
      </vt:variant>
      <vt:variant>
        <vt:lpwstr/>
      </vt:variant>
      <vt:variant>
        <vt:lpwstr>_Toc419183256</vt:lpwstr>
      </vt:variant>
      <vt:variant>
        <vt:i4>1114167</vt:i4>
      </vt:variant>
      <vt:variant>
        <vt:i4>236</vt:i4>
      </vt:variant>
      <vt:variant>
        <vt:i4>0</vt:i4>
      </vt:variant>
      <vt:variant>
        <vt:i4>5</vt:i4>
      </vt:variant>
      <vt:variant>
        <vt:lpwstr/>
      </vt:variant>
      <vt:variant>
        <vt:lpwstr>_Toc419183255</vt:lpwstr>
      </vt:variant>
      <vt:variant>
        <vt:i4>1114167</vt:i4>
      </vt:variant>
      <vt:variant>
        <vt:i4>230</vt:i4>
      </vt:variant>
      <vt:variant>
        <vt:i4>0</vt:i4>
      </vt:variant>
      <vt:variant>
        <vt:i4>5</vt:i4>
      </vt:variant>
      <vt:variant>
        <vt:lpwstr/>
      </vt:variant>
      <vt:variant>
        <vt:lpwstr>_Toc419183254</vt:lpwstr>
      </vt:variant>
      <vt:variant>
        <vt:i4>1114167</vt:i4>
      </vt:variant>
      <vt:variant>
        <vt:i4>224</vt:i4>
      </vt:variant>
      <vt:variant>
        <vt:i4>0</vt:i4>
      </vt:variant>
      <vt:variant>
        <vt:i4>5</vt:i4>
      </vt:variant>
      <vt:variant>
        <vt:lpwstr/>
      </vt:variant>
      <vt:variant>
        <vt:lpwstr>_Toc419183253</vt:lpwstr>
      </vt:variant>
      <vt:variant>
        <vt:i4>1114167</vt:i4>
      </vt:variant>
      <vt:variant>
        <vt:i4>218</vt:i4>
      </vt:variant>
      <vt:variant>
        <vt:i4>0</vt:i4>
      </vt:variant>
      <vt:variant>
        <vt:i4>5</vt:i4>
      </vt:variant>
      <vt:variant>
        <vt:lpwstr/>
      </vt:variant>
      <vt:variant>
        <vt:lpwstr>_Toc419183252</vt:lpwstr>
      </vt:variant>
      <vt:variant>
        <vt:i4>1114167</vt:i4>
      </vt:variant>
      <vt:variant>
        <vt:i4>212</vt:i4>
      </vt:variant>
      <vt:variant>
        <vt:i4>0</vt:i4>
      </vt:variant>
      <vt:variant>
        <vt:i4>5</vt:i4>
      </vt:variant>
      <vt:variant>
        <vt:lpwstr/>
      </vt:variant>
      <vt:variant>
        <vt:lpwstr>_Toc419183251</vt:lpwstr>
      </vt:variant>
      <vt:variant>
        <vt:i4>1114167</vt:i4>
      </vt:variant>
      <vt:variant>
        <vt:i4>206</vt:i4>
      </vt:variant>
      <vt:variant>
        <vt:i4>0</vt:i4>
      </vt:variant>
      <vt:variant>
        <vt:i4>5</vt:i4>
      </vt:variant>
      <vt:variant>
        <vt:lpwstr/>
      </vt:variant>
      <vt:variant>
        <vt:lpwstr>_Toc419183250</vt:lpwstr>
      </vt:variant>
      <vt:variant>
        <vt:i4>1048631</vt:i4>
      </vt:variant>
      <vt:variant>
        <vt:i4>200</vt:i4>
      </vt:variant>
      <vt:variant>
        <vt:i4>0</vt:i4>
      </vt:variant>
      <vt:variant>
        <vt:i4>5</vt:i4>
      </vt:variant>
      <vt:variant>
        <vt:lpwstr/>
      </vt:variant>
      <vt:variant>
        <vt:lpwstr>_Toc419183249</vt:lpwstr>
      </vt:variant>
      <vt:variant>
        <vt:i4>1048631</vt:i4>
      </vt:variant>
      <vt:variant>
        <vt:i4>194</vt:i4>
      </vt:variant>
      <vt:variant>
        <vt:i4>0</vt:i4>
      </vt:variant>
      <vt:variant>
        <vt:i4>5</vt:i4>
      </vt:variant>
      <vt:variant>
        <vt:lpwstr/>
      </vt:variant>
      <vt:variant>
        <vt:lpwstr>_Toc419183248</vt:lpwstr>
      </vt:variant>
      <vt:variant>
        <vt:i4>1048631</vt:i4>
      </vt:variant>
      <vt:variant>
        <vt:i4>188</vt:i4>
      </vt:variant>
      <vt:variant>
        <vt:i4>0</vt:i4>
      </vt:variant>
      <vt:variant>
        <vt:i4>5</vt:i4>
      </vt:variant>
      <vt:variant>
        <vt:lpwstr/>
      </vt:variant>
      <vt:variant>
        <vt:lpwstr>_Toc419183247</vt:lpwstr>
      </vt:variant>
      <vt:variant>
        <vt:i4>1048631</vt:i4>
      </vt:variant>
      <vt:variant>
        <vt:i4>182</vt:i4>
      </vt:variant>
      <vt:variant>
        <vt:i4>0</vt:i4>
      </vt:variant>
      <vt:variant>
        <vt:i4>5</vt:i4>
      </vt:variant>
      <vt:variant>
        <vt:lpwstr/>
      </vt:variant>
      <vt:variant>
        <vt:lpwstr>_Toc419183246</vt:lpwstr>
      </vt:variant>
      <vt:variant>
        <vt:i4>1048631</vt:i4>
      </vt:variant>
      <vt:variant>
        <vt:i4>176</vt:i4>
      </vt:variant>
      <vt:variant>
        <vt:i4>0</vt:i4>
      </vt:variant>
      <vt:variant>
        <vt:i4>5</vt:i4>
      </vt:variant>
      <vt:variant>
        <vt:lpwstr/>
      </vt:variant>
      <vt:variant>
        <vt:lpwstr>_Toc419183245</vt:lpwstr>
      </vt:variant>
      <vt:variant>
        <vt:i4>1048631</vt:i4>
      </vt:variant>
      <vt:variant>
        <vt:i4>170</vt:i4>
      </vt:variant>
      <vt:variant>
        <vt:i4>0</vt:i4>
      </vt:variant>
      <vt:variant>
        <vt:i4>5</vt:i4>
      </vt:variant>
      <vt:variant>
        <vt:lpwstr/>
      </vt:variant>
      <vt:variant>
        <vt:lpwstr>_Toc419183244</vt:lpwstr>
      </vt:variant>
      <vt:variant>
        <vt:i4>1048631</vt:i4>
      </vt:variant>
      <vt:variant>
        <vt:i4>164</vt:i4>
      </vt:variant>
      <vt:variant>
        <vt:i4>0</vt:i4>
      </vt:variant>
      <vt:variant>
        <vt:i4>5</vt:i4>
      </vt:variant>
      <vt:variant>
        <vt:lpwstr/>
      </vt:variant>
      <vt:variant>
        <vt:lpwstr>_Toc419183243</vt:lpwstr>
      </vt:variant>
      <vt:variant>
        <vt:i4>1048631</vt:i4>
      </vt:variant>
      <vt:variant>
        <vt:i4>158</vt:i4>
      </vt:variant>
      <vt:variant>
        <vt:i4>0</vt:i4>
      </vt:variant>
      <vt:variant>
        <vt:i4>5</vt:i4>
      </vt:variant>
      <vt:variant>
        <vt:lpwstr/>
      </vt:variant>
      <vt:variant>
        <vt:lpwstr>_Toc419183242</vt:lpwstr>
      </vt:variant>
      <vt:variant>
        <vt:i4>1048631</vt:i4>
      </vt:variant>
      <vt:variant>
        <vt:i4>152</vt:i4>
      </vt:variant>
      <vt:variant>
        <vt:i4>0</vt:i4>
      </vt:variant>
      <vt:variant>
        <vt:i4>5</vt:i4>
      </vt:variant>
      <vt:variant>
        <vt:lpwstr/>
      </vt:variant>
      <vt:variant>
        <vt:lpwstr>_Toc419183241</vt:lpwstr>
      </vt:variant>
      <vt:variant>
        <vt:i4>1048631</vt:i4>
      </vt:variant>
      <vt:variant>
        <vt:i4>146</vt:i4>
      </vt:variant>
      <vt:variant>
        <vt:i4>0</vt:i4>
      </vt:variant>
      <vt:variant>
        <vt:i4>5</vt:i4>
      </vt:variant>
      <vt:variant>
        <vt:lpwstr/>
      </vt:variant>
      <vt:variant>
        <vt:lpwstr>_Toc419183240</vt:lpwstr>
      </vt:variant>
      <vt:variant>
        <vt:i4>1507383</vt:i4>
      </vt:variant>
      <vt:variant>
        <vt:i4>140</vt:i4>
      </vt:variant>
      <vt:variant>
        <vt:i4>0</vt:i4>
      </vt:variant>
      <vt:variant>
        <vt:i4>5</vt:i4>
      </vt:variant>
      <vt:variant>
        <vt:lpwstr/>
      </vt:variant>
      <vt:variant>
        <vt:lpwstr>_Toc419183239</vt:lpwstr>
      </vt:variant>
      <vt:variant>
        <vt:i4>1507383</vt:i4>
      </vt:variant>
      <vt:variant>
        <vt:i4>134</vt:i4>
      </vt:variant>
      <vt:variant>
        <vt:i4>0</vt:i4>
      </vt:variant>
      <vt:variant>
        <vt:i4>5</vt:i4>
      </vt:variant>
      <vt:variant>
        <vt:lpwstr/>
      </vt:variant>
      <vt:variant>
        <vt:lpwstr>_Toc419183238</vt:lpwstr>
      </vt:variant>
      <vt:variant>
        <vt:i4>1507383</vt:i4>
      </vt:variant>
      <vt:variant>
        <vt:i4>128</vt:i4>
      </vt:variant>
      <vt:variant>
        <vt:i4>0</vt:i4>
      </vt:variant>
      <vt:variant>
        <vt:i4>5</vt:i4>
      </vt:variant>
      <vt:variant>
        <vt:lpwstr/>
      </vt:variant>
      <vt:variant>
        <vt:lpwstr>_Toc419183237</vt:lpwstr>
      </vt:variant>
      <vt:variant>
        <vt:i4>1507383</vt:i4>
      </vt:variant>
      <vt:variant>
        <vt:i4>122</vt:i4>
      </vt:variant>
      <vt:variant>
        <vt:i4>0</vt:i4>
      </vt:variant>
      <vt:variant>
        <vt:i4>5</vt:i4>
      </vt:variant>
      <vt:variant>
        <vt:lpwstr/>
      </vt:variant>
      <vt:variant>
        <vt:lpwstr>_Toc419183236</vt:lpwstr>
      </vt:variant>
      <vt:variant>
        <vt:i4>1507383</vt:i4>
      </vt:variant>
      <vt:variant>
        <vt:i4>116</vt:i4>
      </vt:variant>
      <vt:variant>
        <vt:i4>0</vt:i4>
      </vt:variant>
      <vt:variant>
        <vt:i4>5</vt:i4>
      </vt:variant>
      <vt:variant>
        <vt:lpwstr/>
      </vt:variant>
      <vt:variant>
        <vt:lpwstr>_Toc419183235</vt:lpwstr>
      </vt:variant>
      <vt:variant>
        <vt:i4>1507383</vt:i4>
      </vt:variant>
      <vt:variant>
        <vt:i4>110</vt:i4>
      </vt:variant>
      <vt:variant>
        <vt:i4>0</vt:i4>
      </vt:variant>
      <vt:variant>
        <vt:i4>5</vt:i4>
      </vt:variant>
      <vt:variant>
        <vt:lpwstr/>
      </vt:variant>
      <vt:variant>
        <vt:lpwstr>_Toc419183234</vt:lpwstr>
      </vt:variant>
      <vt:variant>
        <vt:i4>1507383</vt:i4>
      </vt:variant>
      <vt:variant>
        <vt:i4>104</vt:i4>
      </vt:variant>
      <vt:variant>
        <vt:i4>0</vt:i4>
      </vt:variant>
      <vt:variant>
        <vt:i4>5</vt:i4>
      </vt:variant>
      <vt:variant>
        <vt:lpwstr/>
      </vt:variant>
      <vt:variant>
        <vt:lpwstr>_Toc419183233</vt:lpwstr>
      </vt:variant>
      <vt:variant>
        <vt:i4>1507383</vt:i4>
      </vt:variant>
      <vt:variant>
        <vt:i4>98</vt:i4>
      </vt:variant>
      <vt:variant>
        <vt:i4>0</vt:i4>
      </vt:variant>
      <vt:variant>
        <vt:i4>5</vt:i4>
      </vt:variant>
      <vt:variant>
        <vt:lpwstr/>
      </vt:variant>
      <vt:variant>
        <vt:lpwstr>_Toc419183232</vt:lpwstr>
      </vt:variant>
      <vt:variant>
        <vt:i4>1507383</vt:i4>
      </vt:variant>
      <vt:variant>
        <vt:i4>92</vt:i4>
      </vt:variant>
      <vt:variant>
        <vt:i4>0</vt:i4>
      </vt:variant>
      <vt:variant>
        <vt:i4>5</vt:i4>
      </vt:variant>
      <vt:variant>
        <vt:lpwstr/>
      </vt:variant>
      <vt:variant>
        <vt:lpwstr>_Toc419183231</vt:lpwstr>
      </vt:variant>
      <vt:variant>
        <vt:i4>1507383</vt:i4>
      </vt:variant>
      <vt:variant>
        <vt:i4>86</vt:i4>
      </vt:variant>
      <vt:variant>
        <vt:i4>0</vt:i4>
      </vt:variant>
      <vt:variant>
        <vt:i4>5</vt:i4>
      </vt:variant>
      <vt:variant>
        <vt:lpwstr/>
      </vt:variant>
      <vt:variant>
        <vt:lpwstr>_Toc419183230</vt:lpwstr>
      </vt:variant>
      <vt:variant>
        <vt:i4>1441847</vt:i4>
      </vt:variant>
      <vt:variant>
        <vt:i4>80</vt:i4>
      </vt:variant>
      <vt:variant>
        <vt:i4>0</vt:i4>
      </vt:variant>
      <vt:variant>
        <vt:i4>5</vt:i4>
      </vt:variant>
      <vt:variant>
        <vt:lpwstr/>
      </vt:variant>
      <vt:variant>
        <vt:lpwstr>_Toc419183229</vt:lpwstr>
      </vt:variant>
      <vt:variant>
        <vt:i4>1441847</vt:i4>
      </vt:variant>
      <vt:variant>
        <vt:i4>74</vt:i4>
      </vt:variant>
      <vt:variant>
        <vt:i4>0</vt:i4>
      </vt:variant>
      <vt:variant>
        <vt:i4>5</vt:i4>
      </vt:variant>
      <vt:variant>
        <vt:lpwstr/>
      </vt:variant>
      <vt:variant>
        <vt:lpwstr>_Toc419183228</vt:lpwstr>
      </vt:variant>
      <vt:variant>
        <vt:i4>1441847</vt:i4>
      </vt:variant>
      <vt:variant>
        <vt:i4>68</vt:i4>
      </vt:variant>
      <vt:variant>
        <vt:i4>0</vt:i4>
      </vt:variant>
      <vt:variant>
        <vt:i4>5</vt:i4>
      </vt:variant>
      <vt:variant>
        <vt:lpwstr/>
      </vt:variant>
      <vt:variant>
        <vt:lpwstr>_Toc419183227</vt:lpwstr>
      </vt:variant>
      <vt:variant>
        <vt:i4>1441847</vt:i4>
      </vt:variant>
      <vt:variant>
        <vt:i4>62</vt:i4>
      </vt:variant>
      <vt:variant>
        <vt:i4>0</vt:i4>
      </vt:variant>
      <vt:variant>
        <vt:i4>5</vt:i4>
      </vt:variant>
      <vt:variant>
        <vt:lpwstr/>
      </vt:variant>
      <vt:variant>
        <vt:lpwstr>_Toc419183226</vt:lpwstr>
      </vt:variant>
      <vt:variant>
        <vt:i4>1441847</vt:i4>
      </vt:variant>
      <vt:variant>
        <vt:i4>56</vt:i4>
      </vt:variant>
      <vt:variant>
        <vt:i4>0</vt:i4>
      </vt:variant>
      <vt:variant>
        <vt:i4>5</vt:i4>
      </vt:variant>
      <vt:variant>
        <vt:lpwstr/>
      </vt:variant>
      <vt:variant>
        <vt:lpwstr>_Toc419183225</vt:lpwstr>
      </vt:variant>
      <vt:variant>
        <vt:i4>1441847</vt:i4>
      </vt:variant>
      <vt:variant>
        <vt:i4>50</vt:i4>
      </vt:variant>
      <vt:variant>
        <vt:i4>0</vt:i4>
      </vt:variant>
      <vt:variant>
        <vt:i4>5</vt:i4>
      </vt:variant>
      <vt:variant>
        <vt:lpwstr/>
      </vt:variant>
      <vt:variant>
        <vt:lpwstr>_Toc419183224</vt:lpwstr>
      </vt:variant>
      <vt:variant>
        <vt:i4>1441847</vt:i4>
      </vt:variant>
      <vt:variant>
        <vt:i4>44</vt:i4>
      </vt:variant>
      <vt:variant>
        <vt:i4>0</vt:i4>
      </vt:variant>
      <vt:variant>
        <vt:i4>5</vt:i4>
      </vt:variant>
      <vt:variant>
        <vt:lpwstr/>
      </vt:variant>
      <vt:variant>
        <vt:lpwstr>_Toc419183223</vt:lpwstr>
      </vt:variant>
      <vt:variant>
        <vt:i4>1441847</vt:i4>
      </vt:variant>
      <vt:variant>
        <vt:i4>38</vt:i4>
      </vt:variant>
      <vt:variant>
        <vt:i4>0</vt:i4>
      </vt:variant>
      <vt:variant>
        <vt:i4>5</vt:i4>
      </vt:variant>
      <vt:variant>
        <vt:lpwstr/>
      </vt:variant>
      <vt:variant>
        <vt:lpwstr>_Toc419183222</vt:lpwstr>
      </vt:variant>
      <vt:variant>
        <vt:i4>1441847</vt:i4>
      </vt:variant>
      <vt:variant>
        <vt:i4>32</vt:i4>
      </vt:variant>
      <vt:variant>
        <vt:i4>0</vt:i4>
      </vt:variant>
      <vt:variant>
        <vt:i4>5</vt:i4>
      </vt:variant>
      <vt:variant>
        <vt:lpwstr/>
      </vt:variant>
      <vt:variant>
        <vt:lpwstr>_Toc419183221</vt:lpwstr>
      </vt:variant>
      <vt:variant>
        <vt:i4>1441847</vt:i4>
      </vt:variant>
      <vt:variant>
        <vt:i4>26</vt:i4>
      </vt:variant>
      <vt:variant>
        <vt:i4>0</vt:i4>
      </vt:variant>
      <vt:variant>
        <vt:i4>5</vt:i4>
      </vt:variant>
      <vt:variant>
        <vt:lpwstr/>
      </vt:variant>
      <vt:variant>
        <vt:lpwstr>_Toc419183220</vt:lpwstr>
      </vt:variant>
      <vt:variant>
        <vt:i4>1376311</vt:i4>
      </vt:variant>
      <vt:variant>
        <vt:i4>20</vt:i4>
      </vt:variant>
      <vt:variant>
        <vt:i4>0</vt:i4>
      </vt:variant>
      <vt:variant>
        <vt:i4>5</vt:i4>
      </vt:variant>
      <vt:variant>
        <vt:lpwstr/>
      </vt:variant>
      <vt:variant>
        <vt:lpwstr>_Toc419183219</vt:lpwstr>
      </vt:variant>
      <vt:variant>
        <vt:i4>1376311</vt:i4>
      </vt:variant>
      <vt:variant>
        <vt:i4>14</vt:i4>
      </vt:variant>
      <vt:variant>
        <vt:i4>0</vt:i4>
      </vt:variant>
      <vt:variant>
        <vt:i4>5</vt:i4>
      </vt:variant>
      <vt:variant>
        <vt:lpwstr/>
      </vt:variant>
      <vt:variant>
        <vt:lpwstr>_Toc419183218</vt:lpwstr>
      </vt:variant>
      <vt:variant>
        <vt:i4>1376311</vt:i4>
      </vt:variant>
      <vt:variant>
        <vt:i4>8</vt:i4>
      </vt:variant>
      <vt:variant>
        <vt:i4>0</vt:i4>
      </vt:variant>
      <vt:variant>
        <vt:i4>5</vt:i4>
      </vt:variant>
      <vt:variant>
        <vt:lpwstr/>
      </vt:variant>
      <vt:variant>
        <vt:lpwstr>_Toc419183217</vt:lpwstr>
      </vt:variant>
      <vt:variant>
        <vt:i4>1376311</vt:i4>
      </vt:variant>
      <vt:variant>
        <vt:i4>2</vt:i4>
      </vt:variant>
      <vt:variant>
        <vt:i4>0</vt:i4>
      </vt:variant>
      <vt:variant>
        <vt:i4>5</vt:i4>
      </vt:variant>
      <vt:variant>
        <vt:lpwstr/>
      </vt:variant>
      <vt:variant>
        <vt:lpwstr>_Toc419183216</vt:lpwstr>
      </vt:variant>
      <vt:variant>
        <vt:i4>2293811</vt:i4>
      </vt:variant>
      <vt:variant>
        <vt:i4>12</vt:i4>
      </vt:variant>
      <vt:variant>
        <vt:i4>0</vt:i4>
      </vt:variant>
      <vt:variant>
        <vt:i4>5</vt:i4>
      </vt:variant>
      <vt:variant>
        <vt:lpwstr>https://is.muni.cz/th/172093/esf_m/diplomova_prace.pdf</vt:lpwstr>
      </vt:variant>
      <vt:variant>
        <vt:lpwstr/>
      </vt:variant>
      <vt:variant>
        <vt:i4>3735642</vt:i4>
      </vt:variant>
      <vt:variant>
        <vt:i4>9</vt:i4>
      </vt:variant>
      <vt:variant>
        <vt:i4>0</vt:i4>
      </vt:variant>
      <vt:variant>
        <vt:i4>5</vt:i4>
      </vt:variant>
      <vt:variant>
        <vt:lpwstr>http://is.muni.cz/th/323053/esf_m/Diplomova_prace-Monika_Vyskovska.pdf</vt:lpwstr>
      </vt:variant>
      <vt:variant>
        <vt:lpwstr/>
      </vt:variant>
      <vt:variant>
        <vt:i4>7995514</vt:i4>
      </vt:variant>
      <vt:variant>
        <vt:i4>6</vt:i4>
      </vt:variant>
      <vt:variant>
        <vt:i4>0</vt:i4>
      </vt:variant>
      <vt:variant>
        <vt:i4>5</vt:i4>
      </vt:variant>
      <vt:variant>
        <vt:lpwstr>https://www.seznam.cz/mapa-rychlosti-internetu</vt:lpwstr>
      </vt:variant>
      <vt:variant>
        <vt:lpwstr/>
      </vt:variant>
      <vt:variant>
        <vt:i4>3997736</vt:i4>
      </vt:variant>
      <vt:variant>
        <vt:i4>3</vt:i4>
      </vt:variant>
      <vt:variant>
        <vt:i4>0</vt:i4>
      </vt:variant>
      <vt:variant>
        <vt:i4>5</vt:i4>
      </vt:variant>
      <vt:variant>
        <vt:lpwstr>https://www.ctu.cz/ctu-online/pruzkum-nga.html</vt:lpwstr>
      </vt:variant>
      <vt:variant>
        <vt:lpwstr/>
      </vt:variant>
      <vt:variant>
        <vt:i4>1376310</vt:i4>
      </vt:variant>
      <vt:variant>
        <vt:i4>0</vt:i4>
      </vt:variant>
      <vt:variant>
        <vt:i4>0</vt:i4>
      </vt:variant>
      <vt:variant>
        <vt:i4>5</vt:i4>
      </vt:variant>
      <vt:variant>
        <vt:lpwstr>http://ec.europa.eu/regional_policy/thefunds/fin_inst/index_en.cfm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Předběžné posouzení finančních nástrojů</dc:title>
  <dc:subject/>
  <dc:creator>Ptáček Ondřej</dc:creator>
  <cp:keywords/>
  <dc:description/>
  <cp:lastModifiedBy>Laube Pavel</cp:lastModifiedBy>
  <cp:revision>60</cp:revision>
  <cp:lastPrinted>2015-05-13T08:26:00Z</cp:lastPrinted>
  <dcterms:created xsi:type="dcterms:W3CDTF">2015-06-04T13:49:00Z</dcterms:created>
  <dcterms:modified xsi:type="dcterms:W3CDTF">2015-06-29T09:38:00Z</dcterms:modified>
</cp:coreProperties>
</file>