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AE" w:rsidRDefault="0089673F" w:rsidP="002E2A67">
      <w:pPr>
        <w:pStyle w:val="Nadpis1"/>
      </w:pPr>
      <w:r>
        <w:t>Zpracování analytických a dalších podpůrných podkladů pro zajištění úlohy Ministerstva životního prostředí v budoucím programovém období 2014–</w:t>
      </w:r>
      <w:r w:rsidRPr="002E2A67">
        <w:t>2020</w:t>
      </w:r>
    </w:p>
    <w:p w:rsidR="002E2A67" w:rsidRPr="002E2A67" w:rsidRDefault="002E2A67" w:rsidP="002E2A67">
      <w:pPr>
        <w:pStyle w:val="Nadpis2"/>
      </w:pPr>
      <w:r w:rsidRPr="002E2A67">
        <w:t>Ex-ante posouzení možnosti využití finančních nástrojů v OPŽP</w:t>
      </w:r>
    </w:p>
    <w:p w:rsidR="00B62B97" w:rsidRDefault="00B62B97" w:rsidP="00C82CEA"/>
    <w:p w:rsidR="009D606C" w:rsidRDefault="009D606C" w:rsidP="002D2CE2">
      <w:pPr>
        <w:pStyle w:val="Odstavecseseznamem"/>
        <w:numPr>
          <w:ilvl w:val="0"/>
          <w:numId w:val="1"/>
        </w:numPr>
      </w:pPr>
      <w:r>
        <w:t xml:space="preserve">V úvodní části ex-ante hodnocení přistupoval zpracovatel k vytipování vhodných opatření prostřednictvím tzv. prescreeningu. Jeho výsledek vyselektoval vhodnost/nevhodnost využití nástroje. Nepouštěli jsme se do bližšího hodnocení prescreeningu, nicméně nastavení vah (např. bariéry </w:t>
      </w:r>
      <w:r w:rsidR="007205E5">
        <w:t xml:space="preserve">– váha 0,3 </w:t>
      </w:r>
      <w:r>
        <w:t>versus velikost investice</w:t>
      </w:r>
      <w:r w:rsidR="007205E5">
        <w:t xml:space="preserve"> – váha 1</w:t>
      </w:r>
      <w:r>
        <w:t xml:space="preserve">) se jeví </w:t>
      </w:r>
      <w:r w:rsidR="00881CE3">
        <w:t>nevyrovnaně</w:t>
      </w:r>
      <w:r>
        <w:t xml:space="preserve">. </w:t>
      </w:r>
    </w:p>
    <w:p w:rsidR="002D2CE2" w:rsidRDefault="002D1B36" w:rsidP="002E2A67">
      <w:pPr>
        <w:pStyle w:val="Odstavecseseznamem"/>
        <w:numPr>
          <w:ilvl w:val="0"/>
          <w:numId w:val="1"/>
        </w:numPr>
      </w:pPr>
      <w:r>
        <w:t>Charakteristika strany poptávky obsahuje především popis obvyklých typů projektů (např. část zlepšování kvality ovzduší). Chybí šetření, které by bylo podkladem pro kvantifikaci poptávky.</w:t>
      </w:r>
      <w:r w:rsidR="009D606C">
        <w:t xml:space="preserve"> Poptávka se nezabývá</w:t>
      </w:r>
      <w:r w:rsidR="005A43C5">
        <w:t xml:space="preserve"> (až na výjimky)</w:t>
      </w:r>
      <w:r w:rsidR="009D606C">
        <w:t xml:space="preserve"> otázkou, zdali </w:t>
      </w:r>
      <w:r w:rsidR="005A43C5">
        <w:t xml:space="preserve">poptává uchazeč/potenciální příjemce </w:t>
      </w:r>
      <w:r w:rsidR="009D606C">
        <w:t xml:space="preserve">formu dotace nebo využití finančních nástrojů. </w:t>
      </w:r>
      <w:r w:rsidR="005A43C5">
        <w:t>Z textu „automaticky“ vyplývá, že hodnota (podaných) projektů v rámci dotací bude identická i v případě využití finančních nástrojů</w:t>
      </w:r>
      <w:r w:rsidR="00830B24">
        <w:t xml:space="preserve"> (např. podpora dříve kotlíkových dotací)</w:t>
      </w:r>
      <w:r w:rsidR="005A43C5">
        <w:t>.</w:t>
      </w:r>
    </w:p>
    <w:p w:rsidR="00AA12AE" w:rsidRDefault="005A43C5" w:rsidP="00881CE3">
      <w:pPr>
        <w:pStyle w:val="Odstavecseseznamem"/>
        <w:numPr>
          <w:ilvl w:val="0"/>
          <w:numId w:val="1"/>
        </w:numPr>
      </w:pPr>
      <w:r>
        <w:t xml:space="preserve"> </w:t>
      </w:r>
      <w:r w:rsidR="00A53819">
        <w:t xml:space="preserve">V textu se například uvádí, že </w:t>
      </w:r>
      <w:r w:rsidR="00A53819" w:rsidRPr="00881CE3">
        <w:rPr>
          <w:i/>
        </w:rPr>
        <w:t>„</w:t>
      </w:r>
      <w:r w:rsidR="00881CE3">
        <w:rPr>
          <w:i/>
        </w:rPr>
        <w:t>p</w:t>
      </w:r>
      <w:r w:rsidR="00A53819" w:rsidRPr="00881CE3">
        <w:rPr>
          <w:i/>
        </w:rPr>
        <w:t>ři vhodném nastavení dotačních podmínek a způsobu poskytování mají dotační programy potenciál generovat vysokou poptávku výrazně převyšující alokaci“</w:t>
      </w:r>
      <w:r w:rsidR="00A53819">
        <w:t xml:space="preserve">; již však není konfrontováno, zdali by tato skutečnost platila i v případě např. úvěrového financování. </w:t>
      </w:r>
      <w:r w:rsidR="002D2CE2">
        <w:t>Za velmi diskutabilní považujeme tvrzení</w:t>
      </w:r>
      <w:r w:rsidR="00881CE3">
        <w:t xml:space="preserve"> pro </w:t>
      </w:r>
      <w:r w:rsidR="00881CE3" w:rsidRPr="00881CE3">
        <w:t>materiálového a energetického využití odpadů</w:t>
      </w:r>
      <w:r w:rsidR="002D2CE2">
        <w:t xml:space="preserve">, že </w:t>
      </w:r>
      <w:r w:rsidR="002D2CE2" w:rsidRPr="002D2CE2">
        <w:rPr>
          <w:i/>
        </w:rPr>
        <w:t>„…..že zájem o úvěrový finanční nástroj exis</w:t>
      </w:r>
      <w:r w:rsidR="002D2CE2">
        <w:rPr>
          <w:i/>
        </w:rPr>
        <w:t>tuje u podstatné části dotázaných“</w:t>
      </w:r>
      <w:r w:rsidR="002D2CE2" w:rsidRPr="002D2CE2">
        <w:rPr>
          <w:i/>
        </w:rPr>
        <w:t>.</w:t>
      </w:r>
      <w:r w:rsidR="002D2CE2">
        <w:t xml:space="preserve"> Přičemž za podstatné je považováno 18% z dotázaných. </w:t>
      </w:r>
    </w:p>
    <w:p w:rsidR="002D2CE2" w:rsidRDefault="002D1B36" w:rsidP="002D2CE2">
      <w:pPr>
        <w:pStyle w:val="Odstavecseseznamem"/>
        <w:numPr>
          <w:ilvl w:val="0"/>
          <w:numId w:val="1"/>
        </w:numPr>
      </w:pPr>
      <w:r>
        <w:t>Strana nabídky neobsahuje komerčně dostupné finanční produkty pro financování těchto potřeb</w:t>
      </w:r>
      <w:r w:rsidR="00C22C9E">
        <w:t xml:space="preserve"> (především těch, které jsou podobné formám finančních nástrojů – úvěry, záruky, ekvity, atd.)</w:t>
      </w:r>
      <w:r w:rsidR="002D2CE2">
        <w:t xml:space="preserve"> – až na drobné výjimky u PO 3 a PO 5</w:t>
      </w:r>
      <w:r>
        <w:t xml:space="preserve">. Toto je nezbytné pro definici tržní mezery </w:t>
      </w:r>
      <w:r w:rsidR="00881CE3">
        <w:t xml:space="preserve">absorpční kapacity </w:t>
      </w:r>
      <w:r>
        <w:t>a zejména nastavení finančních nástrojů. Popis tržních selhání a neoptimálních investičních situací od trhu zcela extrahuje.</w:t>
      </w:r>
      <w:r w:rsidR="00C22C9E">
        <w:t xml:space="preserve"> </w:t>
      </w:r>
    </w:p>
    <w:p w:rsidR="002D1B36" w:rsidRDefault="00C22C9E" w:rsidP="002D2CE2">
      <w:pPr>
        <w:pStyle w:val="Odstavecseseznamem"/>
        <w:numPr>
          <w:ilvl w:val="0"/>
          <w:numId w:val="1"/>
        </w:numPr>
      </w:pPr>
      <w:r>
        <w:t xml:space="preserve">Jeví se velmi </w:t>
      </w:r>
      <w:r w:rsidR="009432D4">
        <w:t>zjednodušené</w:t>
      </w:r>
      <w:r>
        <w:t xml:space="preserve"> postavit nabídkovou stranu pouze na dřívějších (především dotačních) formách v rámci EU fondů. V textu, kde jsou výjimečně uvedeny soukromé zdroje</w:t>
      </w:r>
      <w:r w:rsidR="002D2CE2">
        <w:t>,</w:t>
      </w:r>
      <w:r>
        <w:t xml:space="preserve"> by bylo vhodné uvést a analyzovat, za jakých podmínek jsou</w:t>
      </w:r>
      <w:r w:rsidR="002D2CE2">
        <w:t xml:space="preserve"> resp. byly</w:t>
      </w:r>
      <w:r>
        <w:t xml:space="preserve"> poskytovány</w:t>
      </w:r>
      <w:r w:rsidR="00A53819">
        <w:t xml:space="preserve"> (tj. velikost investic, podmínky atd.)</w:t>
      </w:r>
      <w:r>
        <w:t xml:space="preserve">. </w:t>
      </w:r>
      <w:r w:rsidR="00830B24">
        <w:t>T</w:t>
      </w:r>
      <w:r>
        <w:t xml:space="preserve">o by následně umožnilo komplexně zachytit vývoj tržního selhání. </w:t>
      </w:r>
    </w:p>
    <w:p w:rsidR="0013519B" w:rsidRDefault="0013519B" w:rsidP="002D2CE2">
      <w:pPr>
        <w:pStyle w:val="Odstavecseseznamem"/>
        <w:numPr>
          <w:ilvl w:val="0"/>
          <w:numId w:val="1"/>
        </w:numPr>
      </w:pPr>
      <w:r>
        <w:t xml:space="preserve">Analýza abstrahuje od variantních řešení v důsledku budoucího možného ekonomického vývoje (např. pesimistická či optimistická varianta) a následné „stahování“ či uvolňování dalších prostředků na FN. </w:t>
      </w:r>
    </w:p>
    <w:p w:rsidR="00B62B97" w:rsidRDefault="002D2CE2" w:rsidP="002D2CE2">
      <w:pPr>
        <w:pStyle w:val="Odstavecseseznamem"/>
        <w:numPr>
          <w:ilvl w:val="0"/>
          <w:numId w:val="1"/>
        </w:numPr>
      </w:pPr>
      <w:r>
        <w:t xml:space="preserve">Doporučujeme ověřit výpočty v oblasti pákového efektu, zejména s ohledem na dodatečné soukromé zdroje. </w:t>
      </w:r>
      <w:r w:rsidR="001F2F6A">
        <w:t>V případě veřejných dodatečných zdrojů ověřit</w:t>
      </w:r>
      <w:r w:rsidR="009828AC">
        <w:t xml:space="preserve"> (mít potvrzeno)</w:t>
      </w:r>
      <w:r w:rsidR="001F2F6A">
        <w:t>, zda např. kraj</w:t>
      </w:r>
      <w:r w:rsidR="009828AC">
        <w:t>e</w:t>
      </w:r>
      <w:r w:rsidR="001F2F6A">
        <w:t xml:space="preserve"> by se dle požadovaných parametrů byl</w:t>
      </w:r>
      <w:r w:rsidR="009828AC">
        <w:t>y ochotny</w:t>
      </w:r>
      <w:r w:rsidR="001F2F6A">
        <w:t xml:space="preserve"> zapojit (míněno pro všechny kraje)</w:t>
      </w:r>
      <w:r w:rsidR="00824D30">
        <w:t xml:space="preserve"> a být článkem, co by tvořil formou dotace kombinaci s úvěrem</w:t>
      </w:r>
      <w:r w:rsidR="001F2F6A">
        <w:t xml:space="preserve">. </w:t>
      </w:r>
    </w:p>
    <w:p w:rsidR="009220DA" w:rsidRDefault="00B62B97" w:rsidP="002D2CE2">
      <w:pPr>
        <w:pStyle w:val="Odstavecseseznamem"/>
        <w:numPr>
          <w:ilvl w:val="0"/>
          <w:numId w:val="1"/>
        </w:numPr>
      </w:pPr>
      <w:r>
        <w:t>U implementace FN je v kapitol</w:t>
      </w:r>
      <w:r w:rsidR="00824D30">
        <w:t xml:space="preserve">e „úroveň finančního nástroje“ </w:t>
      </w:r>
      <w:r>
        <w:t>odkazováno na analýzy možností využití veřejných subjektů a soukromých. Doporučujeme odkázat na předmětnou analýzu tak, aby se nejednalo o subjektivní pohled.</w:t>
      </w:r>
    </w:p>
    <w:p w:rsidR="00A53819" w:rsidRDefault="00A53819" w:rsidP="002D2CE2">
      <w:pPr>
        <w:pStyle w:val="Odstavecseseznamem"/>
        <w:numPr>
          <w:ilvl w:val="0"/>
          <w:numId w:val="1"/>
        </w:numPr>
      </w:pPr>
      <w:r>
        <w:lastRenderedPageBreak/>
        <w:t xml:space="preserve">Rovněž doporučujeme ověřit, zdali je nutné, aby všechny navrhované nástroje </w:t>
      </w:r>
      <w:r w:rsidRPr="00A53819">
        <w:t xml:space="preserve">svojí povahou </w:t>
      </w:r>
      <w:r>
        <w:t xml:space="preserve">odpovídaly </w:t>
      </w:r>
      <w:r w:rsidRPr="00A53819">
        <w:t xml:space="preserve">tzv. tailor-made, </w:t>
      </w:r>
      <w:r>
        <w:t xml:space="preserve">neboť </w:t>
      </w:r>
      <w:r w:rsidRPr="00A53819">
        <w:t>není navrhováno využití vzorových off-the-shelf nástrojů EK</w:t>
      </w:r>
      <w:r w:rsidR="00824D30">
        <w:t xml:space="preserve"> (důvodem je typ příjemce – veřejný sektor)</w:t>
      </w:r>
      <w:r w:rsidRPr="00A53819">
        <w:t>.</w:t>
      </w:r>
    </w:p>
    <w:p w:rsidR="009220DA" w:rsidRDefault="00AD4600" w:rsidP="002D2CE2">
      <w:pPr>
        <w:pStyle w:val="Odstavecseseznamem"/>
        <w:numPr>
          <w:ilvl w:val="0"/>
          <w:numId w:val="1"/>
        </w:numPr>
      </w:pPr>
      <w:r>
        <w:t xml:space="preserve">U variant implementace doporučujeme v analýze zvážit </w:t>
      </w:r>
      <w:r w:rsidR="00553580">
        <w:t>všechny možné</w:t>
      </w:r>
      <w:r>
        <w:t xml:space="preserve"> varianty dle čl. 38 obecného nařízení</w:t>
      </w:r>
      <w:bookmarkStart w:id="0" w:name="_GoBack"/>
      <w:bookmarkEnd w:id="0"/>
      <w:r>
        <w:t>.</w:t>
      </w:r>
    </w:p>
    <w:p w:rsidR="00881CE3" w:rsidRPr="00881CE3" w:rsidRDefault="009432D4" w:rsidP="00312C88">
      <w:pPr>
        <w:pStyle w:val="Odstavecseseznamem"/>
        <w:numPr>
          <w:ilvl w:val="0"/>
          <w:numId w:val="1"/>
        </w:numPr>
      </w:pPr>
      <w:r>
        <w:t xml:space="preserve">Z pohledu administrace a zvládnutí implementace FN </w:t>
      </w:r>
      <w:r w:rsidR="00881CE3">
        <w:t>např. u PO 2 pro</w:t>
      </w:r>
      <w:r>
        <w:t xml:space="preserve"> kotlíkové dotace (vycházíme-li z analýzy, že </w:t>
      </w:r>
      <w:r>
        <w:rPr>
          <w:color w:val="000000"/>
          <w:szCs w:val="48"/>
        </w:rPr>
        <w:t xml:space="preserve">by to aktivovalo </w:t>
      </w:r>
      <w:r w:rsidRPr="003F1A3E">
        <w:rPr>
          <w:color w:val="000000"/>
          <w:szCs w:val="48"/>
        </w:rPr>
        <w:t>poptávku</w:t>
      </w:r>
      <w:r>
        <w:rPr>
          <w:color w:val="000000"/>
          <w:szCs w:val="48"/>
        </w:rPr>
        <w:t xml:space="preserve"> v </w:t>
      </w:r>
      <w:r w:rsidRPr="003F1A3E">
        <w:rPr>
          <w:color w:val="000000"/>
          <w:szCs w:val="48"/>
        </w:rPr>
        <w:t>řádu několik tisíc žadatelů ročně</w:t>
      </w:r>
      <w:r w:rsidR="00881CE3">
        <w:rPr>
          <w:color w:val="000000"/>
          <w:szCs w:val="48"/>
        </w:rPr>
        <w:t xml:space="preserve"> a výše kotle je cca 100 tisíc. Kč</w:t>
      </w:r>
      <w:r>
        <w:rPr>
          <w:color w:val="000000"/>
          <w:szCs w:val="48"/>
        </w:rPr>
        <w:t xml:space="preserve">), se možnost kombinace dotace a </w:t>
      </w:r>
      <w:r w:rsidR="00881CE3">
        <w:rPr>
          <w:color w:val="000000"/>
          <w:szCs w:val="48"/>
        </w:rPr>
        <w:t>úvěru</w:t>
      </w:r>
      <w:r>
        <w:rPr>
          <w:color w:val="000000"/>
          <w:szCs w:val="48"/>
        </w:rPr>
        <w:t xml:space="preserve"> jeví jako náročná</w:t>
      </w:r>
      <w:r w:rsidR="00881CE3">
        <w:rPr>
          <w:color w:val="000000"/>
          <w:szCs w:val="48"/>
        </w:rPr>
        <w:t xml:space="preserve"> (tj. počtem žadatelů i výši ceny za kotel)</w:t>
      </w:r>
      <w:r>
        <w:rPr>
          <w:color w:val="000000"/>
          <w:szCs w:val="48"/>
        </w:rPr>
        <w:t xml:space="preserve">. </w:t>
      </w:r>
      <w:r w:rsidR="00881CE3">
        <w:rPr>
          <w:color w:val="000000"/>
          <w:szCs w:val="48"/>
        </w:rPr>
        <w:t>Rovněž není zřejmý mechanismus zajištění podílu spolufinancování při zapojení „vlastních“ zdrojů.</w:t>
      </w:r>
    </w:p>
    <w:p w:rsidR="00881965" w:rsidRDefault="00881965" w:rsidP="00881965">
      <w:pPr>
        <w:pStyle w:val="Odstavecseseznamem"/>
        <w:numPr>
          <w:ilvl w:val="0"/>
          <w:numId w:val="1"/>
        </w:numPr>
      </w:pPr>
      <w:r>
        <w:t>U implementace FN na oblast energetické úspornosti budov se jeví jako zvláštní, aby existovala možnost, že f</w:t>
      </w:r>
      <w:r w:rsidRPr="00881965">
        <w:t>inanční nástroj bude posky</w:t>
      </w:r>
      <w:r>
        <w:t>tnut formou zvýhodněného úvěru, a přitom z</w:t>
      </w:r>
      <w:r w:rsidRPr="00881965">
        <w:t xml:space="preserve">výhodněný úvěr bude konečný příjemce moci použít ke spolufinancování dotace </w:t>
      </w:r>
      <w:r>
        <w:t>(včetně toho, že se uvádí variantní řešení: tj. může/nemusí).</w:t>
      </w:r>
      <w:r w:rsidR="008A4E4C">
        <w:t xml:space="preserve"> </w:t>
      </w:r>
      <w:r w:rsidR="008A4E4C">
        <w:rPr>
          <w:color w:val="000000"/>
          <w:szCs w:val="48"/>
        </w:rPr>
        <w:t>Rovněž není zřejmý mechanismus zajištění podílu spolufinancování při zapojení „vlastních“ zdrojů.</w:t>
      </w:r>
    </w:p>
    <w:p w:rsidR="00DA4BF3" w:rsidRDefault="00DA4BF3" w:rsidP="00DA4BF3">
      <w:pPr>
        <w:pStyle w:val="Odstavecseseznamem"/>
        <w:numPr>
          <w:ilvl w:val="0"/>
          <w:numId w:val="1"/>
        </w:numPr>
      </w:pPr>
      <w:r>
        <w:t>Veřejná podpora ve FN má být ošetřena ve všech úrovních u všech poskytovatelů podpory</w:t>
      </w:r>
      <w:r w:rsidR="00D646C4">
        <w:t xml:space="preserve">. </w:t>
      </w:r>
      <w:r>
        <w:t>Ex-ante analýzy programů by proto měly obsahovat údaje o tom, jak bude řešena problematika veřejné podpory na úrovni fondu fondů – pokud bude zřízen, na úrovni finančních zprostředkovatelů a pro úroveň konečných příjemců.</w:t>
      </w:r>
      <w:r w:rsidR="00D646C4">
        <w:t xml:space="preserve"> </w:t>
      </w:r>
      <w:r>
        <w:t>V rámci ex-ante hodnocení doporučujeme doplnit informace o řešení problematiky VP na úrovni fondu fondů a na úrovni finančních zprostředkovatelů.</w:t>
      </w:r>
    </w:p>
    <w:p w:rsidR="00C15483" w:rsidRPr="00C82CEA" w:rsidRDefault="00C15483" w:rsidP="00A53819">
      <w:pPr>
        <w:pStyle w:val="Nadpis1"/>
      </w:pPr>
    </w:p>
    <w:sectPr w:rsidR="00C15483" w:rsidRPr="00C8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337"/>
    <w:multiLevelType w:val="hybridMultilevel"/>
    <w:tmpl w:val="D22685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EA"/>
    <w:rsid w:val="00132313"/>
    <w:rsid w:val="0013519B"/>
    <w:rsid w:val="001F2F6A"/>
    <w:rsid w:val="00264373"/>
    <w:rsid w:val="002D1B36"/>
    <w:rsid w:val="002D2CE2"/>
    <w:rsid w:val="002E2A67"/>
    <w:rsid w:val="00312C88"/>
    <w:rsid w:val="00323AC2"/>
    <w:rsid w:val="00325A63"/>
    <w:rsid w:val="00335176"/>
    <w:rsid w:val="00362882"/>
    <w:rsid w:val="004127BE"/>
    <w:rsid w:val="004202E0"/>
    <w:rsid w:val="004A5F07"/>
    <w:rsid w:val="00551450"/>
    <w:rsid w:val="00553580"/>
    <w:rsid w:val="005A43C5"/>
    <w:rsid w:val="005E3A16"/>
    <w:rsid w:val="005E4B16"/>
    <w:rsid w:val="006510E9"/>
    <w:rsid w:val="006A5978"/>
    <w:rsid w:val="007205E5"/>
    <w:rsid w:val="00782173"/>
    <w:rsid w:val="007C50CA"/>
    <w:rsid w:val="00824D30"/>
    <w:rsid w:val="00830B24"/>
    <w:rsid w:val="00881965"/>
    <w:rsid w:val="00881CE3"/>
    <w:rsid w:val="0089673F"/>
    <w:rsid w:val="008A4E4C"/>
    <w:rsid w:val="009220DA"/>
    <w:rsid w:val="009432D4"/>
    <w:rsid w:val="009828AC"/>
    <w:rsid w:val="009D606C"/>
    <w:rsid w:val="00A53819"/>
    <w:rsid w:val="00AA12AE"/>
    <w:rsid w:val="00AD4600"/>
    <w:rsid w:val="00B04423"/>
    <w:rsid w:val="00B62B97"/>
    <w:rsid w:val="00C15483"/>
    <w:rsid w:val="00C22C9E"/>
    <w:rsid w:val="00C82CEA"/>
    <w:rsid w:val="00C96E09"/>
    <w:rsid w:val="00D646C4"/>
    <w:rsid w:val="00DA4BF3"/>
    <w:rsid w:val="00E31F4B"/>
    <w:rsid w:val="00F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2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2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2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06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06C"/>
    <w:rPr>
      <w:rFonts w:ascii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2CE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E2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2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2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2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06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06C"/>
    <w:rPr>
      <w:rFonts w:ascii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2CE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E2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682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Pavlas</dc:creator>
  <cp:lastModifiedBy>uzivatel</cp:lastModifiedBy>
  <cp:revision>15</cp:revision>
  <cp:lastPrinted>2015-04-10T12:08:00Z</cp:lastPrinted>
  <dcterms:created xsi:type="dcterms:W3CDTF">2015-04-10T11:39:00Z</dcterms:created>
  <dcterms:modified xsi:type="dcterms:W3CDTF">2015-04-15T15:31:00Z</dcterms:modified>
</cp:coreProperties>
</file>