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ED59C" w14:textId="77777777" w:rsidR="00767006" w:rsidRDefault="00767006" w:rsidP="00767006">
      <w:pPr>
        <w:jc w:val="center"/>
        <w:rPr>
          <w:rFonts w:asciiTheme="minorHAnsi" w:hAnsiTheme="minorHAnsi"/>
          <w:sz w:val="40"/>
          <w:szCs w:val="40"/>
        </w:rPr>
      </w:pPr>
    </w:p>
    <w:p w14:paraId="758189C2" w14:textId="004AC7A6" w:rsidR="001271DB" w:rsidRPr="00767006" w:rsidRDefault="001271DB" w:rsidP="001271DB">
      <w:pPr>
        <w:jc w:val="center"/>
        <w:rPr>
          <w:rFonts w:asciiTheme="minorHAnsi" w:hAnsiTheme="minorHAnsi"/>
          <w:sz w:val="40"/>
          <w:szCs w:val="40"/>
        </w:rPr>
      </w:pPr>
      <w:r>
        <w:rPr>
          <w:rFonts w:asciiTheme="minorHAnsi" w:hAnsiTheme="minorHAnsi"/>
          <w:sz w:val="40"/>
          <w:szCs w:val="40"/>
        </w:rPr>
        <w:t xml:space="preserve">Ex-ante posouzení možnosti využití finančních nástrojů </w:t>
      </w:r>
      <w:r>
        <w:rPr>
          <w:rFonts w:asciiTheme="minorHAnsi" w:hAnsiTheme="minorHAnsi"/>
          <w:sz w:val="40"/>
          <w:szCs w:val="40"/>
        </w:rPr>
        <w:tab/>
        <w:t>v OPŽP</w:t>
      </w:r>
    </w:p>
    <w:p w14:paraId="4CCD27ED" w14:textId="77777777" w:rsidR="001271DB" w:rsidRDefault="001271DB" w:rsidP="00767006">
      <w:pPr>
        <w:jc w:val="center"/>
        <w:rPr>
          <w:rFonts w:asciiTheme="minorHAnsi" w:hAnsiTheme="minorHAnsi"/>
          <w:sz w:val="40"/>
          <w:szCs w:val="40"/>
        </w:rPr>
      </w:pPr>
    </w:p>
    <w:p w14:paraId="1A459F8F" w14:textId="5F72A913" w:rsidR="000E79D3" w:rsidRPr="00767006" w:rsidRDefault="001271DB" w:rsidP="00767006">
      <w:pPr>
        <w:jc w:val="center"/>
        <w:rPr>
          <w:rFonts w:asciiTheme="minorHAnsi" w:hAnsiTheme="minorHAnsi"/>
          <w:sz w:val="40"/>
          <w:szCs w:val="40"/>
        </w:rPr>
      </w:pPr>
      <w:r>
        <w:rPr>
          <w:rFonts w:asciiTheme="minorHAnsi" w:hAnsiTheme="minorHAnsi"/>
          <w:sz w:val="40"/>
          <w:szCs w:val="40"/>
        </w:rPr>
        <w:t xml:space="preserve">Prezentace Závěrečné zprávy projektu </w:t>
      </w:r>
    </w:p>
    <w:p w14:paraId="3E19882F" w14:textId="77777777" w:rsidR="000C2980" w:rsidRPr="001271DB" w:rsidRDefault="000C2980" w:rsidP="001271DB">
      <w:pPr>
        <w:rPr>
          <w:sz w:val="40"/>
          <w:szCs w:val="40"/>
        </w:rPr>
      </w:pPr>
    </w:p>
    <w:p w14:paraId="748A4771" w14:textId="3CCB690B" w:rsidR="003F02D6" w:rsidRPr="003F02D6" w:rsidRDefault="003F02D6" w:rsidP="003F02D6">
      <w:pPr>
        <w:rPr>
          <w:rFonts w:asciiTheme="minorHAnsi" w:hAnsiTheme="minorHAnsi"/>
        </w:rPr>
      </w:pPr>
      <w:r w:rsidRPr="003F02D6">
        <w:rPr>
          <w:rFonts w:asciiTheme="minorHAnsi" w:hAnsiTheme="minorHAnsi"/>
        </w:rPr>
        <w:t>Datum</w:t>
      </w:r>
      <w:r w:rsidRPr="003F02D6">
        <w:rPr>
          <w:rFonts w:asciiTheme="minorHAnsi" w:hAnsiTheme="minorHAnsi"/>
        </w:rPr>
        <w:tab/>
      </w:r>
      <w:r w:rsidRPr="003F02D6">
        <w:rPr>
          <w:rFonts w:asciiTheme="minorHAnsi" w:hAnsiTheme="minorHAnsi"/>
        </w:rPr>
        <w:tab/>
      </w:r>
      <w:r w:rsidR="001271DB">
        <w:rPr>
          <w:rFonts w:asciiTheme="minorHAnsi" w:hAnsiTheme="minorHAnsi"/>
        </w:rPr>
        <w:t>11. 3. 2015</w:t>
      </w:r>
    </w:p>
    <w:p w14:paraId="77E3A81E" w14:textId="54FB7D9F" w:rsidR="00767006" w:rsidRDefault="003F02D6" w:rsidP="003F02D6">
      <w:pPr>
        <w:rPr>
          <w:rFonts w:asciiTheme="minorHAnsi" w:hAnsiTheme="minorHAnsi"/>
        </w:rPr>
      </w:pPr>
      <w:r w:rsidRPr="003F02D6">
        <w:rPr>
          <w:rFonts w:asciiTheme="minorHAnsi" w:hAnsiTheme="minorHAnsi"/>
        </w:rPr>
        <w:t>Místo</w:t>
      </w:r>
      <w:r w:rsidR="000C2980">
        <w:rPr>
          <w:rFonts w:asciiTheme="minorHAnsi" w:hAnsiTheme="minorHAnsi"/>
        </w:rPr>
        <w:tab/>
      </w:r>
      <w:r w:rsidR="000C2980">
        <w:rPr>
          <w:rFonts w:asciiTheme="minorHAnsi" w:hAnsiTheme="minorHAnsi"/>
        </w:rPr>
        <w:tab/>
        <w:t xml:space="preserve">Ministerstvo životního prostředí, místnost č. </w:t>
      </w:r>
      <w:r w:rsidR="001271DB">
        <w:rPr>
          <w:rFonts w:asciiTheme="minorHAnsi" w:hAnsiTheme="minorHAnsi"/>
        </w:rPr>
        <w:t>959</w:t>
      </w:r>
    </w:p>
    <w:p w14:paraId="00281732" w14:textId="22D3C575" w:rsidR="009A0D20" w:rsidRDefault="00767006" w:rsidP="00774642">
      <w:pPr>
        <w:ind w:left="1410" w:hanging="1410"/>
        <w:rPr>
          <w:rFonts w:asciiTheme="minorHAnsi" w:hAnsiTheme="minorHAnsi"/>
        </w:rPr>
      </w:pPr>
      <w:r>
        <w:rPr>
          <w:rFonts w:asciiTheme="minorHAnsi" w:hAnsiTheme="minorHAnsi"/>
        </w:rPr>
        <w:t>Přítomni</w:t>
      </w:r>
      <w:r w:rsidR="000C2980">
        <w:rPr>
          <w:rFonts w:asciiTheme="minorHAnsi" w:hAnsiTheme="minorHAnsi"/>
        </w:rPr>
        <w:tab/>
      </w:r>
      <w:r w:rsidR="001271DB">
        <w:rPr>
          <w:rFonts w:asciiTheme="minorHAnsi" w:hAnsiTheme="minorHAnsi"/>
        </w:rPr>
        <w:t>Kříž (</w:t>
      </w:r>
      <w:r w:rsidR="009A0D20">
        <w:rPr>
          <w:rFonts w:asciiTheme="minorHAnsi" w:hAnsiTheme="minorHAnsi"/>
        </w:rPr>
        <w:t>MŽP</w:t>
      </w:r>
      <w:r w:rsidR="001271DB">
        <w:rPr>
          <w:rFonts w:asciiTheme="minorHAnsi" w:hAnsiTheme="minorHAnsi"/>
        </w:rPr>
        <w:t xml:space="preserve">), </w:t>
      </w:r>
      <w:r w:rsidR="009A0D20">
        <w:rPr>
          <w:rFonts w:asciiTheme="minorHAnsi" w:hAnsiTheme="minorHAnsi"/>
        </w:rPr>
        <w:t xml:space="preserve">Peštová (MŽP), </w:t>
      </w:r>
      <w:proofErr w:type="spellStart"/>
      <w:r w:rsidR="003F02D6" w:rsidRPr="0046287F">
        <w:rPr>
          <w:rFonts w:asciiTheme="minorHAnsi" w:hAnsiTheme="minorHAnsi"/>
        </w:rPr>
        <w:t>Švolba</w:t>
      </w:r>
      <w:proofErr w:type="spellEnd"/>
      <w:r w:rsidR="00490EAB" w:rsidRPr="0046287F">
        <w:rPr>
          <w:rFonts w:asciiTheme="minorHAnsi" w:hAnsiTheme="minorHAnsi"/>
        </w:rPr>
        <w:t xml:space="preserve"> </w:t>
      </w:r>
      <w:r w:rsidR="00362079" w:rsidRPr="0046287F">
        <w:rPr>
          <w:rFonts w:asciiTheme="minorHAnsi" w:hAnsiTheme="minorHAnsi"/>
        </w:rPr>
        <w:t>(</w:t>
      </w:r>
      <w:r w:rsidR="009A0D20">
        <w:rPr>
          <w:rFonts w:asciiTheme="minorHAnsi" w:hAnsiTheme="minorHAnsi"/>
          <w:i/>
        </w:rPr>
        <w:t>MŽP</w:t>
      </w:r>
      <w:r w:rsidR="00362079" w:rsidRPr="0046287F">
        <w:rPr>
          <w:rFonts w:asciiTheme="minorHAnsi" w:hAnsiTheme="minorHAnsi"/>
          <w:i/>
        </w:rPr>
        <w:t>)</w:t>
      </w:r>
      <w:r w:rsidR="003F02D6" w:rsidRPr="0046287F">
        <w:rPr>
          <w:rFonts w:asciiTheme="minorHAnsi" w:hAnsiTheme="minorHAnsi"/>
        </w:rPr>
        <w:t>, Lysý</w:t>
      </w:r>
      <w:r w:rsidR="00490EAB" w:rsidRPr="0046287F">
        <w:rPr>
          <w:rFonts w:asciiTheme="minorHAnsi" w:hAnsiTheme="minorHAnsi"/>
        </w:rPr>
        <w:t xml:space="preserve"> </w:t>
      </w:r>
      <w:r w:rsidR="00362079" w:rsidRPr="0046287F">
        <w:rPr>
          <w:rFonts w:asciiTheme="minorHAnsi" w:hAnsiTheme="minorHAnsi"/>
        </w:rPr>
        <w:t>(</w:t>
      </w:r>
      <w:r w:rsidR="009A0D20">
        <w:rPr>
          <w:rFonts w:asciiTheme="minorHAnsi" w:hAnsiTheme="minorHAnsi"/>
          <w:i/>
        </w:rPr>
        <w:t>MŽP</w:t>
      </w:r>
      <w:r w:rsidR="00362079" w:rsidRPr="0046287F">
        <w:rPr>
          <w:rFonts w:asciiTheme="minorHAnsi" w:hAnsiTheme="minorHAnsi"/>
          <w:i/>
        </w:rPr>
        <w:t>)</w:t>
      </w:r>
      <w:r w:rsidR="003F02D6" w:rsidRPr="0046287F">
        <w:rPr>
          <w:rFonts w:asciiTheme="minorHAnsi" w:hAnsiTheme="minorHAnsi"/>
        </w:rPr>
        <w:t xml:space="preserve">, </w:t>
      </w:r>
      <w:r w:rsidR="009A0D20">
        <w:rPr>
          <w:rFonts w:asciiTheme="minorHAnsi" w:hAnsiTheme="minorHAnsi"/>
        </w:rPr>
        <w:t>Novák (MŽP</w:t>
      </w:r>
      <w:r w:rsidR="0046287F" w:rsidRPr="0046287F">
        <w:rPr>
          <w:rFonts w:asciiTheme="minorHAnsi" w:hAnsiTheme="minorHAnsi"/>
        </w:rPr>
        <w:t xml:space="preserve">), </w:t>
      </w:r>
      <w:r w:rsidR="001271DB">
        <w:rPr>
          <w:rFonts w:asciiTheme="minorHAnsi" w:hAnsiTheme="minorHAnsi"/>
        </w:rPr>
        <w:t xml:space="preserve">Kopecký (MMR), Horáček (MMR), Večeř (MMR), Pluta (SFRB), </w:t>
      </w:r>
      <w:r w:rsidR="0073313B" w:rsidRPr="0046287F">
        <w:rPr>
          <w:rFonts w:asciiTheme="minorHAnsi" w:hAnsiTheme="minorHAnsi"/>
        </w:rPr>
        <w:t xml:space="preserve">Daňhelka </w:t>
      </w:r>
      <w:r w:rsidR="0073313B" w:rsidRPr="0046287F">
        <w:rPr>
          <w:rFonts w:asciiTheme="minorHAnsi" w:hAnsiTheme="minorHAnsi"/>
          <w:i/>
        </w:rPr>
        <w:t>(MŽP)</w:t>
      </w:r>
      <w:r w:rsidR="0073313B" w:rsidRPr="0046287F">
        <w:rPr>
          <w:rFonts w:asciiTheme="minorHAnsi" w:hAnsiTheme="minorHAnsi"/>
        </w:rPr>
        <w:t>,</w:t>
      </w:r>
      <w:r w:rsidR="00774642">
        <w:rPr>
          <w:rFonts w:asciiTheme="minorHAnsi" w:hAnsiTheme="minorHAnsi"/>
        </w:rPr>
        <w:t xml:space="preserve"> </w:t>
      </w:r>
      <w:proofErr w:type="spellStart"/>
      <w:r w:rsidR="001271DB">
        <w:rPr>
          <w:rFonts w:asciiTheme="minorHAnsi" w:hAnsiTheme="minorHAnsi"/>
        </w:rPr>
        <w:t>Manhart</w:t>
      </w:r>
      <w:proofErr w:type="spellEnd"/>
      <w:r w:rsidR="001271DB">
        <w:rPr>
          <w:rFonts w:asciiTheme="minorHAnsi" w:hAnsiTheme="minorHAnsi"/>
        </w:rPr>
        <w:t xml:space="preserve"> (MŽP), Krátký (APTT), Benda (</w:t>
      </w:r>
      <w:proofErr w:type="spellStart"/>
      <w:r w:rsidR="001271DB">
        <w:rPr>
          <w:rFonts w:asciiTheme="minorHAnsi" w:hAnsiTheme="minorHAnsi"/>
        </w:rPr>
        <w:t>Benekov</w:t>
      </w:r>
      <w:proofErr w:type="spellEnd"/>
      <w:r w:rsidR="001271DB">
        <w:rPr>
          <w:rFonts w:asciiTheme="minorHAnsi" w:hAnsiTheme="minorHAnsi"/>
        </w:rPr>
        <w:t xml:space="preserve">), </w:t>
      </w:r>
      <w:r w:rsidR="009A0D20">
        <w:rPr>
          <w:rFonts w:asciiTheme="minorHAnsi" w:hAnsiTheme="minorHAnsi"/>
        </w:rPr>
        <w:t>Tykal (MŽP</w:t>
      </w:r>
      <w:r w:rsidR="00774642">
        <w:rPr>
          <w:rFonts w:asciiTheme="minorHAnsi" w:hAnsiTheme="minorHAnsi"/>
        </w:rPr>
        <w:t xml:space="preserve">), </w:t>
      </w:r>
      <w:r w:rsidR="009A0D20">
        <w:rPr>
          <w:rFonts w:asciiTheme="minorHAnsi" w:hAnsiTheme="minorHAnsi"/>
        </w:rPr>
        <w:t>Jonášová (MŽP</w:t>
      </w:r>
      <w:r w:rsidR="001271DB">
        <w:rPr>
          <w:rFonts w:asciiTheme="minorHAnsi" w:hAnsiTheme="minorHAnsi"/>
        </w:rPr>
        <w:t xml:space="preserve">), </w:t>
      </w:r>
      <w:proofErr w:type="spellStart"/>
      <w:r w:rsidR="009A0D20">
        <w:rPr>
          <w:rFonts w:asciiTheme="minorHAnsi" w:hAnsiTheme="minorHAnsi"/>
        </w:rPr>
        <w:t>Maršák</w:t>
      </w:r>
      <w:proofErr w:type="spellEnd"/>
      <w:r w:rsidR="009A0D20">
        <w:rPr>
          <w:rFonts w:asciiTheme="minorHAnsi" w:hAnsiTheme="minorHAnsi"/>
        </w:rPr>
        <w:t xml:space="preserve"> (MŽP), Kovařík (MŽP</w:t>
      </w:r>
      <w:r w:rsidR="00774642">
        <w:rPr>
          <w:rFonts w:asciiTheme="minorHAnsi" w:hAnsiTheme="minorHAnsi"/>
        </w:rPr>
        <w:t xml:space="preserve">), </w:t>
      </w:r>
      <w:r w:rsidR="009A0D20">
        <w:rPr>
          <w:rFonts w:asciiTheme="minorHAnsi" w:hAnsiTheme="minorHAnsi"/>
        </w:rPr>
        <w:t>Cieslar (MŽP</w:t>
      </w:r>
      <w:r w:rsidR="001271DB">
        <w:rPr>
          <w:rFonts w:asciiTheme="minorHAnsi" w:hAnsiTheme="minorHAnsi"/>
        </w:rPr>
        <w:t xml:space="preserve">), </w:t>
      </w:r>
      <w:r w:rsidR="009A0D20">
        <w:rPr>
          <w:rFonts w:asciiTheme="minorHAnsi" w:hAnsiTheme="minorHAnsi"/>
        </w:rPr>
        <w:t xml:space="preserve">Bláhová (MŽP), Müllerová (MŽP), Brychta (SFŽP), Jakobe (SFŽP), Fraňková (SFŽP), Frolík (N4), Leopoldová (MŽP), </w:t>
      </w:r>
      <w:proofErr w:type="spellStart"/>
      <w:r w:rsidR="009A0D20">
        <w:rPr>
          <w:rFonts w:asciiTheme="minorHAnsi" w:hAnsiTheme="minorHAnsi"/>
        </w:rPr>
        <w:t>Badžgoňová</w:t>
      </w:r>
      <w:proofErr w:type="spellEnd"/>
      <w:r w:rsidR="009A0D20">
        <w:rPr>
          <w:rFonts w:asciiTheme="minorHAnsi" w:hAnsiTheme="minorHAnsi"/>
        </w:rPr>
        <w:t xml:space="preserve"> (SFŽP), </w:t>
      </w:r>
      <w:proofErr w:type="spellStart"/>
      <w:r w:rsidR="009A0D20">
        <w:rPr>
          <w:rFonts w:asciiTheme="minorHAnsi" w:hAnsiTheme="minorHAnsi"/>
        </w:rPr>
        <w:t>Paskerová</w:t>
      </w:r>
      <w:proofErr w:type="spellEnd"/>
      <w:r w:rsidR="009A0D20">
        <w:rPr>
          <w:rFonts w:asciiTheme="minorHAnsi" w:hAnsiTheme="minorHAnsi"/>
        </w:rPr>
        <w:t xml:space="preserve"> (SFŽP), </w:t>
      </w:r>
      <w:proofErr w:type="spellStart"/>
      <w:r w:rsidR="009A0D20">
        <w:rPr>
          <w:rFonts w:asciiTheme="minorHAnsi" w:hAnsiTheme="minorHAnsi"/>
        </w:rPr>
        <w:t>Ansorgová</w:t>
      </w:r>
      <w:proofErr w:type="spellEnd"/>
      <w:r w:rsidR="009A0D20">
        <w:rPr>
          <w:rFonts w:asciiTheme="minorHAnsi" w:hAnsiTheme="minorHAnsi"/>
        </w:rPr>
        <w:t xml:space="preserve"> (MŽP), Hubáčková (MŽP), </w:t>
      </w:r>
      <w:proofErr w:type="spellStart"/>
      <w:r w:rsidR="009A0D20">
        <w:rPr>
          <w:rFonts w:asciiTheme="minorHAnsi" w:hAnsiTheme="minorHAnsi"/>
        </w:rPr>
        <w:t>Matušíková</w:t>
      </w:r>
      <w:proofErr w:type="spellEnd"/>
      <w:r w:rsidR="009A0D20">
        <w:rPr>
          <w:rFonts w:asciiTheme="minorHAnsi" w:hAnsiTheme="minorHAnsi"/>
        </w:rPr>
        <w:t xml:space="preserve"> (MŽP), </w:t>
      </w:r>
      <w:proofErr w:type="spellStart"/>
      <w:r w:rsidR="009A0D20">
        <w:rPr>
          <w:rFonts w:asciiTheme="minorHAnsi" w:hAnsiTheme="minorHAnsi"/>
        </w:rPr>
        <w:t>Špringar</w:t>
      </w:r>
      <w:proofErr w:type="spellEnd"/>
      <w:r w:rsidR="009A0D20">
        <w:rPr>
          <w:rFonts w:asciiTheme="minorHAnsi" w:hAnsiTheme="minorHAnsi"/>
        </w:rPr>
        <w:t xml:space="preserve"> (MŽP), Holendová (MŽP), Račan (MŽP), Havel (MHMP), </w:t>
      </w:r>
      <w:proofErr w:type="spellStart"/>
      <w:r w:rsidR="009A0D20">
        <w:rPr>
          <w:rFonts w:asciiTheme="minorHAnsi" w:hAnsiTheme="minorHAnsi"/>
        </w:rPr>
        <w:t>Tomšej</w:t>
      </w:r>
      <w:proofErr w:type="spellEnd"/>
      <w:r w:rsidR="009A0D20">
        <w:rPr>
          <w:rFonts w:asciiTheme="minorHAnsi" w:hAnsiTheme="minorHAnsi"/>
        </w:rPr>
        <w:t xml:space="preserve"> (MPO), </w:t>
      </w:r>
      <w:proofErr w:type="spellStart"/>
      <w:r w:rsidR="009A0D20">
        <w:rPr>
          <w:rFonts w:asciiTheme="minorHAnsi" w:hAnsiTheme="minorHAnsi"/>
        </w:rPr>
        <w:t>Gadas</w:t>
      </w:r>
      <w:proofErr w:type="spellEnd"/>
      <w:r w:rsidR="009A0D20">
        <w:rPr>
          <w:rFonts w:asciiTheme="minorHAnsi" w:hAnsiTheme="minorHAnsi"/>
        </w:rPr>
        <w:t xml:space="preserve"> (MŽP), Beneš (SFŽP), Prokop (SFŽP), Zárubová (SFŽP), Vráblíková (SFŽP), </w:t>
      </w:r>
      <w:proofErr w:type="spellStart"/>
      <w:r w:rsidR="009A0D20">
        <w:rPr>
          <w:rFonts w:asciiTheme="minorHAnsi" w:hAnsiTheme="minorHAnsi"/>
        </w:rPr>
        <w:t>Kyselák</w:t>
      </w:r>
      <w:proofErr w:type="spellEnd"/>
      <w:r w:rsidR="009A0D20">
        <w:rPr>
          <w:rFonts w:asciiTheme="minorHAnsi" w:hAnsiTheme="minorHAnsi"/>
        </w:rPr>
        <w:t xml:space="preserve"> (MPO), </w:t>
      </w:r>
      <w:proofErr w:type="spellStart"/>
      <w:r w:rsidR="009A0D20">
        <w:rPr>
          <w:rFonts w:asciiTheme="minorHAnsi" w:hAnsiTheme="minorHAnsi"/>
        </w:rPr>
        <w:t>Olšakovský</w:t>
      </w:r>
      <w:proofErr w:type="spellEnd"/>
      <w:r w:rsidR="009A0D20">
        <w:rPr>
          <w:rFonts w:asciiTheme="minorHAnsi" w:hAnsiTheme="minorHAnsi"/>
        </w:rPr>
        <w:t xml:space="preserve"> (MFČR), </w:t>
      </w:r>
      <w:proofErr w:type="spellStart"/>
      <w:r w:rsidR="009A0D20">
        <w:rPr>
          <w:rFonts w:asciiTheme="minorHAnsi" w:hAnsiTheme="minorHAnsi"/>
        </w:rPr>
        <w:t>Slavotínek</w:t>
      </w:r>
      <w:proofErr w:type="spellEnd"/>
      <w:r w:rsidR="009A0D20">
        <w:rPr>
          <w:rFonts w:asciiTheme="minorHAnsi" w:hAnsiTheme="minorHAnsi"/>
        </w:rPr>
        <w:t xml:space="preserve"> (ENESA), Marada (ENESA), Zavázalová (ČBA), Novotný (PVK), Havelka (ČAOH), Očko (MPO), Dejl (MPO), Laube (MPO), Kalaš (MŽP), Sochor (MŽP), Novák (MMR), Nohejlová (MMR), Vaňkát (MMR), Zatloukal (</w:t>
      </w:r>
      <w:proofErr w:type="spellStart"/>
      <w:r w:rsidR="009A0D20">
        <w:rPr>
          <w:rFonts w:asciiTheme="minorHAnsi" w:hAnsiTheme="minorHAnsi"/>
        </w:rPr>
        <w:t>Deloitte</w:t>
      </w:r>
      <w:proofErr w:type="spellEnd"/>
      <w:r w:rsidR="009A0D20">
        <w:rPr>
          <w:rFonts w:asciiTheme="minorHAnsi" w:hAnsiTheme="minorHAnsi"/>
        </w:rPr>
        <w:t xml:space="preserve">), </w:t>
      </w:r>
      <w:proofErr w:type="spellStart"/>
      <w:r w:rsidR="009A0D20">
        <w:rPr>
          <w:rFonts w:asciiTheme="minorHAnsi" w:hAnsiTheme="minorHAnsi"/>
        </w:rPr>
        <w:t>Sedliačik</w:t>
      </w:r>
      <w:proofErr w:type="spellEnd"/>
      <w:r w:rsidR="009A0D20">
        <w:rPr>
          <w:rFonts w:asciiTheme="minorHAnsi" w:hAnsiTheme="minorHAnsi"/>
        </w:rPr>
        <w:t xml:space="preserve"> (</w:t>
      </w:r>
      <w:proofErr w:type="spellStart"/>
      <w:r w:rsidR="009A0D20">
        <w:rPr>
          <w:rFonts w:asciiTheme="minorHAnsi" w:hAnsiTheme="minorHAnsi"/>
        </w:rPr>
        <w:t>Deloitte</w:t>
      </w:r>
      <w:proofErr w:type="spellEnd"/>
      <w:r w:rsidR="009A0D20">
        <w:rPr>
          <w:rFonts w:asciiTheme="minorHAnsi" w:hAnsiTheme="minorHAnsi"/>
        </w:rPr>
        <w:t xml:space="preserve">), </w:t>
      </w:r>
      <w:proofErr w:type="spellStart"/>
      <w:r w:rsidR="009A0D20">
        <w:rPr>
          <w:rFonts w:asciiTheme="minorHAnsi" w:hAnsiTheme="minorHAnsi"/>
        </w:rPr>
        <w:t>Babjaková</w:t>
      </w:r>
      <w:proofErr w:type="spellEnd"/>
      <w:r w:rsidR="009A0D20">
        <w:rPr>
          <w:rFonts w:asciiTheme="minorHAnsi" w:hAnsiTheme="minorHAnsi"/>
        </w:rPr>
        <w:t xml:space="preserve"> (</w:t>
      </w:r>
      <w:proofErr w:type="spellStart"/>
      <w:r w:rsidR="009A0D20">
        <w:rPr>
          <w:rFonts w:asciiTheme="minorHAnsi" w:hAnsiTheme="minorHAnsi"/>
        </w:rPr>
        <w:t>Deloitte</w:t>
      </w:r>
      <w:proofErr w:type="spellEnd"/>
      <w:r w:rsidR="009A0D20">
        <w:rPr>
          <w:rFonts w:asciiTheme="minorHAnsi" w:hAnsiTheme="minorHAnsi"/>
        </w:rPr>
        <w:t>)</w:t>
      </w:r>
    </w:p>
    <w:p w14:paraId="15158D51" w14:textId="77777777" w:rsidR="000C2980" w:rsidRDefault="000C2980" w:rsidP="000C2980">
      <w:pPr>
        <w:ind w:left="1410" w:hanging="1410"/>
        <w:rPr>
          <w:rFonts w:asciiTheme="minorHAnsi" w:hAnsiTheme="minorHAnsi"/>
        </w:rPr>
      </w:pPr>
      <w:r>
        <w:rPr>
          <w:rFonts w:asciiTheme="minorHAnsi" w:hAnsiTheme="minorHAnsi"/>
        </w:rPr>
        <w:t>Předsedal</w:t>
      </w:r>
      <w:r>
        <w:rPr>
          <w:rFonts w:asciiTheme="minorHAnsi" w:hAnsiTheme="minorHAnsi"/>
        </w:rPr>
        <w:tab/>
      </w:r>
      <w:proofErr w:type="spellStart"/>
      <w:r>
        <w:rPr>
          <w:rFonts w:asciiTheme="minorHAnsi" w:hAnsiTheme="minorHAnsi"/>
        </w:rPr>
        <w:t>Švolba</w:t>
      </w:r>
      <w:proofErr w:type="spellEnd"/>
    </w:p>
    <w:p w14:paraId="76DB1FA2" w14:textId="77777777" w:rsidR="00F67364" w:rsidRDefault="008470B1" w:rsidP="000C2980">
      <w:pPr>
        <w:ind w:left="1410" w:hanging="1410"/>
        <w:rPr>
          <w:rFonts w:asciiTheme="minorHAnsi" w:hAnsiTheme="minorHAnsi"/>
        </w:rPr>
      </w:pPr>
      <w:r>
        <w:rPr>
          <w:rFonts w:asciiTheme="minorHAnsi" w:hAnsiTheme="minorHAnsi"/>
        </w:rPr>
        <w:t>Zapsal</w:t>
      </w:r>
      <w:r>
        <w:rPr>
          <w:rFonts w:asciiTheme="minorHAnsi" w:hAnsiTheme="minorHAnsi"/>
        </w:rPr>
        <w:tab/>
      </w:r>
      <w:r w:rsidR="0046287F">
        <w:rPr>
          <w:rFonts w:asciiTheme="minorHAnsi" w:hAnsiTheme="minorHAnsi"/>
        </w:rPr>
        <w:t>Novák (byl pořízen zvukový záznam zasedání)</w:t>
      </w:r>
    </w:p>
    <w:p w14:paraId="4F59876E" w14:textId="1DB20A57" w:rsidR="000C2980" w:rsidRDefault="000C2980" w:rsidP="000C2980">
      <w:pPr>
        <w:ind w:left="1410" w:hanging="1410"/>
        <w:rPr>
          <w:rFonts w:asciiTheme="minorHAnsi" w:hAnsiTheme="minorHAnsi"/>
        </w:rPr>
      </w:pPr>
      <w:r>
        <w:rPr>
          <w:rFonts w:asciiTheme="minorHAnsi" w:hAnsiTheme="minorHAnsi"/>
        </w:rPr>
        <w:t>Doba</w:t>
      </w:r>
      <w:r>
        <w:rPr>
          <w:rFonts w:asciiTheme="minorHAnsi" w:hAnsiTheme="minorHAnsi"/>
        </w:rPr>
        <w:tab/>
      </w:r>
      <w:r w:rsidR="009A0D20">
        <w:rPr>
          <w:rFonts w:asciiTheme="minorHAnsi" w:hAnsiTheme="minorHAnsi"/>
        </w:rPr>
        <w:t>13:00 – 16</w:t>
      </w:r>
      <w:r w:rsidR="0046287F">
        <w:rPr>
          <w:rFonts w:asciiTheme="minorHAnsi" w:hAnsiTheme="minorHAnsi"/>
        </w:rPr>
        <w:t>:00</w:t>
      </w:r>
    </w:p>
    <w:p w14:paraId="70DFCDB1" w14:textId="77777777" w:rsidR="0073313B" w:rsidRDefault="0073313B" w:rsidP="00460C33">
      <w:pPr>
        <w:rPr>
          <w:rFonts w:asciiTheme="minorHAnsi" w:hAnsiTheme="minorHAnsi"/>
        </w:rPr>
      </w:pPr>
    </w:p>
    <w:p w14:paraId="3F0F432F" w14:textId="7E69BF34" w:rsidR="000172E6" w:rsidRPr="00460C33" w:rsidRDefault="000172E6" w:rsidP="006716EA">
      <w:pPr>
        <w:jc w:val="both"/>
        <w:rPr>
          <w:rFonts w:asciiTheme="minorHAnsi" w:hAnsiTheme="minorHAnsi"/>
          <w:b/>
          <w:u w:val="single"/>
        </w:rPr>
      </w:pPr>
      <w:r w:rsidRPr="00460C33">
        <w:rPr>
          <w:rFonts w:asciiTheme="minorHAnsi" w:hAnsiTheme="minorHAnsi"/>
          <w:b/>
          <w:u w:val="single"/>
        </w:rPr>
        <w:t xml:space="preserve">Obsah jednání </w:t>
      </w:r>
    </w:p>
    <w:p w14:paraId="21C42FC8" w14:textId="43249879" w:rsidR="000172E6" w:rsidRDefault="000172E6" w:rsidP="006716EA">
      <w:pPr>
        <w:jc w:val="both"/>
        <w:rPr>
          <w:rFonts w:asciiTheme="minorHAnsi" w:hAnsiTheme="minorHAnsi"/>
        </w:rPr>
      </w:pPr>
      <w:r>
        <w:rPr>
          <w:rFonts w:asciiTheme="minorHAnsi" w:hAnsiTheme="minorHAnsi"/>
        </w:rPr>
        <w:t>Prezentace Závěrů Ex-ante posouzení možnosti využití finančních nástrojů v</w:t>
      </w:r>
      <w:r w:rsidR="0082774D">
        <w:rPr>
          <w:rFonts w:asciiTheme="minorHAnsi" w:hAnsiTheme="minorHAnsi"/>
        </w:rPr>
        <w:t> </w:t>
      </w:r>
      <w:r>
        <w:rPr>
          <w:rFonts w:asciiTheme="minorHAnsi" w:hAnsiTheme="minorHAnsi"/>
        </w:rPr>
        <w:t>OPŽP</w:t>
      </w:r>
    </w:p>
    <w:p w14:paraId="3181F1AA" w14:textId="4120988C" w:rsidR="0082774D" w:rsidRDefault="0082774D" w:rsidP="006716EA">
      <w:pPr>
        <w:jc w:val="both"/>
        <w:rPr>
          <w:rFonts w:asciiTheme="minorHAnsi" w:hAnsiTheme="minorHAnsi"/>
        </w:rPr>
      </w:pPr>
      <w:r>
        <w:rPr>
          <w:rFonts w:asciiTheme="minorHAnsi" w:hAnsiTheme="minorHAnsi"/>
        </w:rPr>
        <w:tab/>
        <w:t xml:space="preserve">- Zpracovatel společnost </w:t>
      </w:r>
      <w:proofErr w:type="spellStart"/>
      <w:r>
        <w:rPr>
          <w:rFonts w:asciiTheme="minorHAnsi" w:hAnsiTheme="minorHAnsi"/>
        </w:rPr>
        <w:t>Deloitte</w:t>
      </w:r>
      <w:proofErr w:type="spellEnd"/>
    </w:p>
    <w:p w14:paraId="5B9C2289" w14:textId="6C77A83F" w:rsidR="000172E6" w:rsidRDefault="000172E6" w:rsidP="006716EA">
      <w:pPr>
        <w:jc w:val="both"/>
        <w:rPr>
          <w:rFonts w:asciiTheme="minorHAnsi" w:hAnsiTheme="minorHAnsi"/>
        </w:rPr>
      </w:pPr>
      <w:r>
        <w:rPr>
          <w:rFonts w:asciiTheme="minorHAnsi" w:hAnsiTheme="minorHAnsi"/>
        </w:rPr>
        <w:t>Diskuze nad jednotlivými návrhy finančních nástrojů</w:t>
      </w:r>
      <w:r w:rsidR="00EE78D8">
        <w:rPr>
          <w:rFonts w:asciiTheme="minorHAnsi" w:hAnsiTheme="minorHAnsi"/>
        </w:rPr>
        <w:t xml:space="preserve"> – </w:t>
      </w:r>
      <w:r w:rsidR="009A6FD1">
        <w:rPr>
          <w:rFonts w:asciiTheme="minorHAnsi" w:hAnsiTheme="minorHAnsi"/>
        </w:rPr>
        <w:t xml:space="preserve">viz </w:t>
      </w:r>
      <w:r w:rsidR="00EE78D8">
        <w:rPr>
          <w:rFonts w:asciiTheme="minorHAnsi" w:hAnsiTheme="minorHAnsi"/>
        </w:rPr>
        <w:t>manažerské karty</w:t>
      </w:r>
    </w:p>
    <w:p w14:paraId="326AACB9" w14:textId="0D0CCBE7" w:rsidR="000172E6" w:rsidRDefault="00EE78D8" w:rsidP="006716EA">
      <w:pPr>
        <w:jc w:val="both"/>
        <w:rPr>
          <w:rFonts w:asciiTheme="minorHAnsi" w:hAnsiTheme="minorHAnsi"/>
        </w:rPr>
      </w:pPr>
      <w:r>
        <w:rPr>
          <w:rFonts w:asciiTheme="minorHAnsi" w:hAnsiTheme="minorHAnsi"/>
        </w:rPr>
        <w:t>Představení harmonogramu nastavení konkrétních finančních nástrojů</w:t>
      </w:r>
    </w:p>
    <w:p w14:paraId="55D1EA17" w14:textId="77777777" w:rsidR="000172E6" w:rsidRDefault="000172E6" w:rsidP="006716EA">
      <w:pPr>
        <w:jc w:val="both"/>
        <w:rPr>
          <w:rFonts w:asciiTheme="minorHAnsi" w:hAnsiTheme="minorHAnsi"/>
        </w:rPr>
      </w:pPr>
    </w:p>
    <w:p w14:paraId="696D7586" w14:textId="30E4680E" w:rsidR="00761F5A" w:rsidRPr="00460C33" w:rsidRDefault="00761F5A" w:rsidP="006716EA">
      <w:pPr>
        <w:jc w:val="both"/>
        <w:rPr>
          <w:rFonts w:asciiTheme="minorHAnsi" w:hAnsiTheme="minorHAnsi"/>
          <w:b/>
          <w:u w:val="single"/>
        </w:rPr>
      </w:pPr>
      <w:r w:rsidRPr="00460C33">
        <w:rPr>
          <w:rFonts w:asciiTheme="minorHAnsi" w:hAnsiTheme="minorHAnsi"/>
          <w:b/>
          <w:u w:val="single"/>
        </w:rPr>
        <w:t>Hlavní závěry jednání</w:t>
      </w:r>
    </w:p>
    <w:p w14:paraId="44ABEAC7" w14:textId="6DAE4A46" w:rsidR="0082774D" w:rsidRDefault="00D833D9" w:rsidP="0082774D">
      <w:pPr>
        <w:jc w:val="both"/>
        <w:rPr>
          <w:rFonts w:asciiTheme="minorHAnsi" w:hAnsiTheme="minorHAnsi"/>
        </w:rPr>
      </w:pPr>
      <w:r>
        <w:rPr>
          <w:rFonts w:asciiTheme="minorHAnsi" w:hAnsiTheme="minorHAnsi"/>
        </w:rPr>
        <w:t>Dle rozhodnutí ministra ze dne 2. 3. 2015 v</w:t>
      </w:r>
      <w:r w:rsidR="0082774D">
        <w:rPr>
          <w:rFonts w:asciiTheme="minorHAnsi" w:hAnsiTheme="minorHAnsi"/>
        </w:rPr>
        <w:t> oblastech, kde se uvažují finanční nástroje, nebudou do května 2015 vyhlašovány dotační výzvy, tj. SC 3.1</w:t>
      </w:r>
      <w:r w:rsidR="006B13D3">
        <w:rPr>
          <w:rFonts w:asciiTheme="minorHAnsi" w:hAnsiTheme="minorHAnsi"/>
        </w:rPr>
        <w:t xml:space="preserve"> (3.1.2)</w:t>
      </w:r>
      <w:r w:rsidR="0082774D">
        <w:rPr>
          <w:rFonts w:asciiTheme="minorHAnsi" w:hAnsiTheme="minorHAnsi"/>
        </w:rPr>
        <w:t>, SC 3.2, SC 3.5</w:t>
      </w:r>
      <w:r w:rsidR="006B13D3">
        <w:rPr>
          <w:rFonts w:asciiTheme="minorHAnsi" w:hAnsiTheme="minorHAnsi"/>
        </w:rPr>
        <w:t xml:space="preserve"> (3.5.1)</w:t>
      </w:r>
      <w:r w:rsidR="0082774D">
        <w:rPr>
          <w:rFonts w:asciiTheme="minorHAnsi" w:hAnsiTheme="minorHAnsi"/>
        </w:rPr>
        <w:t>, SC 5.1, SC 5.2</w:t>
      </w:r>
    </w:p>
    <w:p w14:paraId="2742901D" w14:textId="12F0575D" w:rsidR="00761F5A" w:rsidRDefault="0082774D" w:rsidP="006716EA">
      <w:pPr>
        <w:jc w:val="both"/>
        <w:rPr>
          <w:rFonts w:asciiTheme="minorHAnsi" w:hAnsiTheme="minorHAnsi"/>
        </w:rPr>
      </w:pPr>
      <w:r>
        <w:rPr>
          <w:rFonts w:asciiTheme="minorHAnsi" w:hAnsiTheme="minorHAnsi"/>
        </w:rPr>
        <w:t xml:space="preserve">Prioritní osa 5 – </w:t>
      </w:r>
      <w:r w:rsidR="00551396">
        <w:rPr>
          <w:rFonts w:asciiTheme="minorHAnsi" w:hAnsiTheme="minorHAnsi"/>
        </w:rPr>
        <w:t xml:space="preserve">je </w:t>
      </w:r>
      <w:r>
        <w:rPr>
          <w:rFonts w:asciiTheme="minorHAnsi" w:hAnsiTheme="minorHAnsi"/>
        </w:rPr>
        <w:t>navržen úvěrový nástroj v kombinaci s dotací – výše dotace zatím nebyla stanovena</w:t>
      </w:r>
    </w:p>
    <w:p w14:paraId="61C2F571" w14:textId="6D08A54B" w:rsidR="0082774D" w:rsidRDefault="0082774D" w:rsidP="006716EA">
      <w:pPr>
        <w:jc w:val="both"/>
        <w:rPr>
          <w:rFonts w:asciiTheme="minorHAnsi" w:hAnsiTheme="minorHAnsi"/>
        </w:rPr>
      </w:pPr>
      <w:r>
        <w:rPr>
          <w:rFonts w:asciiTheme="minorHAnsi" w:hAnsiTheme="minorHAnsi"/>
        </w:rPr>
        <w:t xml:space="preserve">Prioritní osa 3 </w:t>
      </w:r>
      <w:r w:rsidR="00551396">
        <w:rPr>
          <w:rFonts w:asciiTheme="minorHAnsi" w:hAnsiTheme="minorHAnsi"/>
        </w:rPr>
        <w:t>–</w:t>
      </w:r>
      <w:r>
        <w:rPr>
          <w:rFonts w:asciiTheme="minorHAnsi" w:hAnsiTheme="minorHAnsi"/>
        </w:rPr>
        <w:t xml:space="preserve"> </w:t>
      </w:r>
      <w:r w:rsidR="00551396">
        <w:rPr>
          <w:rFonts w:asciiTheme="minorHAnsi" w:hAnsiTheme="minorHAnsi"/>
        </w:rPr>
        <w:t xml:space="preserve">je </w:t>
      </w:r>
      <w:r>
        <w:rPr>
          <w:rFonts w:asciiTheme="minorHAnsi" w:hAnsiTheme="minorHAnsi"/>
        </w:rPr>
        <w:t>navržen úvěrový nástroj v kombinaci s dotací max. do výše 15%</w:t>
      </w:r>
    </w:p>
    <w:p w14:paraId="132AAD55" w14:textId="49F902A9" w:rsidR="009A6FD1" w:rsidRDefault="009A6FD1" w:rsidP="006716EA">
      <w:pPr>
        <w:jc w:val="both"/>
        <w:rPr>
          <w:rFonts w:asciiTheme="minorHAnsi" w:hAnsiTheme="minorHAnsi"/>
        </w:rPr>
      </w:pPr>
      <w:r>
        <w:rPr>
          <w:rFonts w:asciiTheme="minorHAnsi" w:hAnsiTheme="minorHAnsi"/>
        </w:rPr>
        <w:t xml:space="preserve">Prioritní osa 2, SC 2.1 </w:t>
      </w:r>
      <w:r w:rsidR="00551396">
        <w:rPr>
          <w:rFonts w:asciiTheme="minorHAnsi" w:hAnsiTheme="minorHAnsi"/>
        </w:rPr>
        <w:t>–</w:t>
      </w:r>
      <w:r>
        <w:rPr>
          <w:rFonts w:asciiTheme="minorHAnsi" w:hAnsiTheme="minorHAnsi"/>
        </w:rPr>
        <w:t xml:space="preserve"> </w:t>
      </w:r>
      <w:r w:rsidR="00F879B7">
        <w:rPr>
          <w:rFonts w:asciiTheme="minorHAnsi" w:hAnsiTheme="minorHAnsi"/>
        </w:rPr>
        <w:t>navržený finanční nástroj se bude realizovat případně až v návaznosti na</w:t>
      </w:r>
      <w:r>
        <w:rPr>
          <w:rFonts w:asciiTheme="minorHAnsi" w:hAnsiTheme="minorHAnsi"/>
        </w:rPr>
        <w:t xml:space="preserve"> pilotní projekt pro město Ostrava – kombinace dotace a zvýhodněného úvěru</w:t>
      </w:r>
    </w:p>
    <w:p w14:paraId="17013ACD" w14:textId="51D9F04C" w:rsidR="009A6FD1" w:rsidRPr="00761F5A" w:rsidRDefault="009A6FD1" w:rsidP="006716EA">
      <w:pPr>
        <w:jc w:val="both"/>
        <w:rPr>
          <w:rFonts w:asciiTheme="minorHAnsi" w:hAnsiTheme="minorHAnsi"/>
        </w:rPr>
      </w:pPr>
      <w:r>
        <w:rPr>
          <w:rFonts w:asciiTheme="minorHAnsi" w:hAnsiTheme="minorHAnsi"/>
        </w:rPr>
        <w:t>Prioritní osa 1 – navržený finanční nástroj se nebude realizovat</w:t>
      </w:r>
    </w:p>
    <w:p w14:paraId="3F9F7ABB" w14:textId="77777777" w:rsidR="00761F5A" w:rsidRDefault="00761F5A" w:rsidP="006716EA">
      <w:pPr>
        <w:jc w:val="both"/>
        <w:rPr>
          <w:rFonts w:asciiTheme="minorHAnsi" w:hAnsiTheme="minorHAnsi"/>
          <w:u w:val="single"/>
        </w:rPr>
      </w:pPr>
    </w:p>
    <w:p w14:paraId="60BF58F3" w14:textId="33CA0D50" w:rsidR="000172E6" w:rsidRPr="00551396" w:rsidRDefault="000172E6" w:rsidP="006716EA">
      <w:pPr>
        <w:jc w:val="both"/>
        <w:rPr>
          <w:rFonts w:asciiTheme="minorHAnsi" w:hAnsiTheme="minorHAnsi"/>
          <w:b/>
          <w:u w:val="single"/>
        </w:rPr>
      </w:pPr>
      <w:r w:rsidRPr="00551396">
        <w:rPr>
          <w:rFonts w:asciiTheme="minorHAnsi" w:hAnsiTheme="minorHAnsi"/>
          <w:b/>
          <w:u w:val="single"/>
        </w:rPr>
        <w:lastRenderedPageBreak/>
        <w:t>Zápis jednání</w:t>
      </w:r>
    </w:p>
    <w:p w14:paraId="421E51C0" w14:textId="01CFC099" w:rsidR="000172E6" w:rsidRDefault="005C6E18" w:rsidP="006716EA">
      <w:pPr>
        <w:jc w:val="both"/>
        <w:rPr>
          <w:rFonts w:asciiTheme="minorHAnsi" w:hAnsiTheme="minorHAnsi"/>
        </w:rPr>
      </w:pPr>
      <w:r>
        <w:rPr>
          <w:rFonts w:asciiTheme="minorHAnsi" w:hAnsiTheme="minorHAnsi"/>
        </w:rPr>
        <w:t>Na začátku</w:t>
      </w:r>
      <w:r w:rsidR="0073313B">
        <w:rPr>
          <w:rFonts w:asciiTheme="minorHAnsi" w:hAnsiTheme="minorHAnsi"/>
        </w:rPr>
        <w:t xml:space="preserve"> </w:t>
      </w:r>
      <w:r>
        <w:rPr>
          <w:rFonts w:asciiTheme="minorHAnsi" w:hAnsiTheme="minorHAnsi"/>
        </w:rPr>
        <w:t xml:space="preserve">jednání </w:t>
      </w:r>
      <w:r w:rsidR="00EE78D8">
        <w:rPr>
          <w:rFonts w:asciiTheme="minorHAnsi" w:hAnsiTheme="minorHAnsi"/>
        </w:rPr>
        <w:t>p.</w:t>
      </w:r>
      <w:r w:rsidR="0046287F">
        <w:rPr>
          <w:rFonts w:asciiTheme="minorHAnsi" w:hAnsiTheme="minorHAnsi"/>
        </w:rPr>
        <w:t xml:space="preserve"> </w:t>
      </w:r>
      <w:proofErr w:type="spellStart"/>
      <w:r>
        <w:rPr>
          <w:rFonts w:asciiTheme="minorHAnsi" w:hAnsiTheme="minorHAnsi"/>
        </w:rPr>
        <w:t>Švolba</w:t>
      </w:r>
      <w:proofErr w:type="spellEnd"/>
      <w:r>
        <w:rPr>
          <w:rFonts w:asciiTheme="minorHAnsi" w:hAnsiTheme="minorHAnsi"/>
        </w:rPr>
        <w:t xml:space="preserve"> </w:t>
      </w:r>
      <w:r w:rsidR="0046287F">
        <w:rPr>
          <w:rFonts w:asciiTheme="minorHAnsi" w:hAnsiTheme="minorHAnsi"/>
        </w:rPr>
        <w:t xml:space="preserve">uvedl, </w:t>
      </w:r>
      <w:r w:rsidR="000172E6">
        <w:rPr>
          <w:rFonts w:asciiTheme="minorHAnsi" w:hAnsiTheme="minorHAnsi"/>
        </w:rPr>
        <w:t>že pod gescí MMR byla vytvořena pracovní skupina pro finanční nástroje</w:t>
      </w:r>
      <w:r w:rsidR="00BC5BAC">
        <w:rPr>
          <w:rFonts w:asciiTheme="minorHAnsi" w:hAnsiTheme="minorHAnsi"/>
        </w:rPr>
        <w:t>, v rámci které bude probíhat koordinace mezi rezorty, jež připravují finanční nástroje.</w:t>
      </w:r>
    </w:p>
    <w:p w14:paraId="4887EDF0" w14:textId="77777777" w:rsidR="00BC5BAC" w:rsidRDefault="00BC5BAC" w:rsidP="006716EA">
      <w:pPr>
        <w:jc w:val="both"/>
        <w:rPr>
          <w:rFonts w:asciiTheme="minorHAnsi" w:hAnsiTheme="minorHAnsi"/>
        </w:rPr>
      </w:pPr>
    </w:p>
    <w:p w14:paraId="62A4A0F2" w14:textId="26AF0818" w:rsidR="000172E6" w:rsidRDefault="00EE78D8" w:rsidP="006716EA">
      <w:pPr>
        <w:jc w:val="both"/>
        <w:rPr>
          <w:rFonts w:asciiTheme="minorHAnsi" w:hAnsiTheme="minorHAnsi"/>
        </w:rPr>
      </w:pPr>
      <w:r>
        <w:rPr>
          <w:rFonts w:asciiTheme="minorHAnsi" w:hAnsiTheme="minorHAnsi"/>
        </w:rPr>
        <w:t>Ing.</w:t>
      </w:r>
      <w:r w:rsidR="00BC5BAC">
        <w:rPr>
          <w:rFonts w:asciiTheme="minorHAnsi" w:hAnsiTheme="minorHAnsi"/>
        </w:rPr>
        <w:t xml:space="preserve"> </w:t>
      </w:r>
      <w:proofErr w:type="spellStart"/>
      <w:r w:rsidR="00BC5BAC">
        <w:rPr>
          <w:rFonts w:asciiTheme="minorHAnsi" w:hAnsiTheme="minorHAnsi"/>
        </w:rPr>
        <w:t>Švolba</w:t>
      </w:r>
      <w:proofErr w:type="spellEnd"/>
      <w:r w:rsidR="00BC5BAC">
        <w:rPr>
          <w:rFonts w:asciiTheme="minorHAnsi" w:hAnsiTheme="minorHAnsi"/>
        </w:rPr>
        <w:t xml:space="preserve"> poděkoval za spolupráci při vypracování připomínek v celém průběhu přípravy materiálu Ex-ante posouzení a uvedl, že připomínky, které vzejdou během prezentace, budou zapracovány do Závěrečné zprávy a následně bude zpráva předána k akceptaci MŽP.</w:t>
      </w:r>
      <w:r>
        <w:rPr>
          <w:rFonts w:asciiTheme="minorHAnsi" w:hAnsiTheme="minorHAnsi"/>
        </w:rPr>
        <w:t xml:space="preserve"> </w:t>
      </w:r>
      <w:r w:rsidR="00BC5BAC">
        <w:rPr>
          <w:rFonts w:asciiTheme="minorHAnsi" w:hAnsiTheme="minorHAnsi"/>
        </w:rPr>
        <w:t xml:space="preserve">Dalšími kroky </w:t>
      </w:r>
      <w:r>
        <w:rPr>
          <w:rFonts w:asciiTheme="minorHAnsi" w:hAnsiTheme="minorHAnsi"/>
        </w:rPr>
        <w:t xml:space="preserve">ze strany MŽP </w:t>
      </w:r>
      <w:r w:rsidR="00BC5BAC">
        <w:rPr>
          <w:rFonts w:asciiTheme="minorHAnsi" w:hAnsiTheme="minorHAnsi"/>
        </w:rPr>
        <w:t>bude příprava konkrétních návrhů finančních nástrojů.</w:t>
      </w:r>
    </w:p>
    <w:p w14:paraId="62C5B335" w14:textId="77777777" w:rsidR="00EE78D8" w:rsidRDefault="00EE78D8" w:rsidP="006716EA">
      <w:pPr>
        <w:jc w:val="both"/>
        <w:rPr>
          <w:rFonts w:asciiTheme="minorHAnsi" w:hAnsiTheme="minorHAnsi"/>
        </w:rPr>
      </w:pPr>
    </w:p>
    <w:p w14:paraId="2661C81E" w14:textId="7D42F943" w:rsidR="00BC5BAC" w:rsidRDefault="00BC5BAC" w:rsidP="006716EA">
      <w:pPr>
        <w:jc w:val="both"/>
        <w:rPr>
          <w:rFonts w:asciiTheme="minorHAnsi" w:hAnsiTheme="minorHAnsi"/>
        </w:rPr>
      </w:pPr>
      <w:r>
        <w:rPr>
          <w:rFonts w:asciiTheme="minorHAnsi" w:hAnsiTheme="minorHAnsi"/>
        </w:rPr>
        <w:t xml:space="preserve">Zástupce zpracovatele, společnosti </w:t>
      </w:r>
      <w:proofErr w:type="spellStart"/>
      <w:r>
        <w:rPr>
          <w:rFonts w:asciiTheme="minorHAnsi" w:hAnsiTheme="minorHAnsi"/>
        </w:rPr>
        <w:t>Deloitte</w:t>
      </w:r>
      <w:proofErr w:type="spellEnd"/>
      <w:r>
        <w:rPr>
          <w:rFonts w:asciiTheme="minorHAnsi" w:hAnsiTheme="minorHAnsi"/>
        </w:rPr>
        <w:t>, p</w:t>
      </w:r>
      <w:r w:rsidR="00EE78D8">
        <w:rPr>
          <w:rFonts w:asciiTheme="minorHAnsi" w:hAnsiTheme="minorHAnsi"/>
        </w:rPr>
        <w:t>.</w:t>
      </w:r>
      <w:r>
        <w:rPr>
          <w:rFonts w:asciiTheme="minorHAnsi" w:hAnsiTheme="minorHAnsi"/>
        </w:rPr>
        <w:t xml:space="preserve"> </w:t>
      </w:r>
      <w:proofErr w:type="spellStart"/>
      <w:r>
        <w:rPr>
          <w:rFonts w:asciiTheme="minorHAnsi" w:hAnsiTheme="minorHAnsi"/>
        </w:rPr>
        <w:t>Sedliačik</w:t>
      </w:r>
      <w:proofErr w:type="spellEnd"/>
      <w:r>
        <w:rPr>
          <w:rFonts w:asciiTheme="minorHAnsi" w:hAnsiTheme="minorHAnsi"/>
        </w:rPr>
        <w:t xml:space="preserve"> prezentoval výstupy Ex-ante analýzy.</w:t>
      </w:r>
      <w:r w:rsidR="00EE78D8">
        <w:rPr>
          <w:rFonts w:asciiTheme="minorHAnsi" w:hAnsiTheme="minorHAnsi"/>
        </w:rPr>
        <w:t xml:space="preserve"> Pan </w:t>
      </w:r>
      <w:proofErr w:type="spellStart"/>
      <w:r w:rsidR="00EE78D8">
        <w:rPr>
          <w:rFonts w:asciiTheme="minorHAnsi" w:hAnsiTheme="minorHAnsi"/>
        </w:rPr>
        <w:t>Sedliačik</w:t>
      </w:r>
      <w:proofErr w:type="spellEnd"/>
      <w:r w:rsidR="00EE78D8">
        <w:rPr>
          <w:rFonts w:asciiTheme="minorHAnsi" w:hAnsiTheme="minorHAnsi"/>
        </w:rPr>
        <w:t xml:space="preserve"> uvedl, že vzhledem k současnému stavu přípravy finančního nástroje, mohou být FN spuštěny v prvním kvartálu 2016. Do té doby je nutné připravit implementační část finančního nástroje, včetně monitoringu a reportingu.</w:t>
      </w:r>
    </w:p>
    <w:p w14:paraId="528AE3BB" w14:textId="77777777" w:rsidR="00BD13F2" w:rsidRDefault="00BD13F2" w:rsidP="006716EA">
      <w:pPr>
        <w:jc w:val="both"/>
        <w:rPr>
          <w:rFonts w:asciiTheme="minorHAnsi" w:hAnsiTheme="minorHAnsi"/>
        </w:rPr>
      </w:pPr>
    </w:p>
    <w:p w14:paraId="60D8CC1F" w14:textId="13CC8878" w:rsidR="00826389" w:rsidRDefault="00826389" w:rsidP="006716EA">
      <w:pPr>
        <w:jc w:val="both"/>
        <w:rPr>
          <w:rFonts w:asciiTheme="minorHAnsi" w:hAnsiTheme="minorHAnsi"/>
        </w:rPr>
      </w:pPr>
      <w:r>
        <w:rPr>
          <w:rFonts w:asciiTheme="minorHAnsi" w:hAnsiTheme="minorHAnsi"/>
        </w:rPr>
        <w:t xml:space="preserve">Pan náměstek Jan Kříž uvedl výsledky jednání s ministrem životního prostředí na téma finančních nástrojů. Je třeba verifikovat navržené finanční nástroje s Evropskou komisí. Hlavním cílem je nalákat soukromé investory za cílem pákového efektu. Do konce května bude panu ministrovi představeno další rozpracování </w:t>
      </w:r>
      <w:r w:rsidR="002E7CC6">
        <w:rPr>
          <w:rFonts w:asciiTheme="minorHAnsi" w:hAnsiTheme="minorHAnsi"/>
        </w:rPr>
        <w:t>konkrétních produktů finančních nástrojů.</w:t>
      </w:r>
    </w:p>
    <w:p w14:paraId="222C0E61" w14:textId="77777777" w:rsidR="00826389" w:rsidRDefault="00826389" w:rsidP="006716EA">
      <w:pPr>
        <w:jc w:val="both"/>
        <w:rPr>
          <w:rFonts w:asciiTheme="minorHAnsi" w:hAnsiTheme="minorHAnsi"/>
        </w:rPr>
      </w:pPr>
    </w:p>
    <w:p w14:paraId="0F3069F2" w14:textId="1885B58E" w:rsidR="00826389" w:rsidRDefault="00826389" w:rsidP="006716EA">
      <w:pPr>
        <w:jc w:val="both"/>
        <w:rPr>
          <w:rFonts w:asciiTheme="minorHAnsi" w:hAnsiTheme="minorHAnsi"/>
        </w:rPr>
      </w:pPr>
      <w:r>
        <w:rPr>
          <w:rFonts w:asciiTheme="minorHAnsi" w:hAnsiTheme="minorHAnsi"/>
        </w:rPr>
        <w:t xml:space="preserve">V uvedených oblastech je navržen úvěrový finanční nástroj, v kombinaci s podporou </w:t>
      </w:r>
      <w:r w:rsidR="004C60AF">
        <w:rPr>
          <w:rFonts w:asciiTheme="minorHAnsi" w:hAnsiTheme="minorHAnsi"/>
        </w:rPr>
        <w:t>formou dotace. Alokace do finančního nástroje z prostředků OPŽP bude určena na základě jednání s garanty prioritních os.</w:t>
      </w:r>
    </w:p>
    <w:p w14:paraId="5A7A50B7" w14:textId="77777777" w:rsidR="00460C33" w:rsidRDefault="00460C33" w:rsidP="006716EA">
      <w:pPr>
        <w:jc w:val="both"/>
        <w:rPr>
          <w:rFonts w:asciiTheme="minorHAnsi" w:hAnsiTheme="minorHAnsi"/>
        </w:rPr>
      </w:pPr>
    </w:p>
    <w:p w14:paraId="167B97B1" w14:textId="1E771527" w:rsidR="002F1840" w:rsidRDefault="002F1840" w:rsidP="006716EA">
      <w:pPr>
        <w:jc w:val="both"/>
        <w:rPr>
          <w:rFonts w:asciiTheme="minorHAnsi" w:hAnsiTheme="minorHAnsi"/>
        </w:rPr>
      </w:pPr>
      <w:r>
        <w:rPr>
          <w:rFonts w:asciiTheme="minorHAnsi" w:hAnsiTheme="minorHAnsi"/>
        </w:rPr>
        <w:t>V navržených finančních produktech je očekáváno</w:t>
      </w:r>
      <w:r w:rsidR="004C60AF">
        <w:rPr>
          <w:rFonts w:asciiTheme="minorHAnsi" w:hAnsiTheme="minorHAnsi"/>
        </w:rPr>
        <w:t xml:space="preserve"> spolufinancování ze strany spolupracujících </w:t>
      </w:r>
      <w:r>
        <w:rPr>
          <w:rFonts w:asciiTheme="minorHAnsi" w:hAnsiTheme="minorHAnsi"/>
        </w:rPr>
        <w:t xml:space="preserve">bankovních subjektů, případně také využití </w:t>
      </w:r>
      <w:proofErr w:type="spellStart"/>
      <w:r>
        <w:rPr>
          <w:rFonts w:asciiTheme="minorHAnsi" w:hAnsiTheme="minorHAnsi"/>
        </w:rPr>
        <w:t>sekuritizace</w:t>
      </w:r>
      <w:proofErr w:type="spellEnd"/>
      <w:r>
        <w:rPr>
          <w:rFonts w:asciiTheme="minorHAnsi" w:hAnsiTheme="minorHAnsi"/>
        </w:rPr>
        <w:t xml:space="preserve"> úvěrů.</w:t>
      </w:r>
    </w:p>
    <w:p w14:paraId="43229C64" w14:textId="10320F4D" w:rsidR="00BD7DA8" w:rsidRDefault="00BD7DA8" w:rsidP="006716EA">
      <w:pPr>
        <w:jc w:val="both"/>
        <w:rPr>
          <w:rFonts w:asciiTheme="minorHAnsi" w:hAnsiTheme="minorHAnsi"/>
        </w:rPr>
      </w:pPr>
      <w:r>
        <w:rPr>
          <w:rFonts w:asciiTheme="minorHAnsi" w:hAnsiTheme="minorHAnsi"/>
        </w:rPr>
        <w:t>Předpokládá se soutěžení spolupracujících bank formou soutěže o nabídku, kdy za určitých podmínek (max. výše úroku, aj.) bude systém otevřen pro všechny banky. Forma soutěže bude ověřena na ÚOHS.</w:t>
      </w:r>
    </w:p>
    <w:p w14:paraId="56DDD2CB" w14:textId="6A57636A" w:rsidR="00761F5A" w:rsidRDefault="00761F5A" w:rsidP="006716EA">
      <w:pPr>
        <w:jc w:val="both"/>
        <w:rPr>
          <w:rFonts w:asciiTheme="minorHAnsi" w:hAnsiTheme="minorHAnsi"/>
        </w:rPr>
      </w:pPr>
      <w:r>
        <w:rPr>
          <w:rFonts w:asciiTheme="minorHAnsi" w:hAnsiTheme="minorHAnsi"/>
        </w:rPr>
        <w:t>Zástupci IROP navrhli, aby MMR a MŽP oslovili ČBA společně.</w:t>
      </w:r>
    </w:p>
    <w:p w14:paraId="5F9133ED" w14:textId="6A1AD278" w:rsidR="006D0A2F" w:rsidRDefault="006D0A2F" w:rsidP="006716EA">
      <w:pPr>
        <w:jc w:val="both"/>
        <w:rPr>
          <w:rFonts w:asciiTheme="minorHAnsi" w:hAnsiTheme="minorHAnsi"/>
        </w:rPr>
      </w:pPr>
      <w:r>
        <w:rPr>
          <w:rFonts w:asciiTheme="minorHAnsi" w:hAnsiTheme="minorHAnsi"/>
        </w:rPr>
        <w:t>V budoucnu je možné zapojení tzv. „</w:t>
      </w:r>
      <w:proofErr w:type="spellStart"/>
      <w:r>
        <w:rPr>
          <w:rFonts w:asciiTheme="minorHAnsi" w:hAnsiTheme="minorHAnsi"/>
        </w:rPr>
        <w:t>Junckerova</w:t>
      </w:r>
      <w:proofErr w:type="spellEnd"/>
      <w:r>
        <w:rPr>
          <w:rFonts w:asciiTheme="minorHAnsi" w:hAnsiTheme="minorHAnsi"/>
        </w:rPr>
        <w:t xml:space="preserve"> balíčku“ ve formě garancí za celé úvěrové portfolio finančního nástroje.</w:t>
      </w:r>
    </w:p>
    <w:p w14:paraId="59734751" w14:textId="77777777" w:rsidR="002F1840" w:rsidRDefault="002F1840" w:rsidP="006716EA">
      <w:pPr>
        <w:jc w:val="both"/>
        <w:rPr>
          <w:rFonts w:asciiTheme="minorHAnsi" w:hAnsiTheme="minorHAnsi"/>
        </w:rPr>
      </w:pPr>
    </w:p>
    <w:p w14:paraId="57352837" w14:textId="0952E683" w:rsidR="00146A22" w:rsidRDefault="002F1840" w:rsidP="006716EA">
      <w:pPr>
        <w:jc w:val="both"/>
        <w:rPr>
          <w:rFonts w:asciiTheme="minorHAnsi" w:hAnsiTheme="minorHAnsi"/>
        </w:rPr>
      </w:pPr>
      <w:r>
        <w:rPr>
          <w:rFonts w:asciiTheme="minorHAnsi" w:hAnsiTheme="minorHAnsi"/>
        </w:rPr>
        <w:t xml:space="preserve">Prostředky z poskytnutých úvěrů, které se vrátí do finančního nástroje, jsou dle pravidel EK ještě 8 let </w:t>
      </w:r>
      <w:r w:rsidR="00BD7DA8">
        <w:rPr>
          <w:rFonts w:asciiTheme="minorHAnsi" w:hAnsiTheme="minorHAnsi"/>
        </w:rPr>
        <w:t xml:space="preserve">po jejich navrácení </w:t>
      </w:r>
      <w:r>
        <w:rPr>
          <w:rFonts w:asciiTheme="minorHAnsi" w:hAnsiTheme="minorHAnsi"/>
        </w:rPr>
        <w:t xml:space="preserve">využívány </w:t>
      </w:r>
      <w:r w:rsidR="002E7CC6">
        <w:rPr>
          <w:rFonts w:asciiTheme="minorHAnsi" w:hAnsiTheme="minorHAnsi"/>
        </w:rPr>
        <w:t>obdobným způsobem</w:t>
      </w:r>
      <w:r>
        <w:rPr>
          <w:rFonts w:asciiTheme="minorHAnsi" w:hAnsiTheme="minorHAnsi"/>
        </w:rPr>
        <w:t xml:space="preserve"> a poté se stávají národními zdroji.</w:t>
      </w:r>
    </w:p>
    <w:p w14:paraId="56CA8464" w14:textId="77777777" w:rsidR="00A759BC" w:rsidRDefault="00A759BC" w:rsidP="006716EA">
      <w:pPr>
        <w:jc w:val="both"/>
        <w:rPr>
          <w:rFonts w:asciiTheme="minorHAnsi" w:hAnsiTheme="minorHAnsi"/>
        </w:rPr>
      </w:pPr>
    </w:p>
    <w:p w14:paraId="3245DABA" w14:textId="703F94CE" w:rsidR="00A759BC" w:rsidRDefault="00A759BC" w:rsidP="006716EA">
      <w:pPr>
        <w:jc w:val="both"/>
        <w:rPr>
          <w:rFonts w:asciiTheme="minorHAnsi" w:hAnsiTheme="minorHAnsi"/>
        </w:rPr>
      </w:pPr>
      <w:r>
        <w:rPr>
          <w:rFonts w:asciiTheme="minorHAnsi" w:hAnsiTheme="minorHAnsi"/>
        </w:rPr>
        <w:t>Alokace do jednotlivých finančních nástrojů je momentálně navržena v programovém dokumentu OPŽP pouze indikativně. Předpokládá se, že v průběhu programovacího období může být alokace měněna, pokud to tak bude uvedeno v programovém dokumentu.</w:t>
      </w:r>
    </w:p>
    <w:p w14:paraId="2D50900D" w14:textId="77777777" w:rsidR="00001EC7" w:rsidRDefault="00001EC7" w:rsidP="006716EA">
      <w:pPr>
        <w:jc w:val="both"/>
        <w:rPr>
          <w:rFonts w:asciiTheme="minorHAnsi" w:hAnsiTheme="minorHAnsi"/>
        </w:rPr>
      </w:pPr>
    </w:p>
    <w:p w14:paraId="06B311ED" w14:textId="388EFA5D" w:rsidR="00001EC7" w:rsidRDefault="00001EC7" w:rsidP="006716EA">
      <w:pPr>
        <w:jc w:val="both"/>
        <w:rPr>
          <w:rFonts w:asciiTheme="minorHAnsi" w:hAnsiTheme="minorHAnsi"/>
        </w:rPr>
      </w:pPr>
      <w:r>
        <w:rPr>
          <w:rFonts w:asciiTheme="minorHAnsi" w:hAnsiTheme="minorHAnsi"/>
        </w:rPr>
        <w:t>Pan Sochor upozornil, že žadatel bude v případě využití úvěr</w:t>
      </w:r>
      <w:r w:rsidR="00460C33">
        <w:rPr>
          <w:rFonts w:asciiTheme="minorHAnsi" w:hAnsiTheme="minorHAnsi"/>
        </w:rPr>
        <w:t xml:space="preserve">ového nástroje </w:t>
      </w:r>
      <w:r>
        <w:rPr>
          <w:rFonts w:asciiTheme="minorHAnsi" w:hAnsiTheme="minorHAnsi"/>
        </w:rPr>
        <w:t xml:space="preserve">muset </w:t>
      </w:r>
      <w:r w:rsidR="00460C33">
        <w:rPr>
          <w:rFonts w:asciiTheme="minorHAnsi" w:hAnsiTheme="minorHAnsi"/>
        </w:rPr>
        <w:t xml:space="preserve">nadále </w:t>
      </w:r>
      <w:r>
        <w:rPr>
          <w:rFonts w:asciiTheme="minorHAnsi" w:hAnsiTheme="minorHAnsi"/>
        </w:rPr>
        <w:t>financovat nezpůsobilé výdaje projektu, v praxi je často využíván překlenovací úvěr.</w:t>
      </w:r>
    </w:p>
    <w:p w14:paraId="4A87A33B" w14:textId="77777777" w:rsidR="00001EC7" w:rsidRDefault="00001EC7" w:rsidP="006716EA">
      <w:pPr>
        <w:jc w:val="both"/>
        <w:rPr>
          <w:rFonts w:asciiTheme="minorHAnsi" w:hAnsiTheme="minorHAnsi"/>
        </w:rPr>
      </w:pPr>
    </w:p>
    <w:p w14:paraId="6DE9A48D" w14:textId="2BCD07AA" w:rsidR="00001EC7" w:rsidRDefault="00001EC7" w:rsidP="006716EA">
      <w:pPr>
        <w:jc w:val="both"/>
        <w:rPr>
          <w:rFonts w:asciiTheme="minorHAnsi" w:hAnsiTheme="minorHAnsi"/>
        </w:rPr>
      </w:pPr>
      <w:r>
        <w:rPr>
          <w:rFonts w:asciiTheme="minorHAnsi" w:hAnsiTheme="minorHAnsi"/>
        </w:rPr>
        <w:lastRenderedPageBreak/>
        <w:t>Hodnocení bonity bude provádět finanční zprostředkovatel – SFŽP, případně banky – na základě předem nastavených základních kritérií. Cílem je, aby byly financovány projekty žadatelů i s relativně nižší bonitou.</w:t>
      </w:r>
    </w:p>
    <w:p w14:paraId="73ABE03E" w14:textId="77777777" w:rsidR="00001EC7" w:rsidRDefault="00001EC7" w:rsidP="006716EA">
      <w:pPr>
        <w:jc w:val="both"/>
        <w:rPr>
          <w:rFonts w:asciiTheme="minorHAnsi" w:hAnsiTheme="minorHAnsi"/>
        </w:rPr>
      </w:pPr>
    </w:p>
    <w:p w14:paraId="23C6A269" w14:textId="5A728B64" w:rsidR="00001EC7" w:rsidRDefault="00001EC7" w:rsidP="006716EA">
      <w:pPr>
        <w:jc w:val="both"/>
        <w:rPr>
          <w:rFonts w:asciiTheme="minorHAnsi" w:hAnsiTheme="minorHAnsi"/>
        </w:rPr>
      </w:pPr>
      <w:r>
        <w:rPr>
          <w:rFonts w:asciiTheme="minorHAnsi" w:hAnsiTheme="minorHAnsi"/>
        </w:rPr>
        <w:t>Dle pravidel EK není možné dodatečné přiznání dotace na splacení části úvěru na základě splnění předem daných kritérií.</w:t>
      </w:r>
      <w:r w:rsidR="007F682C">
        <w:rPr>
          <w:rFonts w:asciiTheme="minorHAnsi" w:hAnsiTheme="minorHAnsi"/>
        </w:rPr>
        <w:t xml:space="preserve"> EK k tématu kombinace dotace a finančního nástroje vydá </w:t>
      </w:r>
      <w:proofErr w:type="spellStart"/>
      <w:r w:rsidR="007F682C">
        <w:rPr>
          <w:rFonts w:asciiTheme="minorHAnsi" w:hAnsiTheme="minorHAnsi"/>
        </w:rPr>
        <w:t>guidance</w:t>
      </w:r>
      <w:proofErr w:type="spellEnd"/>
      <w:r w:rsidR="007F682C">
        <w:rPr>
          <w:rFonts w:asciiTheme="minorHAnsi" w:hAnsiTheme="minorHAnsi"/>
        </w:rPr>
        <w:t xml:space="preserve"> na přelomu března a dubna 2015.</w:t>
      </w:r>
    </w:p>
    <w:p w14:paraId="775A5F5B" w14:textId="77777777" w:rsidR="007F682C" w:rsidRDefault="007F682C" w:rsidP="006716EA">
      <w:pPr>
        <w:jc w:val="both"/>
        <w:rPr>
          <w:rFonts w:asciiTheme="minorHAnsi" w:hAnsiTheme="minorHAnsi"/>
        </w:rPr>
      </w:pPr>
    </w:p>
    <w:p w14:paraId="610912B4" w14:textId="7DAE8D7E" w:rsidR="007F682C" w:rsidRDefault="007F682C" w:rsidP="006716EA">
      <w:pPr>
        <w:jc w:val="both"/>
        <w:rPr>
          <w:rFonts w:asciiTheme="minorHAnsi" w:hAnsiTheme="minorHAnsi"/>
        </w:rPr>
      </w:pPr>
      <w:r>
        <w:rPr>
          <w:rFonts w:asciiTheme="minorHAnsi" w:hAnsiTheme="minorHAnsi"/>
        </w:rPr>
        <w:t>Do Ex-ante posouzení bude doplněna informace k návrhům na změnu indikátorové soustavy.</w:t>
      </w:r>
    </w:p>
    <w:p w14:paraId="4B321848" w14:textId="77777777" w:rsidR="003A73EB" w:rsidRDefault="003A73EB" w:rsidP="006716EA">
      <w:pPr>
        <w:jc w:val="both"/>
        <w:rPr>
          <w:rFonts w:asciiTheme="minorHAnsi" w:hAnsiTheme="minorHAnsi"/>
        </w:rPr>
      </w:pPr>
    </w:p>
    <w:p w14:paraId="5BDA7146" w14:textId="4BFC029C" w:rsidR="003A73EB" w:rsidRDefault="003A73EB" w:rsidP="006716EA">
      <w:pPr>
        <w:jc w:val="both"/>
        <w:rPr>
          <w:rFonts w:asciiTheme="minorHAnsi" w:hAnsiTheme="minorHAnsi"/>
        </w:rPr>
      </w:pPr>
      <w:r>
        <w:rPr>
          <w:rFonts w:asciiTheme="minorHAnsi" w:hAnsiTheme="minorHAnsi"/>
        </w:rPr>
        <w:t xml:space="preserve">V případě využití </w:t>
      </w:r>
      <w:proofErr w:type="spellStart"/>
      <w:r>
        <w:rPr>
          <w:rFonts w:asciiTheme="minorHAnsi" w:hAnsiTheme="minorHAnsi"/>
        </w:rPr>
        <w:t>sekuritizace</w:t>
      </w:r>
      <w:proofErr w:type="spellEnd"/>
      <w:r>
        <w:rPr>
          <w:rFonts w:asciiTheme="minorHAnsi" w:hAnsiTheme="minorHAnsi"/>
        </w:rPr>
        <w:t xml:space="preserve"> se p</w:t>
      </w:r>
      <w:r w:rsidR="00460C33">
        <w:rPr>
          <w:rFonts w:asciiTheme="minorHAnsi" w:hAnsiTheme="minorHAnsi"/>
        </w:rPr>
        <w:t>ředpokládá</w:t>
      </w:r>
      <w:r>
        <w:rPr>
          <w:rFonts w:asciiTheme="minorHAnsi" w:hAnsiTheme="minorHAnsi"/>
        </w:rPr>
        <w:t xml:space="preserve"> míra </w:t>
      </w:r>
      <w:proofErr w:type="spellStart"/>
      <w:r>
        <w:rPr>
          <w:rFonts w:asciiTheme="minorHAnsi" w:hAnsiTheme="minorHAnsi"/>
        </w:rPr>
        <w:t>sekuritizace</w:t>
      </w:r>
      <w:proofErr w:type="spellEnd"/>
      <w:r>
        <w:rPr>
          <w:rFonts w:asciiTheme="minorHAnsi" w:hAnsiTheme="minorHAnsi"/>
        </w:rPr>
        <w:t xml:space="preserve"> 80%, maximálně do třetí úrovně. Je vhodné, aby tuto činnost provádělo</w:t>
      </w:r>
      <w:r w:rsidR="00F879B7">
        <w:rPr>
          <w:rFonts w:asciiTheme="minorHAnsi" w:hAnsiTheme="minorHAnsi"/>
        </w:rPr>
        <w:t xml:space="preserve"> Ministerstvo financí. Zpracovatel</w:t>
      </w:r>
      <w:r>
        <w:rPr>
          <w:rFonts w:asciiTheme="minorHAnsi" w:hAnsiTheme="minorHAnsi"/>
        </w:rPr>
        <w:t xml:space="preserve"> navrhu</w:t>
      </w:r>
      <w:r w:rsidR="00F879B7">
        <w:rPr>
          <w:rFonts w:asciiTheme="minorHAnsi" w:hAnsiTheme="minorHAnsi"/>
        </w:rPr>
        <w:t xml:space="preserve">je první kolo </w:t>
      </w:r>
      <w:proofErr w:type="spellStart"/>
      <w:r w:rsidR="00F879B7">
        <w:rPr>
          <w:rFonts w:asciiTheme="minorHAnsi" w:hAnsiTheme="minorHAnsi"/>
        </w:rPr>
        <w:t>sekuritizace</w:t>
      </w:r>
      <w:proofErr w:type="spellEnd"/>
      <w:r w:rsidR="00F879B7">
        <w:rPr>
          <w:rFonts w:asciiTheme="minorHAnsi" w:hAnsiTheme="minorHAnsi"/>
        </w:rPr>
        <w:t xml:space="preserve"> po 3</w:t>
      </w:r>
      <w:r>
        <w:rPr>
          <w:rFonts w:asciiTheme="minorHAnsi" w:hAnsiTheme="minorHAnsi"/>
        </w:rPr>
        <w:t xml:space="preserve"> letech</w:t>
      </w:r>
    </w:p>
    <w:p w14:paraId="57B6612F" w14:textId="77777777" w:rsidR="003A73EB" w:rsidRDefault="003A73EB" w:rsidP="006716EA">
      <w:pPr>
        <w:jc w:val="both"/>
        <w:rPr>
          <w:rFonts w:asciiTheme="minorHAnsi" w:hAnsiTheme="minorHAnsi"/>
        </w:rPr>
      </w:pPr>
    </w:p>
    <w:p w14:paraId="0ABB218B" w14:textId="56F24C4A" w:rsidR="003A73EB" w:rsidRDefault="003A73EB" w:rsidP="006716EA">
      <w:pPr>
        <w:jc w:val="both"/>
        <w:rPr>
          <w:rFonts w:asciiTheme="minorHAnsi" w:hAnsiTheme="minorHAnsi"/>
        </w:rPr>
      </w:pPr>
      <w:r>
        <w:rPr>
          <w:rFonts w:asciiTheme="minorHAnsi" w:hAnsiTheme="minorHAnsi"/>
        </w:rPr>
        <w:t xml:space="preserve">Ze strany ČBA je nutné, aby </w:t>
      </w:r>
      <w:r w:rsidR="00460C33">
        <w:rPr>
          <w:rFonts w:asciiTheme="minorHAnsi" w:hAnsiTheme="minorHAnsi"/>
        </w:rPr>
        <w:t>investice do administrativním procedur nebyla vyšší než předpokládané výnosy. Zároveň čím méně typů finančních nástrojů na straně řídících orgánu bude navrženo, tím nižší budou celkové administrativní náklady bank.</w:t>
      </w:r>
    </w:p>
    <w:p w14:paraId="1651619A" w14:textId="77777777" w:rsidR="00001EC7" w:rsidRDefault="00001EC7" w:rsidP="006716EA">
      <w:pPr>
        <w:jc w:val="both"/>
        <w:rPr>
          <w:rFonts w:asciiTheme="minorHAnsi" w:hAnsiTheme="minorHAnsi"/>
        </w:rPr>
      </w:pPr>
    </w:p>
    <w:p w14:paraId="44E79D7D" w14:textId="7FBA1BF0" w:rsidR="006D0A2F" w:rsidRPr="00551396" w:rsidRDefault="004C60AF" w:rsidP="006716EA">
      <w:pPr>
        <w:jc w:val="both"/>
        <w:rPr>
          <w:rFonts w:asciiTheme="minorHAnsi" w:hAnsiTheme="minorHAnsi"/>
          <w:b/>
          <w:u w:val="single"/>
        </w:rPr>
      </w:pPr>
      <w:r w:rsidRPr="00551396">
        <w:rPr>
          <w:rFonts w:asciiTheme="minorHAnsi" w:hAnsiTheme="minorHAnsi"/>
          <w:b/>
          <w:u w:val="single"/>
        </w:rPr>
        <w:t>Prioritní osa 5</w:t>
      </w:r>
    </w:p>
    <w:p w14:paraId="3C989D16" w14:textId="08CA2A42" w:rsidR="004C60AF" w:rsidRDefault="004C60AF" w:rsidP="006716EA">
      <w:pPr>
        <w:jc w:val="both"/>
        <w:rPr>
          <w:rFonts w:asciiTheme="minorHAnsi" w:hAnsiTheme="minorHAnsi"/>
        </w:rPr>
      </w:pPr>
      <w:r>
        <w:rPr>
          <w:rFonts w:asciiTheme="minorHAnsi" w:hAnsiTheme="minorHAnsi"/>
        </w:rPr>
        <w:t>Zpracovatel navrhuje, aby celá alokace PO5 byla převedena do FN v poměru 40% na dotační složku a 60% na úvěrovou složku.</w:t>
      </w:r>
    </w:p>
    <w:p w14:paraId="4EC3DE3F" w14:textId="08C5BEA9" w:rsidR="004C60AF" w:rsidRDefault="004C60AF" w:rsidP="006716EA">
      <w:pPr>
        <w:jc w:val="both"/>
        <w:rPr>
          <w:rFonts w:asciiTheme="minorHAnsi" w:hAnsiTheme="minorHAnsi"/>
        </w:rPr>
      </w:pPr>
      <w:r>
        <w:rPr>
          <w:rFonts w:asciiTheme="minorHAnsi" w:hAnsiTheme="minorHAnsi"/>
        </w:rPr>
        <w:t>Pro</w:t>
      </w:r>
      <w:r w:rsidR="00F879B7">
        <w:rPr>
          <w:rFonts w:asciiTheme="minorHAnsi" w:hAnsiTheme="minorHAnsi"/>
        </w:rPr>
        <w:t>jekty v PO5 generují úspory</w:t>
      </w:r>
      <w:r>
        <w:rPr>
          <w:rFonts w:asciiTheme="minorHAnsi" w:hAnsiTheme="minorHAnsi"/>
        </w:rPr>
        <w:t xml:space="preserve">, z toho technologická část s kratší dobou návratnosti než stavební část. Navrhovaná úvěrová míra pro konečného příjemce je 1 – 1.5% </w:t>
      </w:r>
      <w:proofErr w:type="spellStart"/>
      <w:proofErr w:type="gramStart"/>
      <w:r>
        <w:rPr>
          <w:rFonts w:asciiTheme="minorHAnsi" w:hAnsiTheme="minorHAnsi"/>
        </w:rPr>
        <w:t>p.a</w:t>
      </w:r>
      <w:proofErr w:type="spellEnd"/>
      <w:r>
        <w:rPr>
          <w:rFonts w:asciiTheme="minorHAnsi" w:hAnsiTheme="minorHAnsi"/>
        </w:rPr>
        <w:t>.</w:t>
      </w:r>
      <w:proofErr w:type="gramEnd"/>
      <w:r>
        <w:rPr>
          <w:rFonts w:asciiTheme="minorHAnsi" w:hAnsiTheme="minorHAnsi"/>
        </w:rPr>
        <w:t>, se splatností úvěru max</w:t>
      </w:r>
      <w:r w:rsidR="00BD7DA8">
        <w:rPr>
          <w:rFonts w:asciiTheme="minorHAnsi" w:hAnsiTheme="minorHAnsi"/>
        </w:rPr>
        <w:t>.</w:t>
      </w:r>
      <w:r>
        <w:rPr>
          <w:rFonts w:asciiTheme="minorHAnsi" w:hAnsiTheme="minorHAnsi"/>
        </w:rPr>
        <w:t xml:space="preserve"> do 20ti let.</w:t>
      </w:r>
    </w:p>
    <w:p w14:paraId="7FB482EF" w14:textId="4344491D" w:rsidR="004C60AF" w:rsidRDefault="004C60AF" w:rsidP="006716EA">
      <w:pPr>
        <w:jc w:val="both"/>
        <w:rPr>
          <w:rFonts w:asciiTheme="minorHAnsi" w:hAnsiTheme="minorHAnsi"/>
        </w:rPr>
      </w:pPr>
      <w:r>
        <w:rPr>
          <w:rFonts w:asciiTheme="minorHAnsi" w:hAnsiTheme="minorHAnsi"/>
        </w:rPr>
        <w:t>Hlavním přínosem FN je větší množství podpořených projektů.</w:t>
      </w:r>
    </w:p>
    <w:p w14:paraId="2D435EDE" w14:textId="77777777" w:rsidR="002F1840" w:rsidRDefault="002F1840" w:rsidP="006716EA">
      <w:pPr>
        <w:jc w:val="both"/>
        <w:rPr>
          <w:rFonts w:asciiTheme="minorHAnsi" w:hAnsiTheme="minorHAnsi"/>
        </w:rPr>
      </w:pPr>
    </w:p>
    <w:p w14:paraId="6645E340" w14:textId="2E4FE6A9" w:rsidR="00826389" w:rsidRDefault="004C60AF" w:rsidP="006716EA">
      <w:pPr>
        <w:jc w:val="both"/>
        <w:rPr>
          <w:rFonts w:asciiTheme="minorHAnsi" w:hAnsiTheme="minorHAnsi"/>
        </w:rPr>
      </w:pPr>
      <w:r>
        <w:rPr>
          <w:rFonts w:asciiTheme="minorHAnsi" w:hAnsiTheme="minorHAnsi"/>
        </w:rPr>
        <w:t xml:space="preserve">Pan náměstek Kříž uvedl, že dotační podpora by mohla být </w:t>
      </w:r>
      <w:r w:rsidR="002F1840">
        <w:rPr>
          <w:rFonts w:asciiTheme="minorHAnsi" w:hAnsiTheme="minorHAnsi"/>
        </w:rPr>
        <w:t xml:space="preserve">i </w:t>
      </w:r>
      <w:r>
        <w:rPr>
          <w:rFonts w:asciiTheme="minorHAnsi" w:hAnsiTheme="minorHAnsi"/>
        </w:rPr>
        <w:t xml:space="preserve">nižší než 40%, </w:t>
      </w:r>
      <w:r w:rsidR="002F1840">
        <w:rPr>
          <w:rFonts w:asciiTheme="minorHAnsi" w:hAnsiTheme="minorHAnsi"/>
        </w:rPr>
        <w:t xml:space="preserve">a zeptal se, zda je již vyhodnocena hraniční hodnota, kdy ještě bude o finanční nástroj zájem. </w:t>
      </w:r>
    </w:p>
    <w:p w14:paraId="209925E8" w14:textId="76F19739" w:rsidR="002F1840" w:rsidRDefault="002F1840" w:rsidP="006716EA">
      <w:pPr>
        <w:jc w:val="both"/>
        <w:rPr>
          <w:rFonts w:asciiTheme="minorHAnsi" w:hAnsiTheme="minorHAnsi"/>
        </w:rPr>
      </w:pPr>
      <w:r>
        <w:rPr>
          <w:rFonts w:asciiTheme="minorHAnsi" w:hAnsiTheme="minorHAnsi"/>
        </w:rPr>
        <w:t>Zpracovatel navrhuje opatrnější přístup (40% dotační složka), s případným snížením dotační složky, pokud bude vysoký zájem o FN.</w:t>
      </w:r>
    </w:p>
    <w:p w14:paraId="0E02EB43" w14:textId="77777777" w:rsidR="004C60AF" w:rsidRDefault="004C60AF" w:rsidP="006716EA">
      <w:pPr>
        <w:jc w:val="both"/>
        <w:rPr>
          <w:rFonts w:asciiTheme="minorHAnsi" w:hAnsiTheme="minorHAnsi"/>
        </w:rPr>
      </w:pPr>
    </w:p>
    <w:p w14:paraId="0C9B398D" w14:textId="792672E2" w:rsidR="002F1840" w:rsidRDefault="002F1840" w:rsidP="006716EA">
      <w:pPr>
        <w:jc w:val="both"/>
        <w:rPr>
          <w:rFonts w:asciiTheme="minorHAnsi" w:hAnsiTheme="minorHAnsi"/>
        </w:rPr>
      </w:pPr>
      <w:r>
        <w:rPr>
          <w:rFonts w:asciiTheme="minorHAnsi" w:hAnsiTheme="minorHAnsi"/>
        </w:rPr>
        <w:t>V tuto chvíli není vyjasněno, zda a jakým způsobem budou rozděleny způsobilé výdaje v případě kombinace dotace a úvěru</w:t>
      </w:r>
      <w:r w:rsidR="00BD7DA8">
        <w:rPr>
          <w:rFonts w:asciiTheme="minorHAnsi" w:hAnsiTheme="minorHAnsi"/>
        </w:rPr>
        <w:t>. Zda dotace bude poskytnuta na jiné způsobilé výdaje než FN nebo zda budou poskytovány v kombinaci na stejná opatření.</w:t>
      </w:r>
    </w:p>
    <w:p w14:paraId="15DFD5FF" w14:textId="28293329" w:rsidR="00BD7DA8" w:rsidRDefault="00BD7DA8" w:rsidP="006716EA">
      <w:pPr>
        <w:jc w:val="both"/>
        <w:rPr>
          <w:rFonts w:asciiTheme="minorHAnsi" w:hAnsiTheme="minorHAnsi"/>
        </w:rPr>
      </w:pPr>
      <w:r>
        <w:rPr>
          <w:rFonts w:asciiTheme="minorHAnsi" w:hAnsiTheme="minorHAnsi"/>
        </w:rPr>
        <w:t>V případě FN kombinujícího dotace a úvěru nebude poskytnutí dotace podmíněno zapojením do FN. Žadatel bude moci podat žádost jen o dotační část a zbylé náklady hradit z vlastních zdrojů, případně pomocí komerčního úvěru.</w:t>
      </w:r>
    </w:p>
    <w:p w14:paraId="21685D38" w14:textId="77777777" w:rsidR="00EE78D8" w:rsidRDefault="00EE78D8" w:rsidP="006716EA">
      <w:pPr>
        <w:jc w:val="both"/>
        <w:rPr>
          <w:rFonts w:asciiTheme="minorHAnsi" w:hAnsiTheme="minorHAnsi"/>
        </w:rPr>
      </w:pPr>
    </w:p>
    <w:p w14:paraId="5DF7AD5C" w14:textId="01C29571" w:rsidR="00146A22" w:rsidRDefault="00146A22" w:rsidP="006716EA">
      <w:pPr>
        <w:jc w:val="both"/>
        <w:rPr>
          <w:rFonts w:asciiTheme="minorHAnsi" w:hAnsiTheme="minorHAnsi"/>
        </w:rPr>
      </w:pPr>
      <w:r>
        <w:rPr>
          <w:rFonts w:asciiTheme="minorHAnsi" w:hAnsiTheme="minorHAnsi"/>
        </w:rPr>
        <w:t>Jedná se o podpoře formou odkupu pohledávek za žadatelem.</w:t>
      </w:r>
    </w:p>
    <w:p w14:paraId="7887DAAC" w14:textId="77777777" w:rsidR="00146A22" w:rsidRDefault="00146A22" w:rsidP="006716EA">
      <w:pPr>
        <w:jc w:val="both"/>
        <w:rPr>
          <w:rFonts w:asciiTheme="minorHAnsi" w:hAnsiTheme="minorHAnsi"/>
        </w:rPr>
      </w:pPr>
    </w:p>
    <w:p w14:paraId="71CE95C0" w14:textId="21CEC365" w:rsidR="006D0A2F" w:rsidRPr="00551396" w:rsidRDefault="006D0A2F" w:rsidP="006716EA">
      <w:pPr>
        <w:jc w:val="both"/>
        <w:rPr>
          <w:rFonts w:asciiTheme="minorHAnsi" w:hAnsiTheme="minorHAnsi"/>
          <w:b/>
          <w:u w:val="single"/>
        </w:rPr>
      </w:pPr>
      <w:r w:rsidRPr="00551396">
        <w:rPr>
          <w:rFonts w:asciiTheme="minorHAnsi" w:hAnsiTheme="minorHAnsi"/>
          <w:b/>
          <w:u w:val="single"/>
        </w:rPr>
        <w:t>Prioritní osa 3</w:t>
      </w:r>
    </w:p>
    <w:p w14:paraId="0CDBC8B7" w14:textId="28AD109F" w:rsidR="006D0A2F" w:rsidRDefault="006D0A2F" w:rsidP="006716EA">
      <w:pPr>
        <w:jc w:val="both"/>
        <w:rPr>
          <w:rFonts w:asciiTheme="minorHAnsi" w:hAnsiTheme="minorHAnsi"/>
          <w:u w:val="single"/>
        </w:rPr>
      </w:pPr>
      <w:r>
        <w:rPr>
          <w:rFonts w:asciiTheme="minorHAnsi" w:hAnsiTheme="minorHAnsi"/>
          <w:u w:val="single"/>
        </w:rPr>
        <w:t>SC 3.1 – oblast podpora 3.1.2</w:t>
      </w:r>
    </w:p>
    <w:p w14:paraId="049190EA" w14:textId="0B5FC9E5" w:rsidR="006D0A2F" w:rsidRPr="009A6FD1" w:rsidRDefault="006D0A2F" w:rsidP="006716EA">
      <w:pPr>
        <w:jc w:val="both"/>
        <w:rPr>
          <w:rFonts w:asciiTheme="minorHAnsi" w:hAnsiTheme="minorHAnsi"/>
          <w:u w:val="single"/>
        </w:rPr>
      </w:pPr>
      <w:r>
        <w:rPr>
          <w:rFonts w:asciiTheme="minorHAnsi" w:hAnsiTheme="minorHAnsi"/>
          <w:u w:val="single"/>
        </w:rPr>
        <w:t>SC 3.5 – oblast podpory 3.5.1</w:t>
      </w:r>
    </w:p>
    <w:p w14:paraId="5B2E2963" w14:textId="608937F5" w:rsidR="0082774D" w:rsidRDefault="006D0A2F" w:rsidP="006716EA">
      <w:pPr>
        <w:jc w:val="both"/>
        <w:rPr>
          <w:rFonts w:asciiTheme="minorHAnsi" w:hAnsiTheme="minorHAnsi"/>
        </w:rPr>
      </w:pPr>
      <w:r>
        <w:rPr>
          <w:rFonts w:asciiTheme="minorHAnsi" w:hAnsiTheme="minorHAnsi"/>
        </w:rPr>
        <w:t>Zpracovatel navrhuje kombinaci zvýhodněného úvěru s dotační složkou</w:t>
      </w:r>
      <w:r w:rsidR="0082774D">
        <w:rPr>
          <w:rFonts w:asciiTheme="minorHAnsi" w:hAnsiTheme="minorHAnsi"/>
        </w:rPr>
        <w:t xml:space="preserve"> až do výše 15%</w:t>
      </w:r>
      <w:r>
        <w:rPr>
          <w:rFonts w:asciiTheme="minorHAnsi" w:hAnsiTheme="minorHAnsi"/>
        </w:rPr>
        <w:t xml:space="preserve">. </w:t>
      </w:r>
    </w:p>
    <w:p w14:paraId="555DD5FC" w14:textId="7EF614D0" w:rsidR="0082774D" w:rsidRDefault="0082774D" w:rsidP="006716EA">
      <w:pPr>
        <w:jc w:val="both"/>
        <w:rPr>
          <w:rFonts w:asciiTheme="minorHAnsi" w:hAnsiTheme="minorHAnsi"/>
        </w:rPr>
      </w:pPr>
      <w:r>
        <w:rPr>
          <w:rFonts w:asciiTheme="minorHAnsi" w:hAnsiTheme="minorHAnsi"/>
        </w:rPr>
        <w:t xml:space="preserve">Úroková míra pro konečného příjemce max. 2,5%, délka splácení do </w:t>
      </w:r>
      <w:proofErr w:type="gramStart"/>
      <w:r>
        <w:rPr>
          <w:rFonts w:asciiTheme="minorHAnsi" w:hAnsiTheme="minorHAnsi"/>
        </w:rPr>
        <w:t>10ti</w:t>
      </w:r>
      <w:proofErr w:type="gramEnd"/>
      <w:r>
        <w:rPr>
          <w:rFonts w:asciiTheme="minorHAnsi" w:hAnsiTheme="minorHAnsi"/>
        </w:rPr>
        <w:t xml:space="preserve"> let.</w:t>
      </w:r>
    </w:p>
    <w:p w14:paraId="5F7125F1" w14:textId="0BE716D1" w:rsidR="006D0A2F" w:rsidRDefault="006D0A2F" w:rsidP="006716EA">
      <w:pPr>
        <w:jc w:val="both"/>
        <w:rPr>
          <w:rFonts w:asciiTheme="minorHAnsi" w:hAnsiTheme="minorHAnsi"/>
        </w:rPr>
      </w:pPr>
      <w:r>
        <w:rPr>
          <w:rFonts w:asciiTheme="minorHAnsi" w:hAnsiTheme="minorHAnsi"/>
        </w:rPr>
        <w:lastRenderedPageBreak/>
        <w:t>Navrhuje se využití spolufinancujících subjektů</w:t>
      </w:r>
      <w:r w:rsidR="0082774D">
        <w:rPr>
          <w:rFonts w:asciiTheme="minorHAnsi" w:hAnsiTheme="minorHAnsi"/>
        </w:rPr>
        <w:t xml:space="preserve"> z bankovního sektoru.</w:t>
      </w:r>
    </w:p>
    <w:p w14:paraId="4A8511A8" w14:textId="16D774D8" w:rsidR="009A6FD1" w:rsidRDefault="00D833D9" w:rsidP="006716EA">
      <w:pPr>
        <w:jc w:val="both"/>
        <w:rPr>
          <w:rFonts w:asciiTheme="minorHAnsi" w:hAnsiTheme="minorHAnsi"/>
        </w:rPr>
      </w:pPr>
      <w:r>
        <w:rPr>
          <w:rFonts w:asciiTheme="minorHAnsi" w:hAnsiTheme="minorHAnsi"/>
        </w:rPr>
        <w:t xml:space="preserve">Dle rozhodnutí </w:t>
      </w:r>
      <w:r w:rsidR="00F879B7">
        <w:rPr>
          <w:rFonts w:asciiTheme="minorHAnsi" w:hAnsiTheme="minorHAnsi"/>
        </w:rPr>
        <w:t>vedení MŽP</w:t>
      </w:r>
      <w:r>
        <w:rPr>
          <w:rFonts w:asciiTheme="minorHAnsi" w:hAnsiTheme="minorHAnsi"/>
        </w:rPr>
        <w:t xml:space="preserve"> bude připraven úvěrový nástroj</w:t>
      </w:r>
    </w:p>
    <w:p w14:paraId="770F20E6" w14:textId="77777777" w:rsidR="00194AA2" w:rsidRDefault="00194AA2" w:rsidP="006716EA">
      <w:pPr>
        <w:jc w:val="both"/>
        <w:rPr>
          <w:rFonts w:asciiTheme="minorHAnsi" w:hAnsiTheme="minorHAnsi"/>
        </w:rPr>
      </w:pPr>
    </w:p>
    <w:p w14:paraId="4FA9391E" w14:textId="6E033045" w:rsidR="009A6FD1" w:rsidRPr="009A6FD1" w:rsidRDefault="009A6FD1" w:rsidP="006716EA">
      <w:pPr>
        <w:jc w:val="both"/>
        <w:rPr>
          <w:rFonts w:asciiTheme="minorHAnsi" w:hAnsiTheme="minorHAnsi"/>
          <w:u w:val="single"/>
        </w:rPr>
      </w:pPr>
      <w:r w:rsidRPr="009A6FD1">
        <w:rPr>
          <w:rFonts w:asciiTheme="minorHAnsi" w:hAnsiTheme="minorHAnsi"/>
          <w:u w:val="single"/>
        </w:rPr>
        <w:t>SC 3.2</w:t>
      </w:r>
    </w:p>
    <w:p w14:paraId="74D10F5C" w14:textId="29CF5CDF" w:rsidR="009A6FD1" w:rsidRDefault="009A6FD1" w:rsidP="006716EA">
      <w:pPr>
        <w:jc w:val="both"/>
        <w:rPr>
          <w:rFonts w:asciiTheme="minorHAnsi" w:hAnsiTheme="minorHAnsi"/>
        </w:rPr>
      </w:pPr>
      <w:r>
        <w:rPr>
          <w:rFonts w:asciiTheme="minorHAnsi" w:hAnsiTheme="minorHAnsi"/>
        </w:rPr>
        <w:t>Zpracovatel navrhuje většinu alokace převést do finančního nástroje, žadatelům umožnit volbu mezi úvěrovým nástrojem (s dotační složkou max. do výše 15%) nebo nástrojem ve formě kapitálového vstupu.</w:t>
      </w:r>
    </w:p>
    <w:p w14:paraId="142AC140" w14:textId="493C4637" w:rsidR="00551396" w:rsidRDefault="00551396" w:rsidP="006716EA">
      <w:pPr>
        <w:jc w:val="both"/>
        <w:rPr>
          <w:rFonts w:asciiTheme="minorHAnsi" w:hAnsiTheme="minorHAnsi"/>
        </w:rPr>
      </w:pPr>
      <w:r>
        <w:rPr>
          <w:rFonts w:asciiTheme="minorHAnsi" w:hAnsiTheme="minorHAnsi"/>
        </w:rPr>
        <w:t xml:space="preserve">Dle </w:t>
      </w:r>
      <w:r w:rsidR="00F879B7">
        <w:rPr>
          <w:rFonts w:asciiTheme="minorHAnsi" w:hAnsiTheme="minorHAnsi"/>
        </w:rPr>
        <w:t>rozhodnutí vedení MŽP</w:t>
      </w:r>
      <w:r>
        <w:rPr>
          <w:rFonts w:asciiTheme="minorHAnsi" w:hAnsiTheme="minorHAnsi"/>
        </w:rPr>
        <w:t xml:space="preserve"> nebude využit finanční nástroj kapitálový vstup</w:t>
      </w:r>
    </w:p>
    <w:p w14:paraId="2156D287" w14:textId="1AD75871" w:rsidR="00D833D9" w:rsidRDefault="009A6FD1" w:rsidP="006716EA">
      <w:pPr>
        <w:jc w:val="both"/>
        <w:rPr>
          <w:rFonts w:asciiTheme="minorHAnsi" w:hAnsiTheme="minorHAnsi"/>
        </w:rPr>
      </w:pPr>
      <w:r>
        <w:rPr>
          <w:rFonts w:asciiTheme="minorHAnsi" w:hAnsiTheme="minorHAnsi"/>
        </w:rPr>
        <w:t>Vybrané oblasti SC 3.2 budou financovány pouze formou dotací.</w:t>
      </w:r>
    </w:p>
    <w:p w14:paraId="645CED54" w14:textId="77777777" w:rsidR="00194AA2" w:rsidRDefault="00194AA2" w:rsidP="006716EA">
      <w:pPr>
        <w:jc w:val="both"/>
        <w:rPr>
          <w:rFonts w:asciiTheme="minorHAnsi" w:hAnsiTheme="minorHAnsi"/>
        </w:rPr>
      </w:pPr>
    </w:p>
    <w:p w14:paraId="52921A7D" w14:textId="4A0EFEDB" w:rsidR="00551396" w:rsidRPr="00551396" w:rsidRDefault="00551396" w:rsidP="006716EA">
      <w:pPr>
        <w:jc w:val="both"/>
        <w:rPr>
          <w:rFonts w:asciiTheme="minorHAnsi" w:hAnsiTheme="minorHAnsi"/>
          <w:b/>
          <w:u w:val="single"/>
        </w:rPr>
      </w:pPr>
      <w:r w:rsidRPr="00551396">
        <w:rPr>
          <w:rFonts w:asciiTheme="minorHAnsi" w:hAnsiTheme="minorHAnsi"/>
          <w:b/>
          <w:u w:val="single"/>
        </w:rPr>
        <w:t>Prioritní osa 2</w:t>
      </w:r>
    </w:p>
    <w:p w14:paraId="291BF907" w14:textId="77777777" w:rsidR="006B13D3" w:rsidRPr="006B13D3" w:rsidRDefault="006B13D3" w:rsidP="006716EA">
      <w:pPr>
        <w:jc w:val="both"/>
        <w:rPr>
          <w:rFonts w:asciiTheme="minorHAnsi" w:hAnsiTheme="minorHAnsi"/>
          <w:u w:val="single"/>
        </w:rPr>
      </w:pPr>
      <w:r w:rsidRPr="006B13D3">
        <w:rPr>
          <w:rFonts w:asciiTheme="minorHAnsi" w:hAnsiTheme="minorHAnsi"/>
          <w:u w:val="single"/>
        </w:rPr>
        <w:t>SC 2.1</w:t>
      </w:r>
    </w:p>
    <w:p w14:paraId="35DB9B75" w14:textId="312D4235" w:rsidR="006D0A2F" w:rsidRDefault="00551396" w:rsidP="006716EA">
      <w:pPr>
        <w:jc w:val="both"/>
        <w:rPr>
          <w:rFonts w:asciiTheme="minorHAnsi" w:hAnsiTheme="minorHAnsi"/>
        </w:rPr>
      </w:pPr>
      <w:r>
        <w:rPr>
          <w:rFonts w:asciiTheme="minorHAnsi" w:hAnsiTheme="minorHAnsi"/>
        </w:rPr>
        <w:t>Zpracovatel navrhuje kombinaci zvýhodněného úvěru a dotace, která by byla posky</w:t>
      </w:r>
      <w:r w:rsidR="006B13D3">
        <w:rPr>
          <w:rFonts w:asciiTheme="minorHAnsi" w:hAnsiTheme="minorHAnsi"/>
        </w:rPr>
        <w:t>tnuta za využití grantového sché</w:t>
      </w:r>
      <w:r>
        <w:rPr>
          <w:rFonts w:asciiTheme="minorHAnsi" w:hAnsiTheme="minorHAnsi"/>
        </w:rPr>
        <w:t>matu</w:t>
      </w:r>
      <w:r w:rsidR="006B13D3">
        <w:rPr>
          <w:rFonts w:asciiTheme="minorHAnsi" w:hAnsiTheme="minorHAnsi"/>
        </w:rPr>
        <w:t xml:space="preserve">. Úroková míra pro konečného žadatele navržena ve výši 4% </w:t>
      </w:r>
      <w:proofErr w:type="spellStart"/>
      <w:proofErr w:type="gramStart"/>
      <w:r w:rsidR="006B13D3">
        <w:rPr>
          <w:rFonts w:asciiTheme="minorHAnsi" w:hAnsiTheme="minorHAnsi"/>
        </w:rPr>
        <w:t>p.a</w:t>
      </w:r>
      <w:proofErr w:type="spellEnd"/>
      <w:r w:rsidR="006B13D3">
        <w:rPr>
          <w:rFonts w:asciiTheme="minorHAnsi" w:hAnsiTheme="minorHAnsi"/>
        </w:rPr>
        <w:t>.</w:t>
      </w:r>
      <w:proofErr w:type="gramEnd"/>
    </w:p>
    <w:p w14:paraId="35D8F8B5" w14:textId="29372166" w:rsidR="006B13D3" w:rsidRDefault="006B13D3" w:rsidP="006716EA">
      <w:pPr>
        <w:jc w:val="both"/>
        <w:rPr>
          <w:rFonts w:asciiTheme="minorHAnsi" w:hAnsiTheme="minorHAnsi"/>
        </w:rPr>
      </w:pPr>
      <w:r>
        <w:rPr>
          <w:rFonts w:asciiTheme="minorHAnsi" w:hAnsiTheme="minorHAnsi"/>
        </w:rPr>
        <w:t>Výše dotace navržena 60% způsobilých výdajů projektu, výše úvěru 40% způsobilých výdajů.</w:t>
      </w:r>
    </w:p>
    <w:p w14:paraId="3051BBBA" w14:textId="4A9BAB8E" w:rsidR="006B13D3" w:rsidRDefault="006B13D3" w:rsidP="006716EA">
      <w:pPr>
        <w:jc w:val="both"/>
        <w:rPr>
          <w:rFonts w:asciiTheme="minorHAnsi" w:hAnsiTheme="minorHAnsi"/>
        </w:rPr>
      </w:pPr>
      <w:r>
        <w:rPr>
          <w:rFonts w:asciiTheme="minorHAnsi" w:hAnsiTheme="minorHAnsi"/>
        </w:rPr>
        <w:t>Navržená doba splacení úvěru max. 10 let.</w:t>
      </w:r>
    </w:p>
    <w:p w14:paraId="49D050FD" w14:textId="3416D519" w:rsidR="006B13D3" w:rsidRDefault="006B13D3" w:rsidP="006716EA">
      <w:pPr>
        <w:jc w:val="both"/>
        <w:rPr>
          <w:rFonts w:asciiTheme="minorHAnsi" w:hAnsiTheme="minorHAnsi"/>
        </w:rPr>
      </w:pPr>
    </w:p>
    <w:p w14:paraId="5A2E60EB" w14:textId="101D134C" w:rsidR="006B13D3" w:rsidRDefault="006B13D3" w:rsidP="006716EA">
      <w:pPr>
        <w:jc w:val="both"/>
        <w:rPr>
          <w:rFonts w:asciiTheme="minorHAnsi" w:hAnsiTheme="minorHAnsi"/>
        </w:rPr>
      </w:pPr>
      <w:r>
        <w:rPr>
          <w:rFonts w:asciiTheme="minorHAnsi" w:hAnsiTheme="minorHAnsi"/>
        </w:rPr>
        <w:t xml:space="preserve">Dle rozhodnutí </w:t>
      </w:r>
      <w:r w:rsidR="00F879B7">
        <w:rPr>
          <w:rFonts w:asciiTheme="minorHAnsi" w:hAnsiTheme="minorHAnsi"/>
        </w:rPr>
        <w:t xml:space="preserve">vedení MŽP </w:t>
      </w:r>
      <w:r>
        <w:rPr>
          <w:rFonts w:asciiTheme="minorHAnsi" w:hAnsiTheme="minorHAnsi"/>
        </w:rPr>
        <w:t>b</w:t>
      </w:r>
      <w:r w:rsidR="00F879B7">
        <w:rPr>
          <w:rFonts w:asciiTheme="minorHAnsi" w:hAnsiTheme="minorHAnsi"/>
        </w:rPr>
        <w:t>ude finanční nástroj realizován až v návaznosti na výsledky pilotního projektu pro město Ostrava.</w:t>
      </w:r>
    </w:p>
    <w:p w14:paraId="61AC2323" w14:textId="77777777" w:rsidR="0054079A" w:rsidRDefault="0054079A" w:rsidP="006716EA">
      <w:pPr>
        <w:jc w:val="both"/>
        <w:rPr>
          <w:rFonts w:asciiTheme="minorHAnsi" w:hAnsiTheme="minorHAnsi"/>
        </w:rPr>
      </w:pPr>
    </w:p>
    <w:p w14:paraId="23CCF10D" w14:textId="5E688F0B" w:rsidR="0054079A" w:rsidRDefault="0054079A" w:rsidP="006716EA">
      <w:pPr>
        <w:jc w:val="both"/>
        <w:rPr>
          <w:rFonts w:asciiTheme="minorHAnsi" w:hAnsiTheme="minorHAnsi"/>
        </w:rPr>
      </w:pPr>
      <w:r>
        <w:rPr>
          <w:rFonts w:asciiTheme="minorHAnsi" w:hAnsiTheme="minorHAnsi"/>
        </w:rPr>
        <w:t xml:space="preserve">Průměrná výše projektu je relativně nízká z pohledu banky. </w:t>
      </w:r>
      <w:r w:rsidR="00724BAD">
        <w:rPr>
          <w:rFonts w:asciiTheme="minorHAnsi" w:hAnsiTheme="minorHAnsi"/>
        </w:rPr>
        <w:t xml:space="preserve">Je nutné, aby byla administrativa co nejjednodušší, aby bankám nevznikali vysoké dodatečné náklady. </w:t>
      </w:r>
      <w:r>
        <w:rPr>
          <w:rFonts w:asciiTheme="minorHAnsi" w:hAnsiTheme="minorHAnsi"/>
        </w:rPr>
        <w:t>Vymáhání problemati</w:t>
      </w:r>
      <w:r w:rsidR="00724BAD">
        <w:rPr>
          <w:rFonts w:asciiTheme="minorHAnsi" w:hAnsiTheme="minorHAnsi"/>
        </w:rPr>
        <w:t>ckých pohledávek je pro banky nákladné. Navrženo použití „krytí první ztráty“, kdy v případě nesplácení by první ztráty šly na vrub Investičního fondu (MŽP).</w:t>
      </w:r>
    </w:p>
    <w:p w14:paraId="22136DD0" w14:textId="77777777" w:rsidR="00724BAD" w:rsidRDefault="00724BAD" w:rsidP="006716EA">
      <w:pPr>
        <w:jc w:val="both"/>
        <w:rPr>
          <w:rFonts w:asciiTheme="minorHAnsi" w:hAnsiTheme="minorHAnsi"/>
        </w:rPr>
      </w:pPr>
    </w:p>
    <w:p w14:paraId="6C446FFC" w14:textId="18891255" w:rsidR="00724BAD" w:rsidRPr="00724BAD" w:rsidRDefault="00724BAD" w:rsidP="006716EA">
      <w:pPr>
        <w:jc w:val="both"/>
        <w:rPr>
          <w:rFonts w:asciiTheme="minorHAnsi" w:hAnsiTheme="minorHAnsi"/>
          <w:b/>
          <w:u w:val="single"/>
        </w:rPr>
      </w:pPr>
      <w:r w:rsidRPr="00724BAD">
        <w:rPr>
          <w:rFonts w:asciiTheme="minorHAnsi" w:hAnsiTheme="minorHAnsi"/>
          <w:b/>
          <w:u w:val="single"/>
        </w:rPr>
        <w:t>Prioritní osa 1</w:t>
      </w:r>
    </w:p>
    <w:p w14:paraId="3C540268" w14:textId="2F6304AE" w:rsidR="00551396" w:rsidRPr="00AE0FB0" w:rsidRDefault="00AE0FB0" w:rsidP="006716EA">
      <w:pPr>
        <w:jc w:val="both"/>
        <w:rPr>
          <w:rFonts w:asciiTheme="minorHAnsi" w:hAnsiTheme="minorHAnsi"/>
          <w:u w:val="single"/>
        </w:rPr>
      </w:pPr>
      <w:r w:rsidRPr="00AE0FB0">
        <w:rPr>
          <w:rFonts w:asciiTheme="minorHAnsi" w:hAnsiTheme="minorHAnsi"/>
          <w:u w:val="single"/>
        </w:rPr>
        <w:t>SC 1.1 – oblast podpory 1.1.1, 1.1.3</w:t>
      </w:r>
    </w:p>
    <w:p w14:paraId="4E936589" w14:textId="071E899A" w:rsidR="00AE0FB0" w:rsidRPr="00AE0FB0" w:rsidRDefault="00AE0FB0" w:rsidP="006716EA">
      <w:pPr>
        <w:jc w:val="both"/>
        <w:rPr>
          <w:rFonts w:asciiTheme="minorHAnsi" w:hAnsiTheme="minorHAnsi"/>
          <w:u w:val="single"/>
        </w:rPr>
      </w:pPr>
      <w:r w:rsidRPr="00AE0FB0">
        <w:rPr>
          <w:rFonts w:asciiTheme="minorHAnsi" w:hAnsiTheme="minorHAnsi"/>
          <w:u w:val="single"/>
        </w:rPr>
        <w:t>SC 1.2 – oblast podpory 1.2.1</w:t>
      </w:r>
    </w:p>
    <w:p w14:paraId="5D90FD0D" w14:textId="3C6557B8" w:rsidR="00724BAD" w:rsidRDefault="00AE0FB0" w:rsidP="006716EA">
      <w:pPr>
        <w:jc w:val="both"/>
        <w:rPr>
          <w:rFonts w:asciiTheme="minorHAnsi" w:hAnsiTheme="minorHAnsi"/>
        </w:rPr>
      </w:pPr>
      <w:r>
        <w:rPr>
          <w:rFonts w:asciiTheme="minorHAnsi" w:hAnsiTheme="minorHAnsi"/>
        </w:rPr>
        <w:t>Zpracovatel navrhuje nástroj ve formě kapitálového vstupu do účelově založené společnosti. Poskytnuté prostředky vložené do společnosti by byly účelově vázané na krytí způsobilých výdajů investičního projektu. Investiční fond aktivně nezasahuje do řízení společnosti. Zakladatel společnosti (žadatel) má opci na odkup vlastnického podílu Investičního fondu dle předem sjednaných podmínek. Výkup podílu bude realizován za využití generovaných příjmů a úspor investičního projektu.</w:t>
      </w:r>
    </w:p>
    <w:p w14:paraId="06C3078D" w14:textId="77777777" w:rsidR="00AE0FB0" w:rsidRDefault="00AE0FB0" w:rsidP="006716EA">
      <w:pPr>
        <w:jc w:val="both"/>
        <w:rPr>
          <w:rFonts w:asciiTheme="minorHAnsi" w:hAnsiTheme="minorHAnsi"/>
        </w:rPr>
      </w:pPr>
    </w:p>
    <w:p w14:paraId="7E5ADD09" w14:textId="2CC62F3D" w:rsidR="00AE0FB0" w:rsidRDefault="00AE0FB0" w:rsidP="006716EA">
      <w:pPr>
        <w:jc w:val="both"/>
        <w:rPr>
          <w:rFonts w:asciiTheme="minorHAnsi" w:hAnsiTheme="minorHAnsi"/>
        </w:rPr>
      </w:pPr>
      <w:r>
        <w:rPr>
          <w:rFonts w:asciiTheme="minorHAnsi" w:hAnsiTheme="minorHAnsi"/>
        </w:rPr>
        <w:t xml:space="preserve">Dle rozhodnutí </w:t>
      </w:r>
      <w:r w:rsidR="00F879B7">
        <w:rPr>
          <w:rFonts w:asciiTheme="minorHAnsi" w:hAnsiTheme="minorHAnsi"/>
        </w:rPr>
        <w:t>vedení MŽP</w:t>
      </w:r>
      <w:bookmarkStart w:id="0" w:name="_GoBack"/>
      <w:bookmarkEnd w:id="0"/>
      <w:r>
        <w:rPr>
          <w:rFonts w:asciiTheme="minorHAnsi" w:hAnsiTheme="minorHAnsi"/>
        </w:rPr>
        <w:t xml:space="preserve"> nebude finanční nástroj realizován.</w:t>
      </w:r>
    </w:p>
    <w:p w14:paraId="3D93B930" w14:textId="77777777" w:rsidR="00E215DD" w:rsidRDefault="00E215DD" w:rsidP="006716EA">
      <w:pPr>
        <w:jc w:val="both"/>
        <w:rPr>
          <w:rFonts w:asciiTheme="minorHAnsi" w:hAnsiTheme="minorHAnsi"/>
        </w:rPr>
      </w:pPr>
    </w:p>
    <w:p w14:paraId="017B88A2" w14:textId="59778D73" w:rsidR="003A73EB" w:rsidRPr="00460C33" w:rsidRDefault="003A73EB" w:rsidP="006716EA">
      <w:pPr>
        <w:jc w:val="both"/>
        <w:rPr>
          <w:rFonts w:asciiTheme="minorHAnsi" w:hAnsiTheme="minorHAnsi"/>
          <w:b/>
          <w:u w:val="single"/>
        </w:rPr>
      </w:pPr>
      <w:r w:rsidRPr="00460C33">
        <w:rPr>
          <w:rFonts w:asciiTheme="minorHAnsi" w:hAnsiTheme="minorHAnsi"/>
          <w:b/>
          <w:u w:val="single"/>
        </w:rPr>
        <w:t>Harmonogram postupu</w:t>
      </w:r>
    </w:p>
    <w:p w14:paraId="495D89F3" w14:textId="21F44E04" w:rsidR="003A73EB" w:rsidRDefault="003A73EB" w:rsidP="006716EA">
      <w:pPr>
        <w:jc w:val="both"/>
        <w:rPr>
          <w:rFonts w:asciiTheme="minorHAnsi" w:hAnsiTheme="minorHAnsi"/>
        </w:rPr>
      </w:pPr>
      <w:r>
        <w:rPr>
          <w:rFonts w:asciiTheme="minorHAnsi" w:hAnsiTheme="minorHAnsi"/>
        </w:rPr>
        <w:t>Schůzky s garanty prioritní osy 3 a prioritní osy 5 a zástupci SFŽP</w:t>
      </w:r>
      <w:r w:rsidR="00194AA2">
        <w:rPr>
          <w:rFonts w:asciiTheme="minorHAnsi" w:hAnsiTheme="minorHAnsi"/>
        </w:rPr>
        <w:t xml:space="preserve"> – v týdnu 16. – 20. 3. 2015</w:t>
      </w:r>
    </w:p>
    <w:p w14:paraId="257E372C" w14:textId="12B2094B" w:rsidR="003A73EB" w:rsidRDefault="003A73EB" w:rsidP="006716EA">
      <w:pPr>
        <w:jc w:val="both"/>
        <w:rPr>
          <w:rFonts w:asciiTheme="minorHAnsi" w:hAnsiTheme="minorHAnsi"/>
        </w:rPr>
      </w:pPr>
      <w:r>
        <w:rPr>
          <w:rFonts w:asciiTheme="minorHAnsi" w:hAnsiTheme="minorHAnsi"/>
        </w:rPr>
        <w:t>Vytvoření návrhů finančních nástrojů včetně konkrétních parametrů</w:t>
      </w:r>
      <w:r w:rsidR="00194AA2">
        <w:rPr>
          <w:rFonts w:asciiTheme="minorHAnsi" w:hAnsiTheme="minorHAnsi"/>
        </w:rPr>
        <w:t xml:space="preserve"> – do května 2015</w:t>
      </w:r>
    </w:p>
    <w:p w14:paraId="129C2D71" w14:textId="626EB316" w:rsidR="003A73EB" w:rsidRDefault="003A73EB" w:rsidP="006716EA">
      <w:pPr>
        <w:jc w:val="both"/>
        <w:rPr>
          <w:rFonts w:asciiTheme="minorHAnsi" w:hAnsiTheme="minorHAnsi"/>
        </w:rPr>
      </w:pPr>
      <w:r>
        <w:rPr>
          <w:rFonts w:asciiTheme="minorHAnsi" w:hAnsiTheme="minorHAnsi"/>
        </w:rPr>
        <w:t>Jednání s ČBA nad návrhy finančních nástrojů</w:t>
      </w:r>
      <w:r w:rsidR="00194AA2">
        <w:rPr>
          <w:rFonts w:asciiTheme="minorHAnsi" w:hAnsiTheme="minorHAnsi"/>
        </w:rPr>
        <w:t xml:space="preserve"> – do května 2015</w:t>
      </w:r>
    </w:p>
    <w:p w14:paraId="7D8C001C" w14:textId="77777777" w:rsidR="008F6EA3" w:rsidRDefault="008F6EA3" w:rsidP="0037061E">
      <w:pPr>
        <w:jc w:val="both"/>
        <w:rPr>
          <w:rFonts w:asciiTheme="minorHAnsi" w:hAnsiTheme="minorHAnsi"/>
        </w:rPr>
      </w:pPr>
    </w:p>
    <w:sectPr w:rsidR="008F6EA3" w:rsidSect="007B770C">
      <w:headerReference w:type="default" r:id="rId7"/>
      <w:type w:val="continuous"/>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1275B6" w14:textId="77777777" w:rsidR="008C0124" w:rsidRDefault="008C0124">
      <w:r>
        <w:separator/>
      </w:r>
    </w:p>
  </w:endnote>
  <w:endnote w:type="continuationSeparator" w:id="0">
    <w:p w14:paraId="369A5294" w14:textId="77777777" w:rsidR="008C0124" w:rsidRDefault="008C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00408" w14:textId="77777777" w:rsidR="008C0124" w:rsidRDefault="008C0124">
      <w:r>
        <w:separator/>
      </w:r>
    </w:p>
  </w:footnote>
  <w:footnote w:type="continuationSeparator" w:id="0">
    <w:p w14:paraId="52EBF218" w14:textId="77777777" w:rsidR="008C0124" w:rsidRDefault="008C0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03622" w14:textId="4C9206DB" w:rsidR="00CF6ED4" w:rsidRPr="00C544B7" w:rsidRDefault="001271DB" w:rsidP="00CF6ED4">
    <w:pPr>
      <w:pStyle w:val="Zhlav"/>
      <w:tabs>
        <w:tab w:val="clear" w:pos="4536"/>
        <w:tab w:val="clear" w:pos="9072"/>
        <w:tab w:val="left" w:pos="4962"/>
        <w:tab w:val="left" w:pos="5812"/>
        <w:tab w:val="right" w:pos="9639"/>
      </w:tabs>
      <w:rPr>
        <w:rFonts w:ascii="Arial" w:hAnsi="Arial" w:cs="Arial"/>
        <w:sz w:val="40"/>
        <w:szCs w:val="40"/>
      </w:rPr>
    </w:pPr>
    <w:r w:rsidRPr="00C22109">
      <w:rPr>
        <w:noProof/>
      </w:rPr>
      <w:drawing>
        <wp:inline distT="0" distB="0" distL="0" distR="0" wp14:anchorId="464F52E8" wp14:editId="69E9E20D">
          <wp:extent cx="5851525" cy="625635"/>
          <wp:effectExtent l="0" t="0" r="0" b="3175"/>
          <wp:docPr id="2" name="Obrázek 2" descr="Banner_FS_ERDF - CMYK_horizont - pro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S_ERDF - CMYK_horizont - pro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1525" cy="625635"/>
                  </a:xfrm>
                  <a:prstGeom prst="rect">
                    <a:avLst/>
                  </a:prstGeom>
                  <a:noFill/>
                  <a:ln>
                    <a:noFill/>
                  </a:ln>
                </pic:spPr>
              </pic:pic>
            </a:graphicData>
          </a:graphic>
        </wp:inline>
      </w:drawing>
    </w:r>
    <w:r w:rsidR="00CF6ED4">
      <w:tab/>
    </w:r>
  </w:p>
  <w:p w14:paraId="07599E22" w14:textId="77777777" w:rsidR="00CF6ED4" w:rsidRDefault="00CF6ED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6116"/>
    <w:multiLevelType w:val="hybridMultilevel"/>
    <w:tmpl w:val="CB12F16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2456FF0"/>
    <w:multiLevelType w:val="hybridMultilevel"/>
    <w:tmpl w:val="CF9C46B8"/>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E5301B"/>
    <w:multiLevelType w:val="hybridMultilevel"/>
    <w:tmpl w:val="A84860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6DE5526"/>
    <w:multiLevelType w:val="hybridMultilevel"/>
    <w:tmpl w:val="D7EE636E"/>
    <w:lvl w:ilvl="0" w:tplc="C99013A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67A1586"/>
    <w:multiLevelType w:val="hybridMultilevel"/>
    <w:tmpl w:val="5D526E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AA4512"/>
    <w:multiLevelType w:val="hybridMultilevel"/>
    <w:tmpl w:val="2432D506"/>
    <w:lvl w:ilvl="0" w:tplc="F6CCB81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8CC038E"/>
    <w:multiLevelType w:val="hybridMultilevel"/>
    <w:tmpl w:val="557C10E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9F311D8"/>
    <w:multiLevelType w:val="hybridMultilevel"/>
    <w:tmpl w:val="5E7E817C"/>
    <w:lvl w:ilvl="0" w:tplc="3DBA7FC6">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71E45B9"/>
    <w:multiLevelType w:val="hybridMultilevel"/>
    <w:tmpl w:val="FF7CF9B8"/>
    <w:lvl w:ilvl="0" w:tplc="226E5644">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0">
    <w:nsid w:val="6AB026C6"/>
    <w:multiLevelType w:val="singleLevel"/>
    <w:tmpl w:val="488208B0"/>
    <w:lvl w:ilvl="0">
      <w:start w:val="3"/>
      <w:numFmt w:val="bullet"/>
      <w:lvlText w:val="-"/>
      <w:lvlJc w:val="left"/>
      <w:pPr>
        <w:tabs>
          <w:tab w:val="num" w:pos="360"/>
        </w:tabs>
        <w:ind w:left="360" w:hanging="360"/>
      </w:pPr>
      <w:rPr>
        <w:rFonts w:hint="default"/>
      </w:rPr>
    </w:lvl>
  </w:abstractNum>
  <w:abstractNum w:abstractNumId="11">
    <w:nsid w:val="6EE467E9"/>
    <w:multiLevelType w:val="hybridMultilevel"/>
    <w:tmpl w:val="6A723438"/>
    <w:lvl w:ilvl="0" w:tplc="5172F778">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8"/>
  </w:num>
  <w:num w:numId="6">
    <w:abstractNumId w:val="11"/>
  </w:num>
  <w:num w:numId="7">
    <w:abstractNumId w:val="4"/>
  </w:num>
  <w:num w:numId="8">
    <w:abstractNumId w:val="7"/>
  </w:num>
  <w:num w:numId="9">
    <w:abstractNumId w:val="6"/>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B8E"/>
    <w:rsid w:val="00001EC7"/>
    <w:rsid w:val="00004150"/>
    <w:rsid w:val="00004E7E"/>
    <w:rsid w:val="0000517D"/>
    <w:rsid w:val="00010D67"/>
    <w:rsid w:val="000172E6"/>
    <w:rsid w:val="000221B7"/>
    <w:rsid w:val="00023DA8"/>
    <w:rsid w:val="00070DB2"/>
    <w:rsid w:val="00071A23"/>
    <w:rsid w:val="000743D9"/>
    <w:rsid w:val="00075AF5"/>
    <w:rsid w:val="00086AE0"/>
    <w:rsid w:val="00092C14"/>
    <w:rsid w:val="000C02F6"/>
    <w:rsid w:val="000C28CA"/>
    <w:rsid w:val="000C2980"/>
    <w:rsid w:val="000C797D"/>
    <w:rsid w:val="000D21F6"/>
    <w:rsid w:val="000E09ED"/>
    <w:rsid w:val="000E79D3"/>
    <w:rsid w:val="000F6C02"/>
    <w:rsid w:val="000F7D9C"/>
    <w:rsid w:val="001006E8"/>
    <w:rsid w:val="001271DB"/>
    <w:rsid w:val="00140AB0"/>
    <w:rsid w:val="00140FA4"/>
    <w:rsid w:val="00146A22"/>
    <w:rsid w:val="001478D6"/>
    <w:rsid w:val="001538F5"/>
    <w:rsid w:val="00157054"/>
    <w:rsid w:val="00160C7A"/>
    <w:rsid w:val="00166BB4"/>
    <w:rsid w:val="00173C63"/>
    <w:rsid w:val="0017789A"/>
    <w:rsid w:val="00186CB4"/>
    <w:rsid w:val="00192B73"/>
    <w:rsid w:val="00194AA2"/>
    <w:rsid w:val="001C03DD"/>
    <w:rsid w:val="001C16CC"/>
    <w:rsid w:val="001C1FCB"/>
    <w:rsid w:val="001C4038"/>
    <w:rsid w:val="001D071A"/>
    <w:rsid w:val="001D4F5C"/>
    <w:rsid w:val="001D6775"/>
    <w:rsid w:val="001D6F1A"/>
    <w:rsid w:val="001E3B9A"/>
    <w:rsid w:val="001E7472"/>
    <w:rsid w:val="001F28D0"/>
    <w:rsid w:val="001F4832"/>
    <w:rsid w:val="00206681"/>
    <w:rsid w:val="00212ADE"/>
    <w:rsid w:val="002165F8"/>
    <w:rsid w:val="00224D70"/>
    <w:rsid w:val="00225AF5"/>
    <w:rsid w:val="00226CDD"/>
    <w:rsid w:val="00244C2A"/>
    <w:rsid w:val="00254786"/>
    <w:rsid w:val="0027618D"/>
    <w:rsid w:val="0029318A"/>
    <w:rsid w:val="002A02FC"/>
    <w:rsid w:val="002A4B08"/>
    <w:rsid w:val="002B19C0"/>
    <w:rsid w:val="002B713E"/>
    <w:rsid w:val="002D0EC5"/>
    <w:rsid w:val="002D60FA"/>
    <w:rsid w:val="002E7CC6"/>
    <w:rsid w:val="002F1840"/>
    <w:rsid w:val="0030182B"/>
    <w:rsid w:val="00313E20"/>
    <w:rsid w:val="00321618"/>
    <w:rsid w:val="0036062B"/>
    <w:rsid w:val="00362079"/>
    <w:rsid w:val="0037061E"/>
    <w:rsid w:val="00370A50"/>
    <w:rsid w:val="00371B1D"/>
    <w:rsid w:val="003779D7"/>
    <w:rsid w:val="00382DCB"/>
    <w:rsid w:val="003A73EB"/>
    <w:rsid w:val="003C2275"/>
    <w:rsid w:val="003F02D6"/>
    <w:rsid w:val="003F0A7D"/>
    <w:rsid w:val="003F5FC1"/>
    <w:rsid w:val="0040065E"/>
    <w:rsid w:val="00404345"/>
    <w:rsid w:val="00412FDF"/>
    <w:rsid w:val="00413772"/>
    <w:rsid w:val="00413C97"/>
    <w:rsid w:val="00420AAA"/>
    <w:rsid w:val="0042457E"/>
    <w:rsid w:val="0042536F"/>
    <w:rsid w:val="00426328"/>
    <w:rsid w:val="00460532"/>
    <w:rsid w:val="00460C33"/>
    <w:rsid w:val="0046287F"/>
    <w:rsid w:val="00463491"/>
    <w:rsid w:val="0048424F"/>
    <w:rsid w:val="00490EAB"/>
    <w:rsid w:val="004952C9"/>
    <w:rsid w:val="00496085"/>
    <w:rsid w:val="004C60AF"/>
    <w:rsid w:val="004C6D41"/>
    <w:rsid w:val="004D20C4"/>
    <w:rsid w:val="004D4AF2"/>
    <w:rsid w:val="004E27E8"/>
    <w:rsid w:val="004E3DB0"/>
    <w:rsid w:val="004E747D"/>
    <w:rsid w:val="004F3AEF"/>
    <w:rsid w:val="005023B4"/>
    <w:rsid w:val="005105B4"/>
    <w:rsid w:val="00515718"/>
    <w:rsid w:val="005260EF"/>
    <w:rsid w:val="00531575"/>
    <w:rsid w:val="0054079A"/>
    <w:rsid w:val="00551396"/>
    <w:rsid w:val="00554C4D"/>
    <w:rsid w:val="00566777"/>
    <w:rsid w:val="0057118A"/>
    <w:rsid w:val="0057275E"/>
    <w:rsid w:val="00573DF8"/>
    <w:rsid w:val="0058322D"/>
    <w:rsid w:val="00584253"/>
    <w:rsid w:val="00595349"/>
    <w:rsid w:val="00595674"/>
    <w:rsid w:val="005A1147"/>
    <w:rsid w:val="005A4CDD"/>
    <w:rsid w:val="005A6F1B"/>
    <w:rsid w:val="005C13DF"/>
    <w:rsid w:val="005C6B2A"/>
    <w:rsid w:val="005C6E18"/>
    <w:rsid w:val="005E55E7"/>
    <w:rsid w:val="006246BD"/>
    <w:rsid w:val="006405F3"/>
    <w:rsid w:val="006456F3"/>
    <w:rsid w:val="00651044"/>
    <w:rsid w:val="006526EE"/>
    <w:rsid w:val="00654B27"/>
    <w:rsid w:val="006716EA"/>
    <w:rsid w:val="00675294"/>
    <w:rsid w:val="00677C44"/>
    <w:rsid w:val="00694850"/>
    <w:rsid w:val="006A5C63"/>
    <w:rsid w:val="006B13D3"/>
    <w:rsid w:val="006C0B78"/>
    <w:rsid w:val="006C4520"/>
    <w:rsid w:val="006C7CC6"/>
    <w:rsid w:val="006C7CDC"/>
    <w:rsid w:val="006D0A2F"/>
    <w:rsid w:val="006E3ECD"/>
    <w:rsid w:val="00705486"/>
    <w:rsid w:val="007148BF"/>
    <w:rsid w:val="0071784A"/>
    <w:rsid w:val="00717BC5"/>
    <w:rsid w:val="00721D90"/>
    <w:rsid w:val="00723DB2"/>
    <w:rsid w:val="00724BAD"/>
    <w:rsid w:val="007278DE"/>
    <w:rsid w:val="00730EBA"/>
    <w:rsid w:val="0073313B"/>
    <w:rsid w:val="00740D7E"/>
    <w:rsid w:val="00744AD2"/>
    <w:rsid w:val="00747AEF"/>
    <w:rsid w:val="007531FF"/>
    <w:rsid w:val="00761F5A"/>
    <w:rsid w:val="007625CF"/>
    <w:rsid w:val="00765B21"/>
    <w:rsid w:val="00767006"/>
    <w:rsid w:val="007710BF"/>
    <w:rsid w:val="00774642"/>
    <w:rsid w:val="0078652A"/>
    <w:rsid w:val="00794A4E"/>
    <w:rsid w:val="007A090B"/>
    <w:rsid w:val="007A4DFB"/>
    <w:rsid w:val="007B770C"/>
    <w:rsid w:val="007C0CB8"/>
    <w:rsid w:val="007C486A"/>
    <w:rsid w:val="007D1A9C"/>
    <w:rsid w:val="007E2D48"/>
    <w:rsid w:val="007E6296"/>
    <w:rsid w:val="007F682C"/>
    <w:rsid w:val="00801044"/>
    <w:rsid w:val="0080290B"/>
    <w:rsid w:val="00803289"/>
    <w:rsid w:val="008102AE"/>
    <w:rsid w:val="00814151"/>
    <w:rsid w:val="00826389"/>
    <w:rsid w:val="0082774D"/>
    <w:rsid w:val="0083077A"/>
    <w:rsid w:val="008364E0"/>
    <w:rsid w:val="008375B6"/>
    <w:rsid w:val="0084548F"/>
    <w:rsid w:val="008470B1"/>
    <w:rsid w:val="00860680"/>
    <w:rsid w:val="00860935"/>
    <w:rsid w:val="008636AC"/>
    <w:rsid w:val="0086720C"/>
    <w:rsid w:val="00893BBB"/>
    <w:rsid w:val="00894743"/>
    <w:rsid w:val="008B6B69"/>
    <w:rsid w:val="008C0124"/>
    <w:rsid w:val="008C3E07"/>
    <w:rsid w:val="008D766D"/>
    <w:rsid w:val="008D7A31"/>
    <w:rsid w:val="008F0659"/>
    <w:rsid w:val="008F6EA3"/>
    <w:rsid w:val="00901348"/>
    <w:rsid w:val="00905978"/>
    <w:rsid w:val="00910F8D"/>
    <w:rsid w:val="00911266"/>
    <w:rsid w:val="009117B0"/>
    <w:rsid w:val="00915CBE"/>
    <w:rsid w:val="0091664B"/>
    <w:rsid w:val="00932CCE"/>
    <w:rsid w:val="00942835"/>
    <w:rsid w:val="00963281"/>
    <w:rsid w:val="009639B4"/>
    <w:rsid w:val="00976B5B"/>
    <w:rsid w:val="00977249"/>
    <w:rsid w:val="00990F3F"/>
    <w:rsid w:val="009953B5"/>
    <w:rsid w:val="009A0B78"/>
    <w:rsid w:val="009A0D20"/>
    <w:rsid w:val="009A4FE2"/>
    <w:rsid w:val="009A6FD1"/>
    <w:rsid w:val="009B3302"/>
    <w:rsid w:val="009E0486"/>
    <w:rsid w:val="009E7421"/>
    <w:rsid w:val="00A00D0E"/>
    <w:rsid w:val="00A064CE"/>
    <w:rsid w:val="00A13FFD"/>
    <w:rsid w:val="00A25182"/>
    <w:rsid w:val="00A37765"/>
    <w:rsid w:val="00A50A10"/>
    <w:rsid w:val="00A5385A"/>
    <w:rsid w:val="00A7238E"/>
    <w:rsid w:val="00A759BC"/>
    <w:rsid w:val="00A80E34"/>
    <w:rsid w:val="00AB4A83"/>
    <w:rsid w:val="00AC6C09"/>
    <w:rsid w:val="00AD2E82"/>
    <w:rsid w:val="00AD35D5"/>
    <w:rsid w:val="00AE0FB0"/>
    <w:rsid w:val="00AE4B76"/>
    <w:rsid w:val="00AF3A98"/>
    <w:rsid w:val="00AF404B"/>
    <w:rsid w:val="00B00D80"/>
    <w:rsid w:val="00B047F1"/>
    <w:rsid w:val="00B0534B"/>
    <w:rsid w:val="00B34F1B"/>
    <w:rsid w:val="00B35229"/>
    <w:rsid w:val="00B359D2"/>
    <w:rsid w:val="00B4283C"/>
    <w:rsid w:val="00B51476"/>
    <w:rsid w:val="00B51CFE"/>
    <w:rsid w:val="00B76855"/>
    <w:rsid w:val="00B815F6"/>
    <w:rsid w:val="00B85ABC"/>
    <w:rsid w:val="00B90B21"/>
    <w:rsid w:val="00BA0E35"/>
    <w:rsid w:val="00BA3373"/>
    <w:rsid w:val="00BB31C1"/>
    <w:rsid w:val="00BC5BAC"/>
    <w:rsid w:val="00BC7570"/>
    <w:rsid w:val="00BD13F2"/>
    <w:rsid w:val="00BD33A9"/>
    <w:rsid w:val="00BD7DA8"/>
    <w:rsid w:val="00BE6157"/>
    <w:rsid w:val="00C26DC7"/>
    <w:rsid w:val="00C35E70"/>
    <w:rsid w:val="00C51162"/>
    <w:rsid w:val="00C66825"/>
    <w:rsid w:val="00C67FEA"/>
    <w:rsid w:val="00C85F47"/>
    <w:rsid w:val="00C914D6"/>
    <w:rsid w:val="00CB471C"/>
    <w:rsid w:val="00CB7889"/>
    <w:rsid w:val="00CC52A8"/>
    <w:rsid w:val="00CC53A4"/>
    <w:rsid w:val="00CC71C1"/>
    <w:rsid w:val="00CC7F22"/>
    <w:rsid w:val="00CD1059"/>
    <w:rsid w:val="00CD1629"/>
    <w:rsid w:val="00CE1EE3"/>
    <w:rsid w:val="00CE2D43"/>
    <w:rsid w:val="00CF6ED4"/>
    <w:rsid w:val="00D03F75"/>
    <w:rsid w:val="00D11CBA"/>
    <w:rsid w:val="00D12194"/>
    <w:rsid w:val="00D22CE7"/>
    <w:rsid w:val="00D23C74"/>
    <w:rsid w:val="00D24388"/>
    <w:rsid w:val="00D25D09"/>
    <w:rsid w:val="00D30378"/>
    <w:rsid w:val="00D35405"/>
    <w:rsid w:val="00D420C3"/>
    <w:rsid w:val="00D61449"/>
    <w:rsid w:val="00D633D1"/>
    <w:rsid w:val="00D6784F"/>
    <w:rsid w:val="00D707E3"/>
    <w:rsid w:val="00D71C8E"/>
    <w:rsid w:val="00D723BD"/>
    <w:rsid w:val="00D833D9"/>
    <w:rsid w:val="00DA2FDB"/>
    <w:rsid w:val="00DA5036"/>
    <w:rsid w:val="00DB312C"/>
    <w:rsid w:val="00DC22B2"/>
    <w:rsid w:val="00DC3C87"/>
    <w:rsid w:val="00DD0E8C"/>
    <w:rsid w:val="00DD5039"/>
    <w:rsid w:val="00DE0975"/>
    <w:rsid w:val="00DE1A57"/>
    <w:rsid w:val="00DE5EA5"/>
    <w:rsid w:val="00E0211F"/>
    <w:rsid w:val="00E215DD"/>
    <w:rsid w:val="00E25099"/>
    <w:rsid w:val="00E30924"/>
    <w:rsid w:val="00E31483"/>
    <w:rsid w:val="00E42441"/>
    <w:rsid w:val="00E46CE9"/>
    <w:rsid w:val="00E53D2B"/>
    <w:rsid w:val="00E61F64"/>
    <w:rsid w:val="00E70307"/>
    <w:rsid w:val="00E82D8E"/>
    <w:rsid w:val="00EA35A2"/>
    <w:rsid w:val="00EA7BAF"/>
    <w:rsid w:val="00EB12AA"/>
    <w:rsid w:val="00EB789F"/>
    <w:rsid w:val="00EC5DB9"/>
    <w:rsid w:val="00EE4CDF"/>
    <w:rsid w:val="00EE78D8"/>
    <w:rsid w:val="00F0007E"/>
    <w:rsid w:val="00F01ADF"/>
    <w:rsid w:val="00F01BC3"/>
    <w:rsid w:val="00F03B41"/>
    <w:rsid w:val="00F20618"/>
    <w:rsid w:val="00F311A9"/>
    <w:rsid w:val="00F3679E"/>
    <w:rsid w:val="00F57CA9"/>
    <w:rsid w:val="00F64B8E"/>
    <w:rsid w:val="00F67364"/>
    <w:rsid w:val="00F73422"/>
    <w:rsid w:val="00F873A9"/>
    <w:rsid w:val="00F879B7"/>
    <w:rsid w:val="00F943AC"/>
    <w:rsid w:val="00FA3FB4"/>
    <w:rsid w:val="00FA5143"/>
    <w:rsid w:val="00FB203D"/>
    <w:rsid w:val="00FD0CB1"/>
    <w:rsid w:val="00FD5169"/>
    <w:rsid w:val="00FD7538"/>
    <w:rsid w:val="00FE0FC9"/>
    <w:rsid w:val="00FE55CF"/>
    <w:rsid w:val="00FF219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8C7AF"/>
  <w15:docId w15:val="{4046BF51-705C-4F6D-BBAF-2D57729F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7BC5"/>
    <w:rPr>
      <w:sz w:val="24"/>
      <w:szCs w:val="24"/>
    </w:rPr>
  </w:style>
  <w:style w:type="paragraph" w:styleId="Nadpis1">
    <w:name w:val="heading 1"/>
    <w:basedOn w:val="Normln"/>
    <w:next w:val="Normln"/>
    <w:qFormat/>
    <w:rsid w:val="00E70307"/>
    <w:pPr>
      <w:keepNext/>
      <w:jc w:val="right"/>
      <w:outlineLvl w:val="0"/>
    </w:pPr>
    <w:rPr>
      <w:rFonts w:ascii="Arial" w:hAnsi="Arial"/>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zkona">
    <w:name w:val="nadpis zákona"/>
    <w:basedOn w:val="Normln"/>
    <w:next w:val="Normln"/>
    <w:rsid w:val="00321618"/>
    <w:pPr>
      <w:keepNext/>
      <w:keepLines/>
      <w:spacing w:before="120"/>
      <w:jc w:val="center"/>
      <w:outlineLvl w:val="0"/>
    </w:pPr>
    <w:rPr>
      <w:b/>
      <w:szCs w:val="20"/>
    </w:rPr>
  </w:style>
  <w:style w:type="paragraph" w:customStyle="1" w:styleId="Textbodu">
    <w:name w:val="Text bodu"/>
    <w:basedOn w:val="Normln"/>
    <w:rsid w:val="003F5FC1"/>
    <w:pPr>
      <w:numPr>
        <w:ilvl w:val="2"/>
        <w:numId w:val="2"/>
      </w:numPr>
      <w:tabs>
        <w:tab w:val="clear" w:pos="850"/>
        <w:tab w:val="num" w:pos="360"/>
      </w:tabs>
      <w:ind w:left="0" w:firstLine="0"/>
      <w:jc w:val="both"/>
      <w:outlineLvl w:val="8"/>
    </w:pPr>
    <w:rPr>
      <w:szCs w:val="20"/>
    </w:rPr>
  </w:style>
  <w:style w:type="paragraph" w:customStyle="1" w:styleId="Textpsmene">
    <w:name w:val="Text písmene"/>
    <w:basedOn w:val="Normln"/>
    <w:rsid w:val="003F5FC1"/>
    <w:pPr>
      <w:numPr>
        <w:ilvl w:val="1"/>
        <w:numId w:val="2"/>
      </w:numPr>
      <w:jc w:val="both"/>
      <w:outlineLvl w:val="7"/>
    </w:pPr>
    <w:rPr>
      <w:szCs w:val="20"/>
    </w:rPr>
  </w:style>
  <w:style w:type="paragraph" w:customStyle="1" w:styleId="Textodstavce">
    <w:name w:val="Text odstavce"/>
    <w:basedOn w:val="Normln"/>
    <w:rsid w:val="003F5FC1"/>
    <w:pPr>
      <w:numPr>
        <w:numId w:val="2"/>
      </w:numPr>
      <w:tabs>
        <w:tab w:val="left" w:pos="851"/>
      </w:tabs>
      <w:spacing w:before="120" w:after="120"/>
      <w:jc w:val="both"/>
      <w:outlineLvl w:val="6"/>
    </w:pPr>
    <w:rPr>
      <w:szCs w:val="20"/>
    </w:rPr>
  </w:style>
  <w:style w:type="paragraph" w:customStyle="1" w:styleId="CharCharChar">
    <w:name w:val="Char Char Char"/>
    <w:basedOn w:val="Normln"/>
    <w:rsid w:val="003F5FC1"/>
    <w:pPr>
      <w:spacing w:after="160" w:line="240" w:lineRule="exact"/>
    </w:pPr>
    <w:rPr>
      <w:rFonts w:ascii="Times New Roman Bold" w:hAnsi="Times New Roman Bold"/>
      <w:sz w:val="22"/>
      <w:szCs w:val="26"/>
      <w:lang w:val="sk-SK" w:eastAsia="en-US"/>
    </w:rPr>
  </w:style>
  <w:style w:type="paragraph" w:customStyle="1" w:styleId="NormlnG">
    <w:name w:val="Normální]G"/>
    <w:rsid w:val="002A02FC"/>
    <w:pPr>
      <w:widowControl w:val="0"/>
      <w:overflowPunct w:val="0"/>
      <w:autoSpaceDE w:val="0"/>
      <w:autoSpaceDN w:val="0"/>
      <w:adjustRightInd w:val="0"/>
      <w:jc w:val="both"/>
    </w:pPr>
    <w:rPr>
      <w:sz w:val="24"/>
    </w:rPr>
  </w:style>
  <w:style w:type="paragraph" w:styleId="Textbubliny">
    <w:name w:val="Balloon Text"/>
    <w:basedOn w:val="Normln"/>
    <w:semiHidden/>
    <w:rsid w:val="002A02FC"/>
    <w:rPr>
      <w:rFonts w:ascii="Tahoma" w:hAnsi="Tahoma" w:cs="Tahoma"/>
      <w:sz w:val="16"/>
      <w:szCs w:val="16"/>
    </w:rPr>
  </w:style>
  <w:style w:type="paragraph" w:styleId="Zkladntext">
    <w:name w:val="Body Text"/>
    <w:basedOn w:val="Normln"/>
    <w:rsid w:val="00EB789F"/>
    <w:pPr>
      <w:spacing w:before="120" w:line="240" w:lineRule="atLeast"/>
      <w:jc w:val="center"/>
    </w:pPr>
    <w:rPr>
      <w:rFonts w:ascii="Arial" w:hAnsi="Arial"/>
      <w:sz w:val="22"/>
      <w:szCs w:val="20"/>
    </w:rPr>
  </w:style>
  <w:style w:type="paragraph" w:customStyle="1" w:styleId="TxBrp8">
    <w:name w:val="TxBr_p8"/>
    <w:basedOn w:val="Normln"/>
    <w:rsid w:val="000E79D3"/>
    <w:pPr>
      <w:widowControl w:val="0"/>
      <w:tabs>
        <w:tab w:val="left" w:pos="1088"/>
      </w:tabs>
      <w:autoSpaceDE w:val="0"/>
      <w:autoSpaceDN w:val="0"/>
      <w:adjustRightInd w:val="0"/>
      <w:spacing w:line="283" w:lineRule="atLeast"/>
      <w:ind w:left="24" w:hanging="1088"/>
      <w:jc w:val="both"/>
    </w:pPr>
    <w:rPr>
      <w:lang w:val="en-US"/>
    </w:rPr>
  </w:style>
  <w:style w:type="paragraph" w:styleId="Zkladntextodsazen">
    <w:name w:val="Body Text Indent"/>
    <w:basedOn w:val="Normln"/>
    <w:rsid w:val="000E79D3"/>
    <w:pPr>
      <w:spacing w:after="120"/>
      <w:ind w:left="283"/>
    </w:pPr>
  </w:style>
  <w:style w:type="paragraph" w:styleId="Zkladntext3">
    <w:name w:val="Body Text 3"/>
    <w:basedOn w:val="Normln"/>
    <w:rsid w:val="000E79D3"/>
    <w:pPr>
      <w:spacing w:after="120"/>
    </w:pPr>
    <w:rPr>
      <w:sz w:val="16"/>
      <w:szCs w:val="16"/>
    </w:rPr>
  </w:style>
  <w:style w:type="paragraph" w:styleId="Zkladntextodsazen3">
    <w:name w:val="Body Text Indent 3"/>
    <w:basedOn w:val="Normln"/>
    <w:rsid w:val="000E79D3"/>
    <w:pPr>
      <w:spacing w:after="120"/>
      <w:ind w:left="283"/>
    </w:pPr>
    <w:rPr>
      <w:sz w:val="16"/>
      <w:szCs w:val="16"/>
    </w:rPr>
  </w:style>
  <w:style w:type="paragraph" w:styleId="Zhlav">
    <w:name w:val="header"/>
    <w:basedOn w:val="Normln"/>
    <w:link w:val="ZhlavChar"/>
    <w:rsid w:val="00515718"/>
    <w:pPr>
      <w:tabs>
        <w:tab w:val="center" w:pos="4536"/>
        <w:tab w:val="right" w:pos="9072"/>
      </w:tabs>
    </w:pPr>
  </w:style>
  <w:style w:type="paragraph" w:styleId="Zpat">
    <w:name w:val="footer"/>
    <w:basedOn w:val="Normln"/>
    <w:rsid w:val="00515718"/>
    <w:pPr>
      <w:tabs>
        <w:tab w:val="center" w:pos="4536"/>
        <w:tab w:val="right" w:pos="9072"/>
      </w:tabs>
    </w:pPr>
  </w:style>
  <w:style w:type="character" w:customStyle="1" w:styleId="ZhlavChar">
    <w:name w:val="Záhlaví Char"/>
    <w:basedOn w:val="Standardnpsmoodstavce"/>
    <w:link w:val="Zhlav"/>
    <w:rsid w:val="00515718"/>
    <w:rPr>
      <w:sz w:val="24"/>
      <w:szCs w:val="24"/>
      <w:lang w:val="cs-CZ" w:eastAsia="cs-CZ" w:bidi="ar-SA"/>
    </w:rPr>
  </w:style>
  <w:style w:type="character" w:styleId="Siln">
    <w:name w:val="Strong"/>
    <w:basedOn w:val="Standardnpsmoodstavce"/>
    <w:uiPriority w:val="22"/>
    <w:qFormat/>
    <w:rsid w:val="002D60FA"/>
    <w:rPr>
      <w:b/>
      <w:bCs/>
    </w:rPr>
  </w:style>
  <w:style w:type="paragraph" w:styleId="Odstavecseseznamem">
    <w:name w:val="List Paragraph"/>
    <w:basedOn w:val="Normln"/>
    <w:uiPriority w:val="34"/>
    <w:qFormat/>
    <w:rsid w:val="000C02F6"/>
    <w:pPr>
      <w:spacing w:after="160" w:line="259" w:lineRule="auto"/>
      <w:ind w:left="720"/>
      <w:contextualSpacing/>
    </w:pPr>
    <w:rPr>
      <w:rFonts w:asciiTheme="minorHAnsi" w:eastAsiaTheme="minorHAnsi" w:hAnsiTheme="minorHAnsi" w:cstheme="minorBidi"/>
      <w:sz w:val="22"/>
      <w:szCs w:val="22"/>
      <w:lang w:eastAsia="en-US"/>
    </w:rPr>
  </w:style>
  <w:style w:type="table" w:styleId="Mkatabulky">
    <w:name w:val="Table Grid"/>
    <w:basedOn w:val="Normlntabulka"/>
    <w:rsid w:val="00AE4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ednoduchtabulka3">
    <w:name w:val="Table Simple 3"/>
    <w:basedOn w:val="Normlntabulka"/>
    <w:rsid w:val="00AE4B7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rofesionlntabulka">
    <w:name w:val="Table Professional"/>
    <w:basedOn w:val="Normlntabulka"/>
    <w:rsid w:val="00AE4B7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vtlseznam1">
    <w:name w:val="Světlý seznam1"/>
    <w:basedOn w:val="Normlntabulka"/>
    <w:uiPriority w:val="61"/>
    <w:rsid w:val="00DA2FD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lnweb">
    <w:name w:val="Normal (Web)"/>
    <w:basedOn w:val="Normln"/>
    <w:uiPriority w:val="99"/>
    <w:unhideWhenUsed/>
    <w:rsid w:val="009639B4"/>
    <w:pPr>
      <w:spacing w:before="100" w:beforeAutospacing="1" w:after="100" w:afterAutospacing="1"/>
    </w:pPr>
  </w:style>
  <w:style w:type="character" w:styleId="Hypertextovodkaz">
    <w:name w:val="Hyperlink"/>
    <w:basedOn w:val="Standardnpsmoodstavce"/>
    <w:rsid w:val="00D35405"/>
    <w:rPr>
      <w:color w:val="0000FF" w:themeColor="hyperlink"/>
      <w:u w:val="single"/>
    </w:rPr>
  </w:style>
  <w:style w:type="character" w:styleId="Odkaznakoment">
    <w:name w:val="annotation reference"/>
    <w:basedOn w:val="Standardnpsmoodstavce"/>
    <w:uiPriority w:val="99"/>
    <w:unhideWhenUsed/>
    <w:rsid w:val="007C0CB8"/>
    <w:rPr>
      <w:sz w:val="16"/>
      <w:szCs w:val="16"/>
    </w:rPr>
  </w:style>
  <w:style w:type="paragraph" w:styleId="Textkomente">
    <w:name w:val="annotation text"/>
    <w:basedOn w:val="Normln"/>
    <w:link w:val="TextkomenteChar"/>
    <w:uiPriority w:val="99"/>
    <w:unhideWhenUsed/>
    <w:rsid w:val="007C0CB8"/>
    <w:pPr>
      <w:spacing w:after="200"/>
    </w:pPr>
    <w:rPr>
      <w:rFonts w:asciiTheme="minorHAnsi" w:eastAsia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7C0CB8"/>
    <w:rPr>
      <w:rFonts w:asciiTheme="minorHAnsi" w:eastAsiaTheme="minorHAnsi" w:hAnsiTheme="minorHAnsi" w:cstheme="minorBidi"/>
      <w:lang w:eastAsia="en-US"/>
    </w:rPr>
  </w:style>
  <w:style w:type="paragraph" w:styleId="Pedmtkomente">
    <w:name w:val="annotation subject"/>
    <w:basedOn w:val="Textkomente"/>
    <w:next w:val="Textkomente"/>
    <w:link w:val="PedmtkomenteChar"/>
    <w:semiHidden/>
    <w:unhideWhenUsed/>
    <w:rsid w:val="0046287F"/>
    <w:pPr>
      <w:spacing w:after="0"/>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46287F"/>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3226">
      <w:bodyDiv w:val="1"/>
      <w:marLeft w:val="0"/>
      <w:marRight w:val="0"/>
      <w:marTop w:val="0"/>
      <w:marBottom w:val="0"/>
      <w:divBdr>
        <w:top w:val="none" w:sz="0" w:space="0" w:color="auto"/>
        <w:left w:val="none" w:sz="0" w:space="0" w:color="auto"/>
        <w:bottom w:val="none" w:sz="0" w:space="0" w:color="auto"/>
        <w:right w:val="none" w:sz="0" w:space="0" w:color="auto"/>
      </w:divBdr>
    </w:div>
    <w:div w:id="244729683">
      <w:bodyDiv w:val="1"/>
      <w:marLeft w:val="0"/>
      <w:marRight w:val="0"/>
      <w:marTop w:val="0"/>
      <w:marBottom w:val="0"/>
      <w:divBdr>
        <w:top w:val="none" w:sz="0" w:space="0" w:color="auto"/>
        <w:left w:val="none" w:sz="0" w:space="0" w:color="auto"/>
        <w:bottom w:val="none" w:sz="0" w:space="0" w:color="auto"/>
        <w:right w:val="none" w:sz="0" w:space="0" w:color="auto"/>
      </w:divBdr>
    </w:div>
    <w:div w:id="644551342">
      <w:bodyDiv w:val="1"/>
      <w:marLeft w:val="0"/>
      <w:marRight w:val="0"/>
      <w:marTop w:val="0"/>
      <w:marBottom w:val="0"/>
      <w:divBdr>
        <w:top w:val="none" w:sz="0" w:space="0" w:color="auto"/>
        <w:left w:val="none" w:sz="0" w:space="0" w:color="auto"/>
        <w:bottom w:val="none" w:sz="0" w:space="0" w:color="auto"/>
        <w:right w:val="none" w:sz="0" w:space="0" w:color="auto"/>
      </w:divBdr>
    </w:div>
    <w:div w:id="1098016127">
      <w:bodyDiv w:val="1"/>
      <w:marLeft w:val="0"/>
      <w:marRight w:val="0"/>
      <w:marTop w:val="0"/>
      <w:marBottom w:val="0"/>
      <w:divBdr>
        <w:top w:val="none" w:sz="0" w:space="0" w:color="auto"/>
        <w:left w:val="none" w:sz="0" w:space="0" w:color="auto"/>
        <w:bottom w:val="none" w:sz="0" w:space="0" w:color="auto"/>
        <w:right w:val="none" w:sz="0" w:space="0" w:color="auto"/>
      </w:divBdr>
    </w:div>
    <w:div w:id="1464881417">
      <w:bodyDiv w:val="1"/>
      <w:marLeft w:val="0"/>
      <w:marRight w:val="0"/>
      <w:marTop w:val="0"/>
      <w:marBottom w:val="0"/>
      <w:divBdr>
        <w:top w:val="none" w:sz="0" w:space="0" w:color="auto"/>
        <w:left w:val="none" w:sz="0" w:space="0" w:color="auto"/>
        <w:bottom w:val="none" w:sz="0" w:space="0" w:color="auto"/>
        <w:right w:val="none" w:sz="0" w:space="0" w:color="auto"/>
      </w:divBdr>
    </w:div>
    <w:div w:id="1983996188">
      <w:bodyDiv w:val="1"/>
      <w:marLeft w:val="0"/>
      <w:marRight w:val="0"/>
      <w:marTop w:val="0"/>
      <w:marBottom w:val="0"/>
      <w:divBdr>
        <w:top w:val="none" w:sz="0" w:space="0" w:color="auto"/>
        <w:left w:val="none" w:sz="0" w:space="0" w:color="auto"/>
        <w:bottom w:val="none" w:sz="0" w:space="0" w:color="auto"/>
        <w:right w:val="none" w:sz="0" w:space="0" w:color="auto"/>
      </w:divBdr>
    </w:div>
    <w:div w:id="200608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1312</Words>
  <Characters>7953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č</vt:lpstr>
    </vt:vector>
  </TitlesOfParts>
  <Company>MZPCR</Company>
  <LinksUpToDate>false</LinksUpToDate>
  <CharactersWithSpaces>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user</dc:creator>
  <cp:lastModifiedBy>user</cp:lastModifiedBy>
  <cp:revision>2</cp:revision>
  <cp:lastPrinted>2015-03-17T13:14:00Z</cp:lastPrinted>
  <dcterms:created xsi:type="dcterms:W3CDTF">2015-03-19T13:51:00Z</dcterms:created>
  <dcterms:modified xsi:type="dcterms:W3CDTF">2015-03-19T13:51:00Z</dcterms:modified>
</cp:coreProperties>
</file>