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B40" w:rsidRDefault="005F2B40" w:rsidP="000C1B4F">
      <w:pPr>
        <w:rPr>
          <w:rFonts w:cs="Calibri"/>
          <w:b/>
          <w:spacing w:val="5"/>
          <w:kern w:val="28"/>
          <w:sz w:val="52"/>
          <w:szCs w:val="52"/>
        </w:rPr>
      </w:pPr>
    </w:p>
    <w:p w:rsidR="005F2B40" w:rsidRDefault="005F2B40" w:rsidP="00DF6E0B">
      <w:pPr>
        <w:jc w:val="center"/>
        <w:rPr>
          <w:rFonts w:cs="Calibri"/>
          <w:b/>
          <w:color w:val="4F81BD" w:themeColor="accent1"/>
          <w:spacing w:val="5"/>
          <w:kern w:val="28"/>
          <w:sz w:val="52"/>
          <w:szCs w:val="52"/>
        </w:rPr>
      </w:pPr>
    </w:p>
    <w:p w:rsidR="005F2B40" w:rsidRDefault="005F2B40" w:rsidP="00DF6E0B">
      <w:pPr>
        <w:spacing w:after="120"/>
        <w:jc w:val="center"/>
        <w:rPr>
          <w:rFonts w:cs="Calibri"/>
          <w:b/>
          <w:color w:val="4F81BD" w:themeColor="accent1"/>
          <w:spacing w:val="5"/>
          <w:kern w:val="28"/>
          <w:sz w:val="48"/>
          <w:szCs w:val="48"/>
        </w:rPr>
      </w:pPr>
    </w:p>
    <w:p w:rsidR="005F2B40" w:rsidRDefault="005F2B40" w:rsidP="00DF6E0B">
      <w:pPr>
        <w:spacing w:after="120"/>
        <w:jc w:val="center"/>
        <w:rPr>
          <w:rFonts w:cs="Calibri"/>
          <w:b/>
          <w:color w:val="4F81BD" w:themeColor="accent1"/>
          <w:spacing w:val="5"/>
          <w:kern w:val="28"/>
          <w:sz w:val="48"/>
          <w:szCs w:val="48"/>
        </w:rPr>
      </w:pPr>
    </w:p>
    <w:p w:rsidR="005F2B40" w:rsidRPr="00DF6E0B" w:rsidRDefault="005F2B40" w:rsidP="00DF6E0B">
      <w:pPr>
        <w:spacing w:after="120"/>
        <w:jc w:val="center"/>
        <w:rPr>
          <w:rFonts w:cs="Calibri"/>
          <w:b/>
          <w:color w:val="4F81BD" w:themeColor="accent1"/>
          <w:spacing w:val="5"/>
          <w:kern w:val="28"/>
          <w:sz w:val="48"/>
          <w:szCs w:val="48"/>
        </w:rPr>
      </w:pPr>
      <w:r w:rsidRPr="00DF6E0B">
        <w:rPr>
          <w:rFonts w:cs="Calibri"/>
          <w:b/>
          <w:color w:val="4F81BD" w:themeColor="accent1"/>
          <w:spacing w:val="5"/>
          <w:kern w:val="28"/>
          <w:sz w:val="48"/>
          <w:szCs w:val="48"/>
        </w:rPr>
        <w:t>Předběžné posouzení finančních nástrojů</w:t>
      </w:r>
    </w:p>
    <w:p w:rsidR="002C41C1" w:rsidRPr="00DF6E0B" w:rsidRDefault="005F2B40" w:rsidP="00DF6E0B">
      <w:pPr>
        <w:spacing w:after="120"/>
        <w:jc w:val="center"/>
        <w:rPr>
          <w:color w:val="4F81BD" w:themeColor="accent1"/>
          <w:sz w:val="48"/>
          <w:szCs w:val="48"/>
        </w:rPr>
      </w:pPr>
      <w:r w:rsidRPr="00DF6E0B">
        <w:rPr>
          <w:rFonts w:cs="Calibri"/>
          <w:b/>
          <w:color w:val="4F81BD" w:themeColor="accent1"/>
          <w:spacing w:val="5"/>
          <w:kern w:val="28"/>
          <w:sz w:val="48"/>
          <w:szCs w:val="48"/>
        </w:rPr>
        <w:t>Operačního programu Podnikání a inovace pro konkurenceschopnost 2014-2020</w:t>
      </w:r>
    </w:p>
    <w:p w:rsidR="002C41C1" w:rsidRPr="00EB7775" w:rsidRDefault="002C41C1" w:rsidP="00EB7775"/>
    <w:p w:rsidR="002C41C1" w:rsidRDefault="002C41C1" w:rsidP="000C1B4F"/>
    <w:p w:rsidR="002C41C1" w:rsidRPr="00DF6E0B" w:rsidRDefault="005F2B40" w:rsidP="00DF6E0B">
      <w:pPr>
        <w:jc w:val="center"/>
        <w:rPr>
          <w:b/>
          <w:sz w:val="40"/>
          <w:szCs w:val="40"/>
        </w:rPr>
      </w:pPr>
      <w:r w:rsidRPr="00DF6E0B">
        <w:rPr>
          <w:b/>
          <w:sz w:val="40"/>
          <w:szCs w:val="40"/>
        </w:rPr>
        <w:t>První průběžná zpráva</w:t>
      </w:r>
    </w:p>
    <w:p w:rsidR="002C41C1" w:rsidRPr="00DF6E0B" w:rsidRDefault="002C41C1" w:rsidP="000C1B4F">
      <w:pPr>
        <w:rPr>
          <w:b/>
        </w:rPr>
      </w:pPr>
    </w:p>
    <w:p w:rsidR="002C41C1" w:rsidRPr="00DF6E0B" w:rsidRDefault="002C41C1" w:rsidP="000C1B4F">
      <w:pPr>
        <w:rPr>
          <w:b/>
        </w:rPr>
      </w:pPr>
    </w:p>
    <w:p w:rsidR="002C41C1" w:rsidRPr="00DF6E0B" w:rsidRDefault="002C41C1" w:rsidP="000C1B4F">
      <w:pPr>
        <w:rPr>
          <w:b/>
        </w:rPr>
      </w:pPr>
    </w:p>
    <w:p w:rsidR="002C41C1" w:rsidRPr="00DF6E0B" w:rsidRDefault="002C41C1" w:rsidP="000C1B4F">
      <w:pPr>
        <w:rPr>
          <w:b/>
        </w:rPr>
      </w:pPr>
    </w:p>
    <w:p w:rsidR="002C41C1" w:rsidRPr="00DF6E0B" w:rsidRDefault="002C41C1" w:rsidP="000C1B4F">
      <w:pPr>
        <w:rPr>
          <w:b/>
        </w:rPr>
      </w:pPr>
    </w:p>
    <w:p w:rsidR="002C41C1" w:rsidRPr="00DF6E0B" w:rsidRDefault="002C41C1" w:rsidP="000C1B4F">
      <w:pPr>
        <w:rPr>
          <w:b/>
        </w:rPr>
      </w:pPr>
    </w:p>
    <w:p w:rsidR="005F2B40" w:rsidRDefault="005F2B40">
      <w:pPr>
        <w:overflowPunct/>
        <w:autoSpaceDE/>
        <w:autoSpaceDN/>
        <w:adjustRightInd/>
        <w:jc w:val="left"/>
        <w:textAlignment w:val="auto"/>
        <w:rPr>
          <w:rFonts w:cs="Calibri"/>
          <w:b/>
          <w:sz w:val="32"/>
          <w:szCs w:val="32"/>
        </w:rPr>
      </w:pPr>
    </w:p>
    <w:p w:rsidR="005F2B40" w:rsidRDefault="005F2B40">
      <w:pPr>
        <w:overflowPunct/>
        <w:autoSpaceDE/>
        <w:autoSpaceDN/>
        <w:adjustRightInd/>
        <w:jc w:val="left"/>
        <w:textAlignment w:val="auto"/>
        <w:rPr>
          <w:rFonts w:cs="Calibri"/>
          <w:b/>
          <w:sz w:val="32"/>
          <w:szCs w:val="32"/>
        </w:rPr>
      </w:pPr>
    </w:p>
    <w:p w:rsidR="005F2B40" w:rsidRDefault="005F2B40">
      <w:pPr>
        <w:overflowPunct/>
        <w:autoSpaceDE/>
        <w:autoSpaceDN/>
        <w:adjustRightInd/>
        <w:jc w:val="left"/>
        <w:textAlignment w:val="auto"/>
        <w:rPr>
          <w:rFonts w:cs="Calibri"/>
          <w:b/>
          <w:sz w:val="32"/>
          <w:szCs w:val="32"/>
        </w:rPr>
      </w:pPr>
    </w:p>
    <w:p w:rsidR="005F2B40" w:rsidRDefault="005F2B40">
      <w:pPr>
        <w:overflowPunct/>
        <w:autoSpaceDE/>
        <w:autoSpaceDN/>
        <w:adjustRightInd/>
        <w:jc w:val="left"/>
        <w:textAlignment w:val="auto"/>
        <w:rPr>
          <w:rFonts w:cs="Calibri"/>
          <w:b/>
          <w:sz w:val="32"/>
          <w:szCs w:val="32"/>
        </w:rPr>
      </w:pPr>
    </w:p>
    <w:p w:rsidR="005F2B40" w:rsidRDefault="005F2B40">
      <w:pPr>
        <w:overflowPunct/>
        <w:autoSpaceDE/>
        <w:autoSpaceDN/>
        <w:adjustRightInd/>
        <w:jc w:val="left"/>
        <w:textAlignment w:val="auto"/>
        <w:rPr>
          <w:rFonts w:cs="Calibri"/>
          <w:b/>
          <w:sz w:val="32"/>
          <w:szCs w:val="32"/>
        </w:rPr>
      </w:pPr>
    </w:p>
    <w:p w:rsidR="005F2B40" w:rsidRDefault="005F2B40">
      <w:pPr>
        <w:overflowPunct/>
        <w:autoSpaceDE/>
        <w:autoSpaceDN/>
        <w:adjustRightInd/>
        <w:jc w:val="left"/>
        <w:textAlignment w:val="auto"/>
        <w:rPr>
          <w:rFonts w:cs="Calibri"/>
          <w:b/>
          <w:sz w:val="32"/>
          <w:szCs w:val="32"/>
        </w:rPr>
      </w:pPr>
    </w:p>
    <w:p w:rsidR="005F2B40" w:rsidRDefault="005F2B40">
      <w:pPr>
        <w:overflowPunct/>
        <w:autoSpaceDE/>
        <w:autoSpaceDN/>
        <w:adjustRightInd/>
        <w:jc w:val="left"/>
        <w:textAlignment w:val="auto"/>
        <w:rPr>
          <w:rFonts w:cs="Calibri"/>
          <w:b/>
          <w:sz w:val="32"/>
          <w:szCs w:val="32"/>
        </w:rPr>
      </w:pPr>
    </w:p>
    <w:p w:rsidR="005F2B40" w:rsidRDefault="005F2B40">
      <w:pPr>
        <w:overflowPunct/>
        <w:autoSpaceDE/>
        <w:autoSpaceDN/>
        <w:adjustRightInd/>
        <w:jc w:val="left"/>
        <w:textAlignment w:val="auto"/>
        <w:rPr>
          <w:rFonts w:cs="Calibri"/>
          <w:b/>
          <w:sz w:val="32"/>
          <w:szCs w:val="32"/>
        </w:rPr>
      </w:pPr>
    </w:p>
    <w:p w:rsidR="005F2B40" w:rsidRDefault="005F2B40">
      <w:pPr>
        <w:overflowPunct/>
        <w:autoSpaceDE/>
        <w:autoSpaceDN/>
        <w:adjustRightInd/>
        <w:jc w:val="left"/>
        <w:textAlignment w:val="auto"/>
        <w:rPr>
          <w:rFonts w:cs="Calibri"/>
          <w:b/>
          <w:sz w:val="32"/>
          <w:szCs w:val="32"/>
        </w:rPr>
      </w:pPr>
    </w:p>
    <w:p w:rsidR="005F2B40" w:rsidRDefault="005F2B40">
      <w:pPr>
        <w:overflowPunct/>
        <w:autoSpaceDE/>
        <w:autoSpaceDN/>
        <w:adjustRightInd/>
        <w:jc w:val="left"/>
        <w:textAlignment w:val="auto"/>
        <w:rPr>
          <w:rFonts w:cs="Calibri"/>
          <w:b/>
          <w:sz w:val="32"/>
          <w:szCs w:val="32"/>
        </w:rPr>
      </w:pPr>
    </w:p>
    <w:p w:rsidR="005F2B40" w:rsidRPr="00DF6E0B" w:rsidRDefault="005F2B40">
      <w:pPr>
        <w:overflowPunct/>
        <w:autoSpaceDE/>
        <w:autoSpaceDN/>
        <w:adjustRightInd/>
        <w:jc w:val="left"/>
        <w:textAlignment w:val="auto"/>
        <w:rPr>
          <w:rFonts w:cs="Calibri"/>
          <w:b/>
          <w:sz w:val="32"/>
          <w:szCs w:val="32"/>
        </w:rPr>
      </w:pPr>
      <w:r w:rsidRPr="00DF6E0B">
        <w:rPr>
          <w:rFonts w:cs="Calibri"/>
          <w:b/>
          <w:sz w:val="32"/>
          <w:szCs w:val="32"/>
        </w:rPr>
        <w:t>Březen 2015</w:t>
      </w:r>
    </w:p>
    <w:p w:rsidR="005F2B40" w:rsidRPr="00DF6E0B" w:rsidRDefault="005F2B40">
      <w:pPr>
        <w:overflowPunct/>
        <w:autoSpaceDE/>
        <w:autoSpaceDN/>
        <w:adjustRightInd/>
        <w:jc w:val="left"/>
        <w:textAlignment w:val="auto"/>
        <w:rPr>
          <w:rFonts w:cs="Calibri"/>
          <w:b/>
          <w:sz w:val="32"/>
          <w:szCs w:val="32"/>
        </w:rPr>
      </w:pPr>
    </w:p>
    <w:p w:rsidR="00FB627F" w:rsidRDefault="005F2B40">
      <w:pPr>
        <w:overflowPunct/>
        <w:autoSpaceDE/>
        <w:autoSpaceDN/>
        <w:adjustRightInd/>
        <w:jc w:val="left"/>
        <w:textAlignment w:val="auto"/>
        <w:rPr>
          <w:rFonts w:cs="Calibri"/>
          <w:b/>
          <w:sz w:val="32"/>
          <w:szCs w:val="32"/>
        </w:rPr>
      </w:pPr>
      <w:r w:rsidRPr="00DF6E0B">
        <w:rPr>
          <w:rFonts w:cs="Calibri"/>
          <w:b/>
          <w:sz w:val="32"/>
          <w:szCs w:val="32"/>
        </w:rPr>
        <w:t>Verze 1.0</w:t>
      </w:r>
    </w:p>
    <w:p w:rsidR="00FB627F" w:rsidRDefault="00FB627F">
      <w:pPr>
        <w:overflowPunct/>
        <w:autoSpaceDE/>
        <w:autoSpaceDN/>
        <w:adjustRightInd/>
        <w:jc w:val="left"/>
        <w:textAlignment w:val="auto"/>
        <w:rPr>
          <w:rFonts w:cs="Calibri"/>
          <w:b/>
          <w:sz w:val="32"/>
          <w:szCs w:val="32"/>
        </w:rPr>
      </w:pPr>
    </w:p>
    <w:p w:rsidR="00FB627F" w:rsidRDefault="00FB627F">
      <w:pPr>
        <w:overflowPunct/>
        <w:autoSpaceDE/>
        <w:autoSpaceDN/>
        <w:adjustRightInd/>
        <w:jc w:val="left"/>
        <w:textAlignment w:val="auto"/>
        <w:rPr>
          <w:rFonts w:cs="Calibri"/>
          <w:b/>
          <w:sz w:val="32"/>
          <w:szCs w:val="32"/>
        </w:rPr>
      </w:pPr>
    </w:p>
    <w:p w:rsidR="00FB627F" w:rsidRDefault="00FB627F">
      <w:pPr>
        <w:overflowPunct/>
        <w:autoSpaceDE/>
        <w:autoSpaceDN/>
        <w:adjustRightInd/>
        <w:jc w:val="left"/>
        <w:textAlignment w:val="auto"/>
        <w:rPr>
          <w:rFonts w:cs="Calibri"/>
          <w:b/>
          <w:sz w:val="32"/>
          <w:szCs w:val="32"/>
        </w:rPr>
      </w:pPr>
    </w:p>
    <w:p w:rsidR="00FB627F" w:rsidRDefault="00FB627F">
      <w:pPr>
        <w:overflowPunct/>
        <w:autoSpaceDE/>
        <w:autoSpaceDN/>
        <w:adjustRightInd/>
        <w:jc w:val="left"/>
        <w:textAlignment w:val="auto"/>
        <w:rPr>
          <w:rFonts w:cs="Calibri"/>
          <w:b/>
          <w:sz w:val="32"/>
          <w:szCs w:val="32"/>
        </w:rPr>
      </w:pPr>
    </w:p>
    <w:p w:rsidR="002C41C1" w:rsidRPr="00012C12" w:rsidRDefault="00F75FB4" w:rsidP="00012C12">
      <w:pPr>
        <w:pStyle w:val="Nadpis1"/>
        <w:numPr>
          <w:ilvl w:val="0"/>
          <w:numId w:val="0"/>
        </w:numPr>
        <w:ind w:left="432" w:hanging="432"/>
      </w:pPr>
      <w:bookmarkStart w:id="0" w:name="_Toc413854323"/>
      <w:r w:rsidRPr="00012C12">
        <w:lastRenderedPageBreak/>
        <w:t>Obsah</w:t>
      </w:r>
      <w:bookmarkEnd w:id="0"/>
    </w:p>
    <w:p w:rsidR="00317598" w:rsidRPr="00DF6E0B" w:rsidRDefault="00317598">
      <w:pPr>
        <w:overflowPunct/>
        <w:autoSpaceDE/>
        <w:autoSpaceDN/>
        <w:adjustRightInd/>
        <w:jc w:val="left"/>
        <w:textAlignment w:val="auto"/>
        <w:rPr>
          <w:rFonts w:asciiTheme="majorHAnsi" w:hAnsiTheme="majorHAnsi" w:cs="Calibri"/>
          <w:b/>
          <w:color w:val="4F81BD" w:themeColor="accent1"/>
          <w:sz w:val="32"/>
          <w:szCs w:val="32"/>
        </w:rPr>
      </w:pPr>
    </w:p>
    <w:p w:rsidR="00F3237D" w:rsidRDefault="002C41C1">
      <w:pPr>
        <w:pStyle w:val="Obsah1"/>
        <w:rPr>
          <w:rFonts w:asciiTheme="minorHAnsi" w:eastAsiaTheme="minorEastAsia" w:hAnsiTheme="minorHAnsi" w:cstheme="minorBidi"/>
          <w:noProof/>
          <w:szCs w:val="22"/>
        </w:rPr>
      </w:pPr>
      <w:r>
        <w:rPr>
          <w:rFonts w:cs="Calibri"/>
          <w:szCs w:val="24"/>
        </w:rPr>
        <w:fldChar w:fldCharType="begin"/>
      </w:r>
      <w:r>
        <w:rPr>
          <w:rFonts w:cs="Calibri"/>
          <w:szCs w:val="24"/>
        </w:rPr>
        <w:instrText xml:space="preserve"> TOC \o "1-3" \h \z \u </w:instrText>
      </w:r>
      <w:r>
        <w:rPr>
          <w:rFonts w:cs="Calibri"/>
          <w:szCs w:val="24"/>
        </w:rPr>
        <w:fldChar w:fldCharType="separate"/>
      </w:r>
      <w:hyperlink w:anchor="_Toc413854324" w:history="1">
        <w:r w:rsidR="00F3237D" w:rsidRPr="00AF70D7">
          <w:rPr>
            <w:rStyle w:val="Hypertextovodkaz"/>
            <w:noProof/>
          </w:rPr>
          <w:t>1</w:t>
        </w:r>
        <w:r w:rsidR="00F3237D">
          <w:rPr>
            <w:rFonts w:asciiTheme="minorHAnsi" w:eastAsiaTheme="minorEastAsia" w:hAnsiTheme="minorHAnsi" w:cstheme="minorBidi"/>
            <w:noProof/>
            <w:szCs w:val="22"/>
          </w:rPr>
          <w:tab/>
        </w:r>
        <w:r w:rsidR="00F3237D" w:rsidRPr="00A60B7B">
          <w:rPr>
            <w:rStyle w:val="Hypertextovodkaz"/>
            <w:b/>
            <w:noProof/>
          </w:rPr>
          <w:t>Úvod</w:t>
        </w:r>
        <w:r w:rsidR="00F3237D">
          <w:rPr>
            <w:noProof/>
            <w:webHidden/>
          </w:rPr>
          <w:tab/>
        </w:r>
        <w:r w:rsidR="00F3237D">
          <w:rPr>
            <w:noProof/>
            <w:webHidden/>
          </w:rPr>
          <w:fldChar w:fldCharType="begin"/>
        </w:r>
        <w:r w:rsidR="00F3237D">
          <w:rPr>
            <w:noProof/>
            <w:webHidden/>
          </w:rPr>
          <w:instrText xml:space="preserve"> PAGEREF _Toc413854324 \h </w:instrText>
        </w:r>
        <w:r w:rsidR="00F3237D">
          <w:rPr>
            <w:noProof/>
            <w:webHidden/>
          </w:rPr>
        </w:r>
        <w:r w:rsidR="00F3237D">
          <w:rPr>
            <w:noProof/>
            <w:webHidden/>
          </w:rPr>
          <w:fldChar w:fldCharType="separate"/>
        </w:r>
        <w:r w:rsidR="00F3237D">
          <w:rPr>
            <w:noProof/>
            <w:webHidden/>
          </w:rPr>
          <w:t>2</w:t>
        </w:r>
        <w:r w:rsidR="00F3237D">
          <w:rPr>
            <w:noProof/>
            <w:webHidden/>
          </w:rPr>
          <w:fldChar w:fldCharType="end"/>
        </w:r>
      </w:hyperlink>
    </w:p>
    <w:p w:rsidR="00F3237D" w:rsidRDefault="00DC3B1F">
      <w:pPr>
        <w:pStyle w:val="Obsah1"/>
        <w:rPr>
          <w:rFonts w:asciiTheme="minorHAnsi" w:eastAsiaTheme="minorEastAsia" w:hAnsiTheme="minorHAnsi" w:cstheme="minorBidi"/>
          <w:noProof/>
          <w:szCs w:val="22"/>
        </w:rPr>
      </w:pPr>
      <w:hyperlink w:anchor="_Toc413854325" w:history="1">
        <w:r w:rsidR="00F3237D" w:rsidRPr="00AF70D7">
          <w:rPr>
            <w:rStyle w:val="Hypertextovodkaz"/>
            <w:noProof/>
          </w:rPr>
          <w:t>2</w:t>
        </w:r>
        <w:r w:rsidR="00F3237D">
          <w:rPr>
            <w:rFonts w:asciiTheme="minorHAnsi" w:eastAsiaTheme="minorEastAsia" w:hAnsiTheme="minorHAnsi" w:cstheme="minorBidi"/>
            <w:noProof/>
            <w:szCs w:val="22"/>
          </w:rPr>
          <w:tab/>
        </w:r>
        <w:r w:rsidR="00F3237D" w:rsidRPr="00A60B7B">
          <w:rPr>
            <w:rStyle w:val="Hypertextovodkaz"/>
            <w:b/>
            <w:noProof/>
          </w:rPr>
          <w:t>Výchozí podmínky analýzy</w:t>
        </w:r>
        <w:r w:rsidR="00F3237D">
          <w:rPr>
            <w:noProof/>
            <w:webHidden/>
          </w:rPr>
          <w:tab/>
        </w:r>
        <w:r w:rsidR="00F3237D">
          <w:rPr>
            <w:noProof/>
            <w:webHidden/>
          </w:rPr>
          <w:fldChar w:fldCharType="begin"/>
        </w:r>
        <w:r w:rsidR="00F3237D">
          <w:rPr>
            <w:noProof/>
            <w:webHidden/>
          </w:rPr>
          <w:instrText xml:space="preserve"> PAGEREF _Toc413854325 \h </w:instrText>
        </w:r>
        <w:r w:rsidR="00F3237D">
          <w:rPr>
            <w:noProof/>
            <w:webHidden/>
          </w:rPr>
        </w:r>
        <w:r w:rsidR="00F3237D">
          <w:rPr>
            <w:noProof/>
            <w:webHidden/>
          </w:rPr>
          <w:fldChar w:fldCharType="separate"/>
        </w:r>
        <w:r w:rsidR="00F3237D">
          <w:rPr>
            <w:noProof/>
            <w:webHidden/>
          </w:rPr>
          <w:t>2</w:t>
        </w:r>
        <w:r w:rsidR="00F3237D">
          <w:rPr>
            <w:noProof/>
            <w:webHidden/>
          </w:rPr>
          <w:fldChar w:fldCharType="end"/>
        </w:r>
      </w:hyperlink>
    </w:p>
    <w:p w:rsidR="00F3237D" w:rsidRDefault="00DC3B1F">
      <w:pPr>
        <w:pStyle w:val="Obsah2"/>
        <w:tabs>
          <w:tab w:val="left" w:pos="880"/>
          <w:tab w:val="right" w:leader="dot" w:pos="9060"/>
        </w:tabs>
        <w:rPr>
          <w:rFonts w:asciiTheme="minorHAnsi" w:eastAsiaTheme="minorEastAsia" w:hAnsiTheme="minorHAnsi" w:cstheme="minorBidi"/>
          <w:noProof/>
          <w:szCs w:val="22"/>
        </w:rPr>
      </w:pPr>
      <w:hyperlink w:anchor="_Toc413854326" w:history="1">
        <w:r w:rsidR="00F3237D" w:rsidRPr="00AF70D7">
          <w:rPr>
            <w:rStyle w:val="Hypertextovodkaz"/>
            <w:noProof/>
            <w14:scene3d>
              <w14:camera w14:prst="orthographicFront"/>
              <w14:lightRig w14:rig="threePt" w14:dir="t">
                <w14:rot w14:lat="0" w14:lon="0" w14:rev="0"/>
              </w14:lightRig>
            </w14:scene3d>
          </w:rPr>
          <w:t>2.1</w:t>
        </w:r>
        <w:r w:rsidR="00F3237D">
          <w:rPr>
            <w:rFonts w:asciiTheme="minorHAnsi" w:eastAsiaTheme="minorEastAsia" w:hAnsiTheme="minorHAnsi" w:cstheme="minorBidi"/>
            <w:noProof/>
            <w:szCs w:val="22"/>
          </w:rPr>
          <w:tab/>
        </w:r>
        <w:r w:rsidR="00F3237D" w:rsidRPr="00AF70D7">
          <w:rPr>
            <w:rStyle w:val="Hypertextovodkaz"/>
            <w:noProof/>
          </w:rPr>
          <w:t>Základní principy fungování finančních nástrojů</w:t>
        </w:r>
        <w:r w:rsidR="00F3237D">
          <w:rPr>
            <w:noProof/>
            <w:webHidden/>
          </w:rPr>
          <w:tab/>
        </w:r>
        <w:r w:rsidR="00F3237D">
          <w:rPr>
            <w:noProof/>
            <w:webHidden/>
          </w:rPr>
          <w:fldChar w:fldCharType="begin"/>
        </w:r>
        <w:r w:rsidR="00F3237D">
          <w:rPr>
            <w:noProof/>
            <w:webHidden/>
          </w:rPr>
          <w:instrText xml:space="preserve"> PAGEREF _Toc413854326 \h </w:instrText>
        </w:r>
        <w:r w:rsidR="00F3237D">
          <w:rPr>
            <w:noProof/>
            <w:webHidden/>
          </w:rPr>
        </w:r>
        <w:r w:rsidR="00F3237D">
          <w:rPr>
            <w:noProof/>
            <w:webHidden/>
          </w:rPr>
          <w:fldChar w:fldCharType="separate"/>
        </w:r>
        <w:r w:rsidR="00F3237D">
          <w:rPr>
            <w:noProof/>
            <w:webHidden/>
          </w:rPr>
          <w:t>4</w:t>
        </w:r>
        <w:r w:rsidR="00F3237D">
          <w:rPr>
            <w:noProof/>
            <w:webHidden/>
          </w:rPr>
          <w:fldChar w:fldCharType="end"/>
        </w:r>
      </w:hyperlink>
    </w:p>
    <w:p w:rsidR="00F3237D" w:rsidRDefault="00DC3B1F">
      <w:pPr>
        <w:pStyle w:val="Obsah3"/>
        <w:tabs>
          <w:tab w:val="left" w:pos="1320"/>
          <w:tab w:val="right" w:leader="dot" w:pos="9060"/>
        </w:tabs>
        <w:rPr>
          <w:rFonts w:asciiTheme="minorHAnsi" w:eastAsiaTheme="minorEastAsia" w:hAnsiTheme="minorHAnsi" w:cstheme="minorBidi"/>
          <w:noProof/>
          <w:szCs w:val="22"/>
        </w:rPr>
      </w:pPr>
      <w:hyperlink w:anchor="_Toc413854327" w:history="1">
        <w:r w:rsidR="00F3237D" w:rsidRPr="00AF70D7">
          <w:rPr>
            <w:rStyle w:val="Hypertextovodkaz"/>
            <w:noProof/>
            <w14:scene3d>
              <w14:camera w14:prst="orthographicFront"/>
              <w14:lightRig w14:rig="threePt" w14:dir="t">
                <w14:rot w14:lat="0" w14:lon="0" w14:rev="0"/>
              </w14:lightRig>
            </w14:scene3d>
          </w:rPr>
          <w:t>2.1.1</w:t>
        </w:r>
        <w:r w:rsidR="00F3237D">
          <w:rPr>
            <w:rFonts w:asciiTheme="minorHAnsi" w:eastAsiaTheme="minorEastAsia" w:hAnsiTheme="minorHAnsi" w:cstheme="minorBidi"/>
            <w:noProof/>
            <w:szCs w:val="22"/>
          </w:rPr>
          <w:tab/>
        </w:r>
        <w:r w:rsidR="00F3237D" w:rsidRPr="00AF70D7">
          <w:rPr>
            <w:rStyle w:val="Hypertextovodkaz"/>
            <w:noProof/>
          </w:rPr>
          <w:t>Využitelnost finančních nástrojů</w:t>
        </w:r>
        <w:r w:rsidR="00F3237D">
          <w:rPr>
            <w:noProof/>
            <w:webHidden/>
          </w:rPr>
          <w:tab/>
        </w:r>
        <w:r w:rsidR="00F3237D">
          <w:rPr>
            <w:noProof/>
            <w:webHidden/>
          </w:rPr>
          <w:fldChar w:fldCharType="begin"/>
        </w:r>
        <w:r w:rsidR="00F3237D">
          <w:rPr>
            <w:noProof/>
            <w:webHidden/>
          </w:rPr>
          <w:instrText xml:space="preserve"> PAGEREF _Toc413854327 \h </w:instrText>
        </w:r>
        <w:r w:rsidR="00F3237D">
          <w:rPr>
            <w:noProof/>
            <w:webHidden/>
          </w:rPr>
        </w:r>
        <w:r w:rsidR="00F3237D">
          <w:rPr>
            <w:noProof/>
            <w:webHidden/>
          </w:rPr>
          <w:fldChar w:fldCharType="separate"/>
        </w:r>
        <w:r w:rsidR="00F3237D">
          <w:rPr>
            <w:noProof/>
            <w:webHidden/>
          </w:rPr>
          <w:t>4</w:t>
        </w:r>
        <w:r w:rsidR="00F3237D">
          <w:rPr>
            <w:noProof/>
            <w:webHidden/>
          </w:rPr>
          <w:fldChar w:fldCharType="end"/>
        </w:r>
      </w:hyperlink>
    </w:p>
    <w:p w:rsidR="00F3237D" w:rsidRDefault="00DC3B1F">
      <w:pPr>
        <w:pStyle w:val="Obsah3"/>
        <w:tabs>
          <w:tab w:val="left" w:pos="1320"/>
          <w:tab w:val="right" w:leader="dot" w:pos="9060"/>
        </w:tabs>
        <w:rPr>
          <w:rFonts w:asciiTheme="minorHAnsi" w:eastAsiaTheme="minorEastAsia" w:hAnsiTheme="minorHAnsi" w:cstheme="minorBidi"/>
          <w:noProof/>
          <w:szCs w:val="22"/>
        </w:rPr>
      </w:pPr>
      <w:hyperlink w:anchor="_Toc413854328" w:history="1">
        <w:r w:rsidR="00F3237D" w:rsidRPr="00AF70D7">
          <w:rPr>
            <w:rStyle w:val="Hypertextovodkaz"/>
            <w:noProof/>
            <w14:scene3d>
              <w14:camera w14:prst="orthographicFront"/>
              <w14:lightRig w14:rig="threePt" w14:dir="t">
                <w14:rot w14:lat="0" w14:lon="0" w14:rev="0"/>
              </w14:lightRig>
            </w14:scene3d>
          </w:rPr>
          <w:t>2.1.2</w:t>
        </w:r>
        <w:r w:rsidR="00F3237D">
          <w:rPr>
            <w:rFonts w:asciiTheme="minorHAnsi" w:eastAsiaTheme="minorEastAsia" w:hAnsiTheme="minorHAnsi" w:cstheme="minorBidi"/>
            <w:noProof/>
            <w:szCs w:val="22"/>
          </w:rPr>
          <w:tab/>
        </w:r>
        <w:r w:rsidR="00F3237D" w:rsidRPr="00AF70D7">
          <w:rPr>
            <w:rStyle w:val="Hypertextovodkaz"/>
            <w:noProof/>
          </w:rPr>
          <w:t>Přínos pro využití veřejných prostředků</w:t>
        </w:r>
        <w:r w:rsidR="00F3237D">
          <w:rPr>
            <w:noProof/>
            <w:webHidden/>
          </w:rPr>
          <w:tab/>
        </w:r>
        <w:r w:rsidR="00F3237D">
          <w:rPr>
            <w:noProof/>
            <w:webHidden/>
          </w:rPr>
          <w:fldChar w:fldCharType="begin"/>
        </w:r>
        <w:r w:rsidR="00F3237D">
          <w:rPr>
            <w:noProof/>
            <w:webHidden/>
          </w:rPr>
          <w:instrText xml:space="preserve"> PAGEREF _Toc413854328 \h </w:instrText>
        </w:r>
        <w:r w:rsidR="00F3237D">
          <w:rPr>
            <w:noProof/>
            <w:webHidden/>
          </w:rPr>
        </w:r>
        <w:r w:rsidR="00F3237D">
          <w:rPr>
            <w:noProof/>
            <w:webHidden/>
          </w:rPr>
          <w:fldChar w:fldCharType="separate"/>
        </w:r>
        <w:r w:rsidR="00F3237D">
          <w:rPr>
            <w:noProof/>
            <w:webHidden/>
          </w:rPr>
          <w:t>4</w:t>
        </w:r>
        <w:r w:rsidR="00F3237D">
          <w:rPr>
            <w:noProof/>
            <w:webHidden/>
          </w:rPr>
          <w:fldChar w:fldCharType="end"/>
        </w:r>
      </w:hyperlink>
    </w:p>
    <w:p w:rsidR="00F3237D" w:rsidRDefault="00DC3B1F">
      <w:pPr>
        <w:pStyle w:val="Obsah3"/>
        <w:tabs>
          <w:tab w:val="left" w:pos="1320"/>
          <w:tab w:val="right" w:leader="dot" w:pos="9060"/>
        </w:tabs>
        <w:rPr>
          <w:rFonts w:asciiTheme="minorHAnsi" w:eastAsiaTheme="minorEastAsia" w:hAnsiTheme="minorHAnsi" w:cstheme="minorBidi"/>
          <w:noProof/>
          <w:szCs w:val="22"/>
        </w:rPr>
      </w:pPr>
      <w:hyperlink w:anchor="_Toc413854329" w:history="1">
        <w:r w:rsidR="00F3237D" w:rsidRPr="00AF70D7">
          <w:rPr>
            <w:rStyle w:val="Hypertextovodkaz"/>
            <w:noProof/>
            <w14:scene3d>
              <w14:camera w14:prst="orthographicFront"/>
              <w14:lightRig w14:rig="threePt" w14:dir="t">
                <w14:rot w14:lat="0" w14:lon="0" w14:rev="0"/>
              </w14:lightRig>
            </w14:scene3d>
          </w:rPr>
          <w:t>2.1.3</w:t>
        </w:r>
        <w:r w:rsidR="00F3237D">
          <w:rPr>
            <w:rFonts w:asciiTheme="minorHAnsi" w:eastAsiaTheme="minorEastAsia" w:hAnsiTheme="minorHAnsi" w:cstheme="minorBidi"/>
            <w:noProof/>
            <w:szCs w:val="22"/>
          </w:rPr>
          <w:tab/>
        </w:r>
        <w:r w:rsidR="00F3237D" w:rsidRPr="00AF70D7">
          <w:rPr>
            <w:rStyle w:val="Hypertextovodkaz"/>
            <w:noProof/>
          </w:rPr>
          <w:t>Přidaná hodnota a rizika finančních nástrojů</w:t>
        </w:r>
        <w:r w:rsidR="00F3237D">
          <w:rPr>
            <w:noProof/>
            <w:webHidden/>
          </w:rPr>
          <w:tab/>
        </w:r>
        <w:r w:rsidR="00F3237D">
          <w:rPr>
            <w:noProof/>
            <w:webHidden/>
          </w:rPr>
          <w:fldChar w:fldCharType="begin"/>
        </w:r>
        <w:r w:rsidR="00F3237D">
          <w:rPr>
            <w:noProof/>
            <w:webHidden/>
          </w:rPr>
          <w:instrText xml:space="preserve"> PAGEREF _Toc413854329 \h </w:instrText>
        </w:r>
        <w:r w:rsidR="00F3237D">
          <w:rPr>
            <w:noProof/>
            <w:webHidden/>
          </w:rPr>
        </w:r>
        <w:r w:rsidR="00F3237D">
          <w:rPr>
            <w:noProof/>
            <w:webHidden/>
          </w:rPr>
          <w:fldChar w:fldCharType="separate"/>
        </w:r>
        <w:r w:rsidR="00F3237D">
          <w:rPr>
            <w:noProof/>
            <w:webHidden/>
          </w:rPr>
          <w:t>4</w:t>
        </w:r>
        <w:r w:rsidR="00F3237D">
          <w:rPr>
            <w:noProof/>
            <w:webHidden/>
          </w:rPr>
          <w:fldChar w:fldCharType="end"/>
        </w:r>
      </w:hyperlink>
    </w:p>
    <w:p w:rsidR="00F3237D" w:rsidRDefault="00DC3B1F">
      <w:pPr>
        <w:pStyle w:val="Obsah3"/>
        <w:tabs>
          <w:tab w:val="left" w:pos="1320"/>
          <w:tab w:val="right" w:leader="dot" w:pos="9060"/>
        </w:tabs>
        <w:rPr>
          <w:rFonts w:asciiTheme="minorHAnsi" w:eastAsiaTheme="minorEastAsia" w:hAnsiTheme="minorHAnsi" w:cstheme="minorBidi"/>
          <w:noProof/>
          <w:szCs w:val="22"/>
        </w:rPr>
      </w:pPr>
      <w:hyperlink w:anchor="_Toc413854330" w:history="1">
        <w:r w:rsidR="00F3237D" w:rsidRPr="00AF70D7">
          <w:rPr>
            <w:rStyle w:val="Hypertextovodkaz"/>
            <w:noProof/>
            <w14:scene3d>
              <w14:camera w14:prst="orthographicFront"/>
              <w14:lightRig w14:rig="threePt" w14:dir="t">
                <w14:rot w14:lat="0" w14:lon="0" w14:rev="0"/>
              </w14:lightRig>
            </w14:scene3d>
          </w:rPr>
          <w:t>2.1.4</w:t>
        </w:r>
        <w:r w:rsidR="00F3237D">
          <w:rPr>
            <w:rFonts w:asciiTheme="minorHAnsi" w:eastAsiaTheme="minorEastAsia" w:hAnsiTheme="minorHAnsi" w:cstheme="minorBidi"/>
            <w:noProof/>
            <w:szCs w:val="22"/>
          </w:rPr>
          <w:tab/>
        </w:r>
        <w:r w:rsidR="00F3237D" w:rsidRPr="00AF70D7">
          <w:rPr>
            <w:rStyle w:val="Hypertextovodkaz"/>
            <w:noProof/>
          </w:rPr>
          <w:t>Přínosy využití FN</w:t>
        </w:r>
        <w:r w:rsidR="00F3237D">
          <w:rPr>
            <w:noProof/>
            <w:webHidden/>
          </w:rPr>
          <w:tab/>
        </w:r>
        <w:r w:rsidR="00F3237D">
          <w:rPr>
            <w:noProof/>
            <w:webHidden/>
          </w:rPr>
          <w:fldChar w:fldCharType="begin"/>
        </w:r>
        <w:r w:rsidR="00F3237D">
          <w:rPr>
            <w:noProof/>
            <w:webHidden/>
          </w:rPr>
          <w:instrText xml:space="preserve"> PAGEREF _Toc413854330 \h </w:instrText>
        </w:r>
        <w:r w:rsidR="00F3237D">
          <w:rPr>
            <w:noProof/>
            <w:webHidden/>
          </w:rPr>
        </w:r>
        <w:r w:rsidR="00F3237D">
          <w:rPr>
            <w:noProof/>
            <w:webHidden/>
          </w:rPr>
          <w:fldChar w:fldCharType="separate"/>
        </w:r>
        <w:r w:rsidR="00F3237D">
          <w:rPr>
            <w:noProof/>
            <w:webHidden/>
          </w:rPr>
          <w:t>5</w:t>
        </w:r>
        <w:r w:rsidR="00F3237D">
          <w:rPr>
            <w:noProof/>
            <w:webHidden/>
          </w:rPr>
          <w:fldChar w:fldCharType="end"/>
        </w:r>
      </w:hyperlink>
    </w:p>
    <w:p w:rsidR="00F3237D" w:rsidRDefault="00DC3B1F">
      <w:pPr>
        <w:pStyle w:val="Obsah2"/>
        <w:tabs>
          <w:tab w:val="left" w:pos="880"/>
          <w:tab w:val="right" w:leader="dot" w:pos="9060"/>
        </w:tabs>
        <w:rPr>
          <w:rFonts w:asciiTheme="minorHAnsi" w:eastAsiaTheme="minorEastAsia" w:hAnsiTheme="minorHAnsi" w:cstheme="minorBidi"/>
          <w:noProof/>
          <w:szCs w:val="22"/>
        </w:rPr>
      </w:pPr>
      <w:hyperlink w:anchor="_Toc413854331" w:history="1">
        <w:r w:rsidR="00F3237D" w:rsidRPr="00AF70D7">
          <w:rPr>
            <w:rStyle w:val="Hypertextovodkaz"/>
            <w:noProof/>
            <w14:scene3d>
              <w14:camera w14:prst="orthographicFront"/>
              <w14:lightRig w14:rig="threePt" w14:dir="t">
                <w14:rot w14:lat="0" w14:lon="0" w14:rev="0"/>
              </w14:lightRig>
            </w14:scene3d>
          </w:rPr>
          <w:t>2.2</w:t>
        </w:r>
        <w:r w:rsidR="00F3237D">
          <w:rPr>
            <w:rFonts w:asciiTheme="minorHAnsi" w:eastAsiaTheme="minorEastAsia" w:hAnsiTheme="minorHAnsi" w:cstheme="minorBidi"/>
            <w:noProof/>
            <w:szCs w:val="22"/>
          </w:rPr>
          <w:tab/>
        </w:r>
        <w:r w:rsidR="00F3237D" w:rsidRPr="00AF70D7">
          <w:rPr>
            <w:rStyle w:val="Hypertextovodkaz"/>
            <w:noProof/>
          </w:rPr>
          <w:t>Metodický přístup ke zpracování předběžného posouzení finančních nástrojů</w:t>
        </w:r>
        <w:r w:rsidR="00F3237D">
          <w:rPr>
            <w:noProof/>
            <w:webHidden/>
          </w:rPr>
          <w:tab/>
        </w:r>
        <w:r w:rsidR="00F3237D">
          <w:rPr>
            <w:noProof/>
            <w:webHidden/>
          </w:rPr>
          <w:fldChar w:fldCharType="begin"/>
        </w:r>
        <w:r w:rsidR="00F3237D">
          <w:rPr>
            <w:noProof/>
            <w:webHidden/>
          </w:rPr>
          <w:instrText xml:space="preserve"> PAGEREF _Toc413854331 \h </w:instrText>
        </w:r>
        <w:r w:rsidR="00F3237D">
          <w:rPr>
            <w:noProof/>
            <w:webHidden/>
          </w:rPr>
        </w:r>
        <w:r w:rsidR="00F3237D">
          <w:rPr>
            <w:noProof/>
            <w:webHidden/>
          </w:rPr>
          <w:fldChar w:fldCharType="separate"/>
        </w:r>
        <w:r w:rsidR="00F3237D">
          <w:rPr>
            <w:noProof/>
            <w:webHidden/>
          </w:rPr>
          <w:t>6</w:t>
        </w:r>
        <w:r w:rsidR="00F3237D">
          <w:rPr>
            <w:noProof/>
            <w:webHidden/>
          </w:rPr>
          <w:fldChar w:fldCharType="end"/>
        </w:r>
      </w:hyperlink>
    </w:p>
    <w:p w:rsidR="00F3237D" w:rsidRDefault="00DC3B1F">
      <w:pPr>
        <w:pStyle w:val="Obsah3"/>
        <w:tabs>
          <w:tab w:val="left" w:pos="1320"/>
          <w:tab w:val="right" w:leader="dot" w:pos="9060"/>
        </w:tabs>
        <w:rPr>
          <w:rFonts w:asciiTheme="minorHAnsi" w:eastAsiaTheme="minorEastAsia" w:hAnsiTheme="minorHAnsi" w:cstheme="minorBidi"/>
          <w:noProof/>
          <w:szCs w:val="22"/>
        </w:rPr>
      </w:pPr>
      <w:hyperlink w:anchor="_Toc413854332" w:history="1">
        <w:r w:rsidR="00F3237D" w:rsidRPr="00AF70D7">
          <w:rPr>
            <w:rStyle w:val="Hypertextovodkaz"/>
            <w:noProof/>
            <w14:scene3d>
              <w14:camera w14:prst="orthographicFront"/>
              <w14:lightRig w14:rig="threePt" w14:dir="t">
                <w14:rot w14:lat="0" w14:lon="0" w14:rev="0"/>
              </w14:lightRig>
            </w14:scene3d>
          </w:rPr>
          <w:t>2.2.1</w:t>
        </w:r>
        <w:r w:rsidR="00F3237D">
          <w:rPr>
            <w:rFonts w:asciiTheme="minorHAnsi" w:eastAsiaTheme="minorEastAsia" w:hAnsiTheme="minorHAnsi" w:cstheme="minorBidi"/>
            <w:noProof/>
            <w:szCs w:val="22"/>
          </w:rPr>
          <w:tab/>
        </w:r>
        <w:r w:rsidR="00F3237D" w:rsidRPr="00AF70D7">
          <w:rPr>
            <w:rStyle w:val="Hypertextovodkaz"/>
            <w:noProof/>
          </w:rPr>
          <w:t>Analýza tržní situace</w:t>
        </w:r>
        <w:r w:rsidR="00F3237D">
          <w:rPr>
            <w:noProof/>
            <w:webHidden/>
          </w:rPr>
          <w:tab/>
        </w:r>
        <w:r w:rsidR="00F3237D">
          <w:rPr>
            <w:noProof/>
            <w:webHidden/>
          </w:rPr>
          <w:fldChar w:fldCharType="begin"/>
        </w:r>
        <w:r w:rsidR="00F3237D">
          <w:rPr>
            <w:noProof/>
            <w:webHidden/>
          </w:rPr>
          <w:instrText xml:space="preserve"> PAGEREF _Toc413854332 \h </w:instrText>
        </w:r>
        <w:r w:rsidR="00F3237D">
          <w:rPr>
            <w:noProof/>
            <w:webHidden/>
          </w:rPr>
        </w:r>
        <w:r w:rsidR="00F3237D">
          <w:rPr>
            <w:noProof/>
            <w:webHidden/>
          </w:rPr>
          <w:fldChar w:fldCharType="separate"/>
        </w:r>
        <w:r w:rsidR="00F3237D">
          <w:rPr>
            <w:noProof/>
            <w:webHidden/>
          </w:rPr>
          <w:t>8</w:t>
        </w:r>
        <w:r w:rsidR="00F3237D">
          <w:rPr>
            <w:noProof/>
            <w:webHidden/>
          </w:rPr>
          <w:fldChar w:fldCharType="end"/>
        </w:r>
      </w:hyperlink>
    </w:p>
    <w:p w:rsidR="00F3237D" w:rsidRDefault="00DC3B1F">
      <w:pPr>
        <w:pStyle w:val="Obsah3"/>
        <w:tabs>
          <w:tab w:val="left" w:pos="1320"/>
          <w:tab w:val="right" w:leader="dot" w:pos="9060"/>
        </w:tabs>
        <w:rPr>
          <w:rFonts w:asciiTheme="minorHAnsi" w:eastAsiaTheme="minorEastAsia" w:hAnsiTheme="minorHAnsi" w:cstheme="minorBidi"/>
          <w:noProof/>
          <w:szCs w:val="22"/>
        </w:rPr>
      </w:pPr>
      <w:hyperlink w:anchor="_Toc413854333" w:history="1">
        <w:r w:rsidR="00F3237D" w:rsidRPr="00AF70D7">
          <w:rPr>
            <w:rStyle w:val="Hypertextovodkaz"/>
            <w:noProof/>
            <w14:scene3d>
              <w14:camera w14:prst="orthographicFront"/>
              <w14:lightRig w14:rig="threePt" w14:dir="t">
                <w14:rot w14:lat="0" w14:lon="0" w14:rev="0"/>
              </w14:lightRig>
            </w14:scene3d>
          </w:rPr>
          <w:t>2.2.2</w:t>
        </w:r>
        <w:r w:rsidR="00F3237D">
          <w:rPr>
            <w:rFonts w:asciiTheme="minorHAnsi" w:eastAsiaTheme="minorEastAsia" w:hAnsiTheme="minorHAnsi" w:cstheme="minorBidi"/>
            <w:noProof/>
            <w:szCs w:val="22"/>
          </w:rPr>
          <w:tab/>
        </w:r>
        <w:r w:rsidR="00F3237D" w:rsidRPr="00AF70D7">
          <w:rPr>
            <w:rStyle w:val="Hypertextovodkaz"/>
            <w:noProof/>
          </w:rPr>
          <w:t>Návrh vhodné strategie</w:t>
        </w:r>
        <w:r w:rsidR="00F3237D">
          <w:rPr>
            <w:noProof/>
            <w:webHidden/>
          </w:rPr>
          <w:tab/>
        </w:r>
        <w:r w:rsidR="00F3237D">
          <w:rPr>
            <w:noProof/>
            <w:webHidden/>
          </w:rPr>
          <w:fldChar w:fldCharType="begin"/>
        </w:r>
        <w:r w:rsidR="00F3237D">
          <w:rPr>
            <w:noProof/>
            <w:webHidden/>
          </w:rPr>
          <w:instrText xml:space="preserve"> PAGEREF _Toc413854333 \h </w:instrText>
        </w:r>
        <w:r w:rsidR="00F3237D">
          <w:rPr>
            <w:noProof/>
            <w:webHidden/>
          </w:rPr>
        </w:r>
        <w:r w:rsidR="00F3237D">
          <w:rPr>
            <w:noProof/>
            <w:webHidden/>
          </w:rPr>
          <w:fldChar w:fldCharType="separate"/>
        </w:r>
        <w:r w:rsidR="00F3237D">
          <w:rPr>
            <w:noProof/>
            <w:webHidden/>
          </w:rPr>
          <w:t>12</w:t>
        </w:r>
        <w:r w:rsidR="00F3237D">
          <w:rPr>
            <w:noProof/>
            <w:webHidden/>
          </w:rPr>
          <w:fldChar w:fldCharType="end"/>
        </w:r>
      </w:hyperlink>
    </w:p>
    <w:p w:rsidR="00F3237D" w:rsidRDefault="00DC3B1F">
      <w:pPr>
        <w:pStyle w:val="Obsah2"/>
        <w:tabs>
          <w:tab w:val="left" w:pos="880"/>
          <w:tab w:val="right" w:leader="dot" w:pos="9060"/>
        </w:tabs>
        <w:rPr>
          <w:rFonts w:asciiTheme="minorHAnsi" w:eastAsiaTheme="minorEastAsia" w:hAnsiTheme="minorHAnsi" w:cstheme="minorBidi"/>
          <w:noProof/>
          <w:szCs w:val="22"/>
        </w:rPr>
      </w:pPr>
      <w:hyperlink w:anchor="_Toc413854334" w:history="1">
        <w:r w:rsidR="00F3237D" w:rsidRPr="00AF70D7">
          <w:rPr>
            <w:rStyle w:val="Hypertextovodkaz"/>
            <w:noProof/>
            <w14:scene3d>
              <w14:camera w14:prst="orthographicFront"/>
              <w14:lightRig w14:rig="threePt" w14:dir="t">
                <w14:rot w14:lat="0" w14:lon="0" w14:rev="0"/>
              </w14:lightRig>
            </w14:scene3d>
          </w:rPr>
          <w:t>2.3</w:t>
        </w:r>
        <w:r w:rsidR="00F3237D">
          <w:rPr>
            <w:rFonts w:asciiTheme="minorHAnsi" w:eastAsiaTheme="minorEastAsia" w:hAnsiTheme="minorHAnsi" w:cstheme="minorBidi"/>
            <w:noProof/>
            <w:szCs w:val="22"/>
          </w:rPr>
          <w:tab/>
        </w:r>
        <w:r w:rsidR="00F3237D" w:rsidRPr="00AF70D7">
          <w:rPr>
            <w:rStyle w:val="Hypertextovodkaz"/>
            <w:noProof/>
          </w:rPr>
          <w:t>Definice základních pojmů</w:t>
        </w:r>
        <w:r w:rsidR="00F3237D">
          <w:rPr>
            <w:noProof/>
            <w:webHidden/>
          </w:rPr>
          <w:tab/>
        </w:r>
        <w:r w:rsidR="00F3237D">
          <w:rPr>
            <w:noProof/>
            <w:webHidden/>
          </w:rPr>
          <w:fldChar w:fldCharType="begin"/>
        </w:r>
        <w:r w:rsidR="00F3237D">
          <w:rPr>
            <w:noProof/>
            <w:webHidden/>
          </w:rPr>
          <w:instrText xml:space="preserve"> PAGEREF _Toc413854334 \h </w:instrText>
        </w:r>
        <w:r w:rsidR="00F3237D">
          <w:rPr>
            <w:noProof/>
            <w:webHidden/>
          </w:rPr>
        </w:r>
        <w:r w:rsidR="00F3237D">
          <w:rPr>
            <w:noProof/>
            <w:webHidden/>
          </w:rPr>
          <w:fldChar w:fldCharType="separate"/>
        </w:r>
        <w:r w:rsidR="00F3237D">
          <w:rPr>
            <w:noProof/>
            <w:webHidden/>
          </w:rPr>
          <w:t>14</w:t>
        </w:r>
        <w:r w:rsidR="00F3237D">
          <w:rPr>
            <w:noProof/>
            <w:webHidden/>
          </w:rPr>
          <w:fldChar w:fldCharType="end"/>
        </w:r>
      </w:hyperlink>
    </w:p>
    <w:p w:rsidR="00F3237D" w:rsidRDefault="00DC3B1F">
      <w:pPr>
        <w:pStyle w:val="Obsah1"/>
        <w:rPr>
          <w:rFonts w:asciiTheme="minorHAnsi" w:eastAsiaTheme="minorEastAsia" w:hAnsiTheme="minorHAnsi" w:cstheme="minorBidi"/>
          <w:noProof/>
          <w:szCs w:val="22"/>
        </w:rPr>
      </w:pPr>
      <w:hyperlink w:anchor="_Toc413854335" w:history="1">
        <w:r w:rsidR="00F3237D" w:rsidRPr="00AF70D7">
          <w:rPr>
            <w:rStyle w:val="Hypertextovodkaz"/>
            <w:noProof/>
          </w:rPr>
          <w:t>3</w:t>
        </w:r>
        <w:r w:rsidR="00F3237D">
          <w:rPr>
            <w:rFonts w:asciiTheme="minorHAnsi" w:eastAsiaTheme="minorEastAsia" w:hAnsiTheme="minorHAnsi" w:cstheme="minorBidi"/>
            <w:noProof/>
            <w:szCs w:val="22"/>
          </w:rPr>
          <w:tab/>
        </w:r>
        <w:r w:rsidR="00F3237D" w:rsidRPr="00A60B7B">
          <w:rPr>
            <w:rStyle w:val="Hypertextovodkaz"/>
            <w:b/>
            <w:noProof/>
          </w:rPr>
          <w:t>Blok I.: Analýza tržní situace</w:t>
        </w:r>
        <w:r w:rsidR="00F3237D">
          <w:rPr>
            <w:noProof/>
            <w:webHidden/>
          </w:rPr>
          <w:tab/>
        </w:r>
        <w:r w:rsidR="00F3237D">
          <w:rPr>
            <w:noProof/>
            <w:webHidden/>
          </w:rPr>
          <w:fldChar w:fldCharType="begin"/>
        </w:r>
        <w:r w:rsidR="00F3237D">
          <w:rPr>
            <w:noProof/>
            <w:webHidden/>
          </w:rPr>
          <w:instrText xml:space="preserve"> PAGEREF _Toc413854335 \h </w:instrText>
        </w:r>
        <w:r w:rsidR="00F3237D">
          <w:rPr>
            <w:noProof/>
            <w:webHidden/>
          </w:rPr>
        </w:r>
        <w:r w:rsidR="00F3237D">
          <w:rPr>
            <w:noProof/>
            <w:webHidden/>
          </w:rPr>
          <w:fldChar w:fldCharType="separate"/>
        </w:r>
        <w:r w:rsidR="00F3237D">
          <w:rPr>
            <w:noProof/>
            <w:webHidden/>
          </w:rPr>
          <w:t>15</w:t>
        </w:r>
        <w:r w:rsidR="00F3237D">
          <w:rPr>
            <w:noProof/>
            <w:webHidden/>
          </w:rPr>
          <w:fldChar w:fldCharType="end"/>
        </w:r>
      </w:hyperlink>
    </w:p>
    <w:p w:rsidR="00F3237D" w:rsidRDefault="00DC3B1F">
      <w:pPr>
        <w:pStyle w:val="Obsah2"/>
        <w:tabs>
          <w:tab w:val="left" w:pos="880"/>
          <w:tab w:val="right" w:leader="dot" w:pos="9060"/>
        </w:tabs>
        <w:rPr>
          <w:rFonts w:asciiTheme="minorHAnsi" w:eastAsiaTheme="minorEastAsia" w:hAnsiTheme="minorHAnsi" w:cstheme="minorBidi"/>
          <w:noProof/>
          <w:szCs w:val="22"/>
        </w:rPr>
      </w:pPr>
      <w:hyperlink w:anchor="_Toc413854336" w:history="1">
        <w:r w:rsidR="00F3237D" w:rsidRPr="00AF70D7">
          <w:rPr>
            <w:rStyle w:val="Hypertextovodkaz"/>
            <w:noProof/>
            <w14:scene3d>
              <w14:camera w14:prst="orthographicFront"/>
              <w14:lightRig w14:rig="threePt" w14:dir="t">
                <w14:rot w14:lat="0" w14:lon="0" w14:rev="0"/>
              </w14:lightRig>
            </w14:scene3d>
          </w:rPr>
          <w:t>3.1</w:t>
        </w:r>
        <w:r w:rsidR="00F3237D">
          <w:rPr>
            <w:rFonts w:asciiTheme="minorHAnsi" w:eastAsiaTheme="minorEastAsia" w:hAnsiTheme="minorHAnsi" w:cstheme="minorBidi"/>
            <w:noProof/>
            <w:szCs w:val="22"/>
          </w:rPr>
          <w:tab/>
        </w:r>
        <w:r w:rsidR="00F3237D" w:rsidRPr="00AF70D7">
          <w:rPr>
            <w:rStyle w:val="Hypertextovodkaz"/>
            <w:noProof/>
          </w:rPr>
          <w:t>Tržní selhání a suboptimální investiční situace u hlavních cílových skupin OP PIK</w:t>
        </w:r>
        <w:r w:rsidR="00F3237D">
          <w:rPr>
            <w:noProof/>
            <w:webHidden/>
          </w:rPr>
          <w:tab/>
        </w:r>
        <w:r w:rsidR="00F3237D">
          <w:rPr>
            <w:noProof/>
            <w:webHidden/>
          </w:rPr>
          <w:fldChar w:fldCharType="begin"/>
        </w:r>
        <w:r w:rsidR="00F3237D">
          <w:rPr>
            <w:noProof/>
            <w:webHidden/>
          </w:rPr>
          <w:instrText xml:space="preserve"> PAGEREF _Toc413854336 \h </w:instrText>
        </w:r>
        <w:r w:rsidR="00F3237D">
          <w:rPr>
            <w:noProof/>
            <w:webHidden/>
          </w:rPr>
        </w:r>
        <w:r w:rsidR="00F3237D">
          <w:rPr>
            <w:noProof/>
            <w:webHidden/>
          </w:rPr>
          <w:fldChar w:fldCharType="separate"/>
        </w:r>
        <w:r w:rsidR="00F3237D">
          <w:rPr>
            <w:noProof/>
            <w:webHidden/>
          </w:rPr>
          <w:t>15</w:t>
        </w:r>
        <w:r w:rsidR="00F3237D">
          <w:rPr>
            <w:noProof/>
            <w:webHidden/>
          </w:rPr>
          <w:fldChar w:fldCharType="end"/>
        </w:r>
      </w:hyperlink>
    </w:p>
    <w:p w:rsidR="00F3237D" w:rsidRDefault="00DC3B1F">
      <w:pPr>
        <w:pStyle w:val="Obsah3"/>
        <w:tabs>
          <w:tab w:val="left" w:pos="1320"/>
          <w:tab w:val="right" w:leader="dot" w:pos="9060"/>
        </w:tabs>
        <w:rPr>
          <w:rFonts w:asciiTheme="minorHAnsi" w:eastAsiaTheme="minorEastAsia" w:hAnsiTheme="minorHAnsi" w:cstheme="minorBidi"/>
          <w:noProof/>
          <w:szCs w:val="22"/>
        </w:rPr>
      </w:pPr>
      <w:hyperlink w:anchor="_Toc413854337" w:history="1">
        <w:r w:rsidR="00F3237D" w:rsidRPr="00AF70D7">
          <w:rPr>
            <w:rStyle w:val="Hypertextovodkaz"/>
            <w:noProof/>
            <w14:scene3d>
              <w14:camera w14:prst="orthographicFront"/>
              <w14:lightRig w14:rig="threePt" w14:dir="t">
                <w14:rot w14:lat="0" w14:lon="0" w14:rev="0"/>
              </w14:lightRig>
            </w14:scene3d>
          </w:rPr>
          <w:t>3.1.1</w:t>
        </w:r>
        <w:r w:rsidR="00F3237D">
          <w:rPr>
            <w:rFonts w:asciiTheme="minorHAnsi" w:eastAsiaTheme="minorEastAsia" w:hAnsiTheme="minorHAnsi" w:cstheme="minorBidi"/>
            <w:noProof/>
            <w:szCs w:val="22"/>
          </w:rPr>
          <w:tab/>
        </w:r>
        <w:r w:rsidR="00F3237D" w:rsidRPr="00AF70D7">
          <w:rPr>
            <w:rStyle w:val="Hypertextovodkaz"/>
            <w:noProof/>
          </w:rPr>
          <w:t>Metodický přístup k bloku I.</w:t>
        </w:r>
        <w:r w:rsidR="00F3237D">
          <w:rPr>
            <w:noProof/>
            <w:webHidden/>
          </w:rPr>
          <w:tab/>
        </w:r>
        <w:r w:rsidR="00F3237D">
          <w:rPr>
            <w:noProof/>
            <w:webHidden/>
          </w:rPr>
          <w:fldChar w:fldCharType="begin"/>
        </w:r>
        <w:r w:rsidR="00F3237D">
          <w:rPr>
            <w:noProof/>
            <w:webHidden/>
          </w:rPr>
          <w:instrText xml:space="preserve"> PAGEREF _Toc413854337 \h </w:instrText>
        </w:r>
        <w:r w:rsidR="00F3237D">
          <w:rPr>
            <w:noProof/>
            <w:webHidden/>
          </w:rPr>
        </w:r>
        <w:r w:rsidR="00F3237D">
          <w:rPr>
            <w:noProof/>
            <w:webHidden/>
          </w:rPr>
          <w:fldChar w:fldCharType="separate"/>
        </w:r>
        <w:r w:rsidR="00F3237D">
          <w:rPr>
            <w:noProof/>
            <w:webHidden/>
          </w:rPr>
          <w:t>15</w:t>
        </w:r>
        <w:r w:rsidR="00F3237D">
          <w:rPr>
            <w:noProof/>
            <w:webHidden/>
          </w:rPr>
          <w:fldChar w:fldCharType="end"/>
        </w:r>
      </w:hyperlink>
    </w:p>
    <w:p w:rsidR="00F3237D" w:rsidRDefault="00DC3B1F">
      <w:pPr>
        <w:pStyle w:val="Obsah3"/>
        <w:tabs>
          <w:tab w:val="left" w:pos="1320"/>
          <w:tab w:val="right" w:leader="dot" w:pos="9060"/>
        </w:tabs>
        <w:rPr>
          <w:rFonts w:asciiTheme="minorHAnsi" w:eastAsiaTheme="minorEastAsia" w:hAnsiTheme="minorHAnsi" w:cstheme="minorBidi"/>
          <w:noProof/>
          <w:szCs w:val="22"/>
        </w:rPr>
      </w:pPr>
      <w:hyperlink w:anchor="_Toc413854338" w:history="1">
        <w:r w:rsidR="00F3237D" w:rsidRPr="00AF70D7">
          <w:rPr>
            <w:rStyle w:val="Hypertextovodkaz"/>
            <w:noProof/>
            <w14:scene3d>
              <w14:camera w14:prst="orthographicFront"/>
              <w14:lightRig w14:rig="threePt" w14:dir="t">
                <w14:rot w14:lat="0" w14:lon="0" w14:rev="0"/>
              </w14:lightRig>
            </w14:scene3d>
          </w:rPr>
          <w:t>3.1.2</w:t>
        </w:r>
        <w:r w:rsidR="00F3237D">
          <w:rPr>
            <w:rFonts w:asciiTheme="minorHAnsi" w:eastAsiaTheme="minorEastAsia" w:hAnsiTheme="minorHAnsi" w:cstheme="minorBidi"/>
            <w:noProof/>
            <w:szCs w:val="22"/>
          </w:rPr>
          <w:tab/>
        </w:r>
        <w:r w:rsidR="00F3237D" w:rsidRPr="00AF70D7">
          <w:rPr>
            <w:rStyle w:val="Hypertextovodkaz"/>
            <w:noProof/>
          </w:rPr>
          <w:t>Specifický cíl 1.1 – Zvýšení inovační výkonnosti podniků</w:t>
        </w:r>
        <w:r w:rsidR="00F3237D">
          <w:rPr>
            <w:noProof/>
            <w:webHidden/>
          </w:rPr>
          <w:tab/>
        </w:r>
        <w:r w:rsidR="00F3237D">
          <w:rPr>
            <w:noProof/>
            <w:webHidden/>
          </w:rPr>
          <w:fldChar w:fldCharType="begin"/>
        </w:r>
        <w:r w:rsidR="00F3237D">
          <w:rPr>
            <w:noProof/>
            <w:webHidden/>
          </w:rPr>
          <w:instrText xml:space="preserve"> PAGEREF _Toc413854338 \h </w:instrText>
        </w:r>
        <w:r w:rsidR="00F3237D">
          <w:rPr>
            <w:noProof/>
            <w:webHidden/>
          </w:rPr>
        </w:r>
        <w:r w:rsidR="00F3237D">
          <w:rPr>
            <w:noProof/>
            <w:webHidden/>
          </w:rPr>
          <w:fldChar w:fldCharType="separate"/>
        </w:r>
        <w:r w:rsidR="00F3237D">
          <w:rPr>
            <w:noProof/>
            <w:webHidden/>
          </w:rPr>
          <w:t>17</w:t>
        </w:r>
        <w:r w:rsidR="00F3237D">
          <w:rPr>
            <w:noProof/>
            <w:webHidden/>
          </w:rPr>
          <w:fldChar w:fldCharType="end"/>
        </w:r>
      </w:hyperlink>
    </w:p>
    <w:p w:rsidR="00F3237D" w:rsidRDefault="00DC3B1F">
      <w:pPr>
        <w:pStyle w:val="Obsah3"/>
        <w:tabs>
          <w:tab w:val="left" w:pos="1320"/>
          <w:tab w:val="right" w:leader="dot" w:pos="9060"/>
        </w:tabs>
        <w:rPr>
          <w:rFonts w:asciiTheme="minorHAnsi" w:eastAsiaTheme="minorEastAsia" w:hAnsiTheme="minorHAnsi" w:cstheme="minorBidi"/>
          <w:noProof/>
          <w:szCs w:val="22"/>
        </w:rPr>
      </w:pPr>
      <w:hyperlink w:anchor="_Toc413854339" w:history="1">
        <w:r w:rsidR="00F3237D" w:rsidRPr="00AF70D7">
          <w:rPr>
            <w:rStyle w:val="Hypertextovodkaz"/>
            <w:noProof/>
            <w14:scene3d>
              <w14:camera w14:prst="orthographicFront"/>
              <w14:lightRig w14:rig="threePt" w14:dir="t">
                <w14:rot w14:lat="0" w14:lon="0" w14:rev="0"/>
              </w14:lightRig>
            </w14:scene3d>
          </w:rPr>
          <w:t>3.1.3</w:t>
        </w:r>
        <w:r w:rsidR="00F3237D">
          <w:rPr>
            <w:rFonts w:asciiTheme="minorHAnsi" w:eastAsiaTheme="minorEastAsia" w:hAnsiTheme="minorHAnsi" w:cstheme="minorBidi"/>
            <w:noProof/>
            <w:szCs w:val="22"/>
          </w:rPr>
          <w:tab/>
        </w:r>
        <w:r w:rsidR="00F3237D" w:rsidRPr="00AF70D7">
          <w:rPr>
            <w:rStyle w:val="Hypertextovodkaz"/>
            <w:noProof/>
          </w:rPr>
          <w:t>Specifický cíl 1.2 – Zvýšit intenzitu a účinnost spolupráce ve výzkumu, vývoji a inovacích</w:t>
        </w:r>
        <w:r w:rsidR="00F3237D">
          <w:rPr>
            <w:noProof/>
            <w:webHidden/>
          </w:rPr>
          <w:tab/>
        </w:r>
        <w:r w:rsidR="00F3237D">
          <w:rPr>
            <w:noProof/>
            <w:webHidden/>
          </w:rPr>
          <w:fldChar w:fldCharType="begin"/>
        </w:r>
        <w:r w:rsidR="00F3237D">
          <w:rPr>
            <w:noProof/>
            <w:webHidden/>
          </w:rPr>
          <w:instrText xml:space="preserve"> PAGEREF _Toc413854339 \h </w:instrText>
        </w:r>
        <w:r w:rsidR="00F3237D">
          <w:rPr>
            <w:noProof/>
            <w:webHidden/>
          </w:rPr>
        </w:r>
        <w:r w:rsidR="00F3237D">
          <w:rPr>
            <w:noProof/>
            <w:webHidden/>
          </w:rPr>
          <w:fldChar w:fldCharType="separate"/>
        </w:r>
        <w:r w:rsidR="00F3237D">
          <w:rPr>
            <w:noProof/>
            <w:webHidden/>
          </w:rPr>
          <w:t>25</w:t>
        </w:r>
        <w:r w:rsidR="00F3237D">
          <w:rPr>
            <w:noProof/>
            <w:webHidden/>
          </w:rPr>
          <w:fldChar w:fldCharType="end"/>
        </w:r>
      </w:hyperlink>
    </w:p>
    <w:p w:rsidR="00F3237D" w:rsidRDefault="00DC3B1F">
      <w:pPr>
        <w:pStyle w:val="Obsah3"/>
        <w:tabs>
          <w:tab w:val="left" w:pos="1320"/>
          <w:tab w:val="right" w:leader="dot" w:pos="9060"/>
        </w:tabs>
        <w:rPr>
          <w:rFonts w:asciiTheme="minorHAnsi" w:eastAsiaTheme="minorEastAsia" w:hAnsiTheme="minorHAnsi" w:cstheme="minorBidi"/>
          <w:noProof/>
          <w:szCs w:val="22"/>
        </w:rPr>
      </w:pPr>
      <w:hyperlink w:anchor="_Toc413854340" w:history="1">
        <w:r w:rsidR="00F3237D" w:rsidRPr="00AF70D7">
          <w:rPr>
            <w:rStyle w:val="Hypertextovodkaz"/>
            <w:noProof/>
            <w14:scene3d>
              <w14:camera w14:prst="orthographicFront"/>
              <w14:lightRig w14:rig="threePt" w14:dir="t">
                <w14:rot w14:lat="0" w14:lon="0" w14:rev="0"/>
              </w14:lightRig>
            </w14:scene3d>
          </w:rPr>
          <w:t>3.1.4</w:t>
        </w:r>
        <w:r w:rsidR="00F3237D">
          <w:rPr>
            <w:rFonts w:asciiTheme="minorHAnsi" w:eastAsiaTheme="minorEastAsia" w:hAnsiTheme="minorHAnsi" w:cstheme="minorBidi"/>
            <w:noProof/>
            <w:szCs w:val="22"/>
          </w:rPr>
          <w:tab/>
        </w:r>
        <w:r w:rsidR="00F3237D" w:rsidRPr="00AF70D7">
          <w:rPr>
            <w:rStyle w:val="Hypertextovodkaz"/>
            <w:noProof/>
          </w:rPr>
          <w:t>Specifický cíl 2.1 – Zvýšit konkurenceschopnost začínajících a rozvojových MSP</w:t>
        </w:r>
        <w:r w:rsidR="00F3237D">
          <w:rPr>
            <w:noProof/>
            <w:webHidden/>
          </w:rPr>
          <w:tab/>
        </w:r>
        <w:r w:rsidR="00F3237D">
          <w:rPr>
            <w:noProof/>
            <w:webHidden/>
          </w:rPr>
          <w:fldChar w:fldCharType="begin"/>
        </w:r>
        <w:r w:rsidR="00F3237D">
          <w:rPr>
            <w:noProof/>
            <w:webHidden/>
          </w:rPr>
          <w:instrText xml:space="preserve"> PAGEREF _Toc413854340 \h </w:instrText>
        </w:r>
        <w:r w:rsidR="00F3237D">
          <w:rPr>
            <w:noProof/>
            <w:webHidden/>
          </w:rPr>
        </w:r>
        <w:r w:rsidR="00F3237D">
          <w:rPr>
            <w:noProof/>
            <w:webHidden/>
          </w:rPr>
          <w:fldChar w:fldCharType="separate"/>
        </w:r>
        <w:r w:rsidR="00F3237D">
          <w:rPr>
            <w:noProof/>
            <w:webHidden/>
          </w:rPr>
          <w:t>31</w:t>
        </w:r>
        <w:r w:rsidR="00F3237D">
          <w:rPr>
            <w:noProof/>
            <w:webHidden/>
          </w:rPr>
          <w:fldChar w:fldCharType="end"/>
        </w:r>
      </w:hyperlink>
    </w:p>
    <w:p w:rsidR="00F3237D" w:rsidRDefault="00DC3B1F">
      <w:pPr>
        <w:pStyle w:val="Obsah3"/>
        <w:tabs>
          <w:tab w:val="left" w:pos="1320"/>
          <w:tab w:val="right" w:leader="dot" w:pos="9060"/>
        </w:tabs>
        <w:rPr>
          <w:rFonts w:asciiTheme="minorHAnsi" w:eastAsiaTheme="minorEastAsia" w:hAnsiTheme="minorHAnsi" w:cstheme="minorBidi"/>
          <w:noProof/>
          <w:szCs w:val="22"/>
        </w:rPr>
      </w:pPr>
      <w:hyperlink w:anchor="_Toc413854341" w:history="1">
        <w:r w:rsidR="00F3237D" w:rsidRPr="00AF70D7">
          <w:rPr>
            <w:rStyle w:val="Hypertextovodkaz"/>
            <w:noProof/>
            <w:lang w:eastAsia="en-US"/>
            <w14:scene3d>
              <w14:camera w14:prst="orthographicFront"/>
              <w14:lightRig w14:rig="threePt" w14:dir="t">
                <w14:rot w14:lat="0" w14:lon="0" w14:rev="0"/>
              </w14:lightRig>
            </w14:scene3d>
          </w:rPr>
          <w:t>3.1.5</w:t>
        </w:r>
        <w:r w:rsidR="00F3237D">
          <w:rPr>
            <w:rFonts w:asciiTheme="minorHAnsi" w:eastAsiaTheme="minorEastAsia" w:hAnsiTheme="minorHAnsi" w:cstheme="minorBidi"/>
            <w:noProof/>
            <w:szCs w:val="22"/>
          </w:rPr>
          <w:tab/>
        </w:r>
        <w:r w:rsidR="00F3237D" w:rsidRPr="00AF70D7">
          <w:rPr>
            <w:rStyle w:val="Hypertextovodkaz"/>
            <w:noProof/>
            <w:lang w:eastAsia="en-US"/>
          </w:rPr>
          <w:t>Specifický cíl 2.3 - Zvýšit využitelnost infrastruktury pro podnikání</w:t>
        </w:r>
        <w:r w:rsidR="00F3237D">
          <w:rPr>
            <w:noProof/>
            <w:webHidden/>
          </w:rPr>
          <w:tab/>
        </w:r>
        <w:r w:rsidR="00F3237D">
          <w:rPr>
            <w:noProof/>
            <w:webHidden/>
          </w:rPr>
          <w:fldChar w:fldCharType="begin"/>
        </w:r>
        <w:r w:rsidR="00F3237D">
          <w:rPr>
            <w:noProof/>
            <w:webHidden/>
          </w:rPr>
          <w:instrText xml:space="preserve"> PAGEREF _Toc413854341 \h </w:instrText>
        </w:r>
        <w:r w:rsidR="00F3237D">
          <w:rPr>
            <w:noProof/>
            <w:webHidden/>
          </w:rPr>
        </w:r>
        <w:r w:rsidR="00F3237D">
          <w:rPr>
            <w:noProof/>
            <w:webHidden/>
          </w:rPr>
          <w:fldChar w:fldCharType="separate"/>
        </w:r>
        <w:r w:rsidR="00F3237D">
          <w:rPr>
            <w:noProof/>
            <w:webHidden/>
          </w:rPr>
          <w:t>43</w:t>
        </w:r>
        <w:r w:rsidR="00F3237D">
          <w:rPr>
            <w:noProof/>
            <w:webHidden/>
          </w:rPr>
          <w:fldChar w:fldCharType="end"/>
        </w:r>
      </w:hyperlink>
    </w:p>
    <w:p w:rsidR="00F3237D" w:rsidRDefault="00DC3B1F">
      <w:pPr>
        <w:pStyle w:val="Obsah3"/>
        <w:tabs>
          <w:tab w:val="left" w:pos="1320"/>
          <w:tab w:val="right" w:leader="dot" w:pos="9060"/>
        </w:tabs>
        <w:rPr>
          <w:rFonts w:asciiTheme="minorHAnsi" w:eastAsiaTheme="minorEastAsia" w:hAnsiTheme="minorHAnsi" w:cstheme="minorBidi"/>
          <w:noProof/>
          <w:szCs w:val="22"/>
        </w:rPr>
      </w:pPr>
      <w:hyperlink w:anchor="_Toc413854342" w:history="1">
        <w:r w:rsidR="00F3237D" w:rsidRPr="00AF70D7">
          <w:rPr>
            <w:rStyle w:val="Hypertextovodkaz"/>
            <w:noProof/>
            <w:lang w:eastAsia="en-US"/>
            <w14:scene3d>
              <w14:camera w14:prst="orthographicFront"/>
              <w14:lightRig w14:rig="threePt" w14:dir="t">
                <w14:rot w14:lat="0" w14:lon="0" w14:rev="0"/>
              </w14:lightRig>
            </w14:scene3d>
          </w:rPr>
          <w:t>3.1.6</w:t>
        </w:r>
        <w:r w:rsidR="00F3237D">
          <w:rPr>
            <w:rFonts w:asciiTheme="minorHAnsi" w:eastAsiaTheme="minorEastAsia" w:hAnsiTheme="minorHAnsi" w:cstheme="minorBidi"/>
            <w:noProof/>
            <w:szCs w:val="22"/>
          </w:rPr>
          <w:tab/>
        </w:r>
        <w:r w:rsidR="00F3237D" w:rsidRPr="00AF70D7">
          <w:rPr>
            <w:rStyle w:val="Hypertextovodkaz"/>
            <w:noProof/>
            <w:lang w:eastAsia="en-US"/>
          </w:rPr>
          <w:t xml:space="preserve">Specifický cíl 3.1- </w:t>
        </w:r>
        <w:r w:rsidR="00F3237D" w:rsidRPr="00AF70D7">
          <w:rPr>
            <w:rStyle w:val="Hypertextovodkaz"/>
            <w:noProof/>
          </w:rPr>
          <w:t>Zvýšit podíl výroby energie z obnovitelných zdrojů na hrubé konečné spotřebě ČR</w:t>
        </w:r>
        <w:r w:rsidR="00F3237D">
          <w:rPr>
            <w:noProof/>
            <w:webHidden/>
          </w:rPr>
          <w:tab/>
        </w:r>
        <w:r w:rsidR="00F3237D">
          <w:rPr>
            <w:noProof/>
            <w:webHidden/>
          </w:rPr>
          <w:fldChar w:fldCharType="begin"/>
        </w:r>
        <w:r w:rsidR="00F3237D">
          <w:rPr>
            <w:noProof/>
            <w:webHidden/>
          </w:rPr>
          <w:instrText xml:space="preserve"> PAGEREF _Toc413854342 \h </w:instrText>
        </w:r>
        <w:r w:rsidR="00F3237D">
          <w:rPr>
            <w:noProof/>
            <w:webHidden/>
          </w:rPr>
        </w:r>
        <w:r w:rsidR="00F3237D">
          <w:rPr>
            <w:noProof/>
            <w:webHidden/>
          </w:rPr>
          <w:fldChar w:fldCharType="separate"/>
        </w:r>
        <w:r w:rsidR="00F3237D">
          <w:rPr>
            <w:noProof/>
            <w:webHidden/>
          </w:rPr>
          <w:t>51</w:t>
        </w:r>
        <w:r w:rsidR="00F3237D">
          <w:rPr>
            <w:noProof/>
            <w:webHidden/>
          </w:rPr>
          <w:fldChar w:fldCharType="end"/>
        </w:r>
      </w:hyperlink>
    </w:p>
    <w:p w:rsidR="00F3237D" w:rsidRDefault="00DC3B1F">
      <w:pPr>
        <w:pStyle w:val="Obsah3"/>
        <w:tabs>
          <w:tab w:val="left" w:pos="1320"/>
          <w:tab w:val="right" w:leader="dot" w:pos="9060"/>
        </w:tabs>
        <w:rPr>
          <w:rFonts w:asciiTheme="minorHAnsi" w:eastAsiaTheme="minorEastAsia" w:hAnsiTheme="minorHAnsi" w:cstheme="minorBidi"/>
          <w:noProof/>
          <w:szCs w:val="22"/>
        </w:rPr>
      </w:pPr>
      <w:hyperlink w:anchor="_Toc413854343" w:history="1">
        <w:r w:rsidR="00F3237D" w:rsidRPr="00AF70D7">
          <w:rPr>
            <w:rStyle w:val="Hypertextovodkaz"/>
            <w:noProof/>
            <w:lang w:eastAsia="en-US"/>
            <w14:scene3d>
              <w14:camera w14:prst="orthographicFront"/>
              <w14:lightRig w14:rig="threePt" w14:dir="t">
                <w14:rot w14:lat="0" w14:lon="0" w14:rev="0"/>
              </w14:lightRig>
            </w14:scene3d>
          </w:rPr>
          <w:t>3.1.7</w:t>
        </w:r>
        <w:r w:rsidR="00F3237D">
          <w:rPr>
            <w:rFonts w:asciiTheme="minorHAnsi" w:eastAsiaTheme="minorEastAsia" w:hAnsiTheme="minorHAnsi" w:cstheme="minorBidi"/>
            <w:noProof/>
            <w:szCs w:val="22"/>
          </w:rPr>
          <w:tab/>
        </w:r>
        <w:r w:rsidR="00F3237D" w:rsidRPr="00AF70D7">
          <w:rPr>
            <w:rStyle w:val="Hypertextovodkaz"/>
            <w:noProof/>
            <w:lang w:eastAsia="en-US"/>
          </w:rPr>
          <w:t>Specifický cíl 3.2 - Snižování energetické náročnosti podnikatelského sektoru a rozvíjení energetických služeb</w:t>
        </w:r>
        <w:r w:rsidR="00F3237D">
          <w:rPr>
            <w:noProof/>
            <w:webHidden/>
          </w:rPr>
          <w:tab/>
        </w:r>
        <w:r w:rsidR="00F3237D">
          <w:rPr>
            <w:noProof/>
            <w:webHidden/>
          </w:rPr>
          <w:fldChar w:fldCharType="begin"/>
        </w:r>
        <w:r w:rsidR="00F3237D">
          <w:rPr>
            <w:noProof/>
            <w:webHidden/>
          </w:rPr>
          <w:instrText xml:space="preserve"> PAGEREF _Toc413854343 \h </w:instrText>
        </w:r>
        <w:r w:rsidR="00F3237D">
          <w:rPr>
            <w:noProof/>
            <w:webHidden/>
          </w:rPr>
        </w:r>
        <w:r w:rsidR="00F3237D">
          <w:rPr>
            <w:noProof/>
            <w:webHidden/>
          </w:rPr>
          <w:fldChar w:fldCharType="separate"/>
        </w:r>
        <w:r w:rsidR="00F3237D">
          <w:rPr>
            <w:noProof/>
            <w:webHidden/>
          </w:rPr>
          <w:t>56</w:t>
        </w:r>
        <w:r w:rsidR="00F3237D">
          <w:rPr>
            <w:noProof/>
            <w:webHidden/>
          </w:rPr>
          <w:fldChar w:fldCharType="end"/>
        </w:r>
      </w:hyperlink>
    </w:p>
    <w:p w:rsidR="00F3237D" w:rsidRDefault="00DC3B1F">
      <w:pPr>
        <w:pStyle w:val="Obsah3"/>
        <w:tabs>
          <w:tab w:val="left" w:pos="1320"/>
          <w:tab w:val="right" w:leader="dot" w:pos="9060"/>
        </w:tabs>
        <w:rPr>
          <w:rFonts w:asciiTheme="minorHAnsi" w:eastAsiaTheme="minorEastAsia" w:hAnsiTheme="minorHAnsi" w:cstheme="minorBidi"/>
          <w:noProof/>
          <w:szCs w:val="22"/>
        </w:rPr>
      </w:pPr>
      <w:hyperlink w:anchor="_Toc413854344" w:history="1">
        <w:r w:rsidR="00F3237D" w:rsidRPr="00AF70D7">
          <w:rPr>
            <w:rStyle w:val="Hypertextovodkaz"/>
            <w:noProof/>
            <w:lang w:eastAsia="en-US"/>
            <w14:scene3d>
              <w14:camera w14:prst="orthographicFront"/>
              <w14:lightRig w14:rig="threePt" w14:dir="t">
                <w14:rot w14:lat="0" w14:lon="0" w14:rev="0"/>
              </w14:lightRig>
            </w14:scene3d>
          </w:rPr>
          <w:t>3.1.8</w:t>
        </w:r>
        <w:r w:rsidR="00F3237D">
          <w:rPr>
            <w:rFonts w:asciiTheme="minorHAnsi" w:eastAsiaTheme="minorEastAsia" w:hAnsiTheme="minorHAnsi" w:cstheme="minorBidi"/>
            <w:noProof/>
            <w:szCs w:val="22"/>
          </w:rPr>
          <w:tab/>
        </w:r>
        <w:r w:rsidR="00F3237D" w:rsidRPr="00AF70D7">
          <w:rPr>
            <w:rStyle w:val="Hypertextovodkaz"/>
            <w:noProof/>
            <w:lang w:eastAsia="en-US"/>
          </w:rPr>
          <w:t xml:space="preserve">Specifický cíl 3.5 </w:t>
        </w:r>
        <w:r w:rsidR="00F3237D" w:rsidRPr="00AF70D7">
          <w:rPr>
            <w:rStyle w:val="Hypertextovodkaz"/>
            <w:noProof/>
          </w:rPr>
          <w:t>Zvýšit účinnost soustav zásobování teplem</w:t>
        </w:r>
        <w:r w:rsidR="00F3237D">
          <w:rPr>
            <w:noProof/>
            <w:webHidden/>
          </w:rPr>
          <w:tab/>
        </w:r>
        <w:r w:rsidR="00F3237D">
          <w:rPr>
            <w:noProof/>
            <w:webHidden/>
          </w:rPr>
          <w:fldChar w:fldCharType="begin"/>
        </w:r>
        <w:r w:rsidR="00F3237D">
          <w:rPr>
            <w:noProof/>
            <w:webHidden/>
          </w:rPr>
          <w:instrText xml:space="preserve"> PAGEREF _Toc413854344 \h </w:instrText>
        </w:r>
        <w:r w:rsidR="00F3237D">
          <w:rPr>
            <w:noProof/>
            <w:webHidden/>
          </w:rPr>
        </w:r>
        <w:r w:rsidR="00F3237D">
          <w:rPr>
            <w:noProof/>
            <w:webHidden/>
          </w:rPr>
          <w:fldChar w:fldCharType="separate"/>
        </w:r>
        <w:r w:rsidR="00F3237D">
          <w:rPr>
            <w:noProof/>
            <w:webHidden/>
          </w:rPr>
          <w:t>61</w:t>
        </w:r>
        <w:r w:rsidR="00F3237D">
          <w:rPr>
            <w:noProof/>
            <w:webHidden/>
          </w:rPr>
          <w:fldChar w:fldCharType="end"/>
        </w:r>
      </w:hyperlink>
    </w:p>
    <w:p w:rsidR="00F3237D" w:rsidRDefault="00DC3B1F">
      <w:pPr>
        <w:pStyle w:val="Obsah3"/>
        <w:tabs>
          <w:tab w:val="left" w:pos="1320"/>
          <w:tab w:val="right" w:leader="dot" w:pos="9060"/>
        </w:tabs>
        <w:rPr>
          <w:rFonts w:asciiTheme="minorHAnsi" w:eastAsiaTheme="minorEastAsia" w:hAnsiTheme="minorHAnsi" w:cstheme="minorBidi"/>
          <w:noProof/>
          <w:szCs w:val="22"/>
        </w:rPr>
      </w:pPr>
      <w:hyperlink w:anchor="_Toc413854345" w:history="1">
        <w:r w:rsidR="00F3237D" w:rsidRPr="00AF70D7">
          <w:rPr>
            <w:rStyle w:val="Hypertextovodkaz"/>
            <w:noProof/>
            <w:lang w:eastAsia="en-US"/>
            <w14:scene3d>
              <w14:camera w14:prst="orthographicFront"/>
              <w14:lightRig w14:rig="threePt" w14:dir="t">
                <w14:rot w14:lat="0" w14:lon="0" w14:rev="0"/>
              </w14:lightRig>
            </w14:scene3d>
          </w:rPr>
          <w:t>3.1.9</w:t>
        </w:r>
        <w:r w:rsidR="00F3237D">
          <w:rPr>
            <w:rFonts w:asciiTheme="minorHAnsi" w:eastAsiaTheme="minorEastAsia" w:hAnsiTheme="minorHAnsi" w:cstheme="minorBidi"/>
            <w:noProof/>
            <w:szCs w:val="22"/>
          </w:rPr>
          <w:tab/>
        </w:r>
        <w:r w:rsidR="00F3237D" w:rsidRPr="00AF70D7">
          <w:rPr>
            <w:rStyle w:val="Hypertextovodkaz"/>
            <w:noProof/>
            <w:lang w:eastAsia="en-US"/>
          </w:rPr>
          <w:t xml:space="preserve">Specifický cíl 4.1- </w:t>
        </w:r>
        <w:r w:rsidR="00F3237D" w:rsidRPr="00AF70D7">
          <w:rPr>
            <w:rStyle w:val="Hypertextovodkaz"/>
            <w:noProof/>
          </w:rPr>
          <w:t>Zvětšit pokrytí vysokorychlostním přístupem k internetu</w:t>
        </w:r>
        <w:r w:rsidR="00F3237D">
          <w:rPr>
            <w:noProof/>
            <w:webHidden/>
          </w:rPr>
          <w:tab/>
        </w:r>
        <w:r w:rsidR="00F3237D">
          <w:rPr>
            <w:noProof/>
            <w:webHidden/>
          </w:rPr>
          <w:fldChar w:fldCharType="begin"/>
        </w:r>
        <w:r w:rsidR="00F3237D">
          <w:rPr>
            <w:noProof/>
            <w:webHidden/>
          </w:rPr>
          <w:instrText xml:space="preserve"> PAGEREF _Toc413854345 \h </w:instrText>
        </w:r>
        <w:r w:rsidR="00F3237D">
          <w:rPr>
            <w:noProof/>
            <w:webHidden/>
          </w:rPr>
        </w:r>
        <w:r w:rsidR="00F3237D">
          <w:rPr>
            <w:noProof/>
            <w:webHidden/>
          </w:rPr>
          <w:fldChar w:fldCharType="separate"/>
        </w:r>
        <w:r w:rsidR="00F3237D">
          <w:rPr>
            <w:noProof/>
            <w:webHidden/>
          </w:rPr>
          <w:t>66</w:t>
        </w:r>
        <w:r w:rsidR="00F3237D">
          <w:rPr>
            <w:noProof/>
            <w:webHidden/>
          </w:rPr>
          <w:fldChar w:fldCharType="end"/>
        </w:r>
      </w:hyperlink>
    </w:p>
    <w:p w:rsidR="00F3237D" w:rsidRDefault="00DC3B1F">
      <w:pPr>
        <w:pStyle w:val="Obsah1"/>
        <w:rPr>
          <w:rFonts w:asciiTheme="minorHAnsi" w:eastAsiaTheme="minorEastAsia" w:hAnsiTheme="minorHAnsi" w:cstheme="minorBidi"/>
          <w:noProof/>
          <w:szCs w:val="22"/>
        </w:rPr>
      </w:pPr>
      <w:hyperlink w:anchor="_Toc413854346" w:history="1">
        <w:r w:rsidR="00F3237D" w:rsidRPr="00AF70D7">
          <w:rPr>
            <w:rStyle w:val="Hypertextovodkaz"/>
            <w:noProof/>
          </w:rPr>
          <w:t>4</w:t>
        </w:r>
        <w:r w:rsidR="00F3237D">
          <w:rPr>
            <w:rFonts w:asciiTheme="minorHAnsi" w:eastAsiaTheme="minorEastAsia" w:hAnsiTheme="minorHAnsi" w:cstheme="minorBidi"/>
            <w:noProof/>
            <w:szCs w:val="22"/>
          </w:rPr>
          <w:tab/>
        </w:r>
        <w:r w:rsidR="00F3237D" w:rsidRPr="00A60B7B">
          <w:rPr>
            <w:rStyle w:val="Hypertextovodkaz"/>
            <w:b/>
            <w:noProof/>
          </w:rPr>
          <w:t>Použité zdroje</w:t>
        </w:r>
        <w:r w:rsidR="00F3237D">
          <w:rPr>
            <w:noProof/>
            <w:webHidden/>
          </w:rPr>
          <w:tab/>
        </w:r>
        <w:r w:rsidR="00F3237D">
          <w:rPr>
            <w:noProof/>
            <w:webHidden/>
          </w:rPr>
          <w:fldChar w:fldCharType="begin"/>
        </w:r>
        <w:r w:rsidR="00F3237D">
          <w:rPr>
            <w:noProof/>
            <w:webHidden/>
          </w:rPr>
          <w:instrText xml:space="preserve"> PAGEREF _Toc413854346 \h </w:instrText>
        </w:r>
        <w:r w:rsidR="00F3237D">
          <w:rPr>
            <w:noProof/>
            <w:webHidden/>
          </w:rPr>
        </w:r>
        <w:r w:rsidR="00F3237D">
          <w:rPr>
            <w:noProof/>
            <w:webHidden/>
          </w:rPr>
          <w:fldChar w:fldCharType="separate"/>
        </w:r>
        <w:r w:rsidR="00F3237D">
          <w:rPr>
            <w:noProof/>
            <w:webHidden/>
          </w:rPr>
          <w:t>72</w:t>
        </w:r>
        <w:r w:rsidR="00F3237D">
          <w:rPr>
            <w:noProof/>
            <w:webHidden/>
          </w:rPr>
          <w:fldChar w:fldCharType="end"/>
        </w:r>
      </w:hyperlink>
    </w:p>
    <w:p w:rsidR="00F3237D" w:rsidRDefault="00DC3B1F">
      <w:pPr>
        <w:pStyle w:val="Obsah2"/>
        <w:tabs>
          <w:tab w:val="left" w:pos="880"/>
          <w:tab w:val="right" w:leader="dot" w:pos="9060"/>
        </w:tabs>
        <w:rPr>
          <w:rFonts w:asciiTheme="minorHAnsi" w:eastAsiaTheme="minorEastAsia" w:hAnsiTheme="minorHAnsi" w:cstheme="minorBidi"/>
          <w:noProof/>
          <w:szCs w:val="22"/>
        </w:rPr>
      </w:pPr>
      <w:hyperlink w:anchor="_Toc413854347" w:history="1">
        <w:r w:rsidR="00F3237D" w:rsidRPr="00AF70D7">
          <w:rPr>
            <w:rStyle w:val="Hypertextovodkaz"/>
            <w:noProof/>
            <w14:scene3d>
              <w14:camera w14:prst="orthographicFront"/>
              <w14:lightRig w14:rig="threePt" w14:dir="t">
                <w14:rot w14:lat="0" w14:lon="0" w14:rev="0"/>
              </w14:lightRig>
            </w14:scene3d>
          </w:rPr>
          <w:t>4.1</w:t>
        </w:r>
        <w:r w:rsidR="00F3237D">
          <w:rPr>
            <w:rFonts w:asciiTheme="minorHAnsi" w:eastAsiaTheme="minorEastAsia" w:hAnsiTheme="minorHAnsi" w:cstheme="minorBidi"/>
            <w:noProof/>
            <w:szCs w:val="22"/>
          </w:rPr>
          <w:tab/>
        </w:r>
        <w:r w:rsidR="00F3237D" w:rsidRPr="00AF70D7">
          <w:rPr>
            <w:rStyle w:val="Hypertextovodkaz"/>
            <w:noProof/>
          </w:rPr>
          <w:t>Legislativní východiska</w:t>
        </w:r>
        <w:r w:rsidR="00F3237D">
          <w:rPr>
            <w:noProof/>
            <w:webHidden/>
          </w:rPr>
          <w:tab/>
        </w:r>
        <w:r w:rsidR="00F3237D">
          <w:rPr>
            <w:noProof/>
            <w:webHidden/>
          </w:rPr>
          <w:fldChar w:fldCharType="begin"/>
        </w:r>
        <w:r w:rsidR="00F3237D">
          <w:rPr>
            <w:noProof/>
            <w:webHidden/>
          </w:rPr>
          <w:instrText xml:space="preserve"> PAGEREF _Toc413854347 \h </w:instrText>
        </w:r>
        <w:r w:rsidR="00F3237D">
          <w:rPr>
            <w:noProof/>
            <w:webHidden/>
          </w:rPr>
        </w:r>
        <w:r w:rsidR="00F3237D">
          <w:rPr>
            <w:noProof/>
            <w:webHidden/>
          </w:rPr>
          <w:fldChar w:fldCharType="separate"/>
        </w:r>
        <w:r w:rsidR="00F3237D">
          <w:rPr>
            <w:noProof/>
            <w:webHidden/>
          </w:rPr>
          <w:t>72</w:t>
        </w:r>
        <w:r w:rsidR="00F3237D">
          <w:rPr>
            <w:noProof/>
            <w:webHidden/>
          </w:rPr>
          <w:fldChar w:fldCharType="end"/>
        </w:r>
      </w:hyperlink>
    </w:p>
    <w:p w:rsidR="00F3237D" w:rsidRDefault="00DC3B1F">
      <w:pPr>
        <w:pStyle w:val="Obsah2"/>
        <w:tabs>
          <w:tab w:val="left" w:pos="880"/>
          <w:tab w:val="right" w:leader="dot" w:pos="9060"/>
        </w:tabs>
        <w:rPr>
          <w:rFonts w:asciiTheme="minorHAnsi" w:eastAsiaTheme="minorEastAsia" w:hAnsiTheme="minorHAnsi" w:cstheme="minorBidi"/>
          <w:noProof/>
          <w:szCs w:val="22"/>
        </w:rPr>
      </w:pPr>
      <w:hyperlink w:anchor="_Toc413854348" w:history="1">
        <w:r w:rsidR="00F3237D" w:rsidRPr="00AF70D7">
          <w:rPr>
            <w:rStyle w:val="Hypertextovodkaz"/>
            <w:noProof/>
            <w14:scene3d>
              <w14:camera w14:prst="orthographicFront"/>
              <w14:lightRig w14:rig="threePt" w14:dir="t">
                <w14:rot w14:lat="0" w14:lon="0" w14:rev="0"/>
              </w14:lightRig>
            </w14:scene3d>
          </w:rPr>
          <w:t>4.2</w:t>
        </w:r>
        <w:r w:rsidR="00F3237D">
          <w:rPr>
            <w:rFonts w:asciiTheme="minorHAnsi" w:eastAsiaTheme="minorEastAsia" w:hAnsiTheme="minorHAnsi" w:cstheme="minorBidi"/>
            <w:noProof/>
            <w:szCs w:val="22"/>
          </w:rPr>
          <w:tab/>
        </w:r>
        <w:r w:rsidR="00F3237D" w:rsidRPr="00AF70D7">
          <w:rPr>
            <w:rStyle w:val="Hypertextovodkaz"/>
            <w:noProof/>
          </w:rPr>
          <w:t>Další podkladové materiály</w:t>
        </w:r>
        <w:r w:rsidR="00F3237D">
          <w:rPr>
            <w:noProof/>
            <w:webHidden/>
          </w:rPr>
          <w:tab/>
        </w:r>
        <w:r w:rsidR="00F3237D">
          <w:rPr>
            <w:noProof/>
            <w:webHidden/>
          </w:rPr>
          <w:fldChar w:fldCharType="begin"/>
        </w:r>
        <w:r w:rsidR="00F3237D">
          <w:rPr>
            <w:noProof/>
            <w:webHidden/>
          </w:rPr>
          <w:instrText xml:space="preserve"> PAGEREF _Toc413854348 \h </w:instrText>
        </w:r>
        <w:r w:rsidR="00F3237D">
          <w:rPr>
            <w:noProof/>
            <w:webHidden/>
          </w:rPr>
        </w:r>
        <w:r w:rsidR="00F3237D">
          <w:rPr>
            <w:noProof/>
            <w:webHidden/>
          </w:rPr>
          <w:fldChar w:fldCharType="separate"/>
        </w:r>
        <w:r w:rsidR="00F3237D">
          <w:rPr>
            <w:noProof/>
            <w:webHidden/>
          </w:rPr>
          <w:t>73</w:t>
        </w:r>
        <w:r w:rsidR="00F3237D">
          <w:rPr>
            <w:noProof/>
            <w:webHidden/>
          </w:rPr>
          <w:fldChar w:fldCharType="end"/>
        </w:r>
      </w:hyperlink>
    </w:p>
    <w:p w:rsidR="00F3237D" w:rsidRDefault="00DC3B1F">
      <w:pPr>
        <w:pStyle w:val="Obsah1"/>
        <w:rPr>
          <w:rFonts w:asciiTheme="minorHAnsi" w:eastAsiaTheme="minorEastAsia" w:hAnsiTheme="minorHAnsi" w:cstheme="minorBidi"/>
          <w:noProof/>
          <w:szCs w:val="22"/>
        </w:rPr>
      </w:pPr>
      <w:hyperlink w:anchor="_Toc413854349" w:history="1">
        <w:r w:rsidR="00F3237D" w:rsidRPr="00AF70D7">
          <w:rPr>
            <w:rStyle w:val="Hypertextovodkaz"/>
            <w:noProof/>
          </w:rPr>
          <w:t>5</w:t>
        </w:r>
        <w:r w:rsidR="00F3237D">
          <w:rPr>
            <w:rFonts w:asciiTheme="minorHAnsi" w:eastAsiaTheme="minorEastAsia" w:hAnsiTheme="minorHAnsi" w:cstheme="minorBidi"/>
            <w:noProof/>
            <w:szCs w:val="22"/>
          </w:rPr>
          <w:tab/>
        </w:r>
        <w:r w:rsidR="00F3237D" w:rsidRPr="00A60B7B">
          <w:rPr>
            <w:rStyle w:val="Hypertextovodkaz"/>
            <w:b/>
            <w:noProof/>
          </w:rPr>
          <w:t>Seznam zkratek</w:t>
        </w:r>
        <w:r w:rsidR="00F3237D">
          <w:rPr>
            <w:noProof/>
            <w:webHidden/>
          </w:rPr>
          <w:tab/>
        </w:r>
        <w:r w:rsidR="00F3237D">
          <w:rPr>
            <w:noProof/>
            <w:webHidden/>
          </w:rPr>
          <w:fldChar w:fldCharType="begin"/>
        </w:r>
        <w:r w:rsidR="00F3237D">
          <w:rPr>
            <w:noProof/>
            <w:webHidden/>
          </w:rPr>
          <w:instrText xml:space="preserve"> PAGEREF _Toc413854349 \h </w:instrText>
        </w:r>
        <w:r w:rsidR="00F3237D">
          <w:rPr>
            <w:noProof/>
            <w:webHidden/>
          </w:rPr>
        </w:r>
        <w:r w:rsidR="00F3237D">
          <w:rPr>
            <w:noProof/>
            <w:webHidden/>
          </w:rPr>
          <w:fldChar w:fldCharType="separate"/>
        </w:r>
        <w:r w:rsidR="00F3237D">
          <w:rPr>
            <w:noProof/>
            <w:webHidden/>
          </w:rPr>
          <w:t>75</w:t>
        </w:r>
        <w:r w:rsidR="00F3237D">
          <w:rPr>
            <w:noProof/>
            <w:webHidden/>
          </w:rPr>
          <w:fldChar w:fldCharType="end"/>
        </w:r>
      </w:hyperlink>
    </w:p>
    <w:p w:rsidR="002C41C1" w:rsidRDefault="002C41C1" w:rsidP="000C1B4F">
      <w:pPr>
        <w:rPr>
          <w:rFonts w:cs="Calibri"/>
          <w:szCs w:val="24"/>
        </w:rPr>
        <w:sectPr w:rsidR="002C41C1" w:rsidSect="00EB27E7">
          <w:headerReference w:type="default" r:id="rId9"/>
          <w:footerReference w:type="even" r:id="rId10"/>
          <w:footerReference w:type="default" r:id="rId11"/>
          <w:headerReference w:type="first" r:id="rId12"/>
          <w:footerReference w:type="first" r:id="rId13"/>
          <w:pgSz w:w="11906" w:h="16838" w:code="9"/>
          <w:pgMar w:top="1418" w:right="1418" w:bottom="1418" w:left="1418" w:header="709" w:footer="709" w:gutter="0"/>
          <w:pgNumType w:start="0"/>
          <w:cols w:space="708"/>
          <w:titlePg/>
          <w:docGrid w:linePitch="360"/>
        </w:sectPr>
      </w:pPr>
      <w:r>
        <w:rPr>
          <w:rFonts w:cs="Calibri"/>
          <w:szCs w:val="24"/>
        </w:rPr>
        <w:fldChar w:fldCharType="end"/>
      </w:r>
      <w:bookmarkStart w:id="1" w:name="_GoBack"/>
      <w:bookmarkEnd w:id="1"/>
    </w:p>
    <w:p w:rsidR="002C41C1" w:rsidRPr="002C41C1" w:rsidRDefault="002C41C1" w:rsidP="00DF6E0B">
      <w:pPr>
        <w:pStyle w:val="Nadpis1"/>
      </w:pPr>
      <w:bookmarkStart w:id="2" w:name="_Toc413854324"/>
      <w:r w:rsidRPr="002C41C1">
        <w:lastRenderedPageBreak/>
        <w:t>Úvod</w:t>
      </w:r>
      <w:bookmarkEnd w:id="2"/>
    </w:p>
    <w:p w:rsidR="002C41C1" w:rsidRDefault="002C41C1" w:rsidP="0012655B"/>
    <w:p w:rsidR="002C41C1" w:rsidRDefault="002C41C1" w:rsidP="00DF6E0B">
      <w:r w:rsidRPr="00A327EF">
        <w:t xml:space="preserve">Evropská </w:t>
      </w:r>
      <w:r>
        <w:t xml:space="preserve">komise </w:t>
      </w:r>
      <w:r w:rsidRPr="00A327EF">
        <w:t xml:space="preserve">v minulosti mnohokrát deklarovala, že finanční nástroje (dále též jen „FN“) považuje za jedno z klíčových témat </w:t>
      </w:r>
      <w:r>
        <w:t>nového</w:t>
      </w:r>
      <w:r w:rsidRPr="00A327EF">
        <w:t xml:space="preserve"> finančního rámce. Strategie Evropa 2020 v této souvislosti na několika místech mluví o „mobilizaci finančních nástrojů“. Již v programovém období 2007-2013 došlo v rámci jak kohezní politiky, tak iniciativ Komise k </w:t>
      </w:r>
      <w:r>
        <w:t>významnému</w:t>
      </w:r>
      <w:r w:rsidRPr="00A327EF">
        <w:t xml:space="preserve"> pokroku ve využívání finančních nástrojů, období 2014-2020 má jejich význam dále posílit. Česká republika si tuto příležitost uvědomuje – význam finančních nástrojů </w:t>
      </w:r>
      <w:r>
        <w:t xml:space="preserve">akcentuje zejména současné úsilí vlády o aktivizaci Českomoravské záruční a rozvojové banky. </w:t>
      </w:r>
    </w:p>
    <w:p w:rsidR="002C41C1" w:rsidRDefault="002C41C1" w:rsidP="0050796E"/>
    <w:p w:rsidR="002C41C1" w:rsidRDefault="002C41C1" w:rsidP="00DF6E0B">
      <w:r>
        <w:t>Ministerstvo průmyslu a obchodu</w:t>
      </w:r>
      <w:r w:rsidR="00154F3F">
        <w:t xml:space="preserve"> (MPO)</w:t>
      </w:r>
      <w:r>
        <w:t xml:space="preserve"> chápe finanční nástroje jako efektivní formu realizace politiky podpory podnikání a inovací s potenciálem v řadě oblastí. Jedná se však o prostředek dosažení stanovených cílů v oblasti těchto politik, nikoliv o cíl samotný. Proto se tato analýza v první fázi zaměřuje především na strategický postup pro výběr vhodných opatření/strategických cílů OP PIK pro aplikaci finančních nástrojů.</w:t>
      </w:r>
    </w:p>
    <w:p w:rsidR="002C41C1" w:rsidRDefault="002C41C1" w:rsidP="0050796E"/>
    <w:p w:rsidR="002C41C1" w:rsidRPr="00F3237D" w:rsidRDefault="002C41C1" w:rsidP="0050796E">
      <w:pPr>
        <w:rPr>
          <w:b/>
        </w:rPr>
      </w:pPr>
      <w:r w:rsidRPr="00DF6E0B">
        <w:rPr>
          <w:b/>
        </w:rPr>
        <w:t>Tento dokument představuje první část předběžného posouzení (též „ex ante vyhodnocení“) finančních nástrojů v Operačním programu Podnikání a inovace pro konkurenceschopnost (OP</w:t>
      </w:r>
      <w:r w:rsidR="0084453C">
        <w:rPr>
          <w:b/>
        </w:rPr>
        <w:t> </w:t>
      </w:r>
      <w:r w:rsidRPr="00DF6E0B">
        <w:rPr>
          <w:b/>
        </w:rPr>
        <w:t>PIK).</w:t>
      </w:r>
      <w:r>
        <w:t xml:space="preserve"> </w:t>
      </w:r>
      <w:r w:rsidRPr="00F3237D">
        <w:rPr>
          <w:b/>
        </w:rPr>
        <w:t>Další verze ex ante vyhodnocení bude obsahovat též blok II., který zahrne investiční strategii. Na základě dalších diskusí s partnery může v další verzi rovněž dojít k úpravám zde prezentovaných závěrů.</w:t>
      </w:r>
    </w:p>
    <w:p w:rsidR="002C41C1" w:rsidRDefault="002C41C1" w:rsidP="0050796E"/>
    <w:p w:rsidR="0084453C" w:rsidRDefault="002C41C1" w:rsidP="00DF6E0B">
      <w:r w:rsidRPr="00DF6E0B">
        <w:t xml:space="preserve">Na zpracování </w:t>
      </w:r>
      <w:r>
        <w:t xml:space="preserve">ex ante hodnocení </w:t>
      </w:r>
      <w:r w:rsidRPr="00DF6E0B">
        <w:t xml:space="preserve">se podílel zejména odbor finančních nástrojů a </w:t>
      </w:r>
      <w:r>
        <w:t>řízení projektů MPO a společnost Deloitte Advisory, s.r.o</w:t>
      </w:r>
      <w:r w:rsidRPr="0050796E">
        <w:t>.</w:t>
      </w:r>
      <w:r>
        <w:t xml:space="preserve"> V rámci principu partnerství se na zpracování tohoto vyhodnocení podíleli na bázi konzultací též členové Pracovní skupiny pro finanční nástroje OP PIK, mezi které patří zejména zástupci České bankovní asociace (ČBA), Českomoravské záruční a rozvojové banky, a.s. (ČMZRB), Czech Venture Capital &amp; Private Equity Association (CVCA) a další partneři. </w:t>
      </w:r>
    </w:p>
    <w:p w:rsidR="0084453C" w:rsidRDefault="0084453C" w:rsidP="0012655B"/>
    <w:p w:rsidR="002C41C1" w:rsidRDefault="0084453C" w:rsidP="00DF6E0B">
      <w:r>
        <w:t>Konzultováni byli </w:t>
      </w:r>
      <w:r w:rsidR="002C41C1">
        <w:t xml:space="preserve">také zástupci dalších útvarů MPO: odbor implementace strukturálních fondů, odbor koordinace strukturálních fondů, odbor elektroenergetiky, </w:t>
      </w:r>
      <w:r>
        <w:t xml:space="preserve">odbor výzkumu, vývoje a inovací, </w:t>
      </w:r>
      <w:r w:rsidR="002C41C1">
        <w:t xml:space="preserve">odbor </w:t>
      </w:r>
      <w:r>
        <w:t xml:space="preserve">podpory </w:t>
      </w:r>
      <w:r w:rsidR="002C41C1">
        <w:t>malého a středního podnikání</w:t>
      </w:r>
      <w:r>
        <w:t>, odbor investic a průmyslových zón</w:t>
      </w:r>
      <w:r w:rsidR="002C41C1">
        <w:t xml:space="preserve"> a odbor poštovních služeb a služeb informační společnosti. Ex ante vyhodnocení finančních nástrojů je též průběžně diskutováno s Ministerstvem pro místní rozvoj (Národní orgán pro koordinaci) a</w:t>
      </w:r>
      <w:r>
        <w:t> </w:t>
      </w:r>
      <w:r w:rsidR="002C41C1">
        <w:t xml:space="preserve">Ministerstvem financí. </w:t>
      </w:r>
      <w:r w:rsidR="002C41C1" w:rsidRPr="00DF6E0B">
        <w:rPr>
          <w:b/>
        </w:rPr>
        <w:t xml:space="preserve">V další verzi ex ante vyhodnocení může na základě předpokládaného doplnění vstupů dojít k úpravám zde prezentovaných závěrů. </w:t>
      </w:r>
      <w:r w:rsidR="002C41C1">
        <w:t>Tento postup je zcela v souladu s Obecným nařízením, které v čl. 37 odst. 3 stanoví, že „p</w:t>
      </w:r>
      <w:r w:rsidR="002C41C1" w:rsidRPr="00D06C0D">
        <w:t xml:space="preserve">ředběžné posouzení uvedené v odstavci 2 lze provádět postupně. Musí však být v každém případě dokončeno dříve, než </w:t>
      </w:r>
      <w:r w:rsidR="007B6168">
        <w:t>řídící</w:t>
      </w:r>
      <w:r w:rsidR="002C41C1" w:rsidRPr="00D06C0D">
        <w:t xml:space="preserve"> orgán rozhodne, že finanční nástroj obdrží příspěvek z programu.</w:t>
      </w:r>
      <w:r w:rsidR="002C41C1">
        <w:t>“</w:t>
      </w:r>
    </w:p>
    <w:p w:rsidR="002C41C1" w:rsidRDefault="002C41C1" w:rsidP="0012655B"/>
    <w:p w:rsidR="002C41C1" w:rsidRDefault="002C41C1" w:rsidP="00DF6E0B">
      <w:r>
        <w:t xml:space="preserve">Dále v návaznosti na čl. 37 odst. 2 písm. g) Obecného nařízení uvádíme, že Řídící orgán </w:t>
      </w:r>
      <w:r w:rsidRPr="00B24532">
        <w:t xml:space="preserve">podle potřeby </w:t>
      </w:r>
      <w:r>
        <w:t xml:space="preserve">přezkoumá a aktualizuje toto </w:t>
      </w:r>
      <w:r w:rsidRPr="00B24532">
        <w:t xml:space="preserve">předběžné posouzení během provádění jakéhokoli finančního nástroje, který byl použit na základě tohoto posouzení, pokud </w:t>
      </w:r>
      <w:r w:rsidR="007B6168">
        <w:t>řídící</w:t>
      </w:r>
      <w:r w:rsidRPr="00B24532">
        <w:t xml:space="preserve"> orgán v prováděcí fázi usoudí, že předběžné posouzení již přesně nevystihuje aktuální podmínky na trhu v době provádění.</w:t>
      </w:r>
    </w:p>
    <w:p w:rsidR="002C41C1" w:rsidRPr="002C41C1" w:rsidRDefault="002C41C1" w:rsidP="00DF6E0B">
      <w:pPr>
        <w:pStyle w:val="Nadpis1"/>
      </w:pPr>
      <w:bookmarkStart w:id="3" w:name="_Toc413854325"/>
      <w:r w:rsidRPr="002C41C1">
        <w:t>Výchozí podmínky analýzy</w:t>
      </w:r>
      <w:bookmarkEnd w:id="3"/>
    </w:p>
    <w:p w:rsidR="002C41C1" w:rsidRDefault="002C41C1" w:rsidP="009F5E79">
      <w:pPr>
        <w:spacing w:after="240"/>
        <w:rPr>
          <w:rFonts w:cs="Calibri"/>
          <w:color w:val="222222"/>
          <w:szCs w:val="22"/>
        </w:rPr>
      </w:pPr>
    </w:p>
    <w:p w:rsidR="002C41C1" w:rsidRDefault="002C41C1" w:rsidP="00DF6E0B">
      <w:r>
        <w:lastRenderedPageBreak/>
        <w:t>Finanční nařízení</w:t>
      </w:r>
      <w:r>
        <w:rPr>
          <w:rStyle w:val="Znakapoznpodarou"/>
          <w:rFonts w:ascii="Calibri" w:hAnsi="Calibri" w:cs="Calibri"/>
          <w:color w:val="222222"/>
          <w:szCs w:val="22"/>
        </w:rPr>
        <w:footnoteReference w:id="1"/>
      </w:r>
      <w:r>
        <w:t xml:space="preserve"> definuje finanční nástroj v čl. 2 odst. p) jako </w:t>
      </w:r>
      <w:r w:rsidRPr="00B42113">
        <w:t>opatření finanční podpory Unie poskytovaná z rozpočtu na doplňkovém základě a zaměřená na plnění jednoho nebo více konkrétních politických cílů Unie. Tyto nástroje mohou mít formu kapitálových či kvazikapitálových investic, půjček nebo záruk anebo jiných nástrojů ke sdílení rizik a tam, kde je to vho</w:t>
      </w:r>
      <w:r>
        <w:t>dné, mohou být spojeny s granty.</w:t>
      </w:r>
    </w:p>
    <w:p w:rsidR="000924E1" w:rsidRDefault="000924E1" w:rsidP="00DF6E0B"/>
    <w:p w:rsidR="00070476" w:rsidRDefault="002C41C1" w:rsidP="00DF6E0B">
      <w:r>
        <w:t xml:space="preserve">Evropská komise (EK) </w:t>
      </w:r>
      <w:r w:rsidRPr="00FF2B84">
        <w:t>přisuzuje finančním nástrojům</w:t>
      </w:r>
      <w:r w:rsidRPr="00FF2B84">
        <w:rPr>
          <w:rStyle w:val="hps"/>
          <w:rFonts w:cs="Calibri"/>
          <w:color w:val="222222"/>
          <w:szCs w:val="22"/>
        </w:rPr>
        <w:t>(FN)</w:t>
      </w:r>
      <w:r>
        <w:rPr>
          <w:rStyle w:val="hps"/>
          <w:rFonts w:cs="Calibri"/>
          <w:color w:val="222222"/>
          <w:szCs w:val="22"/>
        </w:rPr>
        <w:t xml:space="preserve"> </w:t>
      </w:r>
      <w:r w:rsidRPr="00FF2B84">
        <w:t xml:space="preserve">významnou úlohu, kterou </w:t>
      </w:r>
      <w:r w:rsidRPr="00FF2B84">
        <w:rPr>
          <w:rStyle w:val="hps"/>
          <w:rFonts w:cs="Calibri"/>
          <w:color w:val="222222"/>
          <w:szCs w:val="22"/>
        </w:rPr>
        <w:t>mohou</w:t>
      </w:r>
      <w:r w:rsidR="000924E1">
        <w:rPr>
          <w:rStyle w:val="hps"/>
          <w:rFonts w:cs="Calibri"/>
          <w:color w:val="222222"/>
          <w:szCs w:val="22"/>
        </w:rPr>
        <w:t xml:space="preserve"> </w:t>
      </w:r>
      <w:r w:rsidRPr="00FF2B84">
        <w:rPr>
          <w:rStyle w:val="hps"/>
          <w:rFonts w:cs="Calibri"/>
          <w:color w:val="222222"/>
          <w:szCs w:val="22"/>
        </w:rPr>
        <w:t>sehrát</w:t>
      </w:r>
      <w:r w:rsidR="000924E1">
        <w:rPr>
          <w:rStyle w:val="hps"/>
          <w:rFonts w:cs="Calibri"/>
          <w:color w:val="222222"/>
          <w:szCs w:val="22"/>
        </w:rPr>
        <w:t xml:space="preserve"> </w:t>
      </w:r>
      <w:r w:rsidRPr="00FF2B84">
        <w:rPr>
          <w:rStyle w:val="hps"/>
          <w:rFonts w:cs="Calibri"/>
          <w:color w:val="222222"/>
          <w:szCs w:val="22"/>
        </w:rPr>
        <w:t>při provádění Společného strategického rámce(SSR</w:t>
      </w:r>
      <w:r w:rsidRPr="00FF2B84">
        <w:t xml:space="preserve">) </w:t>
      </w:r>
      <w:r w:rsidRPr="00FF2B84">
        <w:rPr>
          <w:rStyle w:val="hps"/>
          <w:rFonts w:cs="Calibri"/>
          <w:color w:val="222222"/>
          <w:szCs w:val="22"/>
        </w:rPr>
        <w:t>politiky</w:t>
      </w:r>
      <w:r w:rsidR="000924E1">
        <w:rPr>
          <w:rStyle w:val="hps"/>
          <w:rFonts w:cs="Calibri"/>
          <w:color w:val="222222"/>
          <w:szCs w:val="22"/>
        </w:rPr>
        <w:t xml:space="preserve"> </w:t>
      </w:r>
      <w:r w:rsidRPr="00FF2B84">
        <w:t>hosp</w:t>
      </w:r>
      <w:r>
        <w:t>odářské a sociální soudržnosti a</w:t>
      </w:r>
      <w:r w:rsidR="000924E1">
        <w:t xml:space="preserve"> </w:t>
      </w:r>
      <w:r>
        <w:rPr>
          <w:rStyle w:val="hps"/>
          <w:rFonts w:cs="Calibri"/>
          <w:color w:val="222222"/>
          <w:szCs w:val="22"/>
        </w:rPr>
        <w:t>přispět tak</w:t>
      </w:r>
      <w:r w:rsidRPr="00FF2B84">
        <w:rPr>
          <w:rStyle w:val="hps"/>
          <w:rFonts w:cs="Calibri"/>
          <w:color w:val="222222"/>
          <w:szCs w:val="22"/>
        </w:rPr>
        <w:t xml:space="preserve"> k</w:t>
      </w:r>
      <w:r w:rsidR="000924E1">
        <w:rPr>
          <w:rStyle w:val="hps"/>
          <w:rFonts w:cs="Calibri"/>
          <w:color w:val="222222"/>
          <w:szCs w:val="22"/>
        </w:rPr>
        <w:t xml:space="preserve"> </w:t>
      </w:r>
      <w:r w:rsidRPr="00FF2B84">
        <w:rPr>
          <w:rStyle w:val="hps"/>
          <w:rFonts w:cs="Calibri"/>
          <w:color w:val="222222"/>
          <w:szCs w:val="22"/>
        </w:rPr>
        <w:t>dos</w:t>
      </w:r>
      <w:r w:rsidRPr="00DF6E0B">
        <w:t>ažení cílů</w:t>
      </w:r>
      <w:r w:rsidR="000924E1" w:rsidRPr="00DF6E0B">
        <w:t xml:space="preserve"> </w:t>
      </w:r>
      <w:r w:rsidRPr="00070476">
        <w:t>Strategie Evropa 2020. EK</w:t>
      </w:r>
      <w:r w:rsidR="000924E1" w:rsidRPr="00DF6E0B">
        <w:t xml:space="preserve"> </w:t>
      </w:r>
      <w:r w:rsidRPr="00DF6E0B">
        <w:t>má proto v</w:t>
      </w:r>
      <w:r w:rsidR="000924E1" w:rsidRPr="00DF6E0B">
        <w:t> </w:t>
      </w:r>
      <w:r w:rsidRPr="00DF6E0B">
        <w:t>úmyslu</w:t>
      </w:r>
      <w:r w:rsidR="000924E1" w:rsidRPr="00DF6E0B">
        <w:t xml:space="preserve"> </w:t>
      </w:r>
      <w:r w:rsidRPr="00DF6E0B">
        <w:t>podporovat rozvoj</w:t>
      </w:r>
      <w:r w:rsidR="000924E1" w:rsidRPr="00DF6E0B">
        <w:t xml:space="preserve"> </w:t>
      </w:r>
      <w:r w:rsidRPr="00DF6E0B">
        <w:t>a</w:t>
      </w:r>
      <w:r w:rsidR="000924E1" w:rsidRPr="00DF6E0B">
        <w:t xml:space="preserve"> </w:t>
      </w:r>
      <w:r w:rsidRPr="00DF6E0B">
        <w:t>rozšíření oblasti působnosti</w:t>
      </w:r>
      <w:r w:rsidR="000924E1" w:rsidRPr="00DF6E0B">
        <w:t xml:space="preserve"> </w:t>
      </w:r>
      <w:r w:rsidRPr="00DF6E0B">
        <w:t>využití FN v</w:t>
      </w:r>
      <w:r w:rsidR="000924E1" w:rsidRPr="00DF6E0B">
        <w:t> </w:t>
      </w:r>
      <w:r w:rsidRPr="00DF6E0B">
        <w:t>programovém</w:t>
      </w:r>
      <w:r w:rsidR="000924E1" w:rsidRPr="00DF6E0B">
        <w:t xml:space="preserve"> </w:t>
      </w:r>
      <w:r w:rsidRPr="00DF6E0B">
        <w:t>období 2014-2020</w:t>
      </w:r>
      <w:r w:rsidR="000924E1" w:rsidRPr="00DF6E0B">
        <w:t xml:space="preserve"> </w:t>
      </w:r>
      <w:r w:rsidRPr="00070476">
        <w:t>a vnímá využití</w:t>
      </w:r>
      <w:r w:rsidR="000924E1" w:rsidRPr="00DF6E0B">
        <w:t xml:space="preserve"> </w:t>
      </w:r>
      <w:r w:rsidRPr="00DF6E0B">
        <w:t>FN jako</w:t>
      </w:r>
      <w:r w:rsidR="000924E1" w:rsidRPr="00DF6E0B">
        <w:t xml:space="preserve"> </w:t>
      </w:r>
      <w:r w:rsidRPr="00DF6E0B">
        <w:t>hodnotný doplněk</w:t>
      </w:r>
      <w:r w:rsidR="000924E1" w:rsidRPr="00DF6E0B">
        <w:t xml:space="preserve"> </w:t>
      </w:r>
      <w:r w:rsidRPr="00DF6E0B">
        <w:t>k</w:t>
      </w:r>
      <w:r w:rsidR="000924E1" w:rsidRPr="00DF6E0B">
        <w:t> </w:t>
      </w:r>
      <w:r w:rsidRPr="00DF6E0B">
        <w:t>tradiční</w:t>
      </w:r>
      <w:r w:rsidR="000924E1" w:rsidRPr="00DF6E0B">
        <w:t>m</w:t>
      </w:r>
      <w:r w:rsidRPr="00DF6E0B">
        <w:t>u</w:t>
      </w:r>
      <w:r w:rsidR="000924E1" w:rsidRPr="00DF6E0B">
        <w:t xml:space="preserve"> </w:t>
      </w:r>
      <w:r w:rsidRPr="00DF6E0B">
        <w:t>grantovému financování. Regulační</w:t>
      </w:r>
      <w:r w:rsidR="000924E1" w:rsidRPr="00DF6E0B">
        <w:t xml:space="preserve"> </w:t>
      </w:r>
      <w:r w:rsidRPr="00DF6E0B">
        <w:t>rámec pro období 2014-2020 umožňuje</w:t>
      </w:r>
      <w:r w:rsidR="000924E1" w:rsidRPr="00DF6E0B">
        <w:t xml:space="preserve"> </w:t>
      </w:r>
      <w:r w:rsidRPr="00DF6E0B">
        <w:t>kombinaci</w:t>
      </w:r>
      <w:r w:rsidR="000924E1" w:rsidRPr="00DF6E0B">
        <w:t xml:space="preserve"> </w:t>
      </w:r>
      <w:r w:rsidRPr="00DF6E0B">
        <w:t>FN s</w:t>
      </w:r>
      <w:r w:rsidR="000924E1" w:rsidRPr="00DF6E0B">
        <w:t> </w:t>
      </w:r>
      <w:r w:rsidRPr="00DF6E0B">
        <w:t>granty</w:t>
      </w:r>
      <w:r w:rsidR="000924E1" w:rsidRPr="00DF6E0B">
        <w:t xml:space="preserve"> </w:t>
      </w:r>
      <w:r w:rsidRPr="00DF6E0B">
        <w:t>a jinými formami</w:t>
      </w:r>
      <w:r w:rsidR="000924E1" w:rsidRPr="00DF6E0B">
        <w:t xml:space="preserve"> </w:t>
      </w:r>
      <w:r w:rsidRPr="00DF6E0B">
        <w:t>podpory v</w:t>
      </w:r>
      <w:r w:rsidR="000924E1" w:rsidRPr="00DF6E0B">
        <w:t xml:space="preserve"> </w:t>
      </w:r>
      <w:r w:rsidRPr="00DF6E0B">
        <w:t>operačních programech</w:t>
      </w:r>
      <w:r w:rsidR="000924E1" w:rsidRPr="00DF6E0B">
        <w:t xml:space="preserve"> </w:t>
      </w:r>
      <w:r w:rsidRPr="00DF6E0B">
        <w:t>(OP)</w:t>
      </w:r>
      <w:r w:rsidR="000924E1" w:rsidRPr="00DF6E0B">
        <w:t xml:space="preserve"> </w:t>
      </w:r>
      <w:r w:rsidRPr="00070476">
        <w:t>ušitých na míru tak, aby splňovaly specifické potřeby členských států</w:t>
      </w:r>
      <w:r w:rsidR="000924E1" w:rsidRPr="00DF6E0B">
        <w:t xml:space="preserve"> </w:t>
      </w:r>
      <w:r w:rsidRPr="00DF6E0B">
        <w:t>a</w:t>
      </w:r>
      <w:r w:rsidR="000924E1" w:rsidRPr="00DF6E0B">
        <w:t xml:space="preserve"> </w:t>
      </w:r>
      <w:r w:rsidRPr="00DF6E0B">
        <w:t>řídících orgánů</w:t>
      </w:r>
      <w:r w:rsidR="000924E1" w:rsidRPr="00DF6E0B">
        <w:t xml:space="preserve"> </w:t>
      </w:r>
      <w:r w:rsidRPr="00DF6E0B">
        <w:t>(ŘO), neb</w:t>
      </w:r>
      <w:r w:rsidRPr="00FF2B84">
        <w:t>o je možné využít standardní podmínky pro FN</w:t>
      </w:r>
      <w:r w:rsidRPr="00FF2B84">
        <w:rPr>
          <w:rStyle w:val="Znakapoznpodarou"/>
          <w:rFonts w:ascii="Calibri" w:hAnsi="Calibri" w:cs="Calibri"/>
          <w:color w:val="222222"/>
          <w:szCs w:val="22"/>
        </w:rPr>
        <w:footnoteReference w:id="2"/>
      </w:r>
      <w:r w:rsidRPr="00FF2B84">
        <w:t>.</w:t>
      </w:r>
    </w:p>
    <w:p w:rsidR="002C41C1" w:rsidRDefault="002C41C1" w:rsidP="00DF6E0B"/>
    <w:p w:rsidR="002C41C1" w:rsidRDefault="002C41C1" w:rsidP="00DF6E0B">
      <w:pPr>
        <w:rPr>
          <w:b/>
        </w:rPr>
      </w:pPr>
      <w:r>
        <w:t>F</w:t>
      </w:r>
      <w:r w:rsidRPr="0042157F">
        <w:t xml:space="preserve">inanční nástroje </w:t>
      </w:r>
      <w:r>
        <w:t xml:space="preserve">fungují v rámci </w:t>
      </w:r>
      <w:r w:rsidRPr="0042157F">
        <w:t>strukturálních fondů</w:t>
      </w:r>
      <w:r>
        <w:t xml:space="preserve"> EU již od programového</w:t>
      </w:r>
      <w:r w:rsidRPr="0042157F">
        <w:t xml:space="preserve"> období 1994-1999. Jejich relativní význam se </w:t>
      </w:r>
      <w:r>
        <w:t xml:space="preserve">zejména </w:t>
      </w:r>
      <w:r w:rsidRPr="0042157F">
        <w:t>v průběhu progr</w:t>
      </w:r>
      <w:r>
        <w:t>amového období 2007-2013 významně zvýšil</w:t>
      </w:r>
      <w:r w:rsidRPr="0042157F">
        <w:t xml:space="preserve"> a nyní představují asi 5</w:t>
      </w:r>
      <w:r>
        <w:t xml:space="preserve"> % z</w:t>
      </w:r>
      <w:r w:rsidR="002B0641">
        <w:t> </w:t>
      </w:r>
      <w:r>
        <w:t>celkových</w:t>
      </w:r>
      <w:r w:rsidR="002B0641">
        <w:t xml:space="preserve"> </w:t>
      </w:r>
      <w:r>
        <w:t>zdrojů Evropského</w:t>
      </w:r>
      <w:r w:rsidRPr="0042157F">
        <w:t xml:space="preserve"> fond</w:t>
      </w:r>
      <w:r>
        <w:t>u</w:t>
      </w:r>
      <w:r w:rsidRPr="0042157F">
        <w:t xml:space="preserve"> pro regionální rozvoj (ERDF</w:t>
      </w:r>
      <w:r>
        <w:t>, EFRR</w:t>
      </w:r>
      <w:r w:rsidRPr="0042157F">
        <w:t>)</w:t>
      </w:r>
      <w:r>
        <w:t xml:space="preserve">. </w:t>
      </w:r>
      <w:r w:rsidRPr="00DF6E0B">
        <w:rPr>
          <w:b/>
        </w:rPr>
        <w:t>S ohledem na současnou hospodářskou situaci a zvyšující se nedostatek veřejných zdrojů Komise očekává, že FN budou hrát ještě významnější úlohu v kohezní politice v </w:t>
      </w:r>
      <w:r w:rsidR="00DB5BBE">
        <w:rPr>
          <w:b/>
        </w:rPr>
        <w:t>novém</w:t>
      </w:r>
      <w:r w:rsidRPr="00DF6E0B">
        <w:rPr>
          <w:b/>
        </w:rPr>
        <w:t xml:space="preserve"> programovém období 2014-2020.</w:t>
      </w:r>
    </w:p>
    <w:p w:rsidR="00070476" w:rsidRDefault="00070476" w:rsidP="00DF6E0B"/>
    <w:p w:rsidR="002C41C1" w:rsidRDefault="002C41C1" w:rsidP="009F5E79">
      <w:pPr>
        <w:spacing w:after="240"/>
        <w:rPr>
          <w:rFonts w:cs="Calibri"/>
          <w:b/>
          <w:color w:val="222222"/>
          <w:szCs w:val="22"/>
        </w:rPr>
      </w:pPr>
      <w:r w:rsidRPr="00E00F58">
        <w:rPr>
          <w:rFonts w:cs="Calibri"/>
          <w:color w:val="222222"/>
          <w:szCs w:val="22"/>
        </w:rPr>
        <w:t xml:space="preserve">Fondy ESI lze využívat k podpoře finančních nástrojů v rámci jednoho nebo více </w:t>
      </w:r>
      <w:r>
        <w:rPr>
          <w:rFonts w:cs="Calibri"/>
          <w:color w:val="222222"/>
          <w:szCs w:val="22"/>
        </w:rPr>
        <w:t>OP</w:t>
      </w:r>
      <w:r w:rsidRPr="00E00F58">
        <w:rPr>
          <w:rFonts w:cs="Calibri"/>
          <w:color w:val="222222"/>
          <w:szCs w:val="22"/>
        </w:rPr>
        <w:t>, a to včetně případů, kdy k tomu dochází prostřednictvím fondů fondů</w:t>
      </w:r>
      <w:r>
        <w:rPr>
          <w:rFonts w:cs="Calibri"/>
          <w:color w:val="222222"/>
          <w:szCs w:val="22"/>
        </w:rPr>
        <w:t xml:space="preserve"> (FF)</w:t>
      </w:r>
      <w:r w:rsidRPr="00E00F58">
        <w:rPr>
          <w:rFonts w:cs="Calibri"/>
          <w:color w:val="222222"/>
          <w:szCs w:val="22"/>
        </w:rPr>
        <w:t>, s cílem přispět k dosahování specifických cílů stanovených v rámci priority.</w:t>
      </w:r>
      <w:r w:rsidR="002B0641">
        <w:rPr>
          <w:rFonts w:cs="Calibri"/>
          <w:color w:val="222222"/>
          <w:szCs w:val="22"/>
        </w:rPr>
        <w:t xml:space="preserve"> </w:t>
      </w:r>
      <w:r w:rsidRPr="00E00F58">
        <w:rPr>
          <w:rFonts w:cs="Calibri"/>
          <w:color w:val="222222"/>
          <w:szCs w:val="22"/>
        </w:rPr>
        <w:t>Finanční nástroje se používají na podporu investic, které budou podle očekávání finančně životaschopné a které nemohou získat dostatečné financování z tržních zdrojů.</w:t>
      </w:r>
    </w:p>
    <w:p w:rsidR="002C41C1" w:rsidRPr="0042157F" w:rsidRDefault="002C41C1" w:rsidP="009F5E79">
      <w:pPr>
        <w:spacing w:after="240"/>
        <w:rPr>
          <w:rFonts w:cs="Calibri"/>
          <w:color w:val="222222"/>
          <w:szCs w:val="22"/>
        </w:rPr>
      </w:pPr>
      <w:r>
        <w:rPr>
          <w:rFonts w:cs="Calibri"/>
          <w:color w:val="222222"/>
          <w:szCs w:val="22"/>
        </w:rPr>
        <w:t>Hlava IV Obecného</w:t>
      </w:r>
      <w:r w:rsidR="00A505F9">
        <w:rPr>
          <w:rFonts w:cs="Calibri"/>
          <w:color w:val="222222"/>
          <w:szCs w:val="22"/>
        </w:rPr>
        <w:t xml:space="preserve"> </w:t>
      </w:r>
      <w:r w:rsidRPr="00FF2B84">
        <w:rPr>
          <w:rStyle w:val="hps"/>
          <w:rFonts w:cs="Calibri"/>
          <w:color w:val="222222"/>
          <w:szCs w:val="22"/>
        </w:rPr>
        <w:t>nařízení</w:t>
      </w:r>
      <w:r w:rsidRPr="00FF2B84">
        <w:rPr>
          <w:rStyle w:val="Znakapoznpodarou"/>
          <w:rFonts w:ascii="Calibri" w:hAnsi="Calibri" w:cs="Calibri"/>
          <w:color w:val="222222"/>
          <w:szCs w:val="22"/>
        </w:rPr>
        <w:footnoteReference w:id="3"/>
      </w:r>
      <w:r w:rsidR="00A505F9">
        <w:rPr>
          <w:rStyle w:val="hps"/>
          <w:rFonts w:cs="Calibri"/>
          <w:color w:val="222222"/>
          <w:szCs w:val="22"/>
        </w:rPr>
        <w:t xml:space="preserve"> </w:t>
      </w:r>
      <w:r w:rsidRPr="00FF2B84">
        <w:rPr>
          <w:rStyle w:val="hps"/>
          <w:rFonts w:cs="Calibri"/>
          <w:color w:val="222222"/>
          <w:szCs w:val="22"/>
        </w:rPr>
        <w:t>(články37 až 46</w:t>
      </w:r>
      <w:r w:rsidRPr="00FF2B84">
        <w:rPr>
          <w:rFonts w:cs="Calibri"/>
          <w:color w:val="222222"/>
          <w:szCs w:val="22"/>
        </w:rPr>
        <w:t xml:space="preserve">) </w:t>
      </w:r>
      <w:r w:rsidRPr="00FF2B84">
        <w:rPr>
          <w:rStyle w:val="hps"/>
          <w:rFonts w:cs="Calibri"/>
          <w:color w:val="222222"/>
          <w:szCs w:val="22"/>
        </w:rPr>
        <w:t xml:space="preserve">obsahuje </w:t>
      </w:r>
      <w:r>
        <w:rPr>
          <w:rStyle w:val="hps"/>
          <w:rFonts w:cs="Calibri"/>
          <w:color w:val="222222"/>
          <w:szCs w:val="22"/>
        </w:rPr>
        <w:t xml:space="preserve">specifická </w:t>
      </w:r>
      <w:r w:rsidRPr="00FF2B84">
        <w:rPr>
          <w:rStyle w:val="hps"/>
          <w:rFonts w:cs="Calibri"/>
          <w:color w:val="222222"/>
          <w:szCs w:val="22"/>
        </w:rPr>
        <w:t>ustanovení o</w:t>
      </w:r>
      <w:r w:rsidR="00A505F9">
        <w:rPr>
          <w:rStyle w:val="hps"/>
          <w:rFonts w:cs="Calibri"/>
          <w:color w:val="222222"/>
          <w:szCs w:val="22"/>
        </w:rPr>
        <w:t xml:space="preserve"> </w:t>
      </w:r>
      <w:r w:rsidRPr="00FF2B84">
        <w:rPr>
          <w:rStyle w:val="hps"/>
          <w:rFonts w:cs="Calibri"/>
          <w:color w:val="222222"/>
          <w:szCs w:val="22"/>
        </w:rPr>
        <w:t xml:space="preserve">finančních </w:t>
      </w:r>
      <w:r>
        <w:rPr>
          <w:rStyle w:val="hps"/>
          <w:rFonts w:cs="Calibri"/>
          <w:color w:val="222222"/>
          <w:szCs w:val="22"/>
        </w:rPr>
        <w:t>nástrojích</w:t>
      </w:r>
      <w:r w:rsidR="00A505F9">
        <w:rPr>
          <w:rStyle w:val="hps"/>
          <w:rFonts w:cs="Calibri"/>
          <w:color w:val="222222"/>
          <w:szCs w:val="22"/>
        </w:rPr>
        <w:t xml:space="preserve"> </w:t>
      </w:r>
      <w:r w:rsidRPr="00FF2B84">
        <w:rPr>
          <w:rStyle w:val="hps"/>
          <w:rFonts w:cs="Calibri"/>
          <w:color w:val="222222"/>
          <w:szCs w:val="22"/>
        </w:rPr>
        <w:t>podporovaných</w:t>
      </w:r>
      <w:r w:rsidR="00A505F9">
        <w:rPr>
          <w:rStyle w:val="hps"/>
          <w:rFonts w:cs="Calibri"/>
          <w:color w:val="222222"/>
          <w:szCs w:val="22"/>
        </w:rPr>
        <w:t xml:space="preserve"> </w:t>
      </w:r>
      <w:r w:rsidRPr="00FF2B84">
        <w:rPr>
          <w:rStyle w:val="hps"/>
          <w:rFonts w:cs="Calibri"/>
          <w:color w:val="222222"/>
          <w:szCs w:val="22"/>
        </w:rPr>
        <w:t xml:space="preserve">z </w:t>
      </w:r>
      <w:r>
        <w:rPr>
          <w:rStyle w:val="hps"/>
          <w:rFonts w:cs="Calibri"/>
          <w:color w:val="222222"/>
          <w:szCs w:val="22"/>
        </w:rPr>
        <w:t>E</w:t>
      </w:r>
      <w:r w:rsidRPr="00FF2B84">
        <w:rPr>
          <w:rStyle w:val="hps"/>
          <w:rFonts w:cs="Calibri"/>
          <w:color w:val="222222"/>
          <w:szCs w:val="22"/>
        </w:rPr>
        <w:t>vropských strukturálních</w:t>
      </w:r>
      <w:r w:rsidR="00A505F9">
        <w:rPr>
          <w:rStyle w:val="hps"/>
          <w:rFonts w:cs="Calibri"/>
          <w:color w:val="222222"/>
          <w:szCs w:val="22"/>
        </w:rPr>
        <w:t xml:space="preserve"> </w:t>
      </w:r>
      <w:r w:rsidRPr="00FF2B84">
        <w:rPr>
          <w:rStyle w:val="hps"/>
          <w:rFonts w:cs="Calibri"/>
          <w:color w:val="222222"/>
          <w:szCs w:val="22"/>
        </w:rPr>
        <w:t>a</w:t>
      </w:r>
      <w:r w:rsidR="00A505F9">
        <w:rPr>
          <w:rStyle w:val="hps"/>
          <w:rFonts w:cs="Calibri"/>
          <w:color w:val="222222"/>
          <w:szCs w:val="22"/>
        </w:rPr>
        <w:t xml:space="preserve"> </w:t>
      </w:r>
      <w:r>
        <w:rPr>
          <w:rStyle w:val="hps"/>
          <w:rFonts w:cs="Calibri"/>
          <w:color w:val="222222"/>
          <w:szCs w:val="22"/>
        </w:rPr>
        <w:t>investičních fondů</w:t>
      </w:r>
      <w:r w:rsidR="00A505F9">
        <w:rPr>
          <w:rStyle w:val="hps"/>
          <w:rFonts w:cs="Calibri"/>
          <w:color w:val="222222"/>
          <w:szCs w:val="22"/>
        </w:rPr>
        <w:t xml:space="preserve"> </w:t>
      </w:r>
      <w:r w:rsidRPr="00FF2B84">
        <w:rPr>
          <w:rStyle w:val="hps"/>
          <w:rFonts w:cs="Calibri"/>
          <w:color w:val="222222"/>
          <w:szCs w:val="22"/>
        </w:rPr>
        <w:t>(ESI</w:t>
      </w:r>
      <w:r>
        <w:rPr>
          <w:rStyle w:val="hps"/>
          <w:rFonts w:cs="Calibri"/>
          <w:color w:val="222222"/>
          <w:szCs w:val="22"/>
        </w:rPr>
        <w:t>F, fondy ESI</w:t>
      </w:r>
      <w:r w:rsidRPr="00FF2B84">
        <w:rPr>
          <w:rStyle w:val="hps"/>
          <w:rFonts w:cs="Calibri"/>
          <w:color w:val="222222"/>
          <w:szCs w:val="22"/>
        </w:rPr>
        <w:t>)</w:t>
      </w:r>
      <w:r w:rsidRPr="00FF2B84">
        <w:rPr>
          <w:rFonts w:cs="Calibri"/>
          <w:color w:val="222222"/>
          <w:szCs w:val="22"/>
        </w:rPr>
        <w:t xml:space="preserve">. </w:t>
      </w:r>
      <w:r w:rsidRPr="00FF2B84">
        <w:rPr>
          <w:rStyle w:val="hps"/>
          <w:rFonts w:cs="Calibri"/>
          <w:color w:val="222222"/>
          <w:szCs w:val="22"/>
        </w:rPr>
        <w:t>Členské státy</w:t>
      </w:r>
      <w:r w:rsidR="00A505F9">
        <w:rPr>
          <w:rStyle w:val="hps"/>
          <w:rFonts w:cs="Calibri"/>
          <w:color w:val="222222"/>
          <w:szCs w:val="22"/>
        </w:rPr>
        <w:t xml:space="preserve"> </w:t>
      </w:r>
      <w:r w:rsidRPr="00FF2B84">
        <w:rPr>
          <w:rStyle w:val="hps"/>
          <w:rFonts w:cs="Calibri"/>
          <w:color w:val="222222"/>
          <w:szCs w:val="22"/>
        </w:rPr>
        <w:t>a</w:t>
      </w:r>
      <w:r w:rsidR="00A505F9">
        <w:rPr>
          <w:rStyle w:val="hps"/>
          <w:rFonts w:cs="Calibri"/>
          <w:color w:val="222222"/>
          <w:szCs w:val="22"/>
        </w:rPr>
        <w:t xml:space="preserve"> </w:t>
      </w:r>
      <w:r w:rsidRPr="00FF2B84">
        <w:rPr>
          <w:rStyle w:val="hps"/>
          <w:rFonts w:cs="Calibri"/>
          <w:color w:val="222222"/>
          <w:szCs w:val="22"/>
        </w:rPr>
        <w:t>řídící orgány</w:t>
      </w:r>
      <w:r w:rsidR="00A505F9">
        <w:rPr>
          <w:rStyle w:val="hps"/>
          <w:rFonts w:cs="Calibri"/>
          <w:color w:val="222222"/>
          <w:szCs w:val="22"/>
        </w:rPr>
        <w:t xml:space="preserve"> </w:t>
      </w:r>
      <w:r w:rsidRPr="00FF2B84">
        <w:rPr>
          <w:rStyle w:val="hps"/>
          <w:rFonts w:cs="Calibri"/>
          <w:color w:val="222222"/>
          <w:szCs w:val="22"/>
        </w:rPr>
        <w:t>mohou používat</w:t>
      </w:r>
      <w:r w:rsidR="00A505F9">
        <w:rPr>
          <w:rStyle w:val="hps"/>
          <w:rFonts w:cs="Calibri"/>
          <w:color w:val="222222"/>
          <w:szCs w:val="22"/>
        </w:rPr>
        <w:t xml:space="preserve"> </w:t>
      </w:r>
      <w:r>
        <w:rPr>
          <w:rStyle w:val="hps"/>
          <w:rFonts w:cs="Calibri"/>
          <w:color w:val="222222"/>
          <w:szCs w:val="22"/>
        </w:rPr>
        <w:t xml:space="preserve">FN </w:t>
      </w:r>
      <w:r w:rsidRPr="00FF2B84">
        <w:rPr>
          <w:rStyle w:val="hps"/>
          <w:rFonts w:cs="Calibri"/>
          <w:color w:val="222222"/>
          <w:szCs w:val="22"/>
        </w:rPr>
        <w:t>ve</w:t>
      </w:r>
      <w:r w:rsidR="00A505F9">
        <w:rPr>
          <w:rStyle w:val="hps"/>
          <w:rFonts w:cs="Calibri"/>
          <w:color w:val="222222"/>
          <w:szCs w:val="22"/>
        </w:rPr>
        <w:t xml:space="preserve"> </w:t>
      </w:r>
      <w:r w:rsidRPr="00FF2B84">
        <w:rPr>
          <w:rStyle w:val="hps"/>
          <w:rFonts w:cs="Calibri"/>
          <w:color w:val="222222"/>
          <w:szCs w:val="22"/>
        </w:rPr>
        <w:t>vztahu ke všem</w:t>
      </w:r>
      <w:r w:rsidR="00A505F9">
        <w:rPr>
          <w:rStyle w:val="hps"/>
          <w:rFonts w:cs="Calibri"/>
          <w:color w:val="222222"/>
          <w:szCs w:val="22"/>
        </w:rPr>
        <w:t xml:space="preserve"> </w:t>
      </w:r>
      <w:r w:rsidRPr="00FF2B84">
        <w:rPr>
          <w:rStyle w:val="hps"/>
          <w:rFonts w:cs="Calibri"/>
          <w:color w:val="222222"/>
          <w:szCs w:val="22"/>
        </w:rPr>
        <w:t>tematickým cílům</w:t>
      </w:r>
      <w:r w:rsidR="00A505F9">
        <w:rPr>
          <w:rStyle w:val="hps"/>
          <w:rFonts w:cs="Calibri"/>
          <w:color w:val="222222"/>
          <w:szCs w:val="22"/>
        </w:rPr>
        <w:t xml:space="preserve"> </w:t>
      </w:r>
      <w:r w:rsidRPr="00FF2B84">
        <w:rPr>
          <w:rStyle w:val="hps"/>
          <w:rFonts w:cs="Calibri"/>
          <w:color w:val="222222"/>
          <w:szCs w:val="22"/>
        </w:rPr>
        <w:t>(T</w:t>
      </w:r>
      <w:r>
        <w:rPr>
          <w:rStyle w:val="hps"/>
          <w:rFonts w:cs="Calibri"/>
          <w:color w:val="222222"/>
          <w:szCs w:val="22"/>
        </w:rPr>
        <w:t>C</w:t>
      </w:r>
      <w:r w:rsidRPr="00FF2B84">
        <w:rPr>
          <w:rStyle w:val="hps"/>
          <w:rFonts w:cs="Calibri"/>
          <w:color w:val="222222"/>
          <w:szCs w:val="22"/>
        </w:rPr>
        <w:t>)</w:t>
      </w:r>
      <w:r w:rsidR="00A505F9">
        <w:rPr>
          <w:rStyle w:val="hps"/>
          <w:rFonts w:cs="Calibri"/>
          <w:color w:val="222222"/>
          <w:szCs w:val="22"/>
        </w:rPr>
        <w:t xml:space="preserve"> </w:t>
      </w:r>
      <w:r w:rsidRPr="00FF2B84">
        <w:rPr>
          <w:rStyle w:val="hps"/>
          <w:rFonts w:cs="Calibri"/>
          <w:color w:val="222222"/>
          <w:szCs w:val="22"/>
        </w:rPr>
        <w:t>na něž se vztahuje</w:t>
      </w:r>
      <w:r w:rsidR="00A505F9">
        <w:rPr>
          <w:rStyle w:val="hps"/>
          <w:rFonts w:cs="Calibri"/>
          <w:color w:val="222222"/>
          <w:szCs w:val="22"/>
        </w:rPr>
        <w:t xml:space="preserve"> </w:t>
      </w:r>
      <w:r w:rsidRPr="00FF2B84">
        <w:rPr>
          <w:rStyle w:val="hps"/>
          <w:rFonts w:cs="Calibri"/>
          <w:color w:val="222222"/>
          <w:szCs w:val="22"/>
        </w:rPr>
        <w:t>OP</w:t>
      </w:r>
      <w:r w:rsidRPr="00FF2B84">
        <w:rPr>
          <w:rFonts w:cs="Calibri"/>
          <w:color w:val="222222"/>
          <w:szCs w:val="22"/>
        </w:rPr>
        <w:t xml:space="preserve">, </w:t>
      </w:r>
      <w:r w:rsidRPr="00FF2B84">
        <w:rPr>
          <w:rStyle w:val="hps"/>
          <w:rFonts w:cs="Calibri"/>
          <w:color w:val="222222"/>
          <w:szCs w:val="22"/>
        </w:rPr>
        <w:t>a pro všechny</w:t>
      </w:r>
      <w:r w:rsidR="00A505F9">
        <w:rPr>
          <w:rStyle w:val="hps"/>
          <w:rFonts w:cs="Calibri"/>
          <w:color w:val="222222"/>
          <w:szCs w:val="22"/>
        </w:rPr>
        <w:t xml:space="preserve"> </w:t>
      </w:r>
      <w:r w:rsidRPr="00FF2B84">
        <w:rPr>
          <w:rStyle w:val="hps"/>
          <w:rFonts w:cs="Calibri"/>
          <w:color w:val="222222"/>
          <w:szCs w:val="22"/>
        </w:rPr>
        <w:t>fondy</w:t>
      </w:r>
      <w:r w:rsidR="00A505F9">
        <w:rPr>
          <w:rStyle w:val="hps"/>
          <w:rFonts w:cs="Calibri"/>
          <w:color w:val="222222"/>
          <w:szCs w:val="22"/>
        </w:rPr>
        <w:t xml:space="preserve"> </w:t>
      </w:r>
      <w:r w:rsidRPr="00FF2B84">
        <w:rPr>
          <w:rStyle w:val="hps"/>
          <w:rFonts w:cs="Calibri"/>
          <w:color w:val="222222"/>
          <w:szCs w:val="22"/>
        </w:rPr>
        <w:t>ESI</w:t>
      </w:r>
      <w:r>
        <w:rPr>
          <w:rFonts w:cs="Calibri"/>
          <w:color w:val="222222"/>
          <w:szCs w:val="22"/>
        </w:rPr>
        <w:t xml:space="preserve">. </w:t>
      </w:r>
      <w:r w:rsidRPr="00E00F58">
        <w:rPr>
          <w:rFonts w:cs="Calibri"/>
          <w:color w:val="222222"/>
          <w:szCs w:val="22"/>
        </w:rPr>
        <w:t xml:space="preserve">Při </w:t>
      </w:r>
      <w:r>
        <w:rPr>
          <w:rFonts w:cs="Calibri"/>
          <w:color w:val="222222"/>
          <w:szCs w:val="22"/>
        </w:rPr>
        <w:t>implementaci</w:t>
      </w:r>
      <w:r w:rsidR="00A505F9">
        <w:rPr>
          <w:rFonts w:cs="Calibri"/>
          <w:color w:val="222222"/>
          <w:szCs w:val="22"/>
        </w:rPr>
        <w:t xml:space="preserve"> </w:t>
      </w:r>
      <w:r>
        <w:rPr>
          <w:rFonts w:cs="Calibri"/>
          <w:color w:val="222222"/>
          <w:szCs w:val="22"/>
        </w:rPr>
        <w:t xml:space="preserve">FN podle </w:t>
      </w:r>
      <w:r w:rsidRPr="00E00F58">
        <w:rPr>
          <w:rFonts w:cs="Calibri"/>
          <w:color w:val="222222"/>
          <w:szCs w:val="22"/>
        </w:rPr>
        <w:t xml:space="preserve">hlavy </w:t>
      </w:r>
      <w:r>
        <w:rPr>
          <w:rFonts w:cs="Calibri"/>
          <w:color w:val="222222"/>
          <w:szCs w:val="22"/>
        </w:rPr>
        <w:t xml:space="preserve">IV Obecného nařízení </w:t>
      </w:r>
      <w:r w:rsidRPr="00E00F58">
        <w:rPr>
          <w:rFonts w:cs="Calibri"/>
          <w:color w:val="222222"/>
          <w:szCs w:val="22"/>
        </w:rPr>
        <w:t xml:space="preserve">musí </w:t>
      </w:r>
      <w:r w:rsidR="007B6168">
        <w:rPr>
          <w:rFonts w:cs="Calibri"/>
          <w:color w:val="222222"/>
          <w:szCs w:val="22"/>
        </w:rPr>
        <w:t>řídící</w:t>
      </w:r>
      <w:r w:rsidRPr="00E00F58">
        <w:rPr>
          <w:rFonts w:cs="Calibri"/>
          <w:color w:val="222222"/>
          <w:szCs w:val="22"/>
        </w:rPr>
        <w:t xml:space="preserve"> orgány, subjekty provádějící </w:t>
      </w:r>
      <w:r>
        <w:rPr>
          <w:rFonts w:cs="Calibri"/>
          <w:color w:val="222222"/>
          <w:szCs w:val="22"/>
        </w:rPr>
        <w:t>FF a subjekty provádějící dané</w:t>
      </w:r>
      <w:r w:rsidR="00A505F9">
        <w:rPr>
          <w:rFonts w:cs="Calibri"/>
          <w:color w:val="222222"/>
          <w:szCs w:val="22"/>
        </w:rPr>
        <w:t xml:space="preserve"> </w:t>
      </w:r>
      <w:r>
        <w:rPr>
          <w:rFonts w:cs="Calibri"/>
          <w:color w:val="222222"/>
          <w:szCs w:val="22"/>
        </w:rPr>
        <w:t xml:space="preserve">FN </w:t>
      </w:r>
      <w:r w:rsidRPr="00E00F58">
        <w:rPr>
          <w:rFonts w:cs="Calibri"/>
          <w:color w:val="222222"/>
          <w:szCs w:val="22"/>
        </w:rPr>
        <w:t>postupovat v souladu s platnými právními předpisy, zejména s těmi, které upravují poskytování státní podpory a zadávání veřejných zakázek.</w:t>
      </w:r>
      <w:r w:rsidR="00A505F9">
        <w:rPr>
          <w:rFonts w:cs="Calibri"/>
          <w:color w:val="222222"/>
          <w:szCs w:val="22"/>
        </w:rPr>
        <w:t xml:space="preserve"> </w:t>
      </w:r>
      <w:r w:rsidRPr="0042157F">
        <w:rPr>
          <w:rFonts w:cs="Calibri"/>
          <w:color w:val="222222"/>
          <w:szCs w:val="22"/>
        </w:rPr>
        <w:t>Kromě toho</w:t>
      </w:r>
      <w:r>
        <w:rPr>
          <w:rFonts w:cs="Calibri"/>
          <w:color w:val="222222"/>
          <w:szCs w:val="22"/>
        </w:rPr>
        <w:t xml:space="preserve"> jsou</w:t>
      </w:r>
      <w:r w:rsidRPr="0042157F">
        <w:rPr>
          <w:rFonts w:cs="Calibri"/>
          <w:color w:val="222222"/>
          <w:szCs w:val="22"/>
        </w:rPr>
        <w:t xml:space="preserve"> implementační detaily stanoveny v související sekundární právní </w:t>
      </w:r>
      <w:r>
        <w:rPr>
          <w:rFonts w:cs="Calibri"/>
          <w:color w:val="222222"/>
          <w:szCs w:val="22"/>
        </w:rPr>
        <w:t xml:space="preserve">úpravě </w:t>
      </w:r>
      <w:r w:rsidRPr="0042157F">
        <w:rPr>
          <w:rFonts w:cs="Calibri"/>
          <w:color w:val="222222"/>
          <w:szCs w:val="22"/>
        </w:rPr>
        <w:t>(</w:t>
      </w:r>
      <w:r>
        <w:rPr>
          <w:rFonts w:cs="Calibri"/>
          <w:color w:val="222222"/>
          <w:szCs w:val="22"/>
        </w:rPr>
        <w:t>nařízení</w:t>
      </w:r>
      <w:r w:rsidRPr="0042157F">
        <w:rPr>
          <w:rFonts w:cs="Calibri"/>
          <w:color w:val="222222"/>
          <w:szCs w:val="22"/>
        </w:rPr>
        <w:t xml:space="preserve"> v p</w:t>
      </w:r>
      <w:r>
        <w:rPr>
          <w:rFonts w:cs="Calibri"/>
          <w:color w:val="222222"/>
          <w:szCs w:val="22"/>
        </w:rPr>
        <w:t>řenesené pravomoci a prováděcí nařízení</w:t>
      </w:r>
      <w:r w:rsidRPr="0042157F">
        <w:rPr>
          <w:rFonts w:cs="Calibri"/>
          <w:color w:val="222222"/>
          <w:szCs w:val="22"/>
        </w:rPr>
        <w:t>)</w:t>
      </w:r>
      <w:r>
        <w:rPr>
          <w:rStyle w:val="Znakapoznpodarou"/>
          <w:rFonts w:ascii="Calibri" w:hAnsi="Calibri" w:cs="Calibri"/>
          <w:color w:val="222222"/>
          <w:szCs w:val="22"/>
        </w:rPr>
        <w:footnoteReference w:id="4"/>
      </w:r>
      <w:r w:rsidRPr="0042157F">
        <w:rPr>
          <w:rFonts w:cs="Calibri"/>
          <w:color w:val="222222"/>
          <w:szCs w:val="22"/>
        </w:rPr>
        <w:t>.</w:t>
      </w:r>
    </w:p>
    <w:p w:rsidR="002C41C1" w:rsidRDefault="002C41C1" w:rsidP="00DF6E0B">
      <w:r>
        <w:t xml:space="preserve">Finanční nástroje představují </w:t>
      </w:r>
      <w:r w:rsidRPr="0042157F">
        <w:t xml:space="preserve">zvláštní kategorie výdajů </w:t>
      </w:r>
      <w:r>
        <w:t xml:space="preserve">ESIF </w:t>
      </w:r>
      <w:r w:rsidRPr="0042157F">
        <w:t xml:space="preserve">a jejich úspěšný návrh a realizace závisí na správném vyhodnocení mezer a potřeb trhu. Proto </w:t>
      </w:r>
      <w:r>
        <w:t xml:space="preserve">Obecné nařízení obsahuje mj. </w:t>
      </w:r>
      <w:r w:rsidRPr="0042157F">
        <w:t xml:space="preserve">nové ustanovení, </w:t>
      </w:r>
      <w:r>
        <w:t xml:space="preserve">podle kterého by </w:t>
      </w:r>
      <w:r w:rsidRPr="0042157F">
        <w:t xml:space="preserve">finanční nástroje měly být navrženy na základě </w:t>
      </w:r>
      <w:r>
        <w:t xml:space="preserve">předběžného </w:t>
      </w:r>
      <w:r w:rsidRPr="0042157F">
        <w:t>posouzení</w:t>
      </w:r>
      <w:r>
        <w:t xml:space="preserve">. </w:t>
      </w:r>
      <w:r w:rsidRPr="00DF5537">
        <w:t xml:space="preserve">Povinnost provést předběžné hodnocení FN v rámci přípravy operačního programu vyplývá z článku 37 </w:t>
      </w:r>
      <w:r w:rsidRPr="00DF5537">
        <w:lastRenderedPageBreak/>
        <w:t>Obecného nařízení. Stává se tak nezbytnou součástí přípravy OP, která výrazně přispívá ke zkvalitnění</w:t>
      </w:r>
      <w:r>
        <w:t xml:space="preserve"> jeho provádění</w:t>
      </w:r>
      <w:r w:rsidRPr="00DF5537">
        <w:t>, zajištění větší koordinovanosti a především k zajištění budoucí úspěšné realizace a e</w:t>
      </w:r>
      <w:r>
        <w:t>fektivnosti využití prostředků určených na finanční nástroje.</w:t>
      </w:r>
    </w:p>
    <w:p w:rsidR="00070476" w:rsidRPr="003A15F0" w:rsidRDefault="00070476" w:rsidP="00DF6E0B"/>
    <w:p w:rsidR="002C41C1" w:rsidRDefault="002C41C1" w:rsidP="00DF6E0B">
      <w:r>
        <w:t>D</w:t>
      </w:r>
      <w:r w:rsidRPr="00327214">
        <w:t xml:space="preserve">o výše uvedených fází zpracování předběžného posouzení </w:t>
      </w:r>
      <w:r>
        <w:t xml:space="preserve">jsou zapojeny další </w:t>
      </w:r>
      <w:r w:rsidRPr="00327214">
        <w:t>subjekty, které reprezentují skupinové zdroje informací (např. profesní a oborové reprezentace).</w:t>
      </w:r>
    </w:p>
    <w:p w:rsidR="00F75FB4" w:rsidRDefault="00F75FB4" w:rsidP="00BF6C4F">
      <w:pPr>
        <w:spacing w:line="280" w:lineRule="atLeast"/>
        <w:rPr>
          <w:rFonts w:cs="Calibri"/>
          <w:szCs w:val="24"/>
        </w:rPr>
      </w:pPr>
    </w:p>
    <w:p w:rsidR="002C41C1" w:rsidRPr="005D6CA2" w:rsidRDefault="002C41C1" w:rsidP="00DF6E0B">
      <w:pPr>
        <w:pStyle w:val="Nadpis2"/>
      </w:pPr>
      <w:bookmarkStart w:id="4" w:name="_Toc409613013"/>
      <w:bookmarkStart w:id="5" w:name="_Toc413854326"/>
      <w:r w:rsidRPr="005D6CA2">
        <w:t>Základní principy fungování finančních nástrojů</w:t>
      </w:r>
      <w:bookmarkEnd w:id="4"/>
      <w:bookmarkEnd w:id="5"/>
    </w:p>
    <w:p w:rsidR="002C41C1" w:rsidRPr="00AC0419" w:rsidRDefault="002C41C1" w:rsidP="00DF6E0B">
      <w:r w:rsidRPr="00AC0419">
        <w:t xml:space="preserve">Při rozhodování o využívání návratných forem pomoci prostřednictvím finančních nástrojů v rámci OP PIK musí být pečlivě zváženo, nakolik je pro konkrétní typ intervence využívání této specifické formy podpory vhodné či nikoli. </w:t>
      </w:r>
    </w:p>
    <w:p w:rsidR="002C41C1" w:rsidRPr="005650F7" w:rsidRDefault="002C41C1" w:rsidP="00BF6C4F">
      <w:pPr>
        <w:rPr>
          <w:szCs w:val="24"/>
        </w:rPr>
      </w:pPr>
    </w:p>
    <w:p w:rsidR="002C41C1" w:rsidRPr="00B3105E" w:rsidRDefault="002C41C1" w:rsidP="00DF6E0B">
      <w:pPr>
        <w:pStyle w:val="Nadpis3"/>
      </w:pPr>
      <w:bookmarkStart w:id="6" w:name="_Toc409613014"/>
      <w:bookmarkStart w:id="7" w:name="_Toc413854327"/>
      <w:r w:rsidRPr="00B3105E">
        <w:t xml:space="preserve">Využitelnost </w:t>
      </w:r>
      <w:r>
        <w:t>finančních nástrojů</w:t>
      </w:r>
      <w:bookmarkEnd w:id="6"/>
      <w:bookmarkEnd w:id="7"/>
    </w:p>
    <w:p w:rsidR="002C41C1" w:rsidRDefault="002C41C1" w:rsidP="00DF6E0B">
      <w:r>
        <w:t>Finanční nástroje</w:t>
      </w:r>
      <w:r w:rsidR="00DB5BBE">
        <w:t xml:space="preserve"> jsou vhodné</w:t>
      </w:r>
      <w:r>
        <w:t xml:space="preserve"> k využití veřejných prostředků způsoby zabezpečujícími návratný charakter či vysoký pákový efekt</w:t>
      </w:r>
      <w:r w:rsidR="00DB5BBE">
        <w:t>.</w:t>
      </w:r>
      <w:r w:rsidRPr="002A223E">
        <w:t xml:space="preserve"> U opatření </w:t>
      </w:r>
      <w:r w:rsidR="00DB5BBE">
        <w:t xml:space="preserve">obsahujících prvek veřejné podpory </w:t>
      </w:r>
      <w:r w:rsidRPr="002A223E">
        <w:t xml:space="preserve">lze očekávat </w:t>
      </w:r>
      <w:r>
        <w:t xml:space="preserve">zvýšení produktivní </w:t>
      </w:r>
      <w:r w:rsidRPr="002A223E">
        <w:t>činnost</w:t>
      </w:r>
      <w:r>
        <w:t>i</w:t>
      </w:r>
      <w:r w:rsidRPr="002A223E">
        <w:t xml:space="preserve">, která </w:t>
      </w:r>
      <w:r>
        <w:t xml:space="preserve">bude generovat </w:t>
      </w:r>
      <w:r w:rsidRPr="002A223E">
        <w:t>výnos</w:t>
      </w:r>
      <w:r>
        <w:t>y</w:t>
      </w:r>
      <w:r w:rsidRPr="002A223E">
        <w:t xml:space="preserve"> a tedy potenciální zdroj</w:t>
      </w:r>
      <w:r>
        <w:t>e</w:t>
      </w:r>
      <w:r w:rsidRPr="002A223E">
        <w:t xml:space="preserve"> pro splacení poskytnut</w:t>
      </w:r>
      <w:r>
        <w:t>ého financování prostředků</w:t>
      </w:r>
      <w:r w:rsidRPr="002A223E">
        <w:t xml:space="preserve">. Intervence, </w:t>
      </w:r>
      <w:r>
        <w:t xml:space="preserve">které nelze považovat </w:t>
      </w:r>
      <w:r w:rsidRPr="002A223E">
        <w:t xml:space="preserve">za ekonomickou činnost, pak tento zdroj kapitálu </w:t>
      </w:r>
      <w:r>
        <w:t xml:space="preserve">následně </w:t>
      </w:r>
      <w:r w:rsidRPr="002A223E">
        <w:t>negenerují, a tudíž využití návratných zdrojů zde není opodstatněné.</w:t>
      </w:r>
    </w:p>
    <w:p w:rsidR="00070476" w:rsidRDefault="00070476" w:rsidP="00BF6C4F">
      <w:pPr>
        <w:spacing w:line="280" w:lineRule="atLeast"/>
        <w:rPr>
          <w:rFonts w:cs="Calibri"/>
          <w:szCs w:val="24"/>
        </w:rPr>
      </w:pPr>
    </w:p>
    <w:p w:rsidR="002C41C1" w:rsidRDefault="002C41C1" w:rsidP="00DF6E0B">
      <w:r>
        <w:t>J</w:t>
      </w:r>
      <w:r w:rsidRPr="002A223E">
        <w:t>e třeba chápat logickou vazbu mezi problémem, jehož řešení vyžaduje veřejnou intervenci v podobě finančního nástroje</w:t>
      </w:r>
      <w:r>
        <w:t>,</w:t>
      </w:r>
      <w:r w:rsidRPr="002A223E">
        <w:t xml:space="preserve"> a cílem – finanční nástroj je prostředek k řešení problému v  ekonomice, nikoliv řešení samotné.</w:t>
      </w:r>
    </w:p>
    <w:p w:rsidR="002C41C1" w:rsidRPr="00B3105E" w:rsidRDefault="002C41C1" w:rsidP="00DF6E0B">
      <w:pPr>
        <w:pStyle w:val="Nadpis3"/>
      </w:pPr>
      <w:bookmarkStart w:id="8" w:name="_Toc409613015"/>
      <w:bookmarkStart w:id="9" w:name="_Toc413854328"/>
      <w:r>
        <w:t xml:space="preserve">Přínos pro využití veřejných </w:t>
      </w:r>
      <w:r w:rsidRPr="00B3105E">
        <w:t>prostředků</w:t>
      </w:r>
      <w:bookmarkEnd w:id="8"/>
      <w:bookmarkEnd w:id="9"/>
    </w:p>
    <w:p w:rsidR="002C41C1" w:rsidRDefault="002C41C1" w:rsidP="00DF6E0B">
      <w:r w:rsidRPr="002A223E">
        <w:t xml:space="preserve">Řídící orgán při přípravě implementačního schématu operačního programu zhodnotí, zdali poskytnutí návratných prostředků v sobě nese přidanou hodnotu či nikoli. Obecně lze tvrdit, že podpůrné zdroje poskytnuté návratným způsobem významněji motivují podpořené subjekty při výběru a přípravě rozvojových projektů a tím radikálně snižují </w:t>
      </w:r>
      <w:r>
        <w:t>„</w:t>
      </w:r>
      <w:r w:rsidRPr="002A223E">
        <w:t>morální hazard</w:t>
      </w:r>
      <w:r>
        <w:t>“</w:t>
      </w:r>
      <w:r w:rsidR="007B6168">
        <w:t xml:space="preserve"> spojený s dotačním způsobem </w:t>
      </w:r>
      <w:r w:rsidRPr="002A223E">
        <w:t xml:space="preserve">rozdělování pomoci. Také intenzita podpory může být v tomto případě nastavena přesněji (adekvátně projektu), což jistě přispívá k podpoře funkčních a udržitelných tržních mechanismů. Na druhou stranu náklady, spojené se správou projektů, jež jsou financovány návratnými formami podpory, </w:t>
      </w:r>
      <w:r>
        <w:t>mohou být</w:t>
      </w:r>
      <w:r w:rsidRPr="002A223E">
        <w:t xml:space="preserve"> vyšší než náklady, spojené s dotačním financováním</w:t>
      </w:r>
      <w:r>
        <w:t xml:space="preserve">, a to zejména z důvodu odlišné délky období správy zdrojů. </w:t>
      </w:r>
    </w:p>
    <w:p w:rsidR="00070476" w:rsidRDefault="00070476" w:rsidP="00BF6C4F">
      <w:pPr>
        <w:spacing w:line="280" w:lineRule="atLeast"/>
        <w:rPr>
          <w:rFonts w:cs="Calibri"/>
          <w:szCs w:val="24"/>
        </w:rPr>
      </w:pPr>
    </w:p>
    <w:p w:rsidR="002C41C1" w:rsidRPr="002A223E" w:rsidRDefault="002C41C1" w:rsidP="00DF6E0B">
      <w:r w:rsidRPr="007F2C10">
        <w:t>Z toho vyplývá, že návratné zdroje pomoci by měly být použity hlavně v případě, pokud náklady spojené s excesivním financováním či „morálním hazardem“ převyšují náklady</w:t>
      </w:r>
      <w:r>
        <w:t xml:space="preserve"> správy projektového portfolia</w:t>
      </w:r>
      <w:r w:rsidRPr="007F2C10">
        <w:t>.</w:t>
      </w:r>
    </w:p>
    <w:p w:rsidR="002C41C1" w:rsidRPr="00B3105E" w:rsidRDefault="002C41C1" w:rsidP="00DF6E0B">
      <w:pPr>
        <w:pStyle w:val="Nadpis3"/>
      </w:pPr>
      <w:bookmarkStart w:id="10" w:name="_Toc409613016"/>
      <w:bookmarkStart w:id="11" w:name="_Toc413854329"/>
      <w:r w:rsidRPr="00B3105E">
        <w:t>Přidaná hodnota</w:t>
      </w:r>
      <w:r>
        <w:t xml:space="preserve"> a rizika</w:t>
      </w:r>
      <w:r w:rsidRPr="00B3105E">
        <w:t xml:space="preserve"> finančních nástrojů</w:t>
      </w:r>
      <w:bookmarkEnd w:id="10"/>
      <w:bookmarkEnd w:id="11"/>
    </w:p>
    <w:p w:rsidR="002C41C1" w:rsidRPr="002A223E" w:rsidRDefault="002C41C1" w:rsidP="00DF6E0B">
      <w:r w:rsidRPr="002A223E">
        <w:t xml:space="preserve">V případě, že řídící orgán rozhodne o návratném způsobu financování oproti dotačnímu, musí zvážit výhody a nevýhody, které přináší finanční nástroje oproti </w:t>
      </w:r>
      <w:r>
        <w:t xml:space="preserve">této </w:t>
      </w:r>
      <w:r w:rsidRPr="002A223E">
        <w:t>form</w:t>
      </w:r>
      <w:r>
        <w:t>ě</w:t>
      </w:r>
      <w:r w:rsidRPr="002A223E">
        <w:t>.</w:t>
      </w:r>
    </w:p>
    <w:p w:rsidR="002C41C1" w:rsidRDefault="002C41C1" w:rsidP="00DF6E0B">
      <w:r>
        <w:t>V</w:t>
      </w:r>
      <w:r w:rsidRPr="002A223E">
        <w:t>ýznamn</w:t>
      </w:r>
      <w:r>
        <w:t>é</w:t>
      </w:r>
      <w:r w:rsidRPr="002A223E">
        <w:t xml:space="preserve"> přednost</w:t>
      </w:r>
      <w:r>
        <w:t>i</w:t>
      </w:r>
      <w:r w:rsidRPr="002A223E">
        <w:t xml:space="preserve"> finančních nástrojů</w:t>
      </w:r>
      <w:r>
        <w:t xml:space="preserve"> pro řídící orgány </w:t>
      </w:r>
      <w:r w:rsidRPr="002A223E">
        <w:t>představuj</w:t>
      </w:r>
      <w:r>
        <w:t>í:</w:t>
      </w:r>
    </w:p>
    <w:p w:rsidR="002C41C1" w:rsidRPr="00DF6E0B" w:rsidRDefault="002C41C1" w:rsidP="00DF6E0B">
      <w:pPr>
        <w:pStyle w:val="Odstavecseseznamem"/>
        <w:numPr>
          <w:ilvl w:val="0"/>
          <w:numId w:val="40"/>
        </w:numPr>
        <w:spacing w:after="120" w:line="280" w:lineRule="atLeast"/>
        <w:rPr>
          <w:rFonts w:cs="Calibri"/>
          <w:szCs w:val="24"/>
        </w:rPr>
      </w:pPr>
      <w:r w:rsidRPr="00DF6E0B">
        <w:rPr>
          <w:rFonts w:cs="Calibri"/>
          <w:szCs w:val="24"/>
        </w:rPr>
        <w:t xml:space="preserve">sdílení rizika a pákový efekt díky zapojení soukromých zdrojů, </w:t>
      </w:r>
    </w:p>
    <w:p w:rsidR="002C41C1" w:rsidRPr="00DF6E0B" w:rsidRDefault="002C41C1" w:rsidP="00DF6E0B">
      <w:pPr>
        <w:pStyle w:val="Odstavecseseznamem"/>
        <w:numPr>
          <w:ilvl w:val="0"/>
          <w:numId w:val="40"/>
        </w:numPr>
        <w:spacing w:after="120" w:line="280" w:lineRule="atLeast"/>
        <w:rPr>
          <w:rFonts w:cs="Calibri"/>
          <w:szCs w:val="24"/>
        </w:rPr>
      </w:pPr>
      <w:r w:rsidRPr="00DF6E0B">
        <w:rPr>
          <w:rFonts w:cs="Calibri"/>
          <w:szCs w:val="24"/>
        </w:rPr>
        <w:t>možnost opětovného využití prostředků</w:t>
      </w:r>
    </w:p>
    <w:p w:rsidR="002C41C1" w:rsidRDefault="002C41C1" w:rsidP="00DF6E0B">
      <w:r w:rsidRPr="00DF6E0B">
        <w:rPr>
          <w:b/>
        </w:rPr>
        <w:lastRenderedPageBreak/>
        <w:t>Finanční nástroje díky pákovému efektu a sdílením rizika snižují nároky na veřejné rozpočty při srovnatelných možnostech dosažení daného cíle.</w:t>
      </w:r>
      <w:r w:rsidRPr="00FB2DAF">
        <w:t xml:space="preserve"> Finanční krize v tomto ohledu poznamenala provádění finančních nástrojů v období 2007-2013. Komise proto počítá s rozšířenými možnostmi podpory zapojení soukromých investorů v rámci nových pravidel pro veřejnou podporu, např. nadproporční distribuce zisku ve prospěch soukromých spoluinvestorů – nicméně jen tam, kde je to </w:t>
      </w:r>
      <w:r w:rsidR="00DB5BBE">
        <w:t>nutné</w:t>
      </w:r>
      <w:r w:rsidRPr="00FB2DAF">
        <w:t>.</w:t>
      </w:r>
    </w:p>
    <w:p w:rsidR="00070476" w:rsidRDefault="00070476" w:rsidP="00DF6E0B"/>
    <w:p w:rsidR="002C41C1" w:rsidRDefault="002C41C1" w:rsidP="00DF6E0B">
      <w:r w:rsidRPr="002A223E">
        <w:t xml:space="preserve">Na druhé straně, </w:t>
      </w:r>
      <w:r>
        <w:t xml:space="preserve">jistou </w:t>
      </w:r>
      <w:r w:rsidRPr="002A223E">
        <w:t>nevýhodou finančních nástrojů oproti dotacím jsou výrazně vyšší nároky na jejich řízení v době přípravy</w:t>
      </w:r>
      <w:r>
        <w:t xml:space="preserve"> – příprava nového typu smluvní dokumentace, nastavení podmínek na několik let dopředu, je</w:t>
      </w:r>
      <w:r w:rsidRPr="00DF6E0B">
        <w:t xml:space="preserve"> třeba modelovat všechny možné situace a scénáře. Finanční nástroje proto byly ve většině člensk</w:t>
      </w:r>
      <w:r>
        <w:t>ých států spouštěny až v průběhu programového období. Z dosavadních zkušeností proto plyne, že je v této oblasti výhodnější věnovat adekvátní čas přípravě finančního nástroje a zapojit do tohoto procesu zahraniční subjekty se zkušenostmi s tímto typem nástroje ve strukturálních fondech EU (</w:t>
      </w:r>
      <w:r w:rsidR="00DB5BBE">
        <w:t>např. EIB a</w:t>
      </w:r>
      <w:r>
        <w:t xml:space="preserve"> EIF), neboť to dokáže přinést vyšší kvalitu celého procesu a snížit riziko neuznatelnosti výdajů a z toho plynoucích finančních korekcí.</w:t>
      </w:r>
    </w:p>
    <w:p w:rsidR="00070476" w:rsidRDefault="00070476" w:rsidP="00DF6E0B"/>
    <w:p w:rsidR="002C41C1" w:rsidRDefault="002C41C1" w:rsidP="00DF6E0B">
      <w:r>
        <w:t>Náklady správy hrazené z veřejných prostředků u finančních nástrojů mohou být částečně či plně hrazeny z výnosů investice. Lze tedy říci, že v případě dotací je zde vždy ještě nutno kromě dotace vynaložit další prostředky na její správu, a to jako čistý náklad. V případě finančních nástrojů mohou být náklady na správu v různé míře kompenzovány a jejich výše je transparentně stanovena prostřednictvím nákladů a poplatků spojených s řízením finančního nástroje.</w:t>
      </w:r>
    </w:p>
    <w:p w:rsidR="00070476" w:rsidRDefault="00070476" w:rsidP="00DF6E0B"/>
    <w:p w:rsidR="00070476" w:rsidRDefault="002C41C1" w:rsidP="00DF6E0B">
      <w:r>
        <w:t>P</w:t>
      </w:r>
      <w:r w:rsidRPr="002A223E">
        <w:t xml:space="preserve">ro samotné příjemce podpory přináší finanční nástroje oproti dotacím výhodu v podobě </w:t>
      </w:r>
      <w:r w:rsidRPr="005865A5">
        <w:rPr>
          <w:b/>
        </w:rPr>
        <w:t>snížených časových i finančních nákladů na administrativu žádosti</w:t>
      </w:r>
      <w:r w:rsidRPr="002A223E">
        <w:t xml:space="preserve"> (např. v případě bankovních off-the-shelf</w:t>
      </w:r>
      <w:r w:rsidR="002B0641">
        <w:t xml:space="preserve"> </w:t>
      </w:r>
      <w:r w:rsidRPr="002A223E">
        <w:t>instruments komunikuje žadatel typicky jen se svou bankou, ve které již má účet), výrazně rychlejší proces hodnocení, nižší nároky na monitoring a především mnohem rychlejší pro</w:t>
      </w:r>
      <w:r>
        <w:t xml:space="preserve">financování samotného projektu. Z ekonomického pohledu (zejména při zohlednění časové hodnoty) nemusí být návratná podpora pro konečné příjemce méně výhodná než dotace. </w:t>
      </w:r>
    </w:p>
    <w:p w:rsidR="00070476" w:rsidRDefault="00070476" w:rsidP="00DF6E0B"/>
    <w:p w:rsidR="002C41C1" w:rsidRDefault="002C41C1" w:rsidP="00DF6E0B">
      <w:r>
        <w:t>Zásadní výhodou pro příjemce je skutečnost, že mu finanční nástroj pomáhá překonat hlavní překážku, a to je nedostupnost zdrojů financování jako takového.</w:t>
      </w:r>
    </w:p>
    <w:p w:rsidR="002C41C1" w:rsidRPr="00DF6E0B" w:rsidRDefault="002C41C1" w:rsidP="00DF6E0B">
      <w:pPr>
        <w:pStyle w:val="Nadpis3"/>
        <w:rPr>
          <w:b w:val="0"/>
          <w:bCs w:val="0"/>
        </w:rPr>
      </w:pPr>
      <w:bookmarkStart w:id="12" w:name="_Toc413854330"/>
      <w:r w:rsidRPr="00DF6E0B">
        <w:t>Přínosy využití FN</w:t>
      </w:r>
      <w:bookmarkEnd w:id="12"/>
    </w:p>
    <w:p w:rsidR="002C41C1" w:rsidRPr="00DF6E0B" w:rsidRDefault="002C41C1" w:rsidP="00DF6E0B">
      <w:r w:rsidRPr="00DF6E0B">
        <w:t>Přidaná hodnota a přínosy výše navrhované formy návratné podpory spočívají především v</w:t>
      </w:r>
      <w:r w:rsidRPr="009C3357">
        <w:t> </w:t>
      </w:r>
      <w:r w:rsidRPr="00DF6E0B">
        <w:t>následujících bodech:</w:t>
      </w:r>
    </w:p>
    <w:p w:rsidR="002C41C1" w:rsidRPr="00DF6E0B" w:rsidRDefault="002C41C1" w:rsidP="00BF6C4F">
      <w:pPr>
        <w:pStyle w:val="Zkladntext"/>
        <w:numPr>
          <w:ilvl w:val="0"/>
          <w:numId w:val="33"/>
        </w:numPr>
        <w:rPr>
          <w:rFonts w:ascii="Calibri" w:hAnsi="Calibri"/>
          <w:b/>
          <w:sz w:val="22"/>
          <w:szCs w:val="22"/>
        </w:rPr>
      </w:pPr>
      <w:r w:rsidRPr="00DF6E0B">
        <w:rPr>
          <w:rFonts w:ascii="Calibri" w:hAnsi="Calibri"/>
          <w:b/>
          <w:sz w:val="22"/>
          <w:szCs w:val="22"/>
        </w:rPr>
        <w:t>Zjednodušení administrativní náročnosti čerpání podpory</w:t>
      </w:r>
    </w:p>
    <w:p w:rsidR="002C41C1" w:rsidRPr="00DF6E0B" w:rsidRDefault="002C41C1" w:rsidP="00BF6C4F">
      <w:pPr>
        <w:pStyle w:val="Zkladntext"/>
        <w:ind w:left="720"/>
        <w:rPr>
          <w:rFonts w:ascii="Calibri" w:hAnsi="Calibri"/>
          <w:sz w:val="22"/>
          <w:szCs w:val="22"/>
        </w:rPr>
      </w:pPr>
      <w:r w:rsidRPr="00DF6E0B">
        <w:rPr>
          <w:rFonts w:ascii="Calibri" w:hAnsi="Calibri"/>
          <w:sz w:val="22"/>
          <w:szCs w:val="22"/>
        </w:rPr>
        <w:t>Finanční nástroje by měly zajistit jednoduchý přístup k</w:t>
      </w:r>
      <w:r w:rsidRPr="009C3357">
        <w:rPr>
          <w:rFonts w:ascii="Calibri" w:hAnsi="Calibri"/>
          <w:sz w:val="22"/>
          <w:szCs w:val="22"/>
        </w:rPr>
        <w:t> </w:t>
      </w:r>
      <w:r w:rsidRPr="00DF6E0B">
        <w:rPr>
          <w:rFonts w:ascii="Calibri" w:hAnsi="Calibri"/>
          <w:sz w:val="22"/>
          <w:szCs w:val="22"/>
        </w:rPr>
        <w:t>podpoře z</w:t>
      </w:r>
      <w:r w:rsidRPr="009C3357">
        <w:rPr>
          <w:rFonts w:ascii="Calibri" w:hAnsi="Calibri"/>
          <w:sz w:val="22"/>
          <w:szCs w:val="22"/>
        </w:rPr>
        <w:t> </w:t>
      </w:r>
      <w:r w:rsidRPr="00DF6E0B">
        <w:rPr>
          <w:rFonts w:ascii="Calibri" w:hAnsi="Calibri"/>
          <w:sz w:val="22"/>
          <w:szCs w:val="22"/>
        </w:rPr>
        <w:t xml:space="preserve">veřejných zdrojů, který by se měl maximálně blížit standardním podmínkám na trhu (například přístupu bank a investorů). Díky tomu budou výrazně sníženy administrativní náklady na straně </w:t>
      </w:r>
      <w:r w:rsidR="00DB5BBE">
        <w:rPr>
          <w:rFonts w:ascii="Calibri" w:hAnsi="Calibri"/>
          <w:sz w:val="22"/>
          <w:szCs w:val="22"/>
        </w:rPr>
        <w:t xml:space="preserve">konečného </w:t>
      </w:r>
      <w:r w:rsidRPr="00DF6E0B">
        <w:rPr>
          <w:rFonts w:ascii="Calibri" w:hAnsi="Calibri"/>
          <w:sz w:val="22"/>
          <w:szCs w:val="22"/>
        </w:rPr>
        <w:t>příjemce.</w:t>
      </w:r>
    </w:p>
    <w:p w:rsidR="002C41C1" w:rsidRPr="00DF6E0B" w:rsidRDefault="002C41C1" w:rsidP="00BF6C4F">
      <w:pPr>
        <w:pStyle w:val="Zkladntext"/>
        <w:numPr>
          <w:ilvl w:val="0"/>
          <w:numId w:val="33"/>
        </w:numPr>
        <w:rPr>
          <w:rFonts w:ascii="Calibri" w:hAnsi="Calibri"/>
          <w:b/>
          <w:sz w:val="22"/>
          <w:szCs w:val="22"/>
        </w:rPr>
      </w:pPr>
      <w:r w:rsidRPr="00DF6E0B">
        <w:rPr>
          <w:rFonts w:ascii="Calibri" w:hAnsi="Calibri"/>
          <w:b/>
          <w:sz w:val="22"/>
          <w:szCs w:val="22"/>
        </w:rPr>
        <w:t>Možnost průběžného financování</w:t>
      </w:r>
    </w:p>
    <w:p w:rsidR="002C41C1" w:rsidRPr="00DF6E0B" w:rsidRDefault="002C41C1" w:rsidP="00BF6C4F">
      <w:pPr>
        <w:pStyle w:val="Zkladntext"/>
        <w:ind w:left="720"/>
        <w:rPr>
          <w:rFonts w:ascii="Calibri" w:hAnsi="Calibri"/>
          <w:sz w:val="22"/>
          <w:szCs w:val="22"/>
        </w:rPr>
      </w:pPr>
      <w:r w:rsidRPr="00DF6E0B">
        <w:rPr>
          <w:rFonts w:ascii="Calibri" w:hAnsi="Calibri"/>
          <w:sz w:val="22"/>
          <w:szCs w:val="22"/>
        </w:rPr>
        <w:t xml:space="preserve">Pro finanční nástroje není třeba vyhlašovat specifické výzvy, podpora jejich prostřednictvím může být poskytována průběžně. Pro příjemce to znamená, že pokud narazí na projekt / nápad, pro který by potřeboval získat podporu, tato podpora mu je průběžně dostupná a nemusí čekat na vyhlášení výzvy, zda bude její zaměření odpovídat jeho potřebám a na další vyhodnocení žádostí. </w:t>
      </w:r>
    </w:p>
    <w:p w:rsidR="002C41C1" w:rsidRPr="00DF6E0B" w:rsidRDefault="002C41C1" w:rsidP="00BF6C4F">
      <w:pPr>
        <w:pStyle w:val="Zkladntext"/>
        <w:numPr>
          <w:ilvl w:val="0"/>
          <w:numId w:val="33"/>
        </w:numPr>
        <w:rPr>
          <w:rFonts w:ascii="Calibri" w:hAnsi="Calibri"/>
          <w:b/>
          <w:sz w:val="22"/>
          <w:szCs w:val="22"/>
        </w:rPr>
      </w:pPr>
      <w:r w:rsidRPr="00DF6E0B">
        <w:rPr>
          <w:rFonts w:ascii="Calibri" w:hAnsi="Calibri"/>
          <w:b/>
          <w:sz w:val="22"/>
          <w:szCs w:val="22"/>
        </w:rPr>
        <w:t>Flexibilita využití poskytnutých prostředků</w:t>
      </w:r>
    </w:p>
    <w:p w:rsidR="002C41C1" w:rsidRPr="00DF6E0B" w:rsidRDefault="002C41C1" w:rsidP="00BF6C4F">
      <w:pPr>
        <w:pStyle w:val="Zkladntext"/>
        <w:ind w:left="720"/>
        <w:rPr>
          <w:rFonts w:ascii="Calibri" w:hAnsi="Calibri"/>
          <w:sz w:val="22"/>
          <w:szCs w:val="22"/>
        </w:rPr>
      </w:pPr>
      <w:r w:rsidRPr="00DF6E0B">
        <w:rPr>
          <w:rFonts w:ascii="Calibri" w:hAnsi="Calibri"/>
          <w:sz w:val="22"/>
          <w:szCs w:val="22"/>
        </w:rPr>
        <w:lastRenderedPageBreak/>
        <w:t xml:space="preserve">Prostředky poskytnuté formou dotací jsou vázány na poměrně detailně vymezený projekt </w:t>
      </w:r>
      <w:r w:rsidRPr="009C3357">
        <w:rPr>
          <w:rFonts w:ascii="Calibri" w:hAnsi="Calibri"/>
          <w:sz w:val="22"/>
          <w:szCs w:val="22"/>
        </w:rPr>
        <w:t>–</w:t>
      </w:r>
      <w:r w:rsidRPr="00DF6E0B">
        <w:rPr>
          <w:rFonts w:ascii="Calibri" w:hAnsi="Calibri"/>
          <w:sz w:val="22"/>
          <w:szCs w:val="22"/>
        </w:rPr>
        <w:t xml:space="preserve"> především detailně vymezené jednotlivé položky a aktivity v</w:t>
      </w:r>
      <w:r w:rsidRPr="009C3357">
        <w:rPr>
          <w:rFonts w:ascii="Calibri" w:hAnsi="Calibri"/>
          <w:sz w:val="22"/>
          <w:szCs w:val="22"/>
        </w:rPr>
        <w:t> </w:t>
      </w:r>
      <w:r w:rsidRPr="00DF6E0B">
        <w:rPr>
          <w:rFonts w:ascii="Calibri" w:hAnsi="Calibri"/>
          <w:sz w:val="22"/>
          <w:szCs w:val="22"/>
        </w:rPr>
        <w:t>rámci rozpočtu. Víceméně jakékoliv změny je nutné řešit s</w:t>
      </w:r>
      <w:r w:rsidRPr="009C3357">
        <w:rPr>
          <w:rFonts w:ascii="Calibri" w:hAnsi="Calibri"/>
          <w:sz w:val="22"/>
          <w:szCs w:val="22"/>
        </w:rPr>
        <w:t> </w:t>
      </w:r>
      <w:r w:rsidRPr="00DF6E0B">
        <w:rPr>
          <w:rFonts w:ascii="Calibri" w:hAnsi="Calibri"/>
          <w:sz w:val="22"/>
          <w:szCs w:val="22"/>
        </w:rPr>
        <w:t>ŘO a žádat o změny v</w:t>
      </w:r>
      <w:r w:rsidRPr="009C3357">
        <w:rPr>
          <w:rFonts w:ascii="Calibri" w:hAnsi="Calibri"/>
          <w:sz w:val="22"/>
          <w:szCs w:val="22"/>
        </w:rPr>
        <w:t> </w:t>
      </w:r>
      <w:r w:rsidRPr="00DF6E0B">
        <w:rPr>
          <w:rFonts w:ascii="Calibri" w:hAnsi="Calibri"/>
          <w:sz w:val="22"/>
          <w:szCs w:val="22"/>
        </w:rPr>
        <w:t>projektu. Detailní vymezení projektu navíc také znamená, že příjemce musí dopředu velmi přesně vědět, jaké aktivity, činnosti a výdaje bude třeba realizovat, jak budou finančně a časově náročné. To je zejména u inovací a VaV aktivit obtížné</w:t>
      </w:r>
      <w:r w:rsidR="002B0641">
        <w:rPr>
          <w:rFonts w:ascii="Calibri" w:hAnsi="Calibri"/>
          <w:sz w:val="22"/>
          <w:szCs w:val="22"/>
        </w:rPr>
        <w:t xml:space="preserve"> </w:t>
      </w:r>
      <w:r w:rsidRPr="00DF6E0B">
        <w:rPr>
          <w:rFonts w:ascii="Calibri" w:hAnsi="Calibri"/>
          <w:sz w:val="22"/>
          <w:szCs w:val="22"/>
        </w:rPr>
        <w:t>takto detailně předvídat.</w:t>
      </w:r>
    </w:p>
    <w:p w:rsidR="002C41C1" w:rsidRPr="00DF6E0B" w:rsidRDefault="002C41C1" w:rsidP="00BF6C4F">
      <w:pPr>
        <w:pStyle w:val="Zkladntext"/>
        <w:ind w:left="720"/>
        <w:rPr>
          <w:rFonts w:ascii="Calibri" w:hAnsi="Calibri"/>
          <w:sz w:val="22"/>
          <w:szCs w:val="22"/>
        </w:rPr>
      </w:pPr>
      <w:r w:rsidRPr="00DF6E0B">
        <w:rPr>
          <w:rFonts w:ascii="Calibri" w:hAnsi="Calibri"/>
          <w:sz w:val="22"/>
          <w:szCs w:val="22"/>
        </w:rPr>
        <w:t>Naopak finanční nástroj a poskytnutí návratné formy podpory by mělo příjemcům zajistit potřebnou flexibilitu a možnost lépe průběžně reagovat na nové potřeby k</w:t>
      </w:r>
      <w:r w:rsidRPr="009C3357">
        <w:rPr>
          <w:rFonts w:ascii="Calibri" w:hAnsi="Calibri"/>
          <w:sz w:val="22"/>
          <w:szCs w:val="22"/>
        </w:rPr>
        <w:t> </w:t>
      </w:r>
      <w:r w:rsidRPr="00DF6E0B">
        <w:rPr>
          <w:rFonts w:ascii="Calibri" w:hAnsi="Calibri"/>
          <w:sz w:val="22"/>
          <w:szCs w:val="22"/>
        </w:rPr>
        <w:t>úspěšné realizaci projektu.</w:t>
      </w:r>
    </w:p>
    <w:p w:rsidR="002C41C1" w:rsidRPr="00DF6E0B" w:rsidRDefault="002C41C1" w:rsidP="00BF6C4F">
      <w:pPr>
        <w:pStyle w:val="Zkladntext"/>
        <w:numPr>
          <w:ilvl w:val="0"/>
          <w:numId w:val="33"/>
        </w:numPr>
        <w:rPr>
          <w:rFonts w:ascii="Calibri" w:hAnsi="Calibri"/>
          <w:b/>
          <w:sz w:val="22"/>
          <w:szCs w:val="22"/>
        </w:rPr>
      </w:pPr>
      <w:r w:rsidRPr="00DF6E0B">
        <w:rPr>
          <w:rFonts w:ascii="Calibri" w:hAnsi="Calibri"/>
          <w:b/>
          <w:sz w:val="22"/>
          <w:szCs w:val="22"/>
        </w:rPr>
        <w:t>Rychlejší čerpání</w:t>
      </w:r>
    </w:p>
    <w:p w:rsidR="002C41C1" w:rsidRPr="00DF6E0B" w:rsidRDefault="002C41C1" w:rsidP="00BF6C4F">
      <w:pPr>
        <w:pStyle w:val="Zkladntext"/>
        <w:ind w:left="720"/>
        <w:rPr>
          <w:rFonts w:ascii="Calibri" w:hAnsi="Calibri"/>
          <w:sz w:val="22"/>
          <w:szCs w:val="22"/>
        </w:rPr>
      </w:pPr>
      <w:r w:rsidRPr="00DF6E0B">
        <w:rPr>
          <w:rFonts w:ascii="Calibri" w:hAnsi="Calibri"/>
          <w:sz w:val="22"/>
          <w:szCs w:val="22"/>
        </w:rPr>
        <w:t>Na rozdíl od dotačního financování má příjemce ihned po rozhodnutí o poskytnutí podpory k</w:t>
      </w:r>
      <w:r w:rsidRPr="009C3357">
        <w:rPr>
          <w:rFonts w:ascii="Calibri" w:hAnsi="Calibri"/>
          <w:sz w:val="22"/>
          <w:szCs w:val="22"/>
        </w:rPr>
        <w:t> </w:t>
      </w:r>
      <w:r w:rsidRPr="00DF6E0B">
        <w:rPr>
          <w:rFonts w:ascii="Calibri" w:hAnsi="Calibri"/>
          <w:sz w:val="22"/>
          <w:szCs w:val="22"/>
        </w:rPr>
        <w:t>dispozici dané prostředky</w:t>
      </w:r>
      <w:r w:rsidRPr="009C3357">
        <w:rPr>
          <w:rStyle w:val="Znakapoznpodarou"/>
          <w:rFonts w:ascii="Calibri" w:hAnsi="Calibri"/>
          <w:sz w:val="22"/>
          <w:szCs w:val="22"/>
        </w:rPr>
        <w:footnoteReference w:id="5"/>
      </w:r>
      <w:r w:rsidRPr="00DF6E0B">
        <w:rPr>
          <w:rFonts w:ascii="Calibri" w:hAnsi="Calibri"/>
          <w:sz w:val="22"/>
          <w:szCs w:val="22"/>
        </w:rPr>
        <w:t xml:space="preserve"> a nemusí již kombinovat s úvěrem na předfinancování</w:t>
      </w:r>
      <w:r w:rsidR="00DB5BBE">
        <w:rPr>
          <w:rFonts w:ascii="Calibri" w:hAnsi="Calibri"/>
          <w:sz w:val="22"/>
          <w:szCs w:val="22"/>
        </w:rPr>
        <w:t xml:space="preserve"> projektu</w:t>
      </w:r>
      <w:r w:rsidRPr="00DF6E0B">
        <w:rPr>
          <w:rFonts w:ascii="Calibri" w:hAnsi="Calibri"/>
          <w:sz w:val="22"/>
          <w:szCs w:val="22"/>
        </w:rPr>
        <w:t xml:space="preserve">. </w:t>
      </w:r>
    </w:p>
    <w:p w:rsidR="002C41C1" w:rsidRPr="00DF6E0B" w:rsidRDefault="00DB5BBE" w:rsidP="00BF6C4F">
      <w:pPr>
        <w:pStyle w:val="Zkladntext"/>
        <w:numPr>
          <w:ilvl w:val="0"/>
          <w:numId w:val="33"/>
        </w:numPr>
        <w:rPr>
          <w:rFonts w:ascii="Calibri" w:hAnsi="Calibri"/>
          <w:b/>
          <w:sz w:val="22"/>
          <w:szCs w:val="22"/>
        </w:rPr>
      </w:pPr>
      <w:r>
        <w:rPr>
          <w:rFonts w:ascii="Calibri" w:hAnsi="Calibri"/>
          <w:b/>
          <w:sz w:val="22"/>
          <w:szCs w:val="22"/>
        </w:rPr>
        <w:t xml:space="preserve">Možnost </w:t>
      </w:r>
      <w:r w:rsidR="002C41C1" w:rsidRPr="00DF6E0B">
        <w:rPr>
          <w:rFonts w:ascii="Calibri" w:hAnsi="Calibri"/>
          <w:b/>
          <w:sz w:val="22"/>
          <w:szCs w:val="22"/>
        </w:rPr>
        <w:t xml:space="preserve"> kombinace finančních prostředků z</w:t>
      </w:r>
      <w:r w:rsidR="002C41C1" w:rsidRPr="009C3357">
        <w:rPr>
          <w:rFonts w:ascii="Calibri" w:hAnsi="Calibri"/>
          <w:b/>
          <w:sz w:val="22"/>
          <w:szCs w:val="22"/>
        </w:rPr>
        <w:t> </w:t>
      </w:r>
      <w:r w:rsidR="002C41C1" w:rsidRPr="00DF6E0B">
        <w:rPr>
          <w:rFonts w:ascii="Calibri" w:hAnsi="Calibri"/>
          <w:b/>
          <w:sz w:val="22"/>
          <w:szCs w:val="22"/>
        </w:rPr>
        <w:t>více zdrojů</w:t>
      </w:r>
    </w:p>
    <w:p w:rsidR="002C41C1" w:rsidRPr="00DF6E0B" w:rsidRDefault="002C41C1" w:rsidP="00BF6C4F">
      <w:pPr>
        <w:pStyle w:val="Zkladntext"/>
        <w:ind w:left="720"/>
        <w:rPr>
          <w:rFonts w:ascii="Calibri" w:hAnsi="Calibri"/>
          <w:sz w:val="22"/>
          <w:szCs w:val="22"/>
        </w:rPr>
      </w:pPr>
      <w:r w:rsidRPr="00DF6E0B">
        <w:rPr>
          <w:rFonts w:ascii="Calibri" w:hAnsi="Calibri"/>
          <w:sz w:val="22"/>
          <w:szCs w:val="22"/>
        </w:rPr>
        <w:t xml:space="preserve">Prostřednictvím vytvoření specifických finančních nástrojů lze i na úrovni jednotlivých projektů snadněji zkombinovat návratné a nenávratné formy podpory a podpořit tak všechny činnosti, které jsou klíčové pro úspěch daného projektu. </w:t>
      </w:r>
    </w:p>
    <w:p w:rsidR="002C41C1" w:rsidRPr="00DF6E0B" w:rsidRDefault="002C41C1" w:rsidP="00BF6C4F">
      <w:pPr>
        <w:pStyle w:val="Zkladntext"/>
        <w:numPr>
          <w:ilvl w:val="0"/>
          <w:numId w:val="33"/>
        </w:numPr>
        <w:rPr>
          <w:rFonts w:ascii="Calibri" w:hAnsi="Calibri"/>
          <w:b/>
          <w:sz w:val="22"/>
          <w:szCs w:val="22"/>
        </w:rPr>
      </w:pPr>
      <w:r w:rsidRPr="00DF6E0B">
        <w:rPr>
          <w:rFonts w:ascii="Calibri" w:hAnsi="Calibri"/>
          <w:b/>
          <w:sz w:val="22"/>
          <w:szCs w:val="22"/>
        </w:rPr>
        <w:t>Motivace příjemců realizovat potřebné, efektivní a rentabilní projekty</w:t>
      </w:r>
    </w:p>
    <w:p w:rsidR="002C41C1" w:rsidRPr="00DF6E0B" w:rsidRDefault="002C41C1" w:rsidP="00BF6C4F">
      <w:pPr>
        <w:pStyle w:val="Zkladntext"/>
        <w:ind w:left="720"/>
        <w:rPr>
          <w:rFonts w:ascii="Calibri" w:hAnsi="Calibri"/>
          <w:sz w:val="22"/>
          <w:szCs w:val="22"/>
        </w:rPr>
      </w:pPr>
      <w:r w:rsidRPr="00DF6E0B">
        <w:rPr>
          <w:rFonts w:ascii="Calibri" w:hAnsi="Calibri"/>
          <w:sz w:val="22"/>
          <w:szCs w:val="22"/>
        </w:rPr>
        <w:t>Díky jednodušší administrativě, větší flexibilitě a návratnosti podpory budou příjemci motivování k</w:t>
      </w:r>
      <w:r w:rsidRPr="009C3357">
        <w:rPr>
          <w:rFonts w:ascii="Calibri" w:hAnsi="Calibri"/>
          <w:sz w:val="22"/>
          <w:szCs w:val="22"/>
        </w:rPr>
        <w:t> </w:t>
      </w:r>
      <w:r w:rsidRPr="00DF6E0B">
        <w:rPr>
          <w:rFonts w:ascii="Calibri" w:hAnsi="Calibri"/>
          <w:sz w:val="22"/>
          <w:szCs w:val="22"/>
        </w:rPr>
        <w:t xml:space="preserve">tomu, aby realizovali ekonomicky životaschopné a skutečně potřebné projekty a investice. </w:t>
      </w:r>
    </w:p>
    <w:p w:rsidR="002C41C1" w:rsidRDefault="002C41C1" w:rsidP="009F5E79">
      <w:pPr>
        <w:spacing w:after="240"/>
        <w:rPr>
          <w:rFonts w:cs="Calibri"/>
          <w:color w:val="222222"/>
          <w:szCs w:val="22"/>
        </w:rPr>
      </w:pPr>
    </w:p>
    <w:p w:rsidR="002C41C1" w:rsidRPr="00DF6E0B" w:rsidRDefault="002C41C1" w:rsidP="00DF6E0B">
      <w:pPr>
        <w:pStyle w:val="Nadpis2"/>
        <w:rPr>
          <w:b w:val="0"/>
          <w:bCs w:val="0"/>
        </w:rPr>
      </w:pPr>
      <w:bookmarkStart w:id="13" w:name="_Toc413854331"/>
      <w:r w:rsidRPr="00DF6E0B">
        <w:t>Metodický přístup</w:t>
      </w:r>
      <w:r w:rsidR="00DB5BBE">
        <w:t xml:space="preserve"> ke zpracování předběžného posouzení finančních nástrojů</w:t>
      </w:r>
      <w:bookmarkEnd w:id="13"/>
    </w:p>
    <w:p w:rsidR="002C41C1" w:rsidRDefault="002C41C1" w:rsidP="009F5E79">
      <w:pPr>
        <w:spacing w:after="240"/>
        <w:rPr>
          <w:rFonts w:cs="Calibri"/>
          <w:color w:val="222222"/>
          <w:szCs w:val="22"/>
        </w:rPr>
      </w:pPr>
      <w:r>
        <w:rPr>
          <w:rFonts w:cs="Calibri"/>
          <w:color w:val="222222"/>
          <w:szCs w:val="22"/>
        </w:rPr>
        <w:t xml:space="preserve">Předběžné posouzení FN </w:t>
      </w:r>
      <w:r w:rsidR="0084453C">
        <w:rPr>
          <w:rFonts w:cs="Calibri"/>
          <w:color w:val="222222"/>
          <w:szCs w:val="22"/>
        </w:rPr>
        <w:t>OP PIK</w:t>
      </w:r>
      <w:r>
        <w:rPr>
          <w:rFonts w:cs="Calibri"/>
          <w:color w:val="222222"/>
          <w:szCs w:val="22"/>
        </w:rPr>
        <w:t xml:space="preserve"> </w:t>
      </w:r>
      <w:r w:rsidR="00DB5BBE">
        <w:rPr>
          <w:rFonts w:cs="Calibri"/>
          <w:color w:val="222222"/>
          <w:szCs w:val="22"/>
        </w:rPr>
        <w:t>probíhá</w:t>
      </w:r>
      <w:r>
        <w:rPr>
          <w:rFonts w:cs="Calibri"/>
          <w:color w:val="222222"/>
          <w:szCs w:val="22"/>
        </w:rPr>
        <w:t xml:space="preserve"> ve dvou blocích a sedmi dílčích okruzích, které podrobněji definuje článek 37 odst. 2 písm. a) až f) Obecného nařízení (viz také bod 2.2 zadávací dokumentace):</w:t>
      </w:r>
    </w:p>
    <w:p w:rsidR="002C41C1" w:rsidRDefault="002C41C1" w:rsidP="009F5E79">
      <w:pPr>
        <w:spacing w:after="240"/>
        <w:rPr>
          <w:rFonts w:cs="Calibri"/>
          <w:b/>
          <w:color w:val="222222"/>
          <w:szCs w:val="22"/>
        </w:rPr>
      </w:pPr>
      <w:r>
        <w:rPr>
          <w:rFonts w:cs="Calibri"/>
          <w:b/>
          <w:color w:val="222222"/>
          <w:szCs w:val="22"/>
        </w:rPr>
        <w:t>Blok I.: Analýza tržní situace</w:t>
      </w:r>
    </w:p>
    <w:p w:rsidR="002C41C1" w:rsidRPr="001356F7" w:rsidRDefault="002C41C1" w:rsidP="009F5E79">
      <w:pPr>
        <w:spacing w:after="240"/>
        <w:rPr>
          <w:rFonts w:cs="Calibri"/>
          <w:color w:val="222222"/>
          <w:szCs w:val="22"/>
        </w:rPr>
      </w:pPr>
      <w:r w:rsidRPr="001356F7">
        <w:rPr>
          <w:rFonts w:cs="Calibri"/>
          <w:color w:val="222222"/>
          <w:szCs w:val="22"/>
        </w:rPr>
        <w:t>a) analýza selhání trhu,</w:t>
      </w:r>
    </w:p>
    <w:p w:rsidR="002C41C1" w:rsidRPr="001356F7" w:rsidRDefault="002C41C1" w:rsidP="009F5E79">
      <w:pPr>
        <w:spacing w:after="240"/>
        <w:rPr>
          <w:rFonts w:cs="Calibri"/>
          <w:color w:val="222222"/>
          <w:szCs w:val="22"/>
        </w:rPr>
      </w:pPr>
      <w:r w:rsidRPr="001356F7">
        <w:rPr>
          <w:rFonts w:cs="Calibri"/>
          <w:color w:val="222222"/>
          <w:szCs w:val="22"/>
        </w:rPr>
        <w:t>b) posouzení přidané hodnoty finančních nástrojů,</w:t>
      </w:r>
    </w:p>
    <w:p w:rsidR="002C41C1" w:rsidRPr="001356F7" w:rsidRDefault="002C41C1" w:rsidP="009F5E79">
      <w:pPr>
        <w:spacing w:after="240"/>
        <w:rPr>
          <w:rFonts w:cs="Calibri"/>
          <w:color w:val="222222"/>
          <w:szCs w:val="22"/>
        </w:rPr>
      </w:pPr>
      <w:r w:rsidRPr="001356F7">
        <w:rPr>
          <w:rFonts w:cs="Calibri"/>
          <w:color w:val="222222"/>
          <w:szCs w:val="22"/>
        </w:rPr>
        <w:t>c) odhad dodatečných veřejných a soukromých zdrojů</w:t>
      </w:r>
      <w:r>
        <w:rPr>
          <w:rFonts w:cs="Calibri"/>
          <w:color w:val="222222"/>
          <w:szCs w:val="22"/>
        </w:rPr>
        <w:t>.</w:t>
      </w:r>
    </w:p>
    <w:p w:rsidR="002C41C1" w:rsidRDefault="002C41C1" w:rsidP="009F5E79">
      <w:pPr>
        <w:spacing w:after="240"/>
        <w:rPr>
          <w:rFonts w:cs="Calibri"/>
          <w:b/>
          <w:color w:val="222222"/>
          <w:szCs w:val="22"/>
        </w:rPr>
      </w:pPr>
    </w:p>
    <w:p w:rsidR="002C41C1" w:rsidRDefault="002C41C1" w:rsidP="009F5E79">
      <w:pPr>
        <w:spacing w:after="240"/>
        <w:rPr>
          <w:rFonts w:cs="Calibri"/>
          <w:b/>
          <w:color w:val="222222"/>
          <w:szCs w:val="22"/>
        </w:rPr>
      </w:pPr>
      <w:r>
        <w:rPr>
          <w:rFonts w:cs="Calibri"/>
          <w:b/>
          <w:color w:val="222222"/>
          <w:szCs w:val="22"/>
        </w:rPr>
        <w:t>Blok II.: Návrh vhodné strategie</w:t>
      </w:r>
    </w:p>
    <w:p w:rsidR="002C41C1" w:rsidRPr="001356F7" w:rsidRDefault="002C41C1" w:rsidP="009F5E79">
      <w:pPr>
        <w:spacing w:after="240"/>
        <w:rPr>
          <w:rFonts w:cs="Calibri"/>
          <w:color w:val="222222"/>
          <w:szCs w:val="22"/>
        </w:rPr>
      </w:pPr>
      <w:r>
        <w:rPr>
          <w:rFonts w:cs="Calibri"/>
          <w:color w:val="222222"/>
          <w:szCs w:val="22"/>
        </w:rPr>
        <w:t>a</w:t>
      </w:r>
      <w:r w:rsidRPr="001356F7">
        <w:rPr>
          <w:rFonts w:cs="Calibri"/>
          <w:color w:val="222222"/>
          <w:szCs w:val="22"/>
        </w:rPr>
        <w:t>) posouzení zkušeností získaných v</w:t>
      </w:r>
      <w:r>
        <w:rPr>
          <w:rFonts w:cs="Calibri"/>
          <w:color w:val="222222"/>
          <w:szCs w:val="22"/>
        </w:rPr>
        <w:t> </w:t>
      </w:r>
      <w:r w:rsidRPr="001356F7">
        <w:rPr>
          <w:rFonts w:cs="Calibri"/>
          <w:color w:val="222222"/>
          <w:szCs w:val="22"/>
        </w:rPr>
        <w:t>minulosti</w:t>
      </w:r>
      <w:r>
        <w:rPr>
          <w:rFonts w:cs="Calibri"/>
          <w:color w:val="222222"/>
          <w:szCs w:val="22"/>
        </w:rPr>
        <w:t>,</w:t>
      </w:r>
    </w:p>
    <w:p w:rsidR="002C41C1" w:rsidRPr="001356F7" w:rsidRDefault="002C41C1" w:rsidP="009F5E79">
      <w:pPr>
        <w:spacing w:after="240"/>
        <w:rPr>
          <w:rFonts w:cs="Calibri"/>
          <w:color w:val="222222"/>
          <w:szCs w:val="22"/>
        </w:rPr>
      </w:pPr>
      <w:r>
        <w:rPr>
          <w:rFonts w:cs="Calibri"/>
          <w:color w:val="222222"/>
          <w:szCs w:val="22"/>
        </w:rPr>
        <w:t>b</w:t>
      </w:r>
      <w:r w:rsidRPr="001356F7">
        <w:rPr>
          <w:rFonts w:cs="Calibri"/>
          <w:color w:val="222222"/>
          <w:szCs w:val="22"/>
        </w:rPr>
        <w:t>) navrhovaná investiční strategie,</w:t>
      </w:r>
    </w:p>
    <w:p w:rsidR="002C41C1" w:rsidRDefault="002C41C1" w:rsidP="009F5E79">
      <w:pPr>
        <w:spacing w:after="240"/>
        <w:rPr>
          <w:rFonts w:cs="Calibri"/>
          <w:color w:val="222222"/>
          <w:szCs w:val="22"/>
        </w:rPr>
      </w:pPr>
      <w:r>
        <w:rPr>
          <w:rFonts w:cs="Calibri"/>
          <w:color w:val="222222"/>
          <w:szCs w:val="22"/>
        </w:rPr>
        <w:lastRenderedPageBreak/>
        <w:t>c</w:t>
      </w:r>
      <w:r w:rsidRPr="001356F7">
        <w:rPr>
          <w:rFonts w:cs="Calibri"/>
          <w:color w:val="222222"/>
          <w:szCs w:val="22"/>
        </w:rPr>
        <w:t>) očekávané výsledky</w:t>
      </w:r>
      <w:r>
        <w:rPr>
          <w:rFonts w:cs="Calibri"/>
          <w:color w:val="222222"/>
          <w:szCs w:val="22"/>
        </w:rPr>
        <w:t>,</w:t>
      </w:r>
    </w:p>
    <w:p w:rsidR="002C41C1" w:rsidRPr="001356F7" w:rsidRDefault="002C41C1" w:rsidP="009F5E79">
      <w:pPr>
        <w:spacing w:after="240"/>
        <w:rPr>
          <w:rFonts w:cs="Calibri"/>
          <w:color w:val="222222"/>
          <w:szCs w:val="22"/>
        </w:rPr>
      </w:pPr>
      <w:r w:rsidRPr="0099508D">
        <w:rPr>
          <w:rFonts w:cs="Calibri"/>
          <w:color w:val="222222"/>
          <w:szCs w:val="22"/>
        </w:rPr>
        <w:t xml:space="preserve">d) </w:t>
      </w:r>
      <w:r w:rsidR="007B6168">
        <w:rPr>
          <w:rFonts w:cs="Calibri"/>
          <w:color w:val="222222"/>
          <w:szCs w:val="22"/>
        </w:rPr>
        <w:t>p</w:t>
      </w:r>
      <w:r w:rsidRPr="0099508D">
        <w:rPr>
          <w:rFonts w:cs="Calibri"/>
          <w:color w:val="222222"/>
          <w:szCs w:val="22"/>
        </w:rPr>
        <w:t>řezkoumatelnost závěrů hodnocení</w:t>
      </w:r>
      <w:r>
        <w:rPr>
          <w:rFonts w:cs="Calibri"/>
          <w:color w:val="222222"/>
          <w:szCs w:val="22"/>
        </w:rPr>
        <w:t>.</w:t>
      </w:r>
    </w:p>
    <w:p w:rsidR="002C41C1" w:rsidRDefault="002C41C1" w:rsidP="009F5E79">
      <w:pPr>
        <w:spacing w:after="240"/>
        <w:rPr>
          <w:rFonts w:cs="Calibri"/>
          <w:color w:val="222222"/>
          <w:szCs w:val="22"/>
        </w:rPr>
      </w:pPr>
    </w:p>
    <w:p w:rsidR="002C41C1" w:rsidRDefault="002C41C1" w:rsidP="009F5E79">
      <w:pPr>
        <w:spacing w:after="240"/>
        <w:rPr>
          <w:rFonts w:cs="Calibri"/>
          <w:color w:val="222222"/>
          <w:szCs w:val="22"/>
        </w:rPr>
      </w:pPr>
      <w:r>
        <w:rPr>
          <w:rFonts w:cs="Calibri"/>
          <w:color w:val="222222"/>
          <w:szCs w:val="22"/>
        </w:rPr>
        <w:t>Čl. 37 odst. 2 Obecného nařízení dále obsahuje ustanovení o přezkoumatelnosti závěrů předběžného posouzení FN:</w:t>
      </w:r>
    </w:p>
    <w:p w:rsidR="002C41C1" w:rsidRPr="00FB20E9" w:rsidRDefault="002C41C1" w:rsidP="009F5E79">
      <w:pPr>
        <w:spacing w:after="240"/>
        <w:rPr>
          <w:rFonts w:cs="Calibri"/>
          <w:i/>
          <w:color w:val="222222"/>
          <w:szCs w:val="22"/>
        </w:rPr>
      </w:pPr>
      <w:r w:rsidRPr="00FB20E9">
        <w:rPr>
          <w:rFonts w:cs="Calibri"/>
          <w:i/>
          <w:color w:val="222222"/>
          <w:szCs w:val="22"/>
        </w:rPr>
        <w:t xml:space="preserve">g) ustanovení, jež podle potřeby umožní přezkoumat a aktualizovat předběžné posouzení během provádění jakéhokoli finančního nástroje, který byl použit na základě tohoto posouzení, pokud </w:t>
      </w:r>
      <w:r w:rsidR="007B6168">
        <w:rPr>
          <w:rFonts w:cs="Calibri"/>
          <w:i/>
          <w:color w:val="222222"/>
          <w:szCs w:val="22"/>
        </w:rPr>
        <w:t>řídící</w:t>
      </w:r>
      <w:r w:rsidRPr="00FB20E9">
        <w:rPr>
          <w:rFonts w:cs="Calibri"/>
          <w:i/>
          <w:color w:val="222222"/>
          <w:szCs w:val="22"/>
        </w:rPr>
        <w:t xml:space="preserve"> orgán v prováděcí fázi usoudí, že předběžné posouzení již přesně nevystihuje aktuální podmínky na trhu v době provádění.</w:t>
      </w:r>
    </w:p>
    <w:p w:rsidR="002C41C1" w:rsidRDefault="002C41C1" w:rsidP="009F5E79">
      <w:pPr>
        <w:spacing w:after="240"/>
        <w:rPr>
          <w:rFonts w:cs="Calibri"/>
          <w:color w:val="222222"/>
          <w:szCs w:val="22"/>
        </w:rPr>
      </w:pPr>
      <w:r>
        <w:rPr>
          <w:rFonts w:cs="Calibri"/>
          <w:color w:val="222222"/>
          <w:szCs w:val="22"/>
        </w:rPr>
        <w:t>Následující odstavec 3 článku 37 Obecného nařízení pak stanoví procesní náležitosti související s předběžným posouzením FN:</w:t>
      </w:r>
    </w:p>
    <w:p w:rsidR="002C41C1" w:rsidRPr="00FB20E9" w:rsidRDefault="002C41C1" w:rsidP="009F5E79">
      <w:pPr>
        <w:spacing w:after="240"/>
        <w:rPr>
          <w:rFonts w:cs="Calibri"/>
          <w:i/>
          <w:color w:val="222222"/>
          <w:szCs w:val="22"/>
        </w:rPr>
      </w:pPr>
      <w:r w:rsidRPr="00FB20E9">
        <w:rPr>
          <w:rFonts w:cs="Calibri"/>
          <w:i/>
          <w:color w:val="222222"/>
          <w:szCs w:val="22"/>
        </w:rPr>
        <w:t xml:space="preserve">3. Předběžné posouzení uvedené v odstavci 2 lze provádět postupně. Musí však být v každém případě dokončeno dříve, než </w:t>
      </w:r>
      <w:r w:rsidR="007B6168">
        <w:rPr>
          <w:rFonts w:cs="Calibri"/>
          <w:i/>
          <w:color w:val="222222"/>
          <w:szCs w:val="22"/>
        </w:rPr>
        <w:t>řídící</w:t>
      </w:r>
      <w:r w:rsidRPr="00FB20E9">
        <w:rPr>
          <w:rFonts w:cs="Calibri"/>
          <w:i/>
          <w:color w:val="222222"/>
          <w:szCs w:val="22"/>
        </w:rPr>
        <w:t xml:space="preserve"> orgán rozhodne, že finanční nástroj obdrží příspěvek z programu.</w:t>
      </w:r>
    </w:p>
    <w:p w:rsidR="002C41C1" w:rsidRPr="00FB20E9" w:rsidRDefault="002C41C1" w:rsidP="009F5E79">
      <w:pPr>
        <w:spacing w:after="240"/>
        <w:rPr>
          <w:rFonts w:cs="Calibri"/>
          <w:i/>
          <w:color w:val="222222"/>
          <w:szCs w:val="22"/>
        </w:rPr>
      </w:pPr>
      <w:r w:rsidRPr="00FB20E9">
        <w:rPr>
          <w:rFonts w:cs="Calibri"/>
          <w:i/>
          <w:color w:val="222222"/>
          <w:szCs w:val="22"/>
        </w:rPr>
        <w:t>Do tří měsíců od dokončení předběžných posouzení finančních nástrojů se zveřejní souhrnný přehled jejich zjištění a závěrů.</w:t>
      </w:r>
    </w:p>
    <w:p w:rsidR="002C41C1" w:rsidRPr="00FB20E9" w:rsidRDefault="002C41C1" w:rsidP="009F5E79">
      <w:pPr>
        <w:spacing w:after="240"/>
        <w:rPr>
          <w:rFonts w:cs="Calibri"/>
          <w:i/>
          <w:color w:val="222222"/>
          <w:szCs w:val="22"/>
        </w:rPr>
      </w:pPr>
      <w:r w:rsidRPr="00FB20E9">
        <w:rPr>
          <w:rFonts w:cs="Calibri"/>
          <w:i/>
          <w:color w:val="222222"/>
          <w:szCs w:val="22"/>
        </w:rPr>
        <w:t>Předběžné posouzení se pro informaci předkládá monitorovacímu výboru v souladu s pravidly pro daný fond.</w:t>
      </w:r>
    </w:p>
    <w:p w:rsidR="002C41C1" w:rsidRDefault="002C41C1" w:rsidP="009F5E79">
      <w:pPr>
        <w:spacing w:after="240"/>
        <w:rPr>
          <w:rFonts w:cs="Calibri"/>
          <w:color w:val="222222"/>
          <w:szCs w:val="22"/>
        </w:rPr>
      </w:pPr>
      <w:r>
        <w:rPr>
          <w:rFonts w:cs="Calibri"/>
          <w:color w:val="222222"/>
          <w:szCs w:val="22"/>
        </w:rPr>
        <w:t>Předběžné posouzení FN OP PIK se primárně řídí těmito ustanoveními Obecného nařízení a dále relevantními částmi</w:t>
      </w:r>
      <w:r w:rsidR="00070476">
        <w:rPr>
          <w:rFonts w:cs="Calibri"/>
          <w:color w:val="222222"/>
          <w:szCs w:val="22"/>
        </w:rPr>
        <w:t xml:space="preserve"> </w:t>
      </w:r>
      <w:r>
        <w:rPr>
          <w:rFonts w:cs="Calibri"/>
          <w:color w:val="222222"/>
          <w:szCs w:val="22"/>
        </w:rPr>
        <w:t>metodiky</w:t>
      </w:r>
      <w:r w:rsidRPr="00FF2B84">
        <w:rPr>
          <w:rFonts w:cs="Calibri"/>
          <w:color w:val="222222"/>
          <w:szCs w:val="22"/>
        </w:rPr>
        <w:t xml:space="preserve">, </w:t>
      </w:r>
      <w:r w:rsidRPr="00FF2B84">
        <w:rPr>
          <w:rStyle w:val="hps"/>
          <w:rFonts w:cs="Calibri"/>
          <w:color w:val="222222"/>
          <w:szCs w:val="22"/>
        </w:rPr>
        <w:t>kterou Evropská komise</w:t>
      </w:r>
      <w:r w:rsidR="00070476">
        <w:rPr>
          <w:rStyle w:val="hps"/>
          <w:rFonts w:cs="Calibri"/>
          <w:color w:val="222222"/>
          <w:szCs w:val="22"/>
        </w:rPr>
        <w:t xml:space="preserve"> </w:t>
      </w:r>
      <w:r w:rsidRPr="00FF2B84">
        <w:rPr>
          <w:rStyle w:val="hps"/>
          <w:rFonts w:cs="Calibri"/>
          <w:color w:val="222222"/>
          <w:szCs w:val="22"/>
        </w:rPr>
        <w:t>zveřejnila</w:t>
      </w:r>
      <w:r w:rsidR="00070476">
        <w:rPr>
          <w:rStyle w:val="hps"/>
          <w:rFonts w:cs="Calibri"/>
          <w:color w:val="222222"/>
          <w:szCs w:val="22"/>
        </w:rPr>
        <w:t xml:space="preserve"> </w:t>
      </w:r>
      <w:r>
        <w:rPr>
          <w:rStyle w:val="hps"/>
          <w:rFonts w:cs="Calibri"/>
          <w:color w:val="222222"/>
          <w:szCs w:val="22"/>
        </w:rPr>
        <w:t>v průběhu roku 2014</w:t>
      </w:r>
      <w:r>
        <w:rPr>
          <w:rStyle w:val="Znakapoznpodarou"/>
          <w:rFonts w:ascii="Calibri" w:hAnsi="Calibri" w:cs="Calibri"/>
          <w:color w:val="222222"/>
          <w:szCs w:val="22"/>
        </w:rPr>
        <w:footnoteReference w:id="6"/>
      </w:r>
      <w:r>
        <w:rPr>
          <w:rFonts w:cs="Calibri"/>
          <w:color w:val="222222"/>
          <w:szCs w:val="22"/>
        </w:rPr>
        <w:t>:</w:t>
      </w:r>
    </w:p>
    <w:p w:rsidR="002C41C1" w:rsidRPr="00FB20E9" w:rsidRDefault="002C41C1" w:rsidP="009F5E79">
      <w:pPr>
        <w:spacing w:after="240"/>
        <w:rPr>
          <w:rFonts w:cs="Calibri"/>
          <w:i/>
          <w:color w:val="222222"/>
          <w:szCs w:val="22"/>
        </w:rPr>
      </w:pPr>
      <w:r w:rsidRPr="00FB20E9">
        <w:rPr>
          <w:rFonts w:cs="Calibri"/>
          <w:i/>
          <w:color w:val="222222"/>
          <w:szCs w:val="22"/>
        </w:rPr>
        <w:t>General methodology</w:t>
      </w:r>
      <w:r w:rsidR="00070476">
        <w:rPr>
          <w:rFonts w:cs="Calibri"/>
          <w:i/>
          <w:color w:val="222222"/>
          <w:szCs w:val="22"/>
        </w:rPr>
        <w:t xml:space="preserve"> </w:t>
      </w:r>
      <w:r w:rsidRPr="00FB20E9">
        <w:rPr>
          <w:rFonts w:cs="Calibri"/>
          <w:i/>
          <w:color w:val="222222"/>
          <w:szCs w:val="22"/>
        </w:rPr>
        <w:t>covering</w:t>
      </w:r>
      <w:r w:rsidR="00070476">
        <w:rPr>
          <w:rFonts w:cs="Calibri"/>
          <w:i/>
          <w:color w:val="222222"/>
          <w:szCs w:val="22"/>
        </w:rPr>
        <w:t xml:space="preserve"> </w:t>
      </w:r>
      <w:r w:rsidRPr="00FB20E9">
        <w:rPr>
          <w:rFonts w:cs="Calibri"/>
          <w:i/>
          <w:color w:val="222222"/>
          <w:szCs w:val="22"/>
        </w:rPr>
        <w:t>all</w:t>
      </w:r>
      <w:r w:rsidR="00070476">
        <w:rPr>
          <w:rFonts w:cs="Calibri"/>
          <w:i/>
          <w:color w:val="222222"/>
          <w:szCs w:val="22"/>
        </w:rPr>
        <w:t xml:space="preserve"> </w:t>
      </w:r>
      <w:r w:rsidRPr="00FB20E9">
        <w:rPr>
          <w:rFonts w:cs="Calibri"/>
          <w:i/>
          <w:color w:val="222222"/>
          <w:szCs w:val="22"/>
        </w:rPr>
        <w:t>thematic</w:t>
      </w:r>
      <w:r w:rsidR="00070476">
        <w:rPr>
          <w:rFonts w:cs="Calibri"/>
          <w:i/>
          <w:color w:val="222222"/>
          <w:szCs w:val="22"/>
        </w:rPr>
        <w:t xml:space="preserve"> </w:t>
      </w:r>
      <w:r w:rsidRPr="00FB20E9">
        <w:rPr>
          <w:rFonts w:cs="Calibri"/>
          <w:i/>
          <w:color w:val="222222"/>
          <w:szCs w:val="22"/>
        </w:rPr>
        <w:t>objectives - Quick reference guide</w:t>
      </w:r>
    </w:p>
    <w:p w:rsidR="002C41C1" w:rsidRPr="00FB20E9" w:rsidRDefault="002C41C1" w:rsidP="009F5E79">
      <w:pPr>
        <w:spacing w:after="240"/>
        <w:rPr>
          <w:rFonts w:cs="Calibri"/>
          <w:i/>
          <w:color w:val="222222"/>
          <w:szCs w:val="22"/>
        </w:rPr>
      </w:pPr>
      <w:r w:rsidRPr="00FB20E9">
        <w:rPr>
          <w:rFonts w:cs="Calibri"/>
          <w:i/>
          <w:color w:val="222222"/>
          <w:szCs w:val="22"/>
        </w:rPr>
        <w:t>General methodology</w:t>
      </w:r>
      <w:r w:rsidR="00070476">
        <w:rPr>
          <w:rFonts w:cs="Calibri"/>
          <w:i/>
          <w:color w:val="222222"/>
          <w:szCs w:val="22"/>
        </w:rPr>
        <w:t xml:space="preserve"> </w:t>
      </w:r>
      <w:r w:rsidRPr="00FB20E9">
        <w:rPr>
          <w:rFonts w:cs="Calibri"/>
          <w:i/>
          <w:color w:val="222222"/>
          <w:szCs w:val="22"/>
        </w:rPr>
        <w:t>covering</w:t>
      </w:r>
      <w:r w:rsidR="00070476">
        <w:rPr>
          <w:rFonts w:cs="Calibri"/>
          <w:i/>
          <w:color w:val="222222"/>
          <w:szCs w:val="22"/>
        </w:rPr>
        <w:t xml:space="preserve"> </w:t>
      </w:r>
      <w:r w:rsidRPr="00FB20E9">
        <w:rPr>
          <w:rFonts w:cs="Calibri"/>
          <w:i/>
          <w:color w:val="222222"/>
          <w:szCs w:val="22"/>
        </w:rPr>
        <w:t>all</w:t>
      </w:r>
      <w:r w:rsidR="00070476">
        <w:rPr>
          <w:rFonts w:cs="Calibri"/>
          <w:i/>
          <w:color w:val="222222"/>
          <w:szCs w:val="22"/>
        </w:rPr>
        <w:t xml:space="preserve"> </w:t>
      </w:r>
      <w:r w:rsidRPr="00FB20E9">
        <w:rPr>
          <w:rFonts w:cs="Calibri"/>
          <w:i/>
          <w:color w:val="222222"/>
          <w:szCs w:val="22"/>
        </w:rPr>
        <w:t>thematic</w:t>
      </w:r>
      <w:r w:rsidR="00070476">
        <w:rPr>
          <w:rFonts w:cs="Calibri"/>
          <w:i/>
          <w:color w:val="222222"/>
          <w:szCs w:val="22"/>
        </w:rPr>
        <w:t xml:space="preserve"> </w:t>
      </w:r>
      <w:r w:rsidRPr="00FB20E9">
        <w:rPr>
          <w:rFonts w:cs="Calibri"/>
          <w:i/>
          <w:color w:val="222222"/>
          <w:szCs w:val="22"/>
        </w:rPr>
        <w:t xml:space="preserve">objectives - Volume I </w:t>
      </w:r>
    </w:p>
    <w:p w:rsidR="002C41C1" w:rsidRPr="00FB20E9" w:rsidRDefault="002C41C1" w:rsidP="009F5E79">
      <w:pPr>
        <w:spacing w:after="240"/>
        <w:rPr>
          <w:rFonts w:cs="Calibri"/>
          <w:i/>
          <w:color w:val="222222"/>
          <w:szCs w:val="22"/>
        </w:rPr>
      </w:pPr>
      <w:r w:rsidRPr="00FB20E9">
        <w:rPr>
          <w:rFonts w:cs="Calibri"/>
          <w:i/>
          <w:color w:val="222222"/>
          <w:szCs w:val="22"/>
        </w:rPr>
        <w:t>Strengthening</w:t>
      </w:r>
      <w:r w:rsidR="00070476">
        <w:rPr>
          <w:rFonts w:cs="Calibri"/>
          <w:i/>
          <w:color w:val="222222"/>
          <w:szCs w:val="22"/>
        </w:rPr>
        <w:t xml:space="preserve"> </w:t>
      </w:r>
      <w:r w:rsidRPr="00FB20E9">
        <w:rPr>
          <w:rFonts w:cs="Calibri"/>
          <w:i/>
          <w:color w:val="222222"/>
          <w:szCs w:val="22"/>
        </w:rPr>
        <w:t>research, technological</w:t>
      </w:r>
      <w:r w:rsidR="00070476">
        <w:rPr>
          <w:rFonts w:cs="Calibri"/>
          <w:i/>
          <w:color w:val="222222"/>
          <w:szCs w:val="22"/>
        </w:rPr>
        <w:t xml:space="preserve"> </w:t>
      </w:r>
      <w:r w:rsidRPr="00FB20E9">
        <w:rPr>
          <w:rFonts w:cs="Calibri"/>
          <w:i/>
          <w:color w:val="222222"/>
          <w:szCs w:val="22"/>
        </w:rPr>
        <w:t>development and innovation (Thematic</w:t>
      </w:r>
      <w:r w:rsidR="00BD7EA5">
        <w:rPr>
          <w:rFonts w:cs="Calibri"/>
          <w:i/>
          <w:color w:val="222222"/>
          <w:szCs w:val="22"/>
        </w:rPr>
        <w:t xml:space="preserve"> </w:t>
      </w:r>
      <w:r w:rsidRPr="00FB20E9">
        <w:rPr>
          <w:rFonts w:cs="Calibri"/>
          <w:i/>
          <w:color w:val="222222"/>
          <w:szCs w:val="22"/>
        </w:rPr>
        <w:t xml:space="preserve">objective 1) - Volume II </w:t>
      </w:r>
    </w:p>
    <w:p w:rsidR="002C41C1" w:rsidRPr="00FB20E9" w:rsidRDefault="002C41C1" w:rsidP="009F5E79">
      <w:pPr>
        <w:spacing w:after="240"/>
        <w:rPr>
          <w:rFonts w:cs="Calibri"/>
          <w:i/>
          <w:color w:val="222222"/>
          <w:szCs w:val="22"/>
        </w:rPr>
      </w:pPr>
      <w:r w:rsidRPr="00FB20E9">
        <w:rPr>
          <w:rFonts w:cs="Calibri"/>
          <w:i/>
          <w:color w:val="222222"/>
          <w:szCs w:val="22"/>
        </w:rPr>
        <w:t>Enhancing</w:t>
      </w:r>
      <w:r w:rsidR="00070476">
        <w:rPr>
          <w:rFonts w:cs="Calibri"/>
          <w:i/>
          <w:color w:val="222222"/>
          <w:szCs w:val="22"/>
        </w:rPr>
        <w:t xml:space="preserve"> </w:t>
      </w:r>
      <w:r w:rsidRPr="00FB20E9">
        <w:rPr>
          <w:rFonts w:cs="Calibri"/>
          <w:i/>
          <w:color w:val="222222"/>
          <w:szCs w:val="22"/>
        </w:rPr>
        <w:t>the</w:t>
      </w:r>
      <w:r w:rsidR="00070476">
        <w:rPr>
          <w:rFonts w:cs="Calibri"/>
          <w:i/>
          <w:color w:val="222222"/>
          <w:szCs w:val="22"/>
        </w:rPr>
        <w:t xml:space="preserve"> </w:t>
      </w:r>
      <w:r w:rsidRPr="00FB20E9">
        <w:rPr>
          <w:rFonts w:cs="Calibri"/>
          <w:i/>
          <w:color w:val="222222"/>
          <w:szCs w:val="22"/>
        </w:rPr>
        <w:t>competitiveness</w:t>
      </w:r>
      <w:r w:rsidR="00070476">
        <w:rPr>
          <w:rFonts w:cs="Calibri"/>
          <w:i/>
          <w:color w:val="222222"/>
          <w:szCs w:val="22"/>
        </w:rPr>
        <w:t xml:space="preserve"> </w:t>
      </w:r>
      <w:r w:rsidRPr="00FB20E9">
        <w:rPr>
          <w:rFonts w:cs="Calibri"/>
          <w:i/>
          <w:color w:val="222222"/>
          <w:szCs w:val="22"/>
        </w:rPr>
        <w:t xml:space="preserve">of SME, includingagriculture, microcredit and fisheries (Thematicobjective 3) - Volume III </w:t>
      </w:r>
    </w:p>
    <w:p w:rsidR="002C41C1" w:rsidRPr="00FB20E9" w:rsidRDefault="002C41C1" w:rsidP="009F5E79">
      <w:pPr>
        <w:spacing w:after="240"/>
        <w:rPr>
          <w:rFonts w:cs="Calibri"/>
          <w:i/>
          <w:color w:val="222222"/>
          <w:szCs w:val="22"/>
        </w:rPr>
      </w:pPr>
      <w:r w:rsidRPr="00FB20E9">
        <w:rPr>
          <w:rFonts w:cs="Calibri"/>
          <w:i/>
          <w:color w:val="222222"/>
          <w:szCs w:val="22"/>
        </w:rPr>
        <w:t>Supportingthe shift toward</w:t>
      </w:r>
      <w:r w:rsidR="00070476">
        <w:rPr>
          <w:rFonts w:cs="Calibri"/>
          <w:i/>
          <w:color w:val="222222"/>
          <w:szCs w:val="22"/>
        </w:rPr>
        <w:t xml:space="preserve"> </w:t>
      </w:r>
      <w:r w:rsidRPr="00FB20E9">
        <w:rPr>
          <w:rFonts w:cs="Calibri"/>
          <w:i/>
          <w:color w:val="222222"/>
          <w:szCs w:val="22"/>
        </w:rPr>
        <w:t>slow-carbon</w:t>
      </w:r>
      <w:r w:rsidR="00070476">
        <w:rPr>
          <w:rFonts w:cs="Calibri"/>
          <w:i/>
          <w:color w:val="222222"/>
          <w:szCs w:val="22"/>
        </w:rPr>
        <w:t xml:space="preserve"> </w:t>
      </w:r>
      <w:r w:rsidRPr="00FB20E9">
        <w:rPr>
          <w:rFonts w:cs="Calibri"/>
          <w:i/>
          <w:color w:val="222222"/>
          <w:szCs w:val="22"/>
        </w:rPr>
        <w:t xml:space="preserve">economy (Thematicobjective 4) - Volume IV </w:t>
      </w:r>
    </w:p>
    <w:p w:rsidR="002C41C1" w:rsidRPr="00FB20E9" w:rsidRDefault="002C41C1" w:rsidP="009F5E79">
      <w:pPr>
        <w:spacing w:after="240"/>
        <w:rPr>
          <w:rFonts w:cs="Calibri"/>
          <w:i/>
          <w:color w:val="222222"/>
          <w:szCs w:val="22"/>
        </w:rPr>
      </w:pPr>
      <w:r w:rsidRPr="00363C8C">
        <w:rPr>
          <w:rFonts w:cs="Calibri"/>
          <w:i/>
          <w:color w:val="222222"/>
          <w:szCs w:val="22"/>
        </w:rPr>
        <w:t>Financial</w:t>
      </w:r>
      <w:r w:rsidR="00070476">
        <w:rPr>
          <w:rFonts w:cs="Calibri"/>
          <w:i/>
          <w:color w:val="222222"/>
          <w:szCs w:val="22"/>
        </w:rPr>
        <w:t xml:space="preserve"> </w:t>
      </w:r>
      <w:r w:rsidRPr="00363C8C">
        <w:rPr>
          <w:rFonts w:cs="Calibri"/>
          <w:i/>
          <w:color w:val="222222"/>
          <w:szCs w:val="22"/>
        </w:rPr>
        <w:t>instruments</w:t>
      </w:r>
      <w:r w:rsidR="00070476">
        <w:rPr>
          <w:rFonts w:cs="Calibri"/>
          <w:i/>
          <w:color w:val="222222"/>
          <w:szCs w:val="22"/>
        </w:rPr>
        <w:t xml:space="preserve"> </w:t>
      </w:r>
      <w:r w:rsidRPr="00363C8C">
        <w:rPr>
          <w:rFonts w:cs="Calibri"/>
          <w:i/>
          <w:color w:val="222222"/>
          <w:szCs w:val="22"/>
        </w:rPr>
        <w:t>for</w:t>
      </w:r>
      <w:r w:rsidR="00070476">
        <w:rPr>
          <w:rFonts w:cs="Calibri"/>
          <w:i/>
          <w:color w:val="222222"/>
          <w:szCs w:val="22"/>
        </w:rPr>
        <w:t xml:space="preserve"> </w:t>
      </w:r>
      <w:r w:rsidRPr="00363C8C">
        <w:rPr>
          <w:rFonts w:cs="Calibri"/>
          <w:i/>
          <w:color w:val="222222"/>
          <w:szCs w:val="22"/>
        </w:rPr>
        <w:t>urban and territorial</w:t>
      </w:r>
      <w:r w:rsidR="00070476">
        <w:rPr>
          <w:rFonts w:cs="Calibri"/>
          <w:i/>
          <w:color w:val="222222"/>
          <w:szCs w:val="22"/>
        </w:rPr>
        <w:t xml:space="preserve"> </w:t>
      </w:r>
      <w:r w:rsidRPr="00363C8C">
        <w:rPr>
          <w:rFonts w:cs="Calibri"/>
          <w:i/>
          <w:color w:val="222222"/>
          <w:szCs w:val="22"/>
        </w:rPr>
        <w:t>development - Volume V</w:t>
      </w:r>
    </w:p>
    <w:p w:rsidR="002C41C1" w:rsidRDefault="002C41C1" w:rsidP="009F5E79">
      <w:pPr>
        <w:spacing w:after="240"/>
        <w:rPr>
          <w:rFonts w:cs="Calibri"/>
          <w:szCs w:val="22"/>
        </w:rPr>
      </w:pPr>
      <w:r>
        <w:rPr>
          <w:rFonts w:cs="Calibri"/>
          <w:color w:val="222222"/>
          <w:szCs w:val="22"/>
        </w:rPr>
        <w:t>I</w:t>
      </w:r>
      <w:r w:rsidRPr="00FF2B84">
        <w:rPr>
          <w:rStyle w:val="hps"/>
          <w:rFonts w:cs="Calibri"/>
          <w:color w:val="222222"/>
          <w:szCs w:val="22"/>
        </w:rPr>
        <w:t xml:space="preserve"> když</w:t>
      </w:r>
      <w:r w:rsidR="00BD7EA5">
        <w:rPr>
          <w:rStyle w:val="hps"/>
          <w:rFonts w:cs="Calibri"/>
          <w:color w:val="222222"/>
          <w:szCs w:val="22"/>
        </w:rPr>
        <w:t xml:space="preserve"> </w:t>
      </w:r>
      <w:r w:rsidRPr="00FF2B84">
        <w:rPr>
          <w:rStyle w:val="hps"/>
          <w:rFonts w:cs="Calibri"/>
          <w:color w:val="222222"/>
          <w:szCs w:val="22"/>
        </w:rPr>
        <w:t xml:space="preserve">tyto </w:t>
      </w:r>
      <w:r>
        <w:rPr>
          <w:rStyle w:val="hps"/>
          <w:rFonts w:cs="Calibri"/>
          <w:color w:val="222222"/>
          <w:szCs w:val="22"/>
        </w:rPr>
        <w:t xml:space="preserve">metodické </w:t>
      </w:r>
      <w:r w:rsidRPr="00FF2B84">
        <w:rPr>
          <w:rStyle w:val="hps"/>
          <w:rFonts w:cs="Calibri"/>
          <w:color w:val="222222"/>
          <w:szCs w:val="22"/>
        </w:rPr>
        <w:t>pokyny</w:t>
      </w:r>
      <w:r w:rsidR="00070476">
        <w:rPr>
          <w:rStyle w:val="hps"/>
          <w:rFonts w:cs="Calibri"/>
          <w:color w:val="222222"/>
          <w:szCs w:val="22"/>
        </w:rPr>
        <w:t xml:space="preserve"> </w:t>
      </w:r>
      <w:r>
        <w:rPr>
          <w:rFonts w:cs="Calibri"/>
          <w:color w:val="222222"/>
          <w:szCs w:val="22"/>
        </w:rPr>
        <w:t xml:space="preserve">Komise </w:t>
      </w:r>
      <w:r>
        <w:rPr>
          <w:rStyle w:val="hps"/>
          <w:rFonts w:cs="Calibri"/>
          <w:color w:val="222222"/>
          <w:szCs w:val="22"/>
        </w:rPr>
        <w:t>nejsou závazné</w:t>
      </w:r>
      <w:r w:rsidRPr="00FF2B84">
        <w:rPr>
          <w:rFonts w:cs="Calibri"/>
          <w:color w:val="222222"/>
          <w:szCs w:val="22"/>
        </w:rPr>
        <w:t xml:space="preserve">, byly </w:t>
      </w:r>
      <w:r>
        <w:rPr>
          <w:rStyle w:val="hps"/>
          <w:rFonts w:cs="Calibri"/>
          <w:color w:val="222222"/>
          <w:szCs w:val="22"/>
        </w:rPr>
        <w:t>vytvořeny</w:t>
      </w:r>
      <w:r w:rsidR="00070476">
        <w:rPr>
          <w:rStyle w:val="hps"/>
          <w:rFonts w:cs="Calibri"/>
          <w:color w:val="222222"/>
          <w:szCs w:val="22"/>
        </w:rPr>
        <w:t xml:space="preserve"> </w:t>
      </w:r>
      <w:r w:rsidRPr="00FF2B84">
        <w:rPr>
          <w:rStyle w:val="hps"/>
          <w:rFonts w:cs="Calibri"/>
          <w:color w:val="222222"/>
          <w:szCs w:val="22"/>
        </w:rPr>
        <w:t>s cílem poskytnout</w:t>
      </w:r>
      <w:r w:rsidR="00070476">
        <w:rPr>
          <w:rStyle w:val="hps"/>
          <w:rFonts w:cs="Calibri"/>
          <w:color w:val="222222"/>
          <w:szCs w:val="22"/>
        </w:rPr>
        <w:t xml:space="preserve"> </w:t>
      </w:r>
      <w:r w:rsidRPr="00FF2B84">
        <w:rPr>
          <w:rStyle w:val="hps"/>
          <w:rFonts w:cs="Calibri"/>
          <w:color w:val="222222"/>
          <w:szCs w:val="22"/>
        </w:rPr>
        <w:t>ŘO</w:t>
      </w:r>
      <w:r w:rsidR="00070476">
        <w:rPr>
          <w:rStyle w:val="hps"/>
          <w:rFonts w:cs="Calibri"/>
          <w:color w:val="222222"/>
          <w:szCs w:val="22"/>
        </w:rPr>
        <w:t xml:space="preserve"> </w:t>
      </w:r>
      <w:r>
        <w:rPr>
          <w:rStyle w:val="hps"/>
          <w:rFonts w:cs="Calibri"/>
          <w:color w:val="222222"/>
          <w:szCs w:val="22"/>
        </w:rPr>
        <w:t>osvědčené</w:t>
      </w:r>
      <w:r w:rsidRPr="00FF2B84">
        <w:rPr>
          <w:rStyle w:val="hps"/>
          <w:rFonts w:cs="Calibri"/>
          <w:color w:val="222222"/>
          <w:szCs w:val="22"/>
        </w:rPr>
        <w:t xml:space="preserve"> postupy</w:t>
      </w:r>
      <w:r>
        <w:rPr>
          <w:rStyle w:val="hps"/>
          <w:rFonts w:cs="Calibri"/>
          <w:color w:val="222222"/>
          <w:szCs w:val="22"/>
        </w:rPr>
        <w:t xml:space="preserve"> pro</w:t>
      </w:r>
      <w:r w:rsidR="00BD7EA5">
        <w:rPr>
          <w:rStyle w:val="hps"/>
          <w:rFonts w:cs="Calibri"/>
          <w:color w:val="222222"/>
          <w:szCs w:val="22"/>
        </w:rPr>
        <w:t xml:space="preserve"> </w:t>
      </w:r>
      <w:r>
        <w:rPr>
          <w:rStyle w:val="hps"/>
          <w:rFonts w:cs="Calibri"/>
          <w:color w:val="222222"/>
          <w:szCs w:val="22"/>
        </w:rPr>
        <w:t>naplnění požadavků</w:t>
      </w:r>
      <w:r w:rsidR="00070476">
        <w:rPr>
          <w:rStyle w:val="hps"/>
          <w:rFonts w:cs="Calibri"/>
          <w:color w:val="222222"/>
          <w:szCs w:val="22"/>
        </w:rPr>
        <w:t xml:space="preserve"> </w:t>
      </w:r>
      <w:r w:rsidRPr="00FF2B84">
        <w:rPr>
          <w:rStyle w:val="hps"/>
          <w:rFonts w:cs="Calibri"/>
          <w:color w:val="222222"/>
          <w:szCs w:val="22"/>
        </w:rPr>
        <w:t>článku</w:t>
      </w:r>
      <w:r w:rsidR="00070476">
        <w:rPr>
          <w:rStyle w:val="hps"/>
          <w:rFonts w:cs="Calibri"/>
          <w:color w:val="222222"/>
          <w:szCs w:val="22"/>
        </w:rPr>
        <w:t xml:space="preserve"> </w:t>
      </w:r>
      <w:r>
        <w:rPr>
          <w:rStyle w:val="hps"/>
          <w:rFonts w:cs="Calibri"/>
          <w:color w:val="222222"/>
          <w:szCs w:val="22"/>
        </w:rPr>
        <w:t xml:space="preserve">37 odst. </w:t>
      </w:r>
      <w:r w:rsidRPr="00FF2B84">
        <w:rPr>
          <w:rStyle w:val="hps"/>
          <w:rFonts w:cs="Calibri"/>
          <w:color w:val="222222"/>
          <w:szCs w:val="22"/>
        </w:rPr>
        <w:t>2</w:t>
      </w:r>
      <w:r>
        <w:rPr>
          <w:rStyle w:val="hps"/>
          <w:rFonts w:cs="Calibri"/>
          <w:color w:val="222222"/>
          <w:szCs w:val="22"/>
        </w:rPr>
        <w:t xml:space="preserve"> Obecného nařízení a tvoří proto základní metodologický rámec pro přípravu předběžného posouzení finančních nástrojů </w:t>
      </w:r>
      <w:r w:rsidR="0084453C">
        <w:rPr>
          <w:rStyle w:val="hps"/>
          <w:rFonts w:cs="Calibri"/>
          <w:color w:val="222222"/>
          <w:szCs w:val="22"/>
        </w:rPr>
        <w:t>OP PIK</w:t>
      </w:r>
      <w:r w:rsidRPr="00FF2B84">
        <w:rPr>
          <w:rStyle w:val="hps"/>
          <w:rFonts w:cs="Calibri"/>
          <w:color w:val="222222"/>
          <w:szCs w:val="22"/>
        </w:rPr>
        <w:t>.</w:t>
      </w:r>
      <w:r>
        <w:rPr>
          <w:rFonts w:cs="Calibri"/>
          <w:szCs w:val="22"/>
        </w:rPr>
        <w:t xml:space="preserve"> </w:t>
      </w:r>
    </w:p>
    <w:p w:rsidR="00070476" w:rsidRDefault="00070476" w:rsidP="009F5E79">
      <w:pPr>
        <w:spacing w:after="240"/>
        <w:rPr>
          <w:rFonts w:cs="Calibri"/>
          <w:szCs w:val="22"/>
        </w:rPr>
      </w:pPr>
    </w:p>
    <w:p w:rsidR="002C41C1" w:rsidRPr="00DF6E0B" w:rsidRDefault="002C41C1" w:rsidP="00DF6E0B">
      <w:pPr>
        <w:pStyle w:val="Nadpis3"/>
        <w:rPr>
          <w:b w:val="0"/>
          <w:bCs w:val="0"/>
        </w:rPr>
      </w:pPr>
      <w:bookmarkStart w:id="14" w:name="_Toc413854332"/>
      <w:r w:rsidRPr="00DF6E0B">
        <w:lastRenderedPageBreak/>
        <w:t>Analýza tržní situace</w:t>
      </w:r>
      <w:bookmarkEnd w:id="14"/>
    </w:p>
    <w:p w:rsidR="002C41C1" w:rsidRDefault="002C41C1" w:rsidP="009F5E79">
      <w:pPr>
        <w:spacing w:after="240"/>
        <w:rPr>
          <w:rFonts w:cs="Calibri"/>
          <w:color w:val="222222"/>
          <w:szCs w:val="22"/>
        </w:rPr>
      </w:pPr>
      <w:r w:rsidRPr="00BC7BCA">
        <w:rPr>
          <w:rFonts w:cs="Calibri"/>
          <w:color w:val="222222"/>
          <w:szCs w:val="22"/>
        </w:rPr>
        <w:t xml:space="preserve">Za účelem vytvoření strategického rámce pro finanční </w:t>
      </w:r>
      <w:r>
        <w:rPr>
          <w:rFonts w:cs="Calibri"/>
          <w:color w:val="222222"/>
          <w:szCs w:val="22"/>
        </w:rPr>
        <w:t xml:space="preserve">nástroje v </w:t>
      </w:r>
      <w:r w:rsidR="0084453C">
        <w:rPr>
          <w:rFonts w:cs="Calibri"/>
          <w:color w:val="222222"/>
          <w:szCs w:val="22"/>
        </w:rPr>
        <w:t>OP PIK</w:t>
      </w:r>
      <w:r>
        <w:rPr>
          <w:rFonts w:cs="Calibri"/>
          <w:color w:val="222222"/>
          <w:szCs w:val="22"/>
        </w:rPr>
        <w:t xml:space="preserve"> je třeba vzít v úvahu příslušný</w:t>
      </w:r>
      <w:r w:rsidRPr="00BC7BCA">
        <w:rPr>
          <w:rFonts w:cs="Calibri"/>
          <w:color w:val="222222"/>
          <w:szCs w:val="22"/>
        </w:rPr>
        <w:t xml:space="preserve"> kontext</w:t>
      </w:r>
      <w:r>
        <w:rPr>
          <w:rFonts w:cs="Calibri"/>
          <w:color w:val="222222"/>
          <w:szCs w:val="22"/>
        </w:rPr>
        <w:t>, který</w:t>
      </w:r>
      <w:r w:rsidRPr="00BC7BCA">
        <w:rPr>
          <w:rFonts w:cs="Calibri"/>
          <w:color w:val="222222"/>
          <w:szCs w:val="22"/>
        </w:rPr>
        <w:t xml:space="preserve"> odůvodňuje použití ESI fondů. Jakmile j</w:t>
      </w:r>
      <w:r>
        <w:rPr>
          <w:rFonts w:cs="Calibri"/>
          <w:color w:val="222222"/>
          <w:szCs w:val="22"/>
        </w:rPr>
        <w:t xml:space="preserve">sou tato východiska </w:t>
      </w:r>
      <w:r w:rsidRPr="00BC7BCA">
        <w:rPr>
          <w:rFonts w:cs="Calibri"/>
          <w:color w:val="222222"/>
          <w:szCs w:val="22"/>
        </w:rPr>
        <w:t>upřesněn</w:t>
      </w:r>
      <w:r>
        <w:rPr>
          <w:rFonts w:cs="Calibri"/>
          <w:color w:val="222222"/>
          <w:szCs w:val="22"/>
        </w:rPr>
        <w:t>a,</w:t>
      </w:r>
      <w:r w:rsidRPr="00BC7BCA">
        <w:rPr>
          <w:rFonts w:cs="Calibri"/>
          <w:color w:val="222222"/>
          <w:szCs w:val="22"/>
        </w:rPr>
        <w:t xml:space="preserve"> může být </w:t>
      </w:r>
      <w:r>
        <w:rPr>
          <w:rFonts w:cs="Calibri"/>
          <w:color w:val="222222"/>
          <w:szCs w:val="22"/>
        </w:rPr>
        <w:t>identifikováno</w:t>
      </w:r>
      <w:r w:rsidRPr="00BC7BCA">
        <w:rPr>
          <w:rFonts w:cs="Calibri"/>
          <w:color w:val="222222"/>
          <w:szCs w:val="22"/>
        </w:rPr>
        <w:t xml:space="preserve"> selhání trhu nebo sub-optimální investiční situace, které se týkají finančních </w:t>
      </w:r>
      <w:r>
        <w:rPr>
          <w:rFonts w:cs="Calibri"/>
          <w:color w:val="222222"/>
          <w:szCs w:val="22"/>
        </w:rPr>
        <w:t xml:space="preserve">nástrojů, a to </w:t>
      </w:r>
      <w:r w:rsidRPr="00BC7BCA">
        <w:rPr>
          <w:rFonts w:cs="Calibri"/>
          <w:color w:val="222222"/>
          <w:szCs w:val="22"/>
        </w:rPr>
        <w:t xml:space="preserve">na základě analýzy finančních potřeb nebo </w:t>
      </w:r>
      <w:r>
        <w:rPr>
          <w:rFonts w:cs="Calibri"/>
          <w:color w:val="222222"/>
          <w:szCs w:val="22"/>
        </w:rPr>
        <w:t>mezer v tržním financování</w:t>
      </w:r>
      <w:r w:rsidRPr="00BC7BCA">
        <w:rPr>
          <w:rFonts w:cs="Calibri"/>
          <w:color w:val="222222"/>
          <w:szCs w:val="22"/>
        </w:rPr>
        <w:t xml:space="preserve">, zkoumání rovnováhy mezi nabídkou a poptávkou </w:t>
      </w:r>
      <w:r>
        <w:rPr>
          <w:rFonts w:cs="Calibri"/>
          <w:color w:val="222222"/>
          <w:szCs w:val="22"/>
        </w:rPr>
        <w:t xml:space="preserve">v dané </w:t>
      </w:r>
      <w:r w:rsidRPr="00BC7BCA">
        <w:rPr>
          <w:rFonts w:cs="Calibri"/>
          <w:color w:val="222222"/>
          <w:szCs w:val="22"/>
        </w:rPr>
        <w:t xml:space="preserve">investiční oblasti podle </w:t>
      </w:r>
      <w:r>
        <w:rPr>
          <w:rFonts w:cs="Calibri"/>
          <w:color w:val="222222"/>
          <w:szCs w:val="22"/>
        </w:rPr>
        <w:t xml:space="preserve">strategie </w:t>
      </w:r>
      <w:r w:rsidR="0084453C">
        <w:rPr>
          <w:rFonts w:cs="Calibri"/>
          <w:color w:val="222222"/>
          <w:szCs w:val="22"/>
        </w:rPr>
        <w:t>OP PIK</w:t>
      </w:r>
      <w:r w:rsidRPr="00BC7BCA">
        <w:rPr>
          <w:rFonts w:cs="Calibri"/>
          <w:color w:val="222222"/>
          <w:szCs w:val="22"/>
        </w:rPr>
        <w:t>, včetně jejich možného budoucího vývoje.</w:t>
      </w:r>
      <w:r w:rsidR="00BD7EA5">
        <w:rPr>
          <w:rFonts w:cs="Calibri"/>
          <w:color w:val="222222"/>
          <w:szCs w:val="22"/>
        </w:rPr>
        <w:t xml:space="preserve"> </w:t>
      </w:r>
      <w:r>
        <w:rPr>
          <w:rFonts w:cs="Calibri"/>
          <w:color w:val="222222"/>
          <w:szCs w:val="22"/>
        </w:rPr>
        <w:t xml:space="preserve">Analýza tržní situace se soustředí zejména na </w:t>
      </w:r>
      <w:r w:rsidR="007B6168">
        <w:rPr>
          <w:rFonts w:cs="Calibri"/>
          <w:color w:val="222222"/>
          <w:szCs w:val="22"/>
        </w:rPr>
        <w:t>vývoj</w:t>
      </w:r>
      <w:r>
        <w:rPr>
          <w:rFonts w:cs="Calibri"/>
          <w:color w:val="222222"/>
          <w:szCs w:val="22"/>
        </w:rPr>
        <w:t xml:space="preserve"> souvisejících </w:t>
      </w:r>
      <w:r w:rsidRPr="00233AA6">
        <w:rPr>
          <w:rFonts w:cs="Calibri"/>
          <w:color w:val="222222"/>
          <w:szCs w:val="22"/>
        </w:rPr>
        <w:t>ukazatelů</w:t>
      </w:r>
      <w:r>
        <w:rPr>
          <w:rFonts w:cs="Calibri"/>
          <w:color w:val="222222"/>
          <w:szCs w:val="22"/>
        </w:rPr>
        <w:t xml:space="preserve"> na finančním trhu, ale i v cílových skupinách</w:t>
      </w:r>
      <w:r w:rsidRPr="00233AA6">
        <w:rPr>
          <w:rFonts w:cs="Calibri"/>
          <w:color w:val="222222"/>
          <w:szCs w:val="22"/>
        </w:rPr>
        <w:t xml:space="preserve">, </w:t>
      </w:r>
      <w:r>
        <w:rPr>
          <w:rFonts w:cs="Calibri"/>
          <w:color w:val="222222"/>
          <w:szCs w:val="22"/>
        </w:rPr>
        <w:t xml:space="preserve">tržní </w:t>
      </w:r>
      <w:r w:rsidRPr="00233AA6">
        <w:rPr>
          <w:rFonts w:cs="Calibri"/>
          <w:color w:val="222222"/>
          <w:szCs w:val="22"/>
        </w:rPr>
        <w:t xml:space="preserve">průzkum </w:t>
      </w:r>
      <w:r>
        <w:rPr>
          <w:rFonts w:cs="Calibri"/>
          <w:color w:val="222222"/>
          <w:szCs w:val="22"/>
        </w:rPr>
        <w:t>a pohovory se zástupci cílových skupin</w:t>
      </w:r>
      <w:r w:rsidRPr="00233AA6">
        <w:rPr>
          <w:rFonts w:cs="Calibri"/>
          <w:color w:val="222222"/>
          <w:szCs w:val="22"/>
        </w:rPr>
        <w:t>.</w:t>
      </w:r>
    </w:p>
    <w:p w:rsidR="002C41C1" w:rsidRDefault="002C41C1" w:rsidP="009F5E79">
      <w:pPr>
        <w:spacing w:after="240"/>
        <w:rPr>
          <w:rFonts w:cs="Calibri"/>
          <w:color w:val="222222"/>
          <w:szCs w:val="22"/>
        </w:rPr>
      </w:pPr>
      <w:r w:rsidRPr="00327214">
        <w:rPr>
          <w:rFonts w:cs="Calibri"/>
          <w:color w:val="222222"/>
          <w:szCs w:val="22"/>
        </w:rPr>
        <w:t xml:space="preserve">Analýza </w:t>
      </w:r>
      <w:r>
        <w:rPr>
          <w:rFonts w:cs="Calibri"/>
          <w:color w:val="222222"/>
          <w:szCs w:val="22"/>
        </w:rPr>
        <w:t xml:space="preserve">tržní situace </w:t>
      </w:r>
      <w:r w:rsidRPr="00327214">
        <w:rPr>
          <w:rFonts w:cs="Calibri"/>
          <w:color w:val="222222"/>
          <w:szCs w:val="22"/>
        </w:rPr>
        <w:t>by měla být založena na výsledcích kvantitativního a kvalitativního pr</w:t>
      </w:r>
      <w:r>
        <w:rPr>
          <w:rFonts w:cs="Calibri"/>
          <w:color w:val="222222"/>
          <w:szCs w:val="22"/>
        </w:rPr>
        <w:t xml:space="preserve">ůzkumu a bude obsahovat </w:t>
      </w:r>
      <w:r w:rsidR="007B6168">
        <w:rPr>
          <w:rFonts w:cs="Calibri"/>
          <w:color w:val="222222"/>
          <w:szCs w:val="22"/>
        </w:rPr>
        <w:t>trendy</w:t>
      </w:r>
      <w:r>
        <w:rPr>
          <w:rFonts w:cs="Calibri"/>
          <w:color w:val="222222"/>
          <w:szCs w:val="22"/>
        </w:rPr>
        <w:t xml:space="preserve"> relevantních segmentů</w:t>
      </w:r>
      <w:r w:rsidR="00BD7EA5">
        <w:rPr>
          <w:rFonts w:cs="Calibri"/>
          <w:color w:val="222222"/>
          <w:szCs w:val="22"/>
        </w:rPr>
        <w:t xml:space="preserve"> </w:t>
      </w:r>
      <w:r>
        <w:rPr>
          <w:rFonts w:cs="Calibri"/>
          <w:color w:val="222222"/>
          <w:szCs w:val="22"/>
        </w:rPr>
        <w:t>finančního trhu a potřeb financování cílových skupin</w:t>
      </w:r>
      <w:r w:rsidRPr="00327214">
        <w:rPr>
          <w:rFonts w:cs="Calibri"/>
          <w:color w:val="222222"/>
          <w:szCs w:val="22"/>
        </w:rPr>
        <w:t xml:space="preserve"> ve vzt</w:t>
      </w:r>
      <w:r>
        <w:rPr>
          <w:rFonts w:cs="Calibri"/>
          <w:color w:val="222222"/>
          <w:szCs w:val="22"/>
        </w:rPr>
        <w:t>ahu k cílům operačního programu.</w:t>
      </w:r>
      <w:r w:rsidR="00070476">
        <w:rPr>
          <w:rFonts w:cs="Calibri"/>
          <w:color w:val="222222"/>
          <w:szCs w:val="22"/>
        </w:rPr>
        <w:t xml:space="preserve"> </w:t>
      </w:r>
      <w:r w:rsidRPr="00327214">
        <w:rPr>
          <w:rFonts w:cs="Calibri"/>
          <w:color w:val="222222"/>
          <w:szCs w:val="22"/>
        </w:rPr>
        <w:t>Analýza by měla identifikovat oblasti s</w:t>
      </w:r>
      <w:r>
        <w:rPr>
          <w:rFonts w:cs="Calibri"/>
          <w:color w:val="222222"/>
          <w:szCs w:val="22"/>
        </w:rPr>
        <w:t xml:space="preserve"> obtížným </w:t>
      </w:r>
      <w:r w:rsidRPr="00327214">
        <w:rPr>
          <w:rFonts w:cs="Calibri"/>
          <w:color w:val="222222"/>
          <w:szCs w:val="22"/>
        </w:rPr>
        <w:t>přístupem k</w:t>
      </w:r>
      <w:r>
        <w:rPr>
          <w:rFonts w:cs="Calibri"/>
          <w:color w:val="222222"/>
          <w:szCs w:val="22"/>
        </w:rPr>
        <w:t> </w:t>
      </w:r>
      <w:r w:rsidRPr="00327214">
        <w:rPr>
          <w:rFonts w:cs="Calibri"/>
          <w:color w:val="222222"/>
          <w:szCs w:val="22"/>
        </w:rPr>
        <w:t>financování</w:t>
      </w:r>
      <w:r>
        <w:rPr>
          <w:rFonts w:cs="Calibri"/>
          <w:color w:val="222222"/>
          <w:szCs w:val="22"/>
        </w:rPr>
        <w:t xml:space="preserve"> u cílových skupin včetně zdůvodnění.</w:t>
      </w:r>
    </w:p>
    <w:p w:rsidR="002C41C1" w:rsidRDefault="002C41C1" w:rsidP="009F5E79">
      <w:pPr>
        <w:spacing w:after="240"/>
        <w:rPr>
          <w:rFonts w:cs="Calibri"/>
          <w:color w:val="222222"/>
          <w:szCs w:val="22"/>
        </w:rPr>
      </w:pPr>
      <w:r>
        <w:rPr>
          <w:rFonts w:cs="Calibri"/>
          <w:color w:val="222222"/>
          <w:szCs w:val="22"/>
        </w:rPr>
        <w:t xml:space="preserve">Součástí bloku I. bude využití nástrojů tržního průzkumu ke zjištění potřeb a potíží cílových skupin spojených s financováním projektů, které mohou přispět k naplnění cílů operačního programu v oblastech, kde řídící orgán </w:t>
      </w:r>
      <w:r w:rsidR="0084453C">
        <w:rPr>
          <w:rFonts w:cs="Calibri"/>
          <w:color w:val="222222"/>
          <w:szCs w:val="22"/>
        </w:rPr>
        <w:t>OP PIK</w:t>
      </w:r>
      <w:r>
        <w:rPr>
          <w:rFonts w:cs="Calibri"/>
          <w:color w:val="222222"/>
          <w:szCs w:val="22"/>
        </w:rPr>
        <w:t xml:space="preserve"> předpokládá využití finančních nástrojů. Na základě dosavadních závěrů předpokládá řídící orgán </w:t>
      </w:r>
      <w:r w:rsidR="0084453C">
        <w:rPr>
          <w:rFonts w:cs="Calibri"/>
          <w:color w:val="222222"/>
          <w:szCs w:val="22"/>
        </w:rPr>
        <w:t>OP PIK</w:t>
      </w:r>
      <w:r>
        <w:rPr>
          <w:rFonts w:cs="Calibri"/>
          <w:color w:val="222222"/>
          <w:szCs w:val="22"/>
        </w:rPr>
        <w:t xml:space="preserve"> podrobnější analýzu zejména v následujících oblastech: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6"/>
        <w:gridCol w:w="2236"/>
        <w:gridCol w:w="2186"/>
        <w:gridCol w:w="2630"/>
      </w:tblGrid>
      <w:tr w:rsidR="002C41C1" w:rsidTr="00DF6E0B">
        <w:trPr>
          <w:tblHeader/>
        </w:trPr>
        <w:tc>
          <w:tcPr>
            <w:tcW w:w="2236" w:type="dxa"/>
            <w:shd w:val="clear" w:color="auto" w:fill="0070C0"/>
          </w:tcPr>
          <w:p w:rsidR="002C41C1" w:rsidRPr="00DF6E0B" w:rsidRDefault="002C41C1" w:rsidP="0050796E">
            <w:pPr>
              <w:spacing w:after="240"/>
              <w:rPr>
                <w:rFonts w:cs="Calibri"/>
                <w:b/>
                <w:color w:val="FFFFFF" w:themeColor="background1"/>
                <w:szCs w:val="22"/>
              </w:rPr>
            </w:pPr>
            <w:r w:rsidRPr="00DF6E0B">
              <w:rPr>
                <w:rFonts w:cs="Calibri"/>
                <w:b/>
                <w:color w:val="FFFFFF" w:themeColor="background1"/>
                <w:szCs w:val="22"/>
              </w:rPr>
              <w:t>Tematický cíl</w:t>
            </w:r>
          </w:p>
        </w:tc>
        <w:tc>
          <w:tcPr>
            <w:tcW w:w="2236" w:type="dxa"/>
            <w:shd w:val="clear" w:color="auto" w:fill="0070C0"/>
          </w:tcPr>
          <w:p w:rsidR="002C41C1" w:rsidRPr="00DF6E0B" w:rsidRDefault="002C41C1" w:rsidP="0050796E">
            <w:pPr>
              <w:spacing w:after="240"/>
              <w:rPr>
                <w:rFonts w:cs="Calibri"/>
                <w:b/>
                <w:color w:val="FFFFFF" w:themeColor="background1"/>
                <w:szCs w:val="22"/>
              </w:rPr>
            </w:pPr>
            <w:r w:rsidRPr="00DF6E0B">
              <w:rPr>
                <w:rFonts w:cs="Calibri"/>
                <w:b/>
                <w:color w:val="FFFFFF" w:themeColor="background1"/>
                <w:szCs w:val="22"/>
              </w:rPr>
              <w:t xml:space="preserve">Prioritní osa </w:t>
            </w:r>
            <w:r w:rsidR="0084453C" w:rsidRPr="00DF6E0B">
              <w:rPr>
                <w:rFonts w:cs="Calibri"/>
                <w:b/>
                <w:color w:val="FFFFFF" w:themeColor="background1"/>
                <w:szCs w:val="22"/>
              </w:rPr>
              <w:t>OP PIK</w:t>
            </w:r>
          </w:p>
        </w:tc>
        <w:tc>
          <w:tcPr>
            <w:tcW w:w="2186" w:type="dxa"/>
            <w:shd w:val="clear" w:color="auto" w:fill="0070C0"/>
          </w:tcPr>
          <w:p w:rsidR="002C41C1" w:rsidRPr="00DF6E0B" w:rsidRDefault="002C41C1" w:rsidP="0050796E">
            <w:pPr>
              <w:spacing w:after="240"/>
              <w:rPr>
                <w:rFonts w:cs="Calibri"/>
                <w:b/>
                <w:color w:val="FFFFFF" w:themeColor="background1"/>
                <w:szCs w:val="22"/>
              </w:rPr>
            </w:pPr>
            <w:r w:rsidRPr="00DF6E0B">
              <w:rPr>
                <w:rFonts w:cs="Calibri"/>
                <w:b/>
                <w:color w:val="FFFFFF" w:themeColor="background1"/>
                <w:szCs w:val="22"/>
              </w:rPr>
              <w:t>Specifický cíl</w:t>
            </w:r>
          </w:p>
        </w:tc>
        <w:tc>
          <w:tcPr>
            <w:tcW w:w="2630" w:type="dxa"/>
            <w:shd w:val="clear" w:color="auto" w:fill="0070C0"/>
          </w:tcPr>
          <w:p w:rsidR="002C41C1" w:rsidRPr="00DF6E0B" w:rsidRDefault="002C41C1" w:rsidP="0050796E">
            <w:pPr>
              <w:spacing w:after="240"/>
              <w:rPr>
                <w:rFonts w:cs="Calibri"/>
                <w:b/>
                <w:color w:val="FFFFFF" w:themeColor="background1"/>
                <w:szCs w:val="22"/>
              </w:rPr>
            </w:pPr>
            <w:r w:rsidRPr="00DF6E0B">
              <w:rPr>
                <w:rFonts w:cs="Calibri"/>
                <w:b/>
                <w:color w:val="FFFFFF" w:themeColor="background1"/>
                <w:szCs w:val="22"/>
              </w:rPr>
              <w:t>Podporovaná aktivita</w:t>
            </w:r>
          </w:p>
        </w:tc>
      </w:tr>
      <w:tr w:rsidR="002C41C1" w:rsidTr="003A2F93">
        <w:tc>
          <w:tcPr>
            <w:tcW w:w="2236" w:type="dxa"/>
          </w:tcPr>
          <w:p w:rsidR="002C41C1" w:rsidRPr="003944D2" w:rsidRDefault="002C41C1" w:rsidP="0050796E">
            <w:pPr>
              <w:spacing w:after="240"/>
              <w:rPr>
                <w:rFonts w:cs="Calibri"/>
                <w:color w:val="222222"/>
                <w:szCs w:val="22"/>
              </w:rPr>
            </w:pPr>
            <w:r w:rsidRPr="003944D2">
              <w:rPr>
                <w:rFonts w:cs="Calibri"/>
                <w:color w:val="222222"/>
                <w:szCs w:val="22"/>
              </w:rPr>
              <w:t>TC 1: Posílení výzkumu, technologického rozvoje a inovací</w:t>
            </w:r>
          </w:p>
        </w:tc>
        <w:tc>
          <w:tcPr>
            <w:tcW w:w="2236" w:type="dxa"/>
          </w:tcPr>
          <w:p w:rsidR="002C41C1" w:rsidRPr="003944D2" w:rsidRDefault="002C41C1" w:rsidP="0050796E">
            <w:pPr>
              <w:spacing w:after="240"/>
              <w:rPr>
                <w:rFonts w:cs="Calibri"/>
                <w:color w:val="222222"/>
                <w:szCs w:val="22"/>
              </w:rPr>
            </w:pPr>
            <w:r w:rsidRPr="003944D2">
              <w:rPr>
                <w:rFonts w:cs="Calibri"/>
                <w:color w:val="222222"/>
                <w:szCs w:val="22"/>
              </w:rPr>
              <w:t>PO 1: Rozvoj výzkumu a vývoje pro inovace</w:t>
            </w:r>
          </w:p>
        </w:tc>
        <w:tc>
          <w:tcPr>
            <w:tcW w:w="2186" w:type="dxa"/>
          </w:tcPr>
          <w:p w:rsidR="002C41C1" w:rsidRPr="003944D2" w:rsidRDefault="002C41C1" w:rsidP="0050796E">
            <w:pPr>
              <w:spacing w:after="240"/>
              <w:rPr>
                <w:rFonts w:cs="Calibri"/>
                <w:color w:val="222222"/>
                <w:szCs w:val="22"/>
              </w:rPr>
            </w:pPr>
            <w:r w:rsidRPr="003944D2">
              <w:rPr>
                <w:rFonts w:cs="Calibri"/>
                <w:color w:val="222222"/>
                <w:szCs w:val="22"/>
              </w:rPr>
              <w:t>SC 1.1: Zvýšit inovační výkonnost podniků</w:t>
            </w:r>
          </w:p>
        </w:tc>
        <w:tc>
          <w:tcPr>
            <w:tcW w:w="2630" w:type="dxa"/>
          </w:tcPr>
          <w:p w:rsidR="002C41C1" w:rsidRPr="003944D2" w:rsidRDefault="002C41C1" w:rsidP="0050796E">
            <w:pPr>
              <w:spacing w:after="240"/>
              <w:rPr>
                <w:rFonts w:cs="Calibri"/>
                <w:color w:val="222222"/>
                <w:szCs w:val="22"/>
              </w:rPr>
            </w:pPr>
            <w:r w:rsidRPr="003944D2">
              <w:rPr>
                <w:rFonts w:cs="Calibri"/>
                <w:color w:val="222222"/>
                <w:szCs w:val="22"/>
              </w:rPr>
              <w:t>Zavádění inovací výrobků a služeb do výroby a jejich uvedení na trh (např. up-scaling, pilotní výrobní linky apod.)</w:t>
            </w:r>
          </w:p>
          <w:p w:rsidR="002C41C1" w:rsidRPr="003944D2" w:rsidRDefault="002C41C1" w:rsidP="0050796E">
            <w:pPr>
              <w:spacing w:after="240"/>
              <w:rPr>
                <w:rFonts w:cs="Calibri"/>
                <w:color w:val="222222"/>
                <w:szCs w:val="22"/>
              </w:rPr>
            </w:pPr>
            <w:r w:rsidRPr="003944D2">
              <w:rPr>
                <w:rFonts w:cs="Calibri"/>
                <w:color w:val="222222"/>
                <w:szCs w:val="22"/>
              </w:rPr>
              <w:t>Zavádění procesních a marketingových inovací</w:t>
            </w:r>
          </w:p>
        </w:tc>
      </w:tr>
      <w:tr w:rsidR="002C41C1" w:rsidTr="003A2F93">
        <w:tc>
          <w:tcPr>
            <w:tcW w:w="2236" w:type="dxa"/>
          </w:tcPr>
          <w:p w:rsidR="002C41C1" w:rsidRPr="003944D2" w:rsidRDefault="002C41C1" w:rsidP="0050796E">
            <w:pPr>
              <w:spacing w:after="240"/>
              <w:rPr>
                <w:rFonts w:cs="Calibri"/>
                <w:color w:val="222222"/>
                <w:szCs w:val="22"/>
              </w:rPr>
            </w:pPr>
            <w:r w:rsidRPr="003944D2">
              <w:rPr>
                <w:rFonts w:cs="Calibri"/>
                <w:color w:val="222222"/>
                <w:szCs w:val="22"/>
              </w:rPr>
              <w:t>TC 1: Posílení výzkumu, technologického rozvoje a inovací</w:t>
            </w:r>
          </w:p>
        </w:tc>
        <w:tc>
          <w:tcPr>
            <w:tcW w:w="2236" w:type="dxa"/>
          </w:tcPr>
          <w:p w:rsidR="002C41C1" w:rsidRPr="003944D2" w:rsidRDefault="002C41C1" w:rsidP="0050796E">
            <w:pPr>
              <w:spacing w:after="240"/>
              <w:rPr>
                <w:rFonts w:cs="Calibri"/>
                <w:color w:val="222222"/>
                <w:szCs w:val="22"/>
              </w:rPr>
            </w:pPr>
            <w:r w:rsidRPr="003944D2">
              <w:rPr>
                <w:rFonts w:cs="Calibri"/>
                <w:color w:val="222222"/>
                <w:szCs w:val="22"/>
              </w:rPr>
              <w:t>PO 1: Rozvoj výzkumu a vývoje pro inovace</w:t>
            </w:r>
          </w:p>
        </w:tc>
        <w:tc>
          <w:tcPr>
            <w:tcW w:w="2186" w:type="dxa"/>
          </w:tcPr>
          <w:p w:rsidR="002C41C1" w:rsidRPr="003A2F93" w:rsidRDefault="002C41C1" w:rsidP="0050796E">
            <w:pPr>
              <w:spacing w:after="240"/>
              <w:rPr>
                <w:rFonts w:cs="Calibri"/>
                <w:color w:val="222222"/>
                <w:szCs w:val="22"/>
              </w:rPr>
            </w:pPr>
            <w:r>
              <w:rPr>
                <w:rFonts w:cs="Calibri"/>
                <w:color w:val="222222"/>
                <w:szCs w:val="22"/>
              </w:rPr>
              <w:t>SC 1.2</w:t>
            </w:r>
            <w:r w:rsidRPr="003944D2">
              <w:rPr>
                <w:rFonts w:cs="Calibri"/>
                <w:color w:val="222222"/>
                <w:szCs w:val="22"/>
              </w:rPr>
              <w:t xml:space="preserve">: </w:t>
            </w:r>
            <w:r w:rsidRPr="003A2F93">
              <w:rPr>
                <w:rFonts w:cs="Calibri"/>
                <w:color w:val="222222"/>
                <w:szCs w:val="22"/>
              </w:rPr>
              <w:t>Zvýšit intenzitu a účinnost spolupráce ve výzkumu, vývoji a inovacích</w:t>
            </w:r>
          </w:p>
        </w:tc>
        <w:tc>
          <w:tcPr>
            <w:tcW w:w="2630" w:type="dxa"/>
          </w:tcPr>
          <w:p w:rsidR="002C41C1" w:rsidRPr="003A2F93" w:rsidRDefault="002C41C1" w:rsidP="0050796E">
            <w:pPr>
              <w:spacing w:after="240"/>
              <w:rPr>
                <w:rFonts w:cs="Calibri"/>
                <w:color w:val="222222"/>
                <w:szCs w:val="22"/>
              </w:rPr>
            </w:pPr>
            <w:r>
              <w:rPr>
                <w:rFonts w:cs="Calibri"/>
                <w:color w:val="222222"/>
                <w:szCs w:val="22"/>
              </w:rPr>
              <w:t>A</w:t>
            </w:r>
            <w:r w:rsidRPr="003A2F93">
              <w:rPr>
                <w:rFonts w:cs="Calibri"/>
                <w:color w:val="222222"/>
                <w:szCs w:val="22"/>
              </w:rPr>
              <w:t>ktivity vedoucí ke komercializaci výsledků výzkumu pomocí aktivit ověření proveditelnosti („proof – of – concept“), pozornost bude věnována opatřením v oblasti nízkouhlíkové ekonomiky a adaptace na klimatické změny.</w:t>
            </w:r>
          </w:p>
        </w:tc>
      </w:tr>
      <w:tr w:rsidR="002C41C1" w:rsidTr="003A2F93">
        <w:trPr>
          <w:trHeight w:val="586"/>
        </w:trPr>
        <w:tc>
          <w:tcPr>
            <w:tcW w:w="2236" w:type="dxa"/>
          </w:tcPr>
          <w:p w:rsidR="002C41C1" w:rsidRPr="003944D2" w:rsidRDefault="002C41C1" w:rsidP="0050796E">
            <w:pPr>
              <w:spacing w:after="240"/>
              <w:rPr>
                <w:rFonts w:cs="Calibri"/>
                <w:color w:val="222222"/>
                <w:szCs w:val="22"/>
              </w:rPr>
            </w:pPr>
            <w:r w:rsidRPr="003944D2">
              <w:rPr>
                <w:rFonts w:cs="Calibri"/>
                <w:color w:val="222222"/>
                <w:szCs w:val="22"/>
              </w:rPr>
              <w:t>TC 3: Zvýšení konkurenceschopnosti malých a středních podniků, odvětví zemědělství (v případě EZFRV) a rybářství a akvakultury (v případě EMFF)</w:t>
            </w:r>
          </w:p>
        </w:tc>
        <w:tc>
          <w:tcPr>
            <w:tcW w:w="2236" w:type="dxa"/>
          </w:tcPr>
          <w:p w:rsidR="002C41C1" w:rsidRPr="003944D2" w:rsidRDefault="002C41C1" w:rsidP="0050796E">
            <w:pPr>
              <w:spacing w:after="240"/>
              <w:rPr>
                <w:rFonts w:cs="Calibri"/>
                <w:color w:val="222222"/>
                <w:szCs w:val="22"/>
              </w:rPr>
            </w:pPr>
            <w:r w:rsidRPr="003944D2">
              <w:rPr>
                <w:rFonts w:cs="Calibri"/>
                <w:color w:val="222222"/>
                <w:szCs w:val="22"/>
              </w:rPr>
              <w:t>PO 2: Rozvoj podnikání a konkurenceschopnosti malých a středních podniků</w:t>
            </w:r>
          </w:p>
        </w:tc>
        <w:tc>
          <w:tcPr>
            <w:tcW w:w="2186" w:type="dxa"/>
          </w:tcPr>
          <w:p w:rsidR="002C41C1" w:rsidRPr="003944D2" w:rsidRDefault="002C41C1" w:rsidP="0050796E">
            <w:pPr>
              <w:spacing w:after="240"/>
              <w:rPr>
                <w:rFonts w:cs="Calibri"/>
                <w:color w:val="222222"/>
                <w:szCs w:val="22"/>
              </w:rPr>
            </w:pPr>
            <w:r w:rsidRPr="003944D2">
              <w:rPr>
                <w:rFonts w:cs="Calibri"/>
                <w:color w:val="222222"/>
                <w:szCs w:val="22"/>
              </w:rPr>
              <w:t>SC 2.1: Zvýšit konkurenceschopnost začínajících a rozvojových MSP</w:t>
            </w:r>
          </w:p>
        </w:tc>
        <w:tc>
          <w:tcPr>
            <w:tcW w:w="2630" w:type="dxa"/>
          </w:tcPr>
          <w:p w:rsidR="002C41C1" w:rsidRPr="003944D2" w:rsidRDefault="002C41C1" w:rsidP="0050796E">
            <w:pPr>
              <w:spacing w:after="240"/>
              <w:rPr>
                <w:rFonts w:cs="Calibri"/>
                <w:color w:val="222222"/>
                <w:szCs w:val="22"/>
              </w:rPr>
            </w:pPr>
            <w:r w:rsidRPr="003944D2">
              <w:rPr>
                <w:rFonts w:cs="Calibri"/>
                <w:color w:val="222222"/>
                <w:szCs w:val="22"/>
              </w:rPr>
              <w:t xml:space="preserve">Realizace podnikatelských záměrů začínajících podniků (do 3 let) a rozvojových podniků prostřednictvím vhodných finančních nástrojů (úvěry, záruky za bankovní úvěry, rizikový kapitál) a dotací MSP zejména pro </w:t>
            </w:r>
            <w:r w:rsidRPr="003944D2">
              <w:rPr>
                <w:rFonts w:cs="Calibri"/>
                <w:color w:val="222222"/>
                <w:szCs w:val="22"/>
              </w:rPr>
              <w:lastRenderedPageBreak/>
              <w:t>mikropodniky</w:t>
            </w:r>
          </w:p>
        </w:tc>
      </w:tr>
      <w:tr w:rsidR="002C41C1" w:rsidTr="003A2F93">
        <w:tc>
          <w:tcPr>
            <w:tcW w:w="2236" w:type="dxa"/>
          </w:tcPr>
          <w:p w:rsidR="002C41C1" w:rsidRPr="003944D2" w:rsidRDefault="002C41C1" w:rsidP="0050796E">
            <w:pPr>
              <w:spacing w:after="240"/>
              <w:rPr>
                <w:rFonts w:cs="Calibri"/>
                <w:color w:val="222222"/>
                <w:szCs w:val="22"/>
              </w:rPr>
            </w:pPr>
          </w:p>
        </w:tc>
        <w:tc>
          <w:tcPr>
            <w:tcW w:w="2236" w:type="dxa"/>
          </w:tcPr>
          <w:p w:rsidR="002C41C1" w:rsidRPr="003944D2" w:rsidRDefault="002C41C1" w:rsidP="0050796E">
            <w:pPr>
              <w:spacing w:after="240"/>
              <w:rPr>
                <w:rFonts w:cs="Calibri"/>
                <w:color w:val="222222"/>
                <w:szCs w:val="22"/>
              </w:rPr>
            </w:pPr>
          </w:p>
        </w:tc>
        <w:tc>
          <w:tcPr>
            <w:tcW w:w="2186" w:type="dxa"/>
          </w:tcPr>
          <w:p w:rsidR="002C41C1" w:rsidRPr="003944D2" w:rsidRDefault="002C41C1" w:rsidP="0050796E">
            <w:pPr>
              <w:spacing w:after="240"/>
              <w:rPr>
                <w:rFonts w:cs="Calibri"/>
                <w:color w:val="222222"/>
                <w:szCs w:val="22"/>
              </w:rPr>
            </w:pPr>
            <w:r w:rsidRPr="003944D2">
              <w:rPr>
                <w:rFonts w:cs="Calibri"/>
                <w:color w:val="222222"/>
                <w:szCs w:val="22"/>
              </w:rPr>
              <w:t>SC 2.3: Zvýšit využitelnost infrastruktury pro podnikání</w:t>
            </w:r>
          </w:p>
        </w:tc>
        <w:tc>
          <w:tcPr>
            <w:tcW w:w="2630" w:type="dxa"/>
          </w:tcPr>
          <w:p w:rsidR="002C41C1" w:rsidRPr="003944D2" w:rsidRDefault="002C41C1" w:rsidP="0050796E">
            <w:pPr>
              <w:spacing w:after="240"/>
              <w:rPr>
                <w:rFonts w:cs="Calibri"/>
                <w:color w:val="222222"/>
                <w:szCs w:val="22"/>
              </w:rPr>
            </w:pPr>
            <w:r w:rsidRPr="003944D2">
              <w:rPr>
                <w:rFonts w:cs="Calibri"/>
                <w:color w:val="222222"/>
                <w:szCs w:val="22"/>
              </w:rPr>
              <w:t>Modernizace výrobních provozů a rekonstrukce stávající zastaralé infrastruktury</w:t>
            </w:r>
          </w:p>
          <w:p w:rsidR="002C41C1" w:rsidRPr="003944D2" w:rsidRDefault="002C41C1" w:rsidP="0050796E">
            <w:pPr>
              <w:spacing w:after="240"/>
              <w:rPr>
                <w:rFonts w:cs="Calibri"/>
                <w:color w:val="222222"/>
                <w:szCs w:val="22"/>
              </w:rPr>
            </w:pPr>
            <w:r w:rsidRPr="003944D2">
              <w:rPr>
                <w:rFonts w:cs="Calibri"/>
                <w:color w:val="222222"/>
                <w:szCs w:val="22"/>
              </w:rPr>
              <w:t>Rekonstrukce brownfieldů (bez výdajů na odstranění ekologických zátěží) a jejich přeměna na moderní podnikatelské objekty</w:t>
            </w:r>
          </w:p>
        </w:tc>
      </w:tr>
      <w:tr w:rsidR="002C41C1" w:rsidTr="003A2F93">
        <w:tc>
          <w:tcPr>
            <w:tcW w:w="2236" w:type="dxa"/>
          </w:tcPr>
          <w:p w:rsidR="002C41C1" w:rsidRPr="003944D2" w:rsidRDefault="002C41C1" w:rsidP="0050796E">
            <w:pPr>
              <w:spacing w:after="240"/>
              <w:rPr>
                <w:rFonts w:cs="Calibri"/>
                <w:color w:val="222222"/>
                <w:szCs w:val="22"/>
              </w:rPr>
            </w:pPr>
            <w:r w:rsidRPr="003944D2">
              <w:rPr>
                <w:rFonts w:cs="Calibri"/>
                <w:color w:val="222222"/>
                <w:szCs w:val="22"/>
              </w:rPr>
              <w:t>TC 4: Podpora přechodu na nízkouhlíkové hospodářství ve všech odvětvích</w:t>
            </w:r>
          </w:p>
        </w:tc>
        <w:tc>
          <w:tcPr>
            <w:tcW w:w="2236" w:type="dxa"/>
          </w:tcPr>
          <w:p w:rsidR="002C41C1" w:rsidRPr="003944D2" w:rsidRDefault="002C41C1" w:rsidP="0050796E">
            <w:pPr>
              <w:spacing w:after="240"/>
              <w:rPr>
                <w:rFonts w:cs="Calibri"/>
                <w:color w:val="222222"/>
                <w:szCs w:val="22"/>
              </w:rPr>
            </w:pPr>
            <w:r w:rsidRPr="003944D2">
              <w:rPr>
                <w:rFonts w:cs="Calibri"/>
                <w:color w:val="222222"/>
                <w:szCs w:val="22"/>
              </w:rPr>
              <w:t>PO 3: Účinné nakládání energií, rozvoj energetické infrastruktury a obnovitelných zdrojů energie, podpora zavádění nových technologií v oblasti nakládání energií a druhotných surovin</w:t>
            </w:r>
          </w:p>
        </w:tc>
        <w:tc>
          <w:tcPr>
            <w:tcW w:w="2186" w:type="dxa"/>
          </w:tcPr>
          <w:p w:rsidR="002C41C1" w:rsidRPr="003A2F93" w:rsidRDefault="002C41C1" w:rsidP="0050796E">
            <w:pPr>
              <w:spacing w:after="240"/>
              <w:rPr>
                <w:rFonts w:cs="Calibri"/>
                <w:color w:val="222222"/>
                <w:szCs w:val="22"/>
              </w:rPr>
            </w:pPr>
            <w:r>
              <w:rPr>
                <w:rFonts w:cs="Calibri"/>
                <w:color w:val="222222"/>
                <w:szCs w:val="22"/>
              </w:rPr>
              <w:t xml:space="preserve">SC 3.1: </w:t>
            </w:r>
            <w:r w:rsidRPr="003A2F93">
              <w:rPr>
                <w:rFonts w:cs="Calibri"/>
                <w:color w:val="222222"/>
                <w:szCs w:val="22"/>
              </w:rPr>
              <w:t>Zvýšit podíl výroby energie z obnovitelných zdrojů na hrubé konečné spotřebě ČR</w:t>
            </w:r>
          </w:p>
        </w:tc>
        <w:tc>
          <w:tcPr>
            <w:tcW w:w="2630" w:type="dxa"/>
          </w:tcPr>
          <w:p w:rsidR="002C41C1" w:rsidRPr="00CA0F31" w:rsidRDefault="002C41C1" w:rsidP="0050796E">
            <w:pPr>
              <w:spacing w:after="240"/>
              <w:rPr>
                <w:rFonts w:cs="Calibri"/>
                <w:color w:val="222222"/>
                <w:szCs w:val="22"/>
              </w:rPr>
            </w:pPr>
            <w:r w:rsidRPr="00CA0F31">
              <w:rPr>
                <w:rFonts w:cs="Calibri"/>
                <w:color w:val="222222"/>
                <w:szCs w:val="22"/>
              </w:rPr>
              <w:t>Výstavba nových a rekonstrukce /modernizace stávajících výroben elektřiny a tepla z OZE s tím, že vyrobená energie bude určena primárně pro distribuci, nikoli vlastní spotřebu</w:t>
            </w:r>
            <w:r>
              <w:rPr>
                <w:rFonts w:cs="Calibri"/>
                <w:color w:val="222222"/>
                <w:szCs w:val="22"/>
              </w:rPr>
              <w:t>.</w:t>
            </w:r>
          </w:p>
        </w:tc>
      </w:tr>
      <w:tr w:rsidR="002C41C1" w:rsidTr="003A2F93">
        <w:tc>
          <w:tcPr>
            <w:tcW w:w="2236" w:type="dxa"/>
          </w:tcPr>
          <w:p w:rsidR="002C41C1" w:rsidRPr="003944D2" w:rsidRDefault="002C41C1" w:rsidP="0050796E">
            <w:pPr>
              <w:spacing w:after="240"/>
              <w:rPr>
                <w:rFonts w:cs="Calibri"/>
                <w:color w:val="222222"/>
                <w:szCs w:val="22"/>
              </w:rPr>
            </w:pPr>
            <w:r w:rsidRPr="003944D2">
              <w:rPr>
                <w:rFonts w:cs="Calibri"/>
                <w:color w:val="222222"/>
                <w:szCs w:val="22"/>
              </w:rPr>
              <w:t>TC 4: Podpora přechodu na nízkouhlíkové hospodářství ve všech odvětvích</w:t>
            </w:r>
          </w:p>
        </w:tc>
        <w:tc>
          <w:tcPr>
            <w:tcW w:w="2236" w:type="dxa"/>
          </w:tcPr>
          <w:p w:rsidR="002C41C1" w:rsidRPr="003944D2" w:rsidRDefault="002C41C1" w:rsidP="0050796E">
            <w:pPr>
              <w:spacing w:after="240"/>
              <w:rPr>
                <w:rFonts w:cs="Calibri"/>
                <w:color w:val="222222"/>
                <w:szCs w:val="22"/>
              </w:rPr>
            </w:pPr>
            <w:r w:rsidRPr="003944D2">
              <w:rPr>
                <w:rFonts w:cs="Calibri"/>
                <w:color w:val="222222"/>
                <w:szCs w:val="22"/>
              </w:rPr>
              <w:t>PO 3: Účinné nakládání energií, rozvoj energetické infrastruktury a obnovitelných zdrojů energie, podpora zavádění nových technologií v oblasti nakládání energií a druhotných surovin</w:t>
            </w:r>
          </w:p>
        </w:tc>
        <w:tc>
          <w:tcPr>
            <w:tcW w:w="2186" w:type="dxa"/>
          </w:tcPr>
          <w:p w:rsidR="002C41C1" w:rsidRPr="003944D2" w:rsidRDefault="002C41C1" w:rsidP="0050796E">
            <w:pPr>
              <w:spacing w:after="240"/>
              <w:rPr>
                <w:rFonts w:cs="Calibri"/>
                <w:color w:val="222222"/>
                <w:szCs w:val="22"/>
              </w:rPr>
            </w:pPr>
            <w:r w:rsidRPr="003944D2">
              <w:rPr>
                <w:rFonts w:cs="Calibri"/>
                <w:color w:val="222222"/>
                <w:szCs w:val="22"/>
              </w:rPr>
              <w:t>SC 3.2: Zvýšit energetickou účinnost podnikatelského sektoru</w:t>
            </w:r>
          </w:p>
        </w:tc>
        <w:tc>
          <w:tcPr>
            <w:tcW w:w="2630" w:type="dxa"/>
          </w:tcPr>
          <w:p w:rsidR="002C41C1" w:rsidRPr="003944D2" w:rsidRDefault="002C41C1" w:rsidP="0050796E">
            <w:pPr>
              <w:spacing w:after="240"/>
              <w:rPr>
                <w:rFonts w:cs="Calibri"/>
                <w:color w:val="222222"/>
                <w:szCs w:val="22"/>
              </w:rPr>
            </w:pPr>
            <w:r w:rsidRPr="003944D2">
              <w:rPr>
                <w:rFonts w:cs="Calibri"/>
                <w:color w:val="222222"/>
                <w:szCs w:val="22"/>
              </w:rPr>
              <w:t>Modernizace a rekonstrukce rozvodů elektřiny, plynu a tepla v budovách a v energetických hospodářstvích výrobních závodů za účelem zvýšení účinnosti</w:t>
            </w:r>
          </w:p>
          <w:p w:rsidR="002C41C1" w:rsidRPr="003944D2" w:rsidRDefault="002C41C1" w:rsidP="0050796E">
            <w:pPr>
              <w:spacing w:after="240"/>
              <w:rPr>
                <w:rFonts w:cs="Calibri"/>
                <w:color w:val="222222"/>
                <w:szCs w:val="22"/>
              </w:rPr>
            </w:pPr>
            <w:r w:rsidRPr="003944D2">
              <w:rPr>
                <w:rFonts w:cs="Calibri"/>
                <w:color w:val="222222"/>
                <w:szCs w:val="22"/>
              </w:rPr>
              <w:t>Zavádění a modernizace systémů měření a regulace</w:t>
            </w:r>
          </w:p>
          <w:p w:rsidR="002C41C1" w:rsidRPr="003944D2" w:rsidRDefault="002C41C1" w:rsidP="0050796E">
            <w:pPr>
              <w:spacing w:after="240"/>
              <w:rPr>
                <w:rFonts w:cs="Calibri"/>
                <w:color w:val="222222"/>
                <w:szCs w:val="22"/>
              </w:rPr>
            </w:pPr>
            <w:r w:rsidRPr="003944D2">
              <w:rPr>
                <w:rFonts w:cs="Calibri"/>
                <w:color w:val="222222"/>
                <w:szCs w:val="22"/>
              </w:rPr>
              <w:t>Modernizace, rekonstrukce a snižování ztrát v rozvodech elektřiny a tepla, v budovách a výrobních závodech,</w:t>
            </w:r>
          </w:p>
          <w:p w:rsidR="002C41C1" w:rsidRPr="003944D2" w:rsidRDefault="002C41C1" w:rsidP="0050796E">
            <w:pPr>
              <w:spacing w:after="240"/>
              <w:rPr>
                <w:rFonts w:cs="Calibri"/>
                <w:color w:val="222222"/>
                <w:szCs w:val="22"/>
              </w:rPr>
            </w:pPr>
            <w:r w:rsidRPr="003944D2">
              <w:rPr>
                <w:rFonts w:cs="Calibri"/>
                <w:color w:val="222222"/>
                <w:szCs w:val="22"/>
              </w:rPr>
              <w:t>Realizace opatření ke snižování energetické náročnosti budov v podnikatelském sektoru</w:t>
            </w:r>
          </w:p>
          <w:p w:rsidR="002C41C1" w:rsidRPr="003944D2" w:rsidRDefault="002C41C1" w:rsidP="0050796E">
            <w:pPr>
              <w:spacing w:after="240"/>
              <w:rPr>
                <w:rFonts w:cs="Calibri"/>
                <w:color w:val="222222"/>
                <w:szCs w:val="22"/>
              </w:rPr>
            </w:pPr>
            <w:r w:rsidRPr="003944D2">
              <w:rPr>
                <w:rFonts w:cs="Calibri"/>
                <w:color w:val="222222"/>
                <w:szCs w:val="22"/>
              </w:rPr>
              <w:t>Využití odpadní energie ve výrobních procesech</w:t>
            </w:r>
          </w:p>
          <w:p w:rsidR="002C41C1" w:rsidRPr="003944D2" w:rsidRDefault="002C41C1" w:rsidP="0050796E">
            <w:pPr>
              <w:spacing w:after="240"/>
              <w:rPr>
                <w:rFonts w:cs="Calibri"/>
                <w:color w:val="222222"/>
                <w:szCs w:val="22"/>
              </w:rPr>
            </w:pPr>
            <w:r w:rsidRPr="003944D2">
              <w:rPr>
                <w:rFonts w:cs="Calibri"/>
                <w:color w:val="222222"/>
                <w:szCs w:val="22"/>
              </w:rPr>
              <w:lastRenderedPageBreak/>
              <w:t>Snižování energetické náročnosti/zvyšování energetické účinnosti výrobních a technologických procesů,</w:t>
            </w:r>
          </w:p>
          <w:p w:rsidR="002C41C1" w:rsidRPr="003944D2" w:rsidRDefault="002C41C1" w:rsidP="0050796E">
            <w:pPr>
              <w:spacing w:after="240"/>
              <w:rPr>
                <w:rFonts w:cs="Calibri"/>
                <w:color w:val="222222"/>
                <w:szCs w:val="22"/>
              </w:rPr>
            </w:pPr>
            <w:r w:rsidRPr="003944D2">
              <w:rPr>
                <w:rFonts w:cs="Calibri"/>
                <w:color w:val="222222"/>
                <w:szCs w:val="22"/>
              </w:rPr>
              <w:t>Instalace OZE pro vlastní spotřebu podniku,</w:t>
            </w:r>
          </w:p>
          <w:p w:rsidR="002C41C1" w:rsidRPr="003944D2" w:rsidRDefault="002C41C1" w:rsidP="0050796E">
            <w:pPr>
              <w:spacing w:after="240"/>
              <w:rPr>
                <w:rFonts w:cs="Calibri"/>
                <w:color w:val="222222"/>
                <w:szCs w:val="22"/>
              </w:rPr>
            </w:pPr>
            <w:r w:rsidRPr="003944D2">
              <w:rPr>
                <w:rFonts w:cs="Calibri"/>
                <w:color w:val="222222"/>
                <w:szCs w:val="22"/>
              </w:rPr>
              <w:t>Instalace kogenerační jednotky s maximálním využitím elektrické a tepelné energie pro vlastní spotřebu podniku,</w:t>
            </w:r>
          </w:p>
          <w:p w:rsidR="002C41C1" w:rsidRPr="003944D2" w:rsidRDefault="002C41C1" w:rsidP="0050796E">
            <w:pPr>
              <w:spacing w:after="240"/>
              <w:rPr>
                <w:rFonts w:cs="Calibri"/>
                <w:color w:val="222222"/>
                <w:szCs w:val="22"/>
              </w:rPr>
            </w:pPr>
            <w:r w:rsidRPr="003944D2">
              <w:rPr>
                <w:rFonts w:cs="Calibri"/>
                <w:color w:val="222222"/>
                <w:szCs w:val="22"/>
              </w:rPr>
              <w:t>Podpora vícenákladů na dosažení standardu budovy s téměř nulovou spotřebou a pasivního energetického standardu v případě rekonstrukce či výstavby nových podnikatelských budov. Vícenáklady budou odvozeny od modelových příkladů a pro účely podpory stanoveny jako pevná částka na jasně měřitelnou veličinu (např. na metr čtvereční energeticky vztažné plochy).</w:t>
            </w:r>
          </w:p>
        </w:tc>
      </w:tr>
      <w:tr w:rsidR="002C41C1" w:rsidTr="003A2F93">
        <w:tc>
          <w:tcPr>
            <w:tcW w:w="2236" w:type="dxa"/>
          </w:tcPr>
          <w:p w:rsidR="002C41C1" w:rsidRPr="003944D2" w:rsidRDefault="002C41C1" w:rsidP="0050796E">
            <w:pPr>
              <w:spacing w:after="240"/>
              <w:rPr>
                <w:rFonts w:cs="Calibri"/>
                <w:color w:val="222222"/>
                <w:szCs w:val="22"/>
              </w:rPr>
            </w:pPr>
            <w:r w:rsidRPr="003944D2">
              <w:rPr>
                <w:rFonts w:cs="Calibri"/>
                <w:color w:val="222222"/>
                <w:szCs w:val="22"/>
              </w:rPr>
              <w:lastRenderedPageBreak/>
              <w:t>TC 4: Podpora přechodu na nízkouhlíkové hospodářství ve všech odvětvích</w:t>
            </w:r>
          </w:p>
        </w:tc>
        <w:tc>
          <w:tcPr>
            <w:tcW w:w="2236" w:type="dxa"/>
          </w:tcPr>
          <w:p w:rsidR="002C41C1" w:rsidRPr="003944D2" w:rsidRDefault="002C41C1" w:rsidP="0050796E">
            <w:pPr>
              <w:spacing w:after="240"/>
              <w:rPr>
                <w:rFonts w:cs="Calibri"/>
                <w:color w:val="222222"/>
                <w:szCs w:val="22"/>
              </w:rPr>
            </w:pPr>
            <w:r w:rsidRPr="003944D2">
              <w:rPr>
                <w:rFonts w:cs="Calibri"/>
                <w:color w:val="222222"/>
                <w:szCs w:val="22"/>
              </w:rPr>
              <w:t>PO 3: Účinné nakládání energií, rozvoj energetické infrastruktury a obnovitelných zdrojů energie, podpora zavádění nových technologií v oblasti nakládání energií a druhotných surovin</w:t>
            </w:r>
          </w:p>
        </w:tc>
        <w:tc>
          <w:tcPr>
            <w:tcW w:w="2186" w:type="dxa"/>
          </w:tcPr>
          <w:p w:rsidR="002C41C1" w:rsidRPr="003944D2" w:rsidRDefault="002C41C1" w:rsidP="0050796E">
            <w:pPr>
              <w:spacing w:after="240"/>
              <w:rPr>
                <w:rFonts w:cs="Calibri"/>
                <w:color w:val="222222"/>
                <w:szCs w:val="22"/>
              </w:rPr>
            </w:pPr>
            <w:r w:rsidRPr="003944D2">
              <w:rPr>
                <w:rFonts w:cs="Calibri"/>
                <w:color w:val="222222"/>
                <w:szCs w:val="22"/>
              </w:rPr>
              <w:t>SC 3.5: Zvýšit účinnost soustav zásobování teplem</w:t>
            </w:r>
          </w:p>
        </w:tc>
        <w:tc>
          <w:tcPr>
            <w:tcW w:w="2630" w:type="dxa"/>
          </w:tcPr>
          <w:p w:rsidR="002C41C1" w:rsidRPr="003944D2" w:rsidRDefault="002C41C1" w:rsidP="0050796E">
            <w:pPr>
              <w:spacing w:after="240"/>
              <w:rPr>
                <w:rFonts w:cs="Calibri"/>
                <w:color w:val="222222"/>
                <w:szCs w:val="22"/>
              </w:rPr>
            </w:pPr>
            <w:r w:rsidRPr="003944D2">
              <w:rPr>
                <w:rFonts w:cs="Calibri"/>
                <w:color w:val="222222"/>
                <w:szCs w:val="22"/>
              </w:rPr>
              <w:t>Zavádění a zvyšování účinnosti systémů kombinované výroby elektřiny a tepla</w:t>
            </w:r>
          </w:p>
        </w:tc>
      </w:tr>
      <w:tr w:rsidR="002C41C1" w:rsidTr="003A2F93">
        <w:tc>
          <w:tcPr>
            <w:tcW w:w="2236" w:type="dxa"/>
          </w:tcPr>
          <w:p w:rsidR="002C41C1" w:rsidRPr="003944D2" w:rsidRDefault="002C41C1" w:rsidP="0050796E">
            <w:pPr>
              <w:spacing w:after="240"/>
              <w:rPr>
                <w:rFonts w:cs="Calibri"/>
                <w:color w:val="222222"/>
                <w:szCs w:val="22"/>
              </w:rPr>
            </w:pPr>
            <w:r w:rsidRPr="00DF6E0B">
              <w:rPr>
                <w:rFonts w:cs="Calibri"/>
                <w:color w:val="222222"/>
                <w:szCs w:val="22"/>
              </w:rPr>
              <w:t>TC 2</w:t>
            </w:r>
            <w:r w:rsidRPr="00F75FB4">
              <w:rPr>
                <w:rFonts w:cs="Calibri"/>
                <w:color w:val="222222"/>
                <w:szCs w:val="22"/>
              </w:rPr>
              <w:t>:</w:t>
            </w:r>
            <w:r>
              <w:rPr>
                <w:rFonts w:cs="Calibri"/>
                <w:color w:val="222222"/>
                <w:szCs w:val="22"/>
              </w:rPr>
              <w:t xml:space="preserve"> </w:t>
            </w:r>
          </w:p>
        </w:tc>
        <w:tc>
          <w:tcPr>
            <w:tcW w:w="2236" w:type="dxa"/>
          </w:tcPr>
          <w:p w:rsidR="002C41C1" w:rsidRPr="00CA0F31" w:rsidRDefault="002C41C1" w:rsidP="0050796E">
            <w:pPr>
              <w:spacing w:after="240"/>
              <w:rPr>
                <w:rFonts w:cs="Calibri"/>
                <w:color w:val="222222"/>
                <w:szCs w:val="22"/>
              </w:rPr>
            </w:pPr>
            <w:r>
              <w:rPr>
                <w:rFonts w:cs="Calibri"/>
                <w:color w:val="222222"/>
                <w:szCs w:val="22"/>
              </w:rPr>
              <w:t xml:space="preserve">PO 4: </w:t>
            </w:r>
            <w:r w:rsidRPr="00CA0F31">
              <w:rPr>
                <w:rFonts w:cs="Calibri"/>
                <w:color w:val="222222"/>
                <w:szCs w:val="22"/>
              </w:rPr>
              <w:t xml:space="preserve">Rozvoj vysokorychlostních přístupových sítí k internetu a informačních a komunikačních </w:t>
            </w:r>
            <w:r w:rsidRPr="00CA0F31">
              <w:rPr>
                <w:rFonts w:cs="Calibri"/>
                <w:color w:val="222222"/>
                <w:szCs w:val="22"/>
              </w:rPr>
              <w:lastRenderedPageBreak/>
              <w:t>technologií</w:t>
            </w:r>
          </w:p>
        </w:tc>
        <w:tc>
          <w:tcPr>
            <w:tcW w:w="2186" w:type="dxa"/>
          </w:tcPr>
          <w:p w:rsidR="002C41C1" w:rsidRPr="00CA0F31" w:rsidRDefault="002C41C1" w:rsidP="0050796E">
            <w:pPr>
              <w:spacing w:after="240"/>
              <w:rPr>
                <w:rFonts w:cs="Calibri"/>
                <w:color w:val="222222"/>
                <w:szCs w:val="22"/>
              </w:rPr>
            </w:pPr>
            <w:r>
              <w:rPr>
                <w:rFonts w:cs="Calibri"/>
                <w:color w:val="222222"/>
                <w:szCs w:val="22"/>
              </w:rPr>
              <w:lastRenderedPageBreak/>
              <w:t xml:space="preserve">SC 4.1: </w:t>
            </w:r>
            <w:r w:rsidRPr="00CA0F31">
              <w:rPr>
                <w:rFonts w:cs="Calibri"/>
                <w:color w:val="222222"/>
                <w:szCs w:val="22"/>
              </w:rPr>
              <w:t>Zvětšit pokrytí vysokorychlostním přístupem k internetu</w:t>
            </w:r>
          </w:p>
        </w:tc>
        <w:tc>
          <w:tcPr>
            <w:tcW w:w="2630" w:type="dxa"/>
          </w:tcPr>
          <w:p w:rsidR="002C41C1" w:rsidRPr="00CA0F31" w:rsidRDefault="002C41C1" w:rsidP="00CA0F31">
            <w:pPr>
              <w:spacing w:after="240"/>
              <w:rPr>
                <w:rFonts w:cs="Calibri"/>
                <w:color w:val="222222"/>
                <w:szCs w:val="22"/>
              </w:rPr>
            </w:pPr>
            <w:r w:rsidRPr="00CA0F31">
              <w:rPr>
                <w:rFonts w:cs="Calibri"/>
                <w:color w:val="222222"/>
                <w:szCs w:val="22"/>
              </w:rPr>
              <w:t xml:space="preserve">Modernizace resp. rozšiřování stávající infrastruktury pro vysokorychlostní přístup k internetu využitím optických prvků s cílem </w:t>
            </w:r>
            <w:r w:rsidRPr="00CA0F31">
              <w:rPr>
                <w:rFonts w:cs="Calibri"/>
                <w:color w:val="222222"/>
                <w:szCs w:val="22"/>
              </w:rPr>
              <w:lastRenderedPageBreak/>
              <w:t>umožnit vysokorychlostní přístup k internetu přenosovou rychlostí alespoň 30 Mbit/s,</w:t>
            </w:r>
          </w:p>
          <w:p w:rsidR="002C41C1" w:rsidRPr="00CA0F31" w:rsidRDefault="002C41C1" w:rsidP="00CA0F31">
            <w:pPr>
              <w:spacing w:after="240"/>
              <w:rPr>
                <w:rFonts w:cs="Calibri"/>
                <w:color w:val="222222"/>
                <w:szCs w:val="22"/>
              </w:rPr>
            </w:pPr>
            <w:r>
              <w:rPr>
                <w:rFonts w:cs="Calibri"/>
                <w:color w:val="222222"/>
                <w:szCs w:val="22"/>
              </w:rPr>
              <w:t>Z</w:t>
            </w:r>
            <w:r w:rsidRPr="00CA0F31">
              <w:rPr>
                <w:rFonts w:cs="Calibri"/>
                <w:color w:val="222222"/>
                <w:szCs w:val="22"/>
              </w:rPr>
              <w:t>řizování nových sítí sestávajících z části nebo plně z optických vedení pro vysokorychlostní přístup k internetu umožňující přenosovou rychlost alespoň 30 Mbit/s; v případě zřizování nových sítí s pevným připojením do jednotlivých domácností musí tato síť umožnit přenosovou rychlost až 100 Mbit/s,</w:t>
            </w:r>
          </w:p>
          <w:p w:rsidR="002C41C1" w:rsidRPr="00CA0F31" w:rsidRDefault="002C41C1" w:rsidP="00CA0F31">
            <w:pPr>
              <w:spacing w:after="240"/>
              <w:rPr>
                <w:rFonts w:cs="Calibri"/>
                <w:color w:val="222222"/>
                <w:szCs w:val="22"/>
              </w:rPr>
            </w:pPr>
            <w:r>
              <w:rPr>
                <w:rFonts w:cs="Calibri"/>
                <w:color w:val="222222"/>
                <w:szCs w:val="22"/>
              </w:rPr>
              <w:t>V</w:t>
            </w:r>
            <w:r w:rsidRPr="00CA0F31">
              <w:rPr>
                <w:rFonts w:cs="Calibri"/>
                <w:color w:val="222222"/>
                <w:szCs w:val="22"/>
              </w:rPr>
              <w:t>ytváření pasivní infrastruktury pro vysokorychlostní přístup k internetu zejména v lokalitách předpokládaného budoucího stavebního rozvoje, přičemž tato aktivita může být podpořena pouze v kombinaci s jednou z předchozích dvou aktivit.</w:t>
            </w:r>
          </w:p>
        </w:tc>
      </w:tr>
    </w:tbl>
    <w:p w:rsidR="002C41C1" w:rsidRPr="00327214" w:rsidRDefault="002C41C1" w:rsidP="009F5E79">
      <w:pPr>
        <w:spacing w:after="240"/>
        <w:rPr>
          <w:rFonts w:cs="Calibri"/>
          <w:color w:val="222222"/>
          <w:szCs w:val="22"/>
        </w:rPr>
      </w:pPr>
    </w:p>
    <w:p w:rsidR="002C41C1" w:rsidRDefault="002C41C1" w:rsidP="00DF6E0B">
      <w:r w:rsidRPr="00BC7BCA">
        <w:t>Jsou-li</w:t>
      </w:r>
      <w:r w:rsidR="00E0031A">
        <w:t xml:space="preserve"> </w:t>
      </w:r>
      <w:r w:rsidRPr="00BC7BCA">
        <w:t>zjištěny nedostatky</w:t>
      </w:r>
      <w:r>
        <w:t xml:space="preserve"> v tržním financování, </w:t>
      </w:r>
      <w:r w:rsidRPr="00BC7BCA">
        <w:t xml:space="preserve">měla by </w:t>
      </w:r>
      <w:r>
        <w:t xml:space="preserve">analýza </w:t>
      </w:r>
      <w:r w:rsidRPr="00BC7BCA">
        <w:t xml:space="preserve">posoudit přidanou hodnotu </w:t>
      </w:r>
      <w:r>
        <w:t xml:space="preserve">jejich </w:t>
      </w:r>
      <w:r w:rsidRPr="00BC7BCA">
        <w:t>řešení</w:t>
      </w:r>
      <w:r>
        <w:t xml:space="preserve"> za využití finančních nástrojů. Dále by </w:t>
      </w:r>
      <w:r w:rsidRPr="008F6F0F">
        <w:t xml:space="preserve">analýza </w:t>
      </w:r>
      <w:r>
        <w:t>měla zkoumat komplementaritu</w:t>
      </w:r>
      <w:r w:rsidRPr="008F6F0F">
        <w:t xml:space="preserve"> a soulad navrhovaných finančních </w:t>
      </w:r>
      <w:r>
        <w:t xml:space="preserve">nástrojů </w:t>
      </w:r>
      <w:r w:rsidRPr="008F6F0F">
        <w:t xml:space="preserve">s ohledem na </w:t>
      </w:r>
      <w:r>
        <w:t>existující veřejné či soukromé zásahy při</w:t>
      </w:r>
      <w:r w:rsidRPr="008F6F0F">
        <w:t xml:space="preserve"> řešení stejných investičních oblastí.</w:t>
      </w:r>
    </w:p>
    <w:p w:rsidR="006E4D0C" w:rsidRDefault="006E4D0C" w:rsidP="00DF6E0B"/>
    <w:p w:rsidR="002C41C1" w:rsidRDefault="002C41C1" w:rsidP="00DF6E0B">
      <w:r>
        <w:t>P</w:t>
      </w:r>
      <w:r w:rsidRPr="008F6F0F">
        <w:t>ro každou z p</w:t>
      </w:r>
      <w:r>
        <w:t>rioritních investičních oblastí</w:t>
      </w:r>
      <w:r w:rsidR="00BD7EA5">
        <w:t xml:space="preserve"> </w:t>
      </w:r>
      <w:r>
        <w:t xml:space="preserve">by </w:t>
      </w:r>
      <w:r w:rsidRPr="008F6F0F">
        <w:t xml:space="preserve">analýza měla </w:t>
      </w:r>
      <w:r>
        <w:t>věnovat z</w:t>
      </w:r>
      <w:r w:rsidRPr="008F6F0F">
        <w:t xml:space="preserve">vláštní </w:t>
      </w:r>
      <w:r>
        <w:t>pozornost identifikaci realistického</w:t>
      </w:r>
      <w:r w:rsidR="00BD7EA5">
        <w:t xml:space="preserve"> </w:t>
      </w:r>
      <w:r>
        <w:t>modelu</w:t>
      </w:r>
      <w:r w:rsidRPr="008F6F0F">
        <w:t>, typ</w:t>
      </w:r>
      <w:r>
        <w:t>u</w:t>
      </w:r>
      <w:r w:rsidRPr="008F6F0F">
        <w:t xml:space="preserve"> finančních produktů nejlépe </w:t>
      </w:r>
      <w:r>
        <w:t xml:space="preserve">se </w:t>
      </w:r>
      <w:r w:rsidRPr="008F6F0F">
        <w:t>hodí</w:t>
      </w:r>
      <w:r>
        <w:t>cích</w:t>
      </w:r>
      <w:r w:rsidRPr="008F6F0F">
        <w:t xml:space="preserve"> pro řešení investičních potřeb a objem potřebné</w:t>
      </w:r>
      <w:r>
        <w:t>ho</w:t>
      </w:r>
      <w:r w:rsidRPr="008F6F0F">
        <w:t xml:space="preserve"> financování. </w:t>
      </w:r>
      <w:r>
        <w:t>Součástí bude také odhadovaný harmonogram</w:t>
      </w:r>
      <w:r w:rsidR="00BD7EA5">
        <w:t xml:space="preserve"> </w:t>
      </w:r>
      <w:r>
        <w:t>přípravy FN a investic, stejně jako posouzení možných kombinací</w:t>
      </w:r>
      <w:r w:rsidRPr="008F6F0F">
        <w:t xml:space="preserve"> s granty, subvence</w:t>
      </w:r>
      <w:r>
        <w:t>mi</w:t>
      </w:r>
      <w:r w:rsidRPr="008F6F0F">
        <w:t xml:space="preserve"> úrokových sazeb a subvence</w:t>
      </w:r>
      <w:r>
        <w:t>mi</w:t>
      </w:r>
      <w:r w:rsidRPr="008F6F0F">
        <w:t xml:space="preserve"> poplatků za záruky a granty </w:t>
      </w:r>
      <w:r>
        <w:t xml:space="preserve">technické podpory </w:t>
      </w:r>
      <w:r w:rsidRPr="008F6F0F">
        <w:t xml:space="preserve">v rámci samotného </w:t>
      </w:r>
      <w:r>
        <w:t>FN</w:t>
      </w:r>
      <w:r w:rsidRPr="008F6F0F">
        <w:t xml:space="preserve">. Na základě těchto poznatků budou </w:t>
      </w:r>
      <w:r>
        <w:t xml:space="preserve">v bloku II. </w:t>
      </w:r>
      <w:r w:rsidRPr="008F6F0F">
        <w:t xml:space="preserve">navrženy možnosti investiční strategie finančních </w:t>
      </w:r>
      <w:r>
        <w:t>nástrojů</w:t>
      </w:r>
      <w:r w:rsidRPr="008F6F0F">
        <w:t xml:space="preserve">, včetně produktů a </w:t>
      </w:r>
      <w:r>
        <w:t>skupin konečných</w:t>
      </w:r>
      <w:r w:rsidRPr="008F6F0F">
        <w:t xml:space="preserve"> příjemců, </w:t>
      </w:r>
      <w:r>
        <w:t>možností</w:t>
      </w:r>
      <w:r w:rsidR="006E4D0C">
        <w:t xml:space="preserve"> </w:t>
      </w:r>
      <w:r>
        <w:t>řízení a implementace, prováděcích pravidel</w:t>
      </w:r>
      <w:r w:rsidRPr="008F6F0F">
        <w:t xml:space="preserve"> a </w:t>
      </w:r>
      <w:r>
        <w:t xml:space="preserve">pravidel pro </w:t>
      </w:r>
      <w:r w:rsidRPr="008F6F0F">
        <w:t>výběr</w:t>
      </w:r>
      <w:r>
        <w:t xml:space="preserve"> manažera.</w:t>
      </w:r>
    </w:p>
    <w:p w:rsidR="006E4D0C" w:rsidRPr="008F6F0F" w:rsidRDefault="006E4D0C" w:rsidP="00DF6E0B"/>
    <w:p w:rsidR="002C41C1" w:rsidRDefault="002C41C1" w:rsidP="00DF6E0B">
      <w:r w:rsidRPr="008F6F0F">
        <w:t>Pro každou z cílových investičních oblastí popsaných v</w:t>
      </w:r>
      <w:r>
        <w:t>ýše v tabulce (případně dalších relevantních oblastech pokrytých podporou z </w:t>
      </w:r>
      <w:r w:rsidR="00BD7EA5">
        <w:t>OP</w:t>
      </w:r>
      <w:r w:rsidR="0084453C">
        <w:t>PIK</w:t>
      </w:r>
      <w:r>
        <w:t xml:space="preserve">) se </w:t>
      </w:r>
      <w:r w:rsidRPr="008F6F0F">
        <w:t xml:space="preserve">analýza bude týkat </w:t>
      </w:r>
      <w:r>
        <w:t>zejména následujících bodů:</w:t>
      </w:r>
    </w:p>
    <w:p w:rsidR="006E4D0C" w:rsidRDefault="006E4D0C" w:rsidP="00DF6E0B"/>
    <w:p w:rsidR="002C41C1" w:rsidRPr="00BA2BE0" w:rsidRDefault="002C41C1" w:rsidP="009F5E79">
      <w:pPr>
        <w:spacing w:after="240"/>
        <w:rPr>
          <w:rFonts w:cs="Calibri"/>
          <w:b/>
          <w:color w:val="222222"/>
          <w:szCs w:val="22"/>
        </w:rPr>
      </w:pPr>
      <w:r w:rsidRPr="00BA2BE0">
        <w:rPr>
          <w:rFonts w:cs="Calibri"/>
          <w:b/>
          <w:color w:val="222222"/>
          <w:szCs w:val="22"/>
        </w:rPr>
        <w:t xml:space="preserve">a) </w:t>
      </w:r>
      <w:r>
        <w:rPr>
          <w:rFonts w:cs="Calibri"/>
          <w:b/>
          <w:color w:val="222222"/>
          <w:szCs w:val="22"/>
        </w:rPr>
        <w:t>A</w:t>
      </w:r>
      <w:r w:rsidRPr="00BA2BE0">
        <w:rPr>
          <w:rFonts w:cs="Calibri"/>
          <w:b/>
          <w:color w:val="222222"/>
          <w:szCs w:val="22"/>
        </w:rPr>
        <w:t>nalýza selhání trhu</w:t>
      </w:r>
    </w:p>
    <w:p w:rsidR="002C41C1" w:rsidRDefault="002C41C1" w:rsidP="009F5E79">
      <w:pPr>
        <w:pStyle w:val="Odstavecseseznamem"/>
        <w:numPr>
          <w:ilvl w:val="0"/>
          <w:numId w:val="19"/>
        </w:numPr>
        <w:spacing w:after="240"/>
        <w:rPr>
          <w:rFonts w:cs="Calibri"/>
          <w:color w:val="222222"/>
          <w:szCs w:val="22"/>
        </w:rPr>
      </w:pPr>
      <w:r w:rsidRPr="00D205D4">
        <w:rPr>
          <w:rFonts w:cs="Calibri"/>
          <w:color w:val="222222"/>
          <w:szCs w:val="22"/>
        </w:rPr>
        <w:t xml:space="preserve">Identifikace selhání trhu, jeho typ a rozsah a </w:t>
      </w:r>
      <w:r>
        <w:rPr>
          <w:rFonts w:cs="Calibri"/>
          <w:color w:val="222222"/>
          <w:szCs w:val="22"/>
        </w:rPr>
        <w:t>suboptimální investiční situace.</w:t>
      </w:r>
    </w:p>
    <w:p w:rsidR="002C41C1" w:rsidRDefault="002C41C1" w:rsidP="009F5E79">
      <w:pPr>
        <w:pStyle w:val="Odstavecseseznamem"/>
        <w:numPr>
          <w:ilvl w:val="0"/>
          <w:numId w:val="19"/>
        </w:numPr>
        <w:jc w:val="left"/>
        <w:rPr>
          <w:rFonts w:cs="Calibri"/>
          <w:color w:val="222222"/>
          <w:szCs w:val="22"/>
        </w:rPr>
      </w:pPr>
      <w:r>
        <w:rPr>
          <w:rFonts w:cs="Calibri"/>
          <w:color w:val="222222"/>
          <w:szCs w:val="22"/>
        </w:rPr>
        <w:t>I</w:t>
      </w:r>
      <w:r w:rsidRPr="00B36AAB">
        <w:rPr>
          <w:rFonts w:cs="Calibri"/>
          <w:color w:val="222222"/>
          <w:szCs w:val="22"/>
        </w:rPr>
        <w:t xml:space="preserve">dentifikace a hodnocení tržních segmentů z hlediska </w:t>
      </w:r>
      <w:r>
        <w:rPr>
          <w:rFonts w:cs="Calibri"/>
          <w:color w:val="222222"/>
          <w:szCs w:val="22"/>
        </w:rPr>
        <w:t>potenciálních typových projektů</w:t>
      </w:r>
      <w:r w:rsidRPr="00B36AAB">
        <w:rPr>
          <w:rFonts w:cs="Calibri"/>
          <w:color w:val="222222"/>
          <w:szCs w:val="22"/>
        </w:rPr>
        <w:t xml:space="preserve">, </w:t>
      </w:r>
      <w:r>
        <w:rPr>
          <w:rFonts w:cs="Calibri"/>
          <w:color w:val="222222"/>
          <w:szCs w:val="22"/>
        </w:rPr>
        <w:t>odhadovaného rozmezí způsobilých nákladů projektů</w:t>
      </w:r>
      <w:r w:rsidRPr="00B36AAB">
        <w:rPr>
          <w:rFonts w:cs="Calibri"/>
          <w:color w:val="222222"/>
          <w:szCs w:val="22"/>
        </w:rPr>
        <w:t xml:space="preserve">, </w:t>
      </w:r>
      <w:r>
        <w:rPr>
          <w:rFonts w:cs="Calibri"/>
          <w:color w:val="222222"/>
          <w:szCs w:val="22"/>
        </w:rPr>
        <w:t>a z hlediska fáze životního cyklu podniku (počáteční fáze podnikání</w:t>
      </w:r>
      <w:r w:rsidRPr="00B36AAB">
        <w:rPr>
          <w:rFonts w:cs="Calibri"/>
          <w:color w:val="222222"/>
          <w:szCs w:val="22"/>
        </w:rPr>
        <w:t xml:space="preserve">, </w:t>
      </w:r>
      <w:r>
        <w:rPr>
          <w:rFonts w:cs="Calibri"/>
          <w:color w:val="222222"/>
          <w:szCs w:val="22"/>
        </w:rPr>
        <w:t>růstová fáze, případně podrobnější segmentace). V tomto bodě budou využity kvantitativní a kvalitativní metody zjišťování včetně nástrojů průzkumu trhu.</w:t>
      </w:r>
    </w:p>
    <w:p w:rsidR="002C41C1" w:rsidRPr="00D205D4" w:rsidRDefault="002C41C1" w:rsidP="009F5E79">
      <w:pPr>
        <w:pStyle w:val="Odstavecseseznamem"/>
        <w:numPr>
          <w:ilvl w:val="0"/>
          <w:numId w:val="19"/>
        </w:numPr>
        <w:spacing w:after="240"/>
        <w:rPr>
          <w:rFonts w:cs="Calibri"/>
          <w:color w:val="222222"/>
          <w:szCs w:val="22"/>
        </w:rPr>
      </w:pPr>
      <w:r w:rsidRPr="00D205D4">
        <w:rPr>
          <w:rFonts w:cs="Calibri"/>
          <w:color w:val="222222"/>
          <w:szCs w:val="22"/>
        </w:rPr>
        <w:t>Analýza objemu zdrojů ESIF, které mají být přiděleny na FN s cílem přilákat další investory a zaplnit investiční mezeru</w:t>
      </w:r>
      <w:r>
        <w:rPr>
          <w:rFonts w:cs="Calibri"/>
          <w:color w:val="222222"/>
          <w:szCs w:val="22"/>
        </w:rPr>
        <w:t>.</w:t>
      </w:r>
    </w:p>
    <w:p w:rsidR="002C41C1" w:rsidRDefault="002C41C1" w:rsidP="009F5E79">
      <w:pPr>
        <w:pStyle w:val="Odstavecseseznamem"/>
        <w:rPr>
          <w:rFonts w:cs="Calibri"/>
          <w:color w:val="222222"/>
          <w:szCs w:val="22"/>
        </w:rPr>
      </w:pPr>
    </w:p>
    <w:p w:rsidR="002C41C1" w:rsidRPr="00467406" w:rsidRDefault="002C41C1" w:rsidP="009F5E79">
      <w:pPr>
        <w:spacing w:after="240"/>
        <w:rPr>
          <w:rFonts w:cs="Calibri"/>
          <w:b/>
          <w:color w:val="222222"/>
          <w:szCs w:val="22"/>
        </w:rPr>
      </w:pPr>
      <w:r>
        <w:rPr>
          <w:rFonts w:cs="Calibri"/>
          <w:b/>
          <w:color w:val="222222"/>
          <w:szCs w:val="22"/>
        </w:rPr>
        <w:t>b) P</w:t>
      </w:r>
      <w:r w:rsidRPr="00467406">
        <w:rPr>
          <w:rFonts w:cs="Calibri"/>
          <w:b/>
          <w:color w:val="222222"/>
          <w:szCs w:val="22"/>
        </w:rPr>
        <w:t>osouzení přidané hodnoty finančních nástrojů</w:t>
      </w:r>
    </w:p>
    <w:p w:rsidR="002C41C1" w:rsidRPr="00D205D4" w:rsidRDefault="002C41C1" w:rsidP="009F5E79">
      <w:pPr>
        <w:pStyle w:val="Odstavecseseznamem"/>
        <w:numPr>
          <w:ilvl w:val="0"/>
          <w:numId w:val="20"/>
        </w:numPr>
        <w:spacing w:after="240"/>
        <w:rPr>
          <w:rFonts w:cs="Calibri"/>
          <w:color w:val="222222"/>
          <w:szCs w:val="22"/>
        </w:rPr>
      </w:pPr>
      <w:r w:rsidRPr="00D205D4">
        <w:rPr>
          <w:rFonts w:cs="Calibri"/>
          <w:color w:val="222222"/>
          <w:szCs w:val="22"/>
        </w:rPr>
        <w:t xml:space="preserve">Možný přínos FN ke strategii a k očekávaným </w:t>
      </w:r>
      <w:r>
        <w:rPr>
          <w:rFonts w:cs="Calibri"/>
          <w:color w:val="222222"/>
          <w:szCs w:val="22"/>
        </w:rPr>
        <w:t>výsledkům příslušného programu.</w:t>
      </w:r>
    </w:p>
    <w:p w:rsidR="002C41C1" w:rsidRPr="00007B41" w:rsidRDefault="002C41C1" w:rsidP="009F5E79">
      <w:pPr>
        <w:pStyle w:val="Odstavecseseznamem"/>
        <w:numPr>
          <w:ilvl w:val="0"/>
          <w:numId w:val="20"/>
        </w:numPr>
        <w:spacing w:after="240"/>
        <w:rPr>
          <w:rFonts w:cs="Calibri"/>
          <w:color w:val="222222"/>
          <w:szCs w:val="22"/>
        </w:rPr>
      </w:pPr>
      <w:r w:rsidRPr="00007B41">
        <w:rPr>
          <w:rFonts w:cs="Calibri"/>
          <w:color w:val="222222"/>
          <w:szCs w:val="22"/>
        </w:rPr>
        <w:t>Přidaná hodnota FN, soulad s jinými formami veřejných intervenci zaměřených na stejné selhání trhu k omezení překryvů – zejména s ohledem na dotační podporu z </w:t>
      </w:r>
      <w:r w:rsidR="0084453C">
        <w:rPr>
          <w:rFonts w:cs="Calibri"/>
          <w:color w:val="222222"/>
          <w:szCs w:val="22"/>
        </w:rPr>
        <w:t>OP PIK</w:t>
      </w:r>
      <w:r w:rsidRPr="00007B41">
        <w:rPr>
          <w:rFonts w:cs="Calibri"/>
          <w:color w:val="222222"/>
          <w:szCs w:val="22"/>
        </w:rPr>
        <w:t xml:space="preserve">, ale i další komplementarity a synergie (včetně FN v unijních programech </w:t>
      </w:r>
      <w:r>
        <w:rPr>
          <w:rFonts w:cs="Calibri"/>
          <w:color w:val="222222"/>
          <w:szCs w:val="22"/>
        </w:rPr>
        <w:t>COSME, HORIZON 2020 atd.</w:t>
      </w:r>
      <w:r w:rsidRPr="00007B41">
        <w:rPr>
          <w:rFonts w:cs="Calibri"/>
          <w:color w:val="222222"/>
          <w:szCs w:val="22"/>
        </w:rPr>
        <w:t>) s cílem zpřehlednit mechanismus podpory podnikání v ČR.</w:t>
      </w:r>
    </w:p>
    <w:p w:rsidR="002C41C1" w:rsidRPr="00336EDA" w:rsidRDefault="002C41C1" w:rsidP="009F5E79">
      <w:pPr>
        <w:pStyle w:val="Odstavecseseznamem"/>
        <w:numPr>
          <w:ilvl w:val="0"/>
          <w:numId w:val="20"/>
        </w:numPr>
        <w:spacing w:after="240"/>
        <w:rPr>
          <w:rFonts w:cs="Calibri"/>
          <w:color w:val="222222"/>
          <w:szCs w:val="22"/>
        </w:rPr>
      </w:pPr>
      <w:r>
        <w:rPr>
          <w:rFonts w:cs="Calibri"/>
          <w:color w:val="222222"/>
          <w:szCs w:val="22"/>
        </w:rPr>
        <w:t>I</w:t>
      </w:r>
      <w:r w:rsidRPr="00D205D4">
        <w:rPr>
          <w:rFonts w:cs="Calibri"/>
          <w:color w:val="222222"/>
          <w:szCs w:val="22"/>
        </w:rPr>
        <w:t xml:space="preserve">dentifikace potřeb, překážek a příležitostí pro využití finančních </w:t>
      </w:r>
      <w:r>
        <w:rPr>
          <w:rFonts w:cs="Calibri"/>
          <w:color w:val="222222"/>
          <w:szCs w:val="22"/>
        </w:rPr>
        <w:t>nástrojů.</w:t>
      </w:r>
    </w:p>
    <w:p w:rsidR="002C41C1" w:rsidRPr="00D205D4" w:rsidRDefault="002C41C1" w:rsidP="009F5E79">
      <w:pPr>
        <w:pStyle w:val="Odstavecseseznamem"/>
        <w:numPr>
          <w:ilvl w:val="0"/>
          <w:numId w:val="20"/>
        </w:numPr>
        <w:spacing w:after="240"/>
        <w:rPr>
          <w:rFonts w:cs="Calibri"/>
          <w:color w:val="222222"/>
          <w:szCs w:val="22"/>
        </w:rPr>
      </w:pPr>
      <w:r w:rsidRPr="00D205D4">
        <w:rPr>
          <w:rFonts w:cs="Calibri"/>
          <w:color w:val="222222"/>
          <w:szCs w:val="22"/>
        </w:rPr>
        <w:t>Možné řešení veřejné podpory, včetně přiměřenosti zamýšleného z</w:t>
      </w:r>
      <w:r>
        <w:rPr>
          <w:rFonts w:cs="Calibri"/>
          <w:color w:val="222222"/>
          <w:szCs w:val="22"/>
        </w:rPr>
        <w:t>ásahu na zjištěné potřeby trhu.</w:t>
      </w:r>
    </w:p>
    <w:p w:rsidR="002C41C1" w:rsidRDefault="002C41C1" w:rsidP="009F5E79">
      <w:pPr>
        <w:pStyle w:val="Odstavecseseznamem"/>
        <w:numPr>
          <w:ilvl w:val="0"/>
          <w:numId w:val="20"/>
        </w:numPr>
        <w:spacing w:after="240"/>
        <w:rPr>
          <w:rFonts w:cs="Calibri"/>
          <w:color w:val="222222"/>
          <w:szCs w:val="22"/>
        </w:rPr>
      </w:pPr>
      <w:r w:rsidRPr="00D205D4">
        <w:rPr>
          <w:rFonts w:cs="Calibri"/>
          <w:color w:val="222222"/>
          <w:szCs w:val="22"/>
        </w:rPr>
        <w:t>Opatření k minimalizaci narušení trhu vyplývající z</w:t>
      </w:r>
      <w:r>
        <w:rPr>
          <w:rFonts w:cs="Calibri"/>
          <w:color w:val="222222"/>
          <w:szCs w:val="22"/>
        </w:rPr>
        <w:t xml:space="preserve"> implementace </w:t>
      </w:r>
      <w:r w:rsidRPr="00D205D4">
        <w:rPr>
          <w:rFonts w:cs="Calibri"/>
          <w:color w:val="222222"/>
          <w:szCs w:val="22"/>
        </w:rPr>
        <w:t>FN</w:t>
      </w:r>
      <w:r>
        <w:rPr>
          <w:rFonts w:cs="Calibri"/>
          <w:color w:val="222222"/>
          <w:szCs w:val="22"/>
        </w:rPr>
        <w:t>.</w:t>
      </w:r>
    </w:p>
    <w:p w:rsidR="002C41C1" w:rsidRDefault="002C41C1" w:rsidP="009F5E79">
      <w:pPr>
        <w:pStyle w:val="Odstavecseseznamem"/>
        <w:numPr>
          <w:ilvl w:val="0"/>
          <w:numId w:val="20"/>
        </w:numPr>
        <w:spacing w:after="240"/>
        <w:rPr>
          <w:rFonts w:cs="Calibri"/>
          <w:color w:val="222222"/>
          <w:szCs w:val="22"/>
        </w:rPr>
      </w:pPr>
      <w:r>
        <w:rPr>
          <w:rFonts w:cs="Calibri"/>
          <w:color w:val="222222"/>
          <w:szCs w:val="22"/>
        </w:rPr>
        <w:t>P</w:t>
      </w:r>
      <w:r w:rsidRPr="00896015">
        <w:rPr>
          <w:rFonts w:cs="Calibri"/>
          <w:color w:val="222222"/>
          <w:szCs w:val="22"/>
        </w:rPr>
        <w:t xml:space="preserve">osouzení zaměření intervencí </w:t>
      </w:r>
      <w:r>
        <w:rPr>
          <w:rFonts w:cs="Calibri"/>
          <w:color w:val="222222"/>
          <w:szCs w:val="22"/>
        </w:rPr>
        <w:t xml:space="preserve">FN </w:t>
      </w:r>
      <w:r w:rsidRPr="00896015">
        <w:rPr>
          <w:rFonts w:cs="Calibri"/>
          <w:color w:val="222222"/>
          <w:szCs w:val="22"/>
        </w:rPr>
        <w:t xml:space="preserve">v každé prioritní ose </w:t>
      </w:r>
      <w:r w:rsidR="0084453C">
        <w:rPr>
          <w:rFonts w:cs="Calibri"/>
          <w:color w:val="222222"/>
          <w:szCs w:val="22"/>
        </w:rPr>
        <w:t>OP PIK</w:t>
      </w:r>
      <w:r>
        <w:rPr>
          <w:rFonts w:cs="Calibri"/>
          <w:color w:val="222222"/>
          <w:szCs w:val="22"/>
        </w:rPr>
        <w:t xml:space="preserve"> </w:t>
      </w:r>
      <w:r w:rsidRPr="00896015">
        <w:rPr>
          <w:rFonts w:cs="Calibri"/>
          <w:color w:val="222222"/>
          <w:szCs w:val="22"/>
        </w:rPr>
        <w:t>včetně identifikace hlavních cílových skupin a typu příjemců, posouzení navrhovaných cílových skupin příjemců – v případě podnikatelských subjektů se zvláštním zřetelem na posouzení účelnosti podpory nejenom pro malé a stře</w:t>
      </w:r>
      <w:r>
        <w:rPr>
          <w:rFonts w:cs="Calibri"/>
          <w:color w:val="222222"/>
          <w:szCs w:val="22"/>
        </w:rPr>
        <w:t>dní podniky, ale i velké podniky.</w:t>
      </w:r>
    </w:p>
    <w:p w:rsidR="002C41C1" w:rsidRDefault="002C41C1" w:rsidP="009F5E79">
      <w:pPr>
        <w:pStyle w:val="Odstavecseseznamem"/>
        <w:numPr>
          <w:ilvl w:val="0"/>
          <w:numId w:val="20"/>
        </w:numPr>
        <w:spacing w:after="240"/>
        <w:rPr>
          <w:rFonts w:cs="Calibri"/>
          <w:color w:val="222222"/>
          <w:szCs w:val="22"/>
        </w:rPr>
      </w:pPr>
      <w:r>
        <w:rPr>
          <w:rFonts w:cs="Calibri"/>
          <w:color w:val="222222"/>
          <w:szCs w:val="22"/>
        </w:rPr>
        <w:t>Představení typových projektů a srovnání s jinými formami podpory.</w:t>
      </w:r>
    </w:p>
    <w:p w:rsidR="002C41C1" w:rsidRPr="00770E77" w:rsidRDefault="002C41C1" w:rsidP="009F5E79">
      <w:pPr>
        <w:pStyle w:val="Odstavecseseznamem"/>
        <w:numPr>
          <w:ilvl w:val="0"/>
          <w:numId w:val="20"/>
        </w:numPr>
        <w:spacing w:after="240"/>
        <w:rPr>
          <w:rFonts w:cs="Calibri"/>
          <w:color w:val="222222"/>
          <w:szCs w:val="22"/>
        </w:rPr>
      </w:pPr>
      <w:r w:rsidRPr="00336EDA">
        <w:rPr>
          <w:rFonts w:cs="Calibri"/>
          <w:color w:val="222222"/>
          <w:szCs w:val="22"/>
        </w:rPr>
        <w:t>Konsistence finančních alokací finančních nástrojů: (i) vyhodnocení souladu alokace rozpočtových zdrojů na jednotlivé finanční nástroje s cíli programu (ii) zhodnocení, zda alokace odpovídají vybraným formám podpory (iii) celkové posouzení a zhodnocení finančního plánu finančních nástrojů, (iv) posouzení absorpční kapacity finančních nástrojů (v) posouzení vhodných forem podpory v souladu s Obecným nařízením</w:t>
      </w:r>
    </w:p>
    <w:p w:rsidR="002C41C1" w:rsidRPr="00467406" w:rsidRDefault="002C41C1" w:rsidP="009F5E79">
      <w:pPr>
        <w:spacing w:after="240"/>
        <w:rPr>
          <w:rFonts w:cs="Calibri"/>
          <w:b/>
          <w:color w:val="222222"/>
          <w:szCs w:val="22"/>
        </w:rPr>
      </w:pPr>
      <w:r w:rsidRPr="00467406">
        <w:rPr>
          <w:rFonts w:cs="Calibri"/>
          <w:b/>
          <w:color w:val="222222"/>
          <w:szCs w:val="22"/>
        </w:rPr>
        <w:t xml:space="preserve">c) </w:t>
      </w:r>
      <w:r>
        <w:rPr>
          <w:rFonts w:cs="Calibri"/>
          <w:b/>
          <w:color w:val="222222"/>
          <w:szCs w:val="22"/>
        </w:rPr>
        <w:t>O</w:t>
      </w:r>
      <w:r w:rsidRPr="00467406">
        <w:rPr>
          <w:rFonts w:cs="Calibri"/>
          <w:b/>
          <w:color w:val="222222"/>
          <w:szCs w:val="22"/>
        </w:rPr>
        <w:t>dhad dodatečných veřejných a soukromých zdrojů</w:t>
      </w:r>
    </w:p>
    <w:p w:rsidR="002C41C1" w:rsidRPr="00D205D4" w:rsidRDefault="002C41C1" w:rsidP="009F5E79">
      <w:pPr>
        <w:pStyle w:val="Odstavecseseznamem"/>
        <w:numPr>
          <w:ilvl w:val="0"/>
          <w:numId w:val="21"/>
        </w:numPr>
        <w:spacing w:after="240"/>
        <w:rPr>
          <w:rFonts w:cs="Calibri"/>
          <w:color w:val="222222"/>
          <w:szCs w:val="22"/>
        </w:rPr>
      </w:pPr>
      <w:r w:rsidRPr="00D205D4">
        <w:rPr>
          <w:rFonts w:cs="Calibri"/>
          <w:color w:val="222222"/>
          <w:szCs w:val="22"/>
        </w:rPr>
        <w:t xml:space="preserve">Odhad dodatečných veřejných a soukromých zdrojů, které potenciálně </w:t>
      </w:r>
      <w:r>
        <w:rPr>
          <w:rFonts w:cs="Calibri"/>
          <w:color w:val="222222"/>
          <w:szCs w:val="22"/>
        </w:rPr>
        <w:t xml:space="preserve">daný </w:t>
      </w:r>
      <w:r w:rsidRPr="00D205D4">
        <w:rPr>
          <w:rFonts w:cs="Calibri"/>
          <w:color w:val="222222"/>
          <w:szCs w:val="22"/>
        </w:rPr>
        <w:t>FN přiláká</w:t>
      </w:r>
      <w:r>
        <w:rPr>
          <w:rFonts w:cs="Calibri"/>
          <w:color w:val="222222"/>
          <w:szCs w:val="22"/>
        </w:rPr>
        <w:t>.</w:t>
      </w:r>
    </w:p>
    <w:p w:rsidR="002C41C1" w:rsidRDefault="002C41C1" w:rsidP="009F5E79">
      <w:pPr>
        <w:pStyle w:val="Odstavecseseznamem"/>
        <w:numPr>
          <w:ilvl w:val="0"/>
          <w:numId w:val="21"/>
        </w:numPr>
        <w:spacing w:after="240"/>
        <w:rPr>
          <w:rFonts w:cs="Calibri"/>
          <w:color w:val="222222"/>
          <w:szCs w:val="22"/>
        </w:rPr>
      </w:pPr>
      <w:r w:rsidRPr="00D205D4">
        <w:rPr>
          <w:rFonts w:cs="Calibri"/>
          <w:color w:val="222222"/>
          <w:szCs w:val="22"/>
        </w:rPr>
        <w:t xml:space="preserve">Spolufinancování </w:t>
      </w:r>
      <w:r>
        <w:rPr>
          <w:rFonts w:cs="Calibri"/>
          <w:color w:val="222222"/>
          <w:szCs w:val="22"/>
        </w:rPr>
        <w:t xml:space="preserve">ze soukromých zdrojů </w:t>
      </w:r>
      <w:r w:rsidRPr="00D205D4">
        <w:rPr>
          <w:rFonts w:cs="Calibri"/>
          <w:color w:val="222222"/>
          <w:szCs w:val="22"/>
        </w:rPr>
        <w:t>a</w:t>
      </w:r>
      <w:r>
        <w:rPr>
          <w:rFonts w:cs="Calibri"/>
          <w:color w:val="222222"/>
          <w:szCs w:val="22"/>
        </w:rPr>
        <w:t>ž na úroveň konečného příjemce.</w:t>
      </w:r>
    </w:p>
    <w:p w:rsidR="002C41C1" w:rsidRPr="00D205D4" w:rsidRDefault="002C41C1" w:rsidP="009F5E79">
      <w:pPr>
        <w:pStyle w:val="Odstavecseseznamem"/>
        <w:numPr>
          <w:ilvl w:val="0"/>
          <w:numId w:val="21"/>
        </w:numPr>
        <w:spacing w:after="240"/>
        <w:rPr>
          <w:rFonts w:cs="Calibri"/>
          <w:color w:val="222222"/>
          <w:szCs w:val="22"/>
        </w:rPr>
      </w:pPr>
      <w:r>
        <w:rPr>
          <w:rFonts w:cs="Calibri"/>
          <w:color w:val="222222"/>
          <w:szCs w:val="22"/>
        </w:rPr>
        <w:t>I</w:t>
      </w:r>
      <w:r w:rsidRPr="00D205D4">
        <w:rPr>
          <w:rFonts w:cs="Calibri"/>
          <w:color w:val="222222"/>
          <w:szCs w:val="22"/>
        </w:rPr>
        <w:t>dentifikace klíčových hráčů (např</w:t>
      </w:r>
      <w:r>
        <w:rPr>
          <w:rFonts w:cs="Calibri"/>
          <w:color w:val="222222"/>
          <w:szCs w:val="22"/>
        </w:rPr>
        <w:t>.</w:t>
      </w:r>
      <w:r w:rsidRPr="00D205D4">
        <w:rPr>
          <w:rFonts w:cs="Calibri"/>
          <w:color w:val="222222"/>
          <w:szCs w:val="22"/>
        </w:rPr>
        <w:t xml:space="preserve"> individuálních investorů, </w:t>
      </w:r>
      <w:r>
        <w:rPr>
          <w:rFonts w:cs="Calibri"/>
          <w:color w:val="222222"/>
          <w:szCs w:val="22"/>
        </w:rPr>
        <w:t>podniků</w:t>
      </w:r>
      <w:r w:rsidRPr="00D205D4">
        <w:rPr>
          <w:rFonts w:cs="Calibri"/>
          <w:color w:val="222222"/>
          <w:szCs w:val="22"/>
        </w:rPr>
        <w:t xml:space="preserve">, veřejných subjektů, </w:t>
      </w:r>
      <w:r>
        <w:rPr>
          <w:rFonts w:cs="Calibri"/>
          <w:color w:val="222222"/>
          <w:szCs w:val="22"/>
        </w:rPr>
        <w:t>institucí na finančním trhu a dalších subjektů)</w:t>
      </w:r>
      <w:r w:rsidRPr="00D205D4">
        <w:rPr>
          <w:rFonts w:cs="Calibri"/>
          <w:color w:val="222222"/>
          <w:szCs w:val="22"/>
        </w:rPr>
        <w:t xml:space="preserve"> a odhad výše jejich finančních závazků na projekty</w:t>
      </w:r>
      <w:r>
        <w:rPr>
          <w:rFonts w:cs="Calibri"/>
          <w:color w:val="222222"/>
          <w:szCs w:val="22"/>
        </w:rPr>
        <w:t xml:space="preserve"> v cílových tržních segmentech.</w:t>
      </w:r>
    </w:p>
    <w:p w:rsidR="002C41C1" w:rsidRPr="00D205D4" w:rsidRDefault="002C41C1" w:rsidP="009F5E79">
      <w:pPr>
        <w:pStyle w:val="Odstavecseseznamem"/>
        <w:numPr>
          <w:ilvl w:val="0"/>
          <w:numId w:val="21"/>
        </w:numPr>
        <w:spacing w:after="240"/>
        <w:rPr>
          <w:rFonts w:cs="Calibri"/>
          <w:color w:val="222222"/>
          <w:szCs w:val="22"/>
        </w:rPr>
      </w:pPr>
      <w:r>
        <w:rPr>
          <w:rFonts w:cs="Calibri"/>
          <w:color w:val="222222"/>
          <w:szCs w:val="22"/>
        </w:rPr>
        <w:t>Očekávaný pákový efekt.</w:t>
      </w:r>
    </w:p>
    <w:p w:rsidR="002C41C1" w:rsidRPr="00DF6E0B" w:rsidRDefault="002C41C1" w:rsidP="00DF6E0B">
      <w:pPr>
        <w:pStyle w:val="Odstavecseseznamem"/>
        <w:numPr>
          <w:ilvl w:val="0"/>
          <w:numId w:val="21"/>
        </w:numPr>
        <w:spacing w:after="240"/>
        <w:rPr>
          <w:rFonts w:cs="Calibri"/>
          <w:color w:val="222222"/>
          <w:szCs w:val="22"/>
        </w:rPr>
      </w:pPr>
      <w:r>
        <w:t>P</w:t>
      </w:r>
      <w:r w:rsidRPr="00D205D4">
        <w:t>osouzení potřeby a úroveň preferenčního odměňování pro soukromé investory</w:t>
      </w:r>
      <w:r>
        <w:t>, je</w:t>
      </w:r>
      <w:r w:rsidRPr="00D205D4">
        <w:t>-li to relevantní</w:t>
      </w:r>
      <w:r>
        <w:t xml:space="preserve"> s ohledem na předcházející závěry.</w:t>
      </w:r>
    </w:p>
    <w:p w:rsidR="002C41C1" w:rsidRPr="00DF6E0B" w:rsidRDefault="002C41C1" w:rsidP="00DF6E0B">
      <w:pPr>
        <w:pStyle w:val="Odstavecseseznamem"/>
        <w:spacing w:after="240"/>
        <w:ind w:left="360"/>
        <w:rPr>
          <w:rFonts w:cs="Calibri"/>
          <w:color w:val="222222"/>
          <w:szCs w:val="22"/>
        </w:rPr>
      </w:pPr>
    </w:p>
    <w:p w:rsidR="002C41C1" w:rsidRPr="00DF6E0B" w:rsidRDefault="002C41C1" w:rsidP="00DF6E0B">
      <w:pPr>
        <w:pStyle w:val="Nadpis3"/>
        <w:rPr>
          <w:b w:val="0"/>
          <w:bCs w:val="0"/>
        </w:rPr>
      </w:pPr>
      <w:bookmarkStart w:id="15" w:name="_Toc413854333"/>
      <w:r w:rsidRPr="00DF6E0B">
        <w:t>Návrh vhodné strategie</w:t>
      </w:r>
      <w:bookmarkEnd w:id="15"/>
    </w:p>
    <w:p w:rsidR="002C41C1" w:rsidRPr="0099508D" w:rsidRDefault="002C41C1" w:rsidP="009F5E79">
      <w:pPr>
        <w:spacing w:after="240"/>
        <w:rPr>
          <w:rFonts w:cs="Calibri"/>
          <w:color w:val="222222"/>
          <w:szCs w:val="22"/>
          <w:highlight w:val="yellow"/>
        </w:rPr>
      </w:pPr>
      <w:r w:rsidRPr="00583593">
        <w:rPr>
          <w:rFonts w:cs="Calibri"/>
          <w:color w:val="222222"/>
          <w:szCs w:val="22"/>
        </w:rPr>
        <w:t xml:space="preserve">Výsledky analýzy prováděné v rámci bloku I. budou tvořit základní vstup pro blok II. za předpokladu, že analýza tržní situace podpoří závěr, že selhání trhu a nedostatečné investiční situace lze účinně řešit prostřednictvím finančních nástrojů. Blok II. navrhne vhodnou investiční strategii, posoudí míru zohlednění priorit Evropské unie, navrhne postupy pro implementaci, monitorování, hodnocení a </w:t>
      </w:r>
      <w:r w:rsidRPr="00583593">
        <w:rPr>
          <w:rFonts w:cs="Calibri"/>
          <w:color w:val="222222"/>
          <w:szCs w:val="22"/>
        </w:rPr>
        <w:lastRenderedPageBreak/>
        <w:t>řízení FN, mj. na základě poznatků a zkušeností s implementací předchozích podpor. Navrhne vhodné ukazatele a očekávané výsle</w:t>
      </w:r>
      <w:r w:rsidRPr="00363C8C">
        <w:rPr>
          <w:rFonts w:cs="Calibri"/>
          <w:color w:val="222222"/>
          <w:szCs w:val="22"/>
        </w:rPr>
        <w:t>dky a milníky včetně jejich věcného nastavení a hodnot.</w:t>
      </w:r>
    </w:p>
    <w:p w:rsidR="002C41C1" w:rsidRPr="00583593" w:rsidRDefault="002C41C1" w:rsidP="009F5E79">
      <w:pPr>
        <w:spacing w:after="240"/>
        <w:rPr>
          <w:rFonts w:cs="Calibri"/>
          <w:color w:val="222222"/>
          <w:szCs w:val="22"/>
        </w:rPr>
      </w:pPr>
      <w:r w:rsidRPr="00583593">
        <w:rPr>
          <w:rFonts w:cs="Calibri"/>
          <w:color w:val="222222"/>
          <w:szCs w:val="22"/>
        </w:rPr>
        <w:t>Analýza by měla vzít v úvahu cíle každého navrhovaného finančního nástroje, aby mohl být definován rozsah, zaměření</w:t>
      </w:r>
      <w:r>
        <w:rPr>
          <w:rFonts w:cs="Calibri"/>
          <w:color w:val="222222"/>
          <w:szCs w:val="22"/>
        </w:rPr>
        <w:t xml:space="preserve"> a časový rámec </w:t>
      </w:r>
      <w:r w:rsidRPr="00583593">
        <w:rPr>
          <w:rFonts w:cs="Calibri"/>
          <w:color w:val="222222"/>
          <w:szCs w:val="22"/>
        </w:rPr>
        <w:t>investiční strategie, a to včetně zohlednění dosavadních zkušeností. To by mělo také zahrnovat posouzení vhodných variant pro řízení FN včetně vhodných způsobů výběru správce fondu fondů/FN (příjemce) a finančních zprostředkovatelů</w:t>
      </w:r>
      <w:r>
        <w:rPr>
          <w:rFonts w:cs="Calibri"/>
          <w:color w:val="222222"/>
          <w:szCs w:val="22"/>
        </w:rPr>
        <w:t>, jejich odměňování, odpovědnosti a sdílení rizik a výnosů</w:t>
      </w:r>
      <w:r w:rsidRPr="00583593">
        <w:rPr>
          <w:rFonts w:cs="Calibri"/>
          <w:color w:val="222222"/>
          <w:szCs w:val="22"/>
        </w:rPr>
        <w:t>.</w:t>
      </w:r>
    </w:p>
    <w:p w:rsidR="002C41C1" w:rsidRPr="00583593" w:rsidRDefault="002C41C1" w:rsidP="009F5E79">
      <w:pPr>
        <w:spacing w:after="240"/>
        <w:rPr>
          <w:rFonts w:cs="Calibri"/>
          <w:color w:val="222222"/>
          <w:szCs w:val="22"/>
        </w:rPr>
      </w:pPr>
      <w:r w:rsidRPr="00583593">
        <w:rPr>
          <w:rFonts w:cs="Calibri"/>
          <w:color w:val="222222"/>
          <w:szCs w:val="22"/>
        </w:rPr>
        <w:t>Tato analýza by měla zahrnovat také posouzení formy a výše potřebného financování a další konkrétní parametry na úrovni produktů pro konečné příjemce. Navrhovaná investiční strategie musí vzít v úvahu legislativní rámec pro finanční nástroje ESIF a</w:t>
      </w:r>
      <w:r>
        <w:rPr>
          <w:rFonts w:cs="Calibri"/>
          <w:color w:val="222222"/>
          <w:szCs w:val="22"/>
        </w:rPr>
        <w:t xml:space="preserve"> případně též identifikovat</w:t>
      </w:r>
      <w:r w:rsidR="00BD7EA5">
        <w:rPr>
          <w:rFonts w:cs="Calibri"/>
          <w:color w:val="222222"/>
          <w:szCs w:val="22"/>
        </w:rPr>
        <w:t xml:space="preserve"> </w:t>
      </w:r>
      <w:r>
        <w:rPr>
          <w:rFonts w:cs="Calibri"/>
          <w:color w:val="222222"/>
          <w:szCs w:val="22"/>
        </w:rPr>
        <w:t>části</w:t>
      </w:r>
      <w:r w:rsidR="00BD7EA5">
        <w:rPr>
          <w:rFonts w:cs="Calibri"/>
          <w:color w:val="222222"/>
          <w:szCs w:val="22"/>
        </w:rPr>
        <w:t xml:space="preserve"> </w:t>
      </w:r>
      <w:r w:rsidRPr="00583593">
        <w:rPr>
          <w:rFonts w:cs="Calibri"/>
          <w:color w:val="222222"/>
          <w:szCs w:val="22"/>
        </w:rPr>
        <w:t xml:space="preserve">vhodné strategie finančních nástrojů, které nejsou realizovatelné </w:t>
      </w:r>
      <w:r>
        <w:rPr>
          <w:rFonts w:cs="Calibri"/>
          <w:color w:val="222222"/>
          <w:szCs w:val="22"/>
        </w:rPr>
        <w:t xml:space="preserve">s podporou z </w:t>
      </w:r>
      <w:r w:rsidRPr="00583593">
        <w:rPr>
          <w:rFonts w:cs="Calibri"/>
          <w:color w:val="222222"/>
          <w:szCs w:val="22"/>
        </w:rPr>
        <w:t>ESIF.</w:t>
      </w:r>
    </w:p>
    <w:p w:rsidR="002C41C1" w:rsidRDefault="002C41C1" w:rsidP="009F5E79">
      <w:pPr>
        <w:spacing w:after="240"/>
        <w:rPr>
          <w:rFonts w:cs="Calibri"/>
          <w:color w:val="222222"/>
          <w:szCs w:val="22"/>
        </w:rPr>
      </w:pPr>
      <w:r w:rsidRPr="00F24282">
        <w:rPr>
          <w:rFonts w:cs="Calibri"/>
          <w:color w:val="222222"/>
          <w:szCs w:val="22"/>
        </w:rPr>
        <w:t>Společně pro všechny tematické cíle, prioritní osy, specifické cíle a aktivity, kde je uvažováno využití finančních nástrojů, budou v rámci bloku II. provedeny zejména následující činnosti:</w:t>
      </w:r>
    </w:p>
    <w:p w:rsidR="002C41C1" w:rsidRPr="00BA2BE0" w:rsidRDefault="002C41C1" w:rsidP="009F5E79">
      <w:pPr>
        <w:spacing w:after="240"/>
        <w:rPr>
          <w:rFonts w:cs="Calibri"/>
          <w:b/>
          <w:color w:val="222222"/>
          <w:szCs w:val="22"/>
        </w:rPr>
      </w:pPr>
      <w:r>
        <w:rPr>
          <w:rFonts w:cs="Calibri"/>
          <w:b/>
          <w:color w:val="222222"/>
          <w:szCs w:val="22"/>
        </w:rPr>
        <w:t>a) P</w:t>
      </w:r>
      <w:r w:rsidRPr="00BA2BE0">
        <w:rPr>
          <w:rFonts w:cs="Calibri"/>
          <w:b/>
          <w:color w:val="222222"/>
          <w:szCs w:val="22"/>
        </w:rPr>
        <w:t>osouzení zkušeností získaných v</w:t>
      </w:r>
      <w:r>
        <w:rPr>
          <w:rFonts w:cs="Calibri"/>
          <w:b/>
          <w:color w:val="222222"/>
          <w:szCs w:val="22"/>
        </w:rPr>
        <w:t> </w:t>
      </w:r>
      <w:r w:rsidRPr="00BA2BE0">
        <w:rPr>
          <w:rFonts w:cs="Calibri"/>
          <w:b/>
          <w:color w:val="222222"/>
          <w:szCs w:val="22"/>
        </w:rPr>
        <w:t>minulosti</w:t>
      </w:r>
    </w:p>
    <w:p w:rsidR="002C41C1" w:rsidRPr="00896015" w:rsidRDefault="002C41C1" w:rsidP="009F5E79">
      <w:pPr>
        <w:pStyle w:val="Odstavecseseznamem"/>
        <w:numPr>
          <w:ilvl w:val="0"/>
          <w:numId w:val="24"/>
        </w:numPr>
        <w:spacing w:after="240"/>
        <w:rPr>
          <w:rFonts w:cs="Calibri"/>
          <w:color w:val="222222"/>
          <w:szCs w:val="22"/>
        </w:rPr>
      </w:pPr>
      <w:r w:rsidRPr="00896015">
        <w:rPr>
          <w:rFonts w:cs="Calibri"/>
          <w:color w:val="222222"/>
          <w:szCs w:val="22"/>
        </w:rPr>
        <w:t>Závěry vyvozené z</w:t>
      </w:r>
      <w:r>
        <w:rPr>
          <w:rFonts w:cs="Calibri"/>
          <w:color w:val="222222"/>
          <w:szCs w:val="22"/>
        </w:rPr>
        <w:t xml:space="preserve"> implementace </w:t>
      </w:r>
      <w:r w:rsidRPr="00896015">
        <w:rPr>
          <w:rFonts w:cs="Calibri"/>
          <w:color w:val="222222"/>
          <w:szCs w:val="22"/>
        </w:rPr>
        <w:t xml:space="preserve">podobných nástrojů </w:t>
      </w:r>
      <w:r>
        <w:rPr>
          <w:rFonts w:cs="Calibri"/>
          <w:color w:val="222222"/>
          <w:szCs w:val="22"/>
        </w:rPr>
        <w:t>v minulosti.</w:t>
      </w:r>
    </w:p>
    <w:p w:rsidR="002C41C1" w:rsidRDefault="002C41C1" w:rsidP="009F5E79">
      <w:pPr>
        <w:pStyle w:val="Odstavecseseznamem"/>
        <w:numPr>
          <w:ilvl w:val="0"/>
          <w:numId w:val="24"/>
        </w:numPr>
        <w:spacing w:after="240"/>
        <w:rPr>
          <w:rFonts w:cs="Calibri"/>
          <w:color w:val="222222"/>
          <w:szCs w:val="22"/>
        </w:rPr>
      </w:pPr>
      <w:r w:rsidRPr="00896015">
        <w:rPr>
          <w:rFonts w:cs="Calibri"/>
          <w:color w:val="222222"/>
          <w:szCs w:val="22"/>
        </w:rPr>
        <w:t>Analýza ex-ante hodnocení provedených v</w:t>
      </w:r>
      <w:r>
        <w:rPr>
          <w:rFonts w:cs="Calibri"/>
          <w:color w:val="222222"/>
          <w:szCs w:val="22"/>
        </w:rPr>
        <w:t> </w:t>
      </w:r>
      <w:r w:rsidRPr="00896015">
        <w:rPr>
          <w:rFonts w:cs="Calibri"/>
          <w:color w:val="222222"/>
          <w:szCs w:val="22"/>
        </w:rPr>
        <w:t>minulosti</w:t>
      </w:r>
      <w:r>
        <w:rPr>
          <w:rFonts w:cs="Calibri"/>
          <w:color w:val="222222"/>
          <w:szCs w:val="22"/>
        </w:rPr>
        <w:t>.</w:t>
      </w:r>
    </w:p>
    <w:p w:rsidR="002C41C1" w:rsidRPr="00896015" w:rsidRDefault="002C41C1" w:rsidP="009F5E79">
      <w:pPr>
        <w:pStyle w:val="Odstavecseseznamem"/>
        <w:numPr>
          <w:ilvl w:val="0"/>
          <w:numId w:val="24"/>
        </w:numPr>
        <w:spacing w:after="240"/>
        <w:rPr>
          <w:rFonts w:cs="Calibri"/>
          <w:color w:val="222222"/>
          <w:szCs w:val="22"/>
        </w:rPr>
      </w:pPr>
      <w:r>
        <w:rPr>
          <w:rFonts w:cs="Calibri"/>
          <w:color w:val="222222"/>
          <w:szCs w:val="22"/>
        </w:rPr>
        <w:t>P</w:t>
      </w:r>
      <w:r w:rsidRPr="00896015">
        <w:rPr>
          <w:rFonts w:cs="Calibri"/>
          <w:color w:val="222222"/>
          <w:szCs w:val="22"/>
        </w:rPr>
        <w:t>řehled zahraničních zkušeností s</w:t>
      </w:r>
      <w:r>
        <w:rPr>
          <w:rFonts w:cs="Calibri"/>
          <w:color w:val="222222"/>
          <w:szCs w:val="22"/>
        </w:rPr>
        <w:t> obdobnými finančními nástroji</w:t>
      </w:r>
    </w:p>
    <w:p w:rsidR="002C41C1" w:rsidRDefault="002C41C1" w:rsidP="009F5E79">
      <w:pPr>
        <w:pStyle w:val="Odstavecseseznamem"/>
        <w:numPr>
          <w:ilvl w:val="0"/>
          <w:numId w:val="24"/>
        </w:numPr>
        <w:spacing w:after="240"/>
        <w:rPr>
          <w:rFonts w:cs="Calibri"/>
          <w:color w:val="222222"/>
          <w:szCs w:val="22"/>
        </w:rPr>
      </w:pPr>
      <w:r w:rsidRPr="00896015">
        <w:rPr>
          <w:rFonts w:cs="Calibri"/>
          <w:color w:val="222222"/>
          <w:szCs w:val="22"/>
        </w:rPr>
        <w:t xml:space="preserve">Aplikace těchto </w:t>
      </w:r>
      <w:r>
        <w:rPr>
          <w:rFonts w:cs="Calibri"/>
          <w:color w:val="222222"/>
          <w:szCs w:val="22"/>
        </w:rPr>
        <w:t xml:space="preserve">zkušeností na současné podmínky </w:t>
      </w:r>
      <w:r w:rsidR="0084453C">
        <w:rPr>
          <w:rFonts w:cs="Calibri"/>
          <w:color w:val="222222"/>
          <w:szCs w:val="22"/>
        </w:rPr>
        <w:t>OP PIK</w:t>
      </w:r>
      <w:r>
        <w:rPr>
          <w:rFonts w:cs="Calibri"/>
          <w:color w:val="222222"/>
          <w:szCs w:val="22"/>
        </w:rPr>
        <w:t xml:space="preserve"> (“lessons</w:t>
      </w:r>
      <w:r w:rsidR="00E0031A">
        <w:rPr>
          <w:rFonts w:cs="Calibri"/>
          <w:color w:val="222222"/>
          <w:szCs w:val="22"/>
        </w:rPr>
        <w:t xml:space="preserve"> </w:t>
      </w:r>
      <w:r>
        <w:rPr>
          <w:rFonts w:cs="Calibri"/>
          <w:color w:val="222222"/>
          <w:szCs w:val="22"/>
        </w:rPr>
        <w:t>learnt“)</w:t>
      </w:r>
      <w:r w:rsidRPr="00896015">
        <w:rPr>
          <w:rFonts w:cs="Calibri"/>
          <w:color w:val="222222"/>
          <w:szCs w:val="22"/>
        </w:rPr>
        <w:t xml:space="preserve">. </w:t>
      </w:r>
    </w:p>
    <w:p w:rsidR="002C41C1" w:rsidRPr="00BA2BE0" w:rsidRDefault="002C41C1" w:rsidP="009F5E79">
      <w:pPr>
        <w:spacing w:after="240"/>
        <w:rPr>
          <w:rFonts w:cs="Calibri"/>
          <w:b/>
          <w:color w:val="222222"/>
          <w:szCs w:val="22"/>
        </w:rPr>
      </w:pPr>
      <w:r>
        <w:rPr>
          <w:rFonts w:cs="Calibri"/>
          <w:b/>
          <w:color w:val="222222"/>
          <w:szCs w:val="22"/>
        </w:rPr>
        <w:t>b</w:t>
      </w:r>
      <w:r w:rsidRPr="00BA2BE0">
        <w:rPr>
          <w:rFonts w:cs="Calibri"/>
          <w:b/>
          <w:color w:val="222222"/>
          <w:szCs w:val="22"/>
        </w:rPr>
        <w:t xml:space="preserve">) </w:t>
      </w:r>
      <w:r>
        <w:rPr>
          <w:rFonts w:cs="Calibri"/>
          <w:b/>
          <w:color w:val="222222"/>
          <w:szCs w:val="22"/>
        </w:rPr>
        <w:t>N</w:t>
      </w:r>
      <w:r w:rsidRPr="00BA2BE0">
        <w:rPr>
          <w:rFonts w:cs="Calibri"/>
          <w:b/>
          <w:color w:val="222222"/>
          <w:szCs w:val="22"/>
        </w:rPr>
        <w:t>avrhovaná investiční strategie</w:t>
      </w:r>
    </w:p>
    <w:p w:rsidR="002C41C1" w:rsidRDefault="002C41C1" w:rsidP="009F5E79">
      <w:pPr>
        <w:pStyle w:val="Odstavecseseznamem"/>
        <w:numPr>
          <w:ilvl w:val="0"/>
          <w:numId w:val="22"/>
        </w:numPr>
        <w:spacing w:after="240"/>
        <w:rPr>
          <w:rFonts w:cs="Calibri"/>
          <w:color w:val="222222"/>
          <w:szCs w:val="22"/>
        </w:rPr>
      </w:pPr>
      <w:r w:rsidRPr="00896015">
        <w:rPr>
          <w:rFonts w:cs="Calibri"/>
          <w:color w:val="222222"/>
          <w:szCs w:val="22"/>
        </w:rPr>
        <w:t xml:space="preserve">Identifikace forem finančních nástrojů a výše rozpočtu (dluhové, kapitálové, záruční nebo jiné </w:t>
      </w:r>
      <w:r>
        <w:rPr>
          <w:rFonts w:cs="Calibri"/>
          <w:color w:val="222222"/>
          <w:szCs w:val="22"/>
        </w:rPr>
        <w:t xml:space="preserve">finanční </w:t>
      </w:r>
      <w:r w:rsidRPr="00896015">
        <w:rPr>
          <w:rFonts w:cs="Calibri"/>
          <w:color w:val="222222"/>
          <w:szCs w:val="22"/>
        </w:rPr>
        <w:t>nástr</w:t>
      </w:r>
      <w:r>
        <w:rPr>
          <w:rFonts w:cs="Calibri"/>
          <w:color w:val="222222"/>
          <w:szCs w:val="22"/>
        </w:rPr>
        <w:t xml:space="preserve">oje) včetně případné </w:t>
      </w:r>
      <w:r w:rsidRPr="00896015">
        <w:rPr>
          <w:rFonts w:cs="Calibri"/>
          <w:color w:val="222222"/>
          <w:szCs w:val="22"/>
        </w:rPr>
        <w:t>kombinace s grantovou podporu</w:t>
      </w:r>
      <w:r>
        <w:rPr>
          <w:rFonts w:cs="Calibri"/>
          <w:color w:val="222222"/>
          <w:szCs w:val="22"/>
        </w:rPr>
        <w:t>.</w:t>
      </w:r>
    </w:p>
    <w:p w:rsidR="002C41C1" w:rsidRPr="00896015" w:rsidRDefault="002C41C1" w:rsidP="009F5E79">
      <w:pPr>
        <w:pStyle w:val="Odstavecseseznamem"/>
        <w:numPr>
          <w:ilvl w:val="0"/>
          <w:numId w:val="22"/>
        </w:numPr>
        <w:spacing w:after="240"/>
        <w:rPr>
          <w:rFonts w:cs="Calibri"/>
          <w:color w:val="222222"/>
          <w:szCs w:val="22"/>
        </w:rPr>
      </w:pPr>
      <w:r>
        <w:rPr>
          <w:rFonts w:cs="Calibri"/>
          <w:color w:val="222222"/>
          <w:szCs w:val="22"/>
        </w:rPr>
        <w:t xml:space="preserve">Identifikace </w:t>
      </w:r>
      <w:r w:rsidRPr="00896015">
        <w:rPr>
          <w:rFonts w:cs="Calibri"/>
          <w:color w:val="222222"/>
          <w:szCs w:val="22"/>
        </w:rPr>
        <w:t>nejvhodnější</w:t>
      </w:r>
      <w:r>
        <w:rPr>
          <w:rFonts w:cs="Calibri"/>
          <w:color w:val="222222"/>
          <w:szCs w:val="22"/>
        </w:rPr>
        <w:t>ch</w:t>
      </w:r>
      <w:r w:rsidRPr="00896015">
        <w:rPr>
          <w:rFonts w:cs="Calibri"/>
          <w:color w:val="222222"/>
          <w:szCs w:val="22"/>
        </w:rPr>
        <w:t xml:space="preserve"> možností </w:t>
      </w:r>
      <w:r>
        <w:rPr>
          <w:rFonts w:cs="Calibri"/>
          <w:color w:val="222222"/>
          <w:szCs w:val="22"/>
        </w:rPr>
        <w:t xml:space="preserve">implementace </w:t>
      </w:r>
      <w:r w:rsidRPr="00896015">
        <w:rPr>
          <w:rFonts w:cs="Calibri"/>
          <w:color w:val="222222"/>
          <w:szCs w:val="22"/>
        </w:rPr>
        <w:t>s ohledem na</w:t>
      </w:r>
      <w:r>
        <w:rPr>
          <w:rFonts w:cs="Calibri"/>
          <w:color w:val="222222"/>
          <w:szCs w:val="22"/>
        </w:rPr>
        <w:t xml:space="preserve"> potřeby identifikované v závěrech bloku I. a na základě posouzení dosavadních zkušeností.</w:t>
      </w:r>
    </w:p>
    <w:p w:rsidR="002C41C1" w:rsidRDefault="002C41C1" w:rsidP="009F5E79">
      <w:pPr>
        <w:pStyle w:val="Odstavecseseznamem"/>
        <w:numPr>
          <w:ilvl w:val="0"/>
          <w:numId w:val="22"/>
        </w:numPr>
        <w:spacing w:after="240"/>
        <w:rPr>
          <w:rFonts w:cs="Calibri"/>
          <w:color w:val="222222"/>
          <w:szCs w:val="22"/>
        </w:rPr>
      </w:pPr>
      <w:r>
        <w:rPr>
          <w:rFonts w:cs="Calibri"/>
          <w:color w:val="222222"/>
          <w:szCs w:val="22"/>
        </w:rPr>
        <w:t>Předpokládané zapojení subjektů v doporučované variantě implementace finančních nástrojů včetně dělby rizik (zahrne i očekávanou ztrátovost a naopak očekávanou dělbu výnosů) a vhodných nástrojů pro výpočet nákladů a poplatků spojených s řízením včetně odhadovaného rozmezí výše těchto nákladů a poplatků pro jednotlivé nástroje.</w:t>
      </w:r>
    </w:p>
    <w:p w:rsidR="002C41C1" w:rsidRDefault="002C41C1" w:rsidP="009F5E79">
      <w:pPr>
        <w:pStyle w:val="Odstavecseseznamem"/>
        <w:numPr>
          <w:ilvl w:val="0"/>
          <w:numId w:val="22"/>
        </w:numPr>
        <w:spacing w:after="240"/>
        <w:rPr>
          <w:rFonts w:cs="Calibri"/>
          <w:color w:val="222222"/>
          <w:szCs w:val="22"/>
        </w:rPr>
      </w:pPr>
      <w:r>
        <w:rPr>
          <w:rFonts w:cs="Calibri"/>
          <w:color w:val="222222"/>
          <w:szCs w:val="22"/>
        </w:rPr>
        <w:t>Způsob zajištění finančního a věcného monitoringu a evaluace provádění FN.</w:t>
      </w:r>
    </w:p>
    <w:p w:rsidR="002C41C1" w:rsidRPr="00896015" w:rsidRDefault="002C41C1" w:rsidP="009F5E79">
      <w:pPr>
        <w:pStyle w:val="Odstavecseseznamem"/>
        <w:numPr>
          <w:ilvl w:val="0"/>
          <w:numId w:val="22"/>
        </w:numPr>
        <w:spacing w:after="240"/>
        <w:rPr>
          <w:rFonts w:cs="Calibri"/>
          <w:color w:val="222222"/>
          <w:szCs w:val="22"/>
        </w:rPr>
      </w:pPr>
      <w:r>
        <w:rPr>
          <w:rFonts w:cs="Calibri"/>
          <w:color w:val="222222"/>
          <w:szCs w:val="22"/>
        </w:rPr>
        <w:t xml:space="preserve">Pro každý finanční nástroj </w:t>
      </w:r>
      <w:r w:rsidR="00DB5BBE">
        <w:rPr>
          <w:rFonts w:cs="Calibri"/>
          <w:color w:val="222222"/>
          <w:szCs w:val="22"/>
        </w:rPr>
        <w:t xml:space="preserve">odhadované </w:t>
      </w:r>
      <w:r>
        <w:rPr>
          <w:rFonts w:cs="Calibri"/>
          <w:color w:val="222222"/>
          <w:szCs w:val="22"/>
        </w:rPr>
        <w:t>konkrétní parametry f</w:t>
      </w:r>
      <w:r w:rsidRPr="00896015">
        <w:rPr>
          <w:rFonts w:cs="Calibri"/>
          <w:color w:val="222222"/>
          <w:szCs w:val="22"/>
        </w:rPr>
        <w:t>inanční</w:t>
      </w:r>
      <w:r>
        <w:rPr>
          <w:rFonts w:cs="Calibri"/>
          <w:color w:val="222222"/>
          <w:szCs w:val="22"/>
        </w:rPr>
        <w:t>ch produktů</w:t>
      </w:r>
      <w:r w:rsidR="00DB5BBE">
        <w:rPr>
          <w:rFonts w:cs="Calibri"/>
          <w:color w:val="222222"/>
          <w:szCs w:val="22"/>
        </w:rPr>
        <w:t xml:space="preserve"> </w:t>
      </w:r>
      <w:r>
        <w:rPr>
          <w:rFonts w:cs="Calibri"/>
          <w:color w:val="222222"/>
          <w:szCs w:val="22"/>
        </w:rPr>
        <w:t>zajišťující adekvátní reakci na potřeby trhu.</w:t>
      </w:r>
    </w:p>
    <w:p w:rsidR="002C41C1" w:rsidRDefault="002C41C1" w:rsidP="009F5E79">
      <w:pPr>
        <w:pStyle w:val="Odstavecseseznamem"/>
        <w:numPr>
          <w:ilvl w:val="0"/>
          <w:numId w:val="22"/>
        </w:numPr>
        <w:spacing w:after="240"/>
        <w:rPr>
          <w:rFonts w:cs="Calibri"/>
          <w:color w:val="222222"/>
          <w:szCs w:val="22"/>
        </w:rPr>
      </w:pPr>
      <w:r>
        <w:rPr>
          <w:rFonts w:cs="Calibri"/>
          <w:color w:val="222222"/>
          <w:szCs w:val="22"/>
        </w:rPr>
        <w:t>K</w:t>
      </w:r>
      <w:r w:rsidRPr="00896015">
        <w:rPr>
          <w:rFonts w:cs="Calibri"/>
          <w:color w:val="222222"/>
          <w:szCs w:val="22"/>
        </w:rPr>
        <w:t>roky nezbytné k</w:t>
      </w:r>
      <w:r>
        <w:rPr>
          <w:rFonts w:cs="Calibri"/>
          <w:color w:val="222222"/>
          <w:szCs w:val="22"/>
        </w:rPr>
        <w:t xml:space="preserve"> implementaci </w:t>
      </w:r>
      <w:r w:rsidRPr="00896015">
        <w:rPr>
          <w:rFonts w:cs="Calibri"/>
          <w:color w:val="222222"/>
          <w:szCs w:val="22"/>
        </w:rPr>
        <w:t xml:space="preserve">finančního nástroje </w:t>
      </w:r>
      <w:r>
        <w:rPr>
          <w:rFonts w:cs="Calibri"/>
          <w:color w:val="222222"/>
          <w:szCs w:val="22"/>
        </w:rPr>
        <w:t>včetně očekávaného časového</w:t>
      </w:r>
      <w:r w:rsidRPr="00896015">
        <w:rPr>
          <w:rFonts w:cs="Calibri"/>
          <w:color w:val="222222"/>
          <w:szCs w:val="22"/>
        </w:rPr>
        <w:t xml:space="preserve"> harmonogram</w:t>
      </w:r>
      <w:r>
        <w:rPr>
          <w:rFonts w:cs="Calibri"/>
          <w:color w:val="222222"/>
          <w:szCs w:val="22"/>
        </w:rPr>
        <w:t>u.</w:t>
      </w:r>
    </w:p>
    <w:p w:rsidR="002C41C1" w:rsidRDefault="002C41C1" w:rsidP="009F5E79">
      <w:pPr>
        <w:pStyle w:val="Odstavecseseznamem"/>
        <w:numPr>
          <w:ilvl w:val="0"/>
          <w:numId w:val="22"/>
        </w:numPr>
        <w:spacing w:after="240"/>
        <w:rPr>
          <w:rFonts w:cs="Calibri"/>
          <w:color w:val="222222"/>
          <w:szCs w:val="22"/>
        </w:rPr>
      </w:pPr>
      <w:r>
        <w:rPr>
          <w:rFonts w:cs="Calibri"/>
          <w:color w:val="222222"/>
          <w:szCs w:val="22"/>
        </w:rPr>
        <w:t>P</w:t>
      </w:r>
      <w:r w:rsidRPr="00896015">
        <w:rPr>
          <w:rFonts w:cs="Calibri"/>
          <w:color w:val="222222"/>
          <w:szCs w:val="22"/>
        </w:rPr>
        <w:t xml:space="preserve">osouzení relevance a přínosů začlenění </w:t>
      </w:r>
      <w:r>
        <w:rPr>
          <w:rFonts w:cs="Calibri"/>
          <w:color w:val="222222"/>
          <w:szCs w:val="22"/>
        </w:rPr>
        <w:t>finančních nástrojů</w:t>
      </w:r>
      <w:r w:rsidR="00BD7EA5">
        <w:rPr>
          <w:rFonts w:cs="Calibri"/>
          <w:color w:val="222222"/>
          <w:szCs w:val="22"/>
        </w:rPr>
        <w:t xml:space="preserve"> </w:t>
      </w:r>
      <w:r w:rsidR="0084453C">
        <w:rPr>
          <w:rFonts w:cs="Calibri"/>
          <w:color w:val="222222"/>
          <w:szCs w:val="22"/>
        </w:rPr>
        <w:t>OP PIK</w:t>
      </w:r>
      <w:r>
        <w:rPr>
          <w:rFonts w:cs="Calibri"/>
          <w:color w:val="222222"/>
          <w:szCs w:val="22"/>
        </w:rPr>
        <w:t xml:space="preserve"> </w:t>
      </w:r>
      <w:r w:rsidRPr="00896015">
        <w:rPr>
          <w:rFonts w:cs="Calibri"/>
          <w:color w:val="222222"/>
          <w:szCs w:val="22"/>
        </w:rPr>
        <w:t xml:space="preserve">do </w:t>
      </w:r>
      <w:r>
        <w:rPr>
          <w:rFonts w:cs="Calibri"/>
          <w:color w:val="222222"/>
          <w:szCs w:val="22"/>
        </w:rPr>
        <w:t xml:space="preserve">případného </w:t>
      </w:r>
      <w:r w:rsidRPr="00896015">
        <w:rPr>
          <w:rFonts w:cs="Calibri"/>
          <w:color w:val="222222"/>
          <w:szCs w:val="22"/>
        </w:rPr>
        <w:t xml:space="preserve">národního fondu </w:t>
      </w:r>
      <w:r>
        <w:rPr>
          <w:rFonts w:cs="Calibri"/>
          <w:color w:val="222222"/>
          <w:szCs w:val="22"/>
        </w:rPr>
        <w:t>fondů.</w:t>
      </w:r>
    </w:p>
    <w:p w:rsidR="002C41C1" w:rsidRDefault="002C41C1" w:rsidP="009F5E79">
      <w:pPr>
        <w:pStyle w:val="Odstavecseseznamem"/>
        <w:numPr>
          <w:ilvl w:val="0"/>
          <w:numId w:val="22"/>
        </w:numPr>
        <w:spacing w:after="240"/>
        <w:rPr>
          <w:rFonts w:cs="Calibri"/>
          <w:color w:val="222222"/>
          <w:szCs w:val="22"/>
        </w:rPr>
      </w:pPr>
      <w:r>
        <w:rPr>
          <w:rFonts w:cs="Calibri"/>
          <w:color w:val="222222"/>
          <w:szCs w:val="22"/>
        </w:rPr>
        <w:t>Plánovaná strategie ukončení finančního nástroje (uzavření životního cyklu).</w:t>
      </w:r>
    </w:p>
    <w:p w:rsidR="002C41C1" w:rsidRDefault="002C41C1" w:rsidP="009F5E79">
      <w:pPr>
        <w:pStyle w:val="Odstavecseseznamem"/>
        <w:numPr>
          <w:ilvl w:val="0"/>
          <w:numId w:val="22"/>
        </w:numPr>
        <w:spacing w:after="240"/>
        <w:rPr>
          <w:rFonts w:cs="Calibri"/>
          <w:color w:val="222222"/>
          <w:szCs w:val="22"/>
        </w:rPr>
      </w:pPr>
      <w:r w:rsidRPr="0018303A">
        <w:rPr>
          <w:rFonts w:cs="Calibri"/>
          <w:color w:val="222222"/>
          <w:szCs w:val="22"/>
        </w:rPr>
        <w:t>Zajištění konzistence a koherence investiční strategie v návaznosti na závěry bloku I.: posouzení</w:t>
      </w:r>
      <w:r>
        <w:rPr>
          <w:rFonts w:cs="Calibri"/>
          <w:color w:val="222222"/>
          <w:szCs w:val="22"/>
        </w:rPr>
        <w:t>,</w:t>
      </w:r>
      <w:r w:rsidRPr="0018303A">
        <w:rPr>
          <w:rFonts w:cs="Calibri"/>
          <w:color w:val="222222"/>
          <w:szCs w:val="22"/>
        </w:rPr>
        <w:t xml:space="preserve"> zda navrhované FN </w:t>
      </w:r>
      <w:r>
        <w:rPr>
          <w:rFonts w:cs="Calibri"/>
          <w:color w:val="222222"/>
          <w:szCs w:val="22"/>
        </w:rPr>
        <w:t>jsou konsistentní</w:t>
      </w:r>
      <w:r w:rsidR="00BD7EA5">
        <w:rPr>
          <w:rFonts w:cs="Calibri"/>
          <w:color w:val="222222"/>
          <w:szCs w:val="22"/>
        </w:rPr>
        <w:t xml:space="preserve"> </w:t>
      </w:r>
      <w:r>
        <w:rPr>
          <w:rFonts w:cs="Calibri"/>
          <w:color w:val="222222"/>
          <w:szCs w:val="22"/>
        </w:rPr>
        <w:t>s odpovídajícími tematickými cíli</w:t>
      </w:r>
      <w:r w:rsidRPr="0018303A">
        <w:rPr>
          <w:rFonts w:cs="Calibri"/>
          <w:color w:val="222222"/>
          <w:szCs w:val="22"/>
        </w:rPr>
        <w:t xml:space="preserve">, </w:t>
      </w:r>
      <w:r>
        <w:rPr>
          <w:rFonts w:cs="Calibri"/>
          <w:color w:val="222222"/>
          <w:szCs w:val="22"/>
        </w:rPr>
        <w:t xml:space="preserve">prioritními osami, </w:t>
      </w:r>
      <w:r w:rsidRPr="0018303A">
        <w:rPr>
          <w:rFonts w:cs="Calibri"/>
          <w:color w:val="222222"/>
          <w:szCs w:val="22"/>
        </w:rPr>
        <w:t>investičn</w:t>
      </w:r>
      <w:r>
        <w:rPr>
          <w:rFonts w:cs="Calibri"/>
          <w:color w:val="222222"/>
          <w:szCs w:val="22"/>
        </w:rPr>
        <w:t>ími</w:t>
      </w:r>
      <w:r w:rsidRPr="0018303A">
        <w:rPr>
          <w:rFonts w:cs="Calibri"/>
          <w:color w:val="222222"/>
          <w:szCs w:val="22"/>
        </w:rPr>
        <w:t xml:space="preserve"> priorit</w:t>
      </w:r>
      <w:r>
        <w:rPr>
          <w:rFonts w:cs="Calibri"/>
          <w:color w:val="222222"/>
          <w:szCs w:val="22"/>
        </w:rPr>
        <w:t>ami</w:t>
      </w:r>
      <w:r w:rsidRPr="0018303A">
        <w:rPr>
          <w:rFonts w:cs="Calibri"/>
          <w:color w:val="222222"/>
          <w:szCs w:val="22"/>
        </w:rPr>
        <w:t xml:space="preserve"> a </w:t>
      </w:r>
      <w:r>
        <w:rPr>
          <w:rFonts w:cs="Calibri"/>
          <w:color w:val="222222"/>
          <w:szCs w:val="22"/>
        </w:rPr>
        <w:t>specifickými cíli</w:t>
      </w:r>
      <w:r w:rsidRPr="0018303A">
        <w:rPr>
          <w:rFonts w:cs="Calibri"/>
          <w:color w:val="222222"/>
          <w:szCs w:val="22"/>
        </w:rPr>
        <w:t>, posouzení souladu navržené investiční strategie s ostatními relevantními národními strategickými dokumenty, ověření komplemen</w:t>
      </w:r>
      <w:r>
        <w:rPr>
          <w:rFonts w:cs="Calibri"/>
          <w:color w:val="222222"/>
          <w:szCs w:val="22"/>
        </w:rPr>
        <w:t xml:space="preserve">tarity a potenciálních synergií, </w:t>
      </w:r>
      <w:r w:rsidRPr="0018303A">
        <w:rPr>
          <w:rFonts w:cs="Calibri"/>
          <w:color w:val="222222"/>
          <w:szCs w:val="22"/>
        </w:rPr>
        <w:t xml:space="preserve">posouzení celkové logiky, struktury a obsahu </w:t>
      </w:r>
      <w:r>
        <w:rPr>
          <w:rFonts w:cs="Calibri"/>
          <w:color w:val="222222"/>
          <w:szCs w:val="22"/>
        </w:rPr>
        <w:t>investiční strategie.</w:t>
      </w:r>
    </w:p>
    <w:p w:rsidR="002C41C1" w:rsidRDefault="002C41C1" w:rsidP="009F5E79">
      <w:pPr>
        <w:pStyle w:val="Odstavecseseznamem"/>
        <w:numPr>
          <w:ilvl w:val="0"/>
          <w:numId w:val="22"/>
        </w:numPr>
        <w:spacing w:after="240"/>
        <w:rPr>
          <w:rFonts w:cs="Calibri"/>
          <w:color w:val="222222"/>
          <w:szCs w:val="22"/>
        </w:rPr>
      </w:pPr>
      <w:r>
        <w:rPr>
          <w:rFonts w:cs="Calibri"/>
          <w:color w:val="222222"/>
          <w:szCs w:val="22"/>
        </w:rPr>
        <w:t>H</w:t>
      </w:r>
      <w:r w:rsidRPr="00896015">
        <w:rPr>
          <w:rFonts w:cs="Calibri"/>
          <w:color w:val="222222"/>
          <w:szCs w:val="22"/>
        </w:rPr>
        <w:t>orizontální principy a integrované přístupy: zhodnocení přiměřenosti plánovaných opatření k podpoře rovných příležitostí</w:t>
      </w:r>
      <w:r>
        <w:rPr>
          <w:rFonts w:cs="Calibri"/>
          <w:color w:val="222222"/>
          <w:szCs w:val="22"/>
        </w:rPr>
        <w:t xml:space="preserve">, </w:t>
      </w:r>
      <w:r w:rsidRPr="00896015">
        <w:rPr>
          <w:rFonts w:cs="Calibri"/>
          <w:color w:val="222222"/>
          <w:szCs w:val="22"/>
        </w:rPr>
        <w:t xml:space="preserve">opatření k předcházení diskriminace </w:t>
      </w:r>
      <w:r>
        <w:rPr>
          <w:rFonts w:cs="Calibri"/>
          <w:color w:val="222222"/>
          <w:szCs w:val="22"/>
        </w:rPr>
        <w:t xml:space="preserve">a </w:t>
      </w:r>
      <w:r w:rsidRPr="00896015">
        <w:rPr>
          <w:rFonts w:cs="Calibri"/>
          <w:color w:val="222222"/>
          <w:szCs w:val="22"/>
        </w:rPr>
        <w:t>opatření k podpoře udržitelného rozvoje</w:t>
      </w:r>
      <w:r>
        <w:rPr>
          <w:rFonts w:cs="Calibri"/>
          <w:color w:val="222222"/>
          <w:szCs w:val="22"/>
        </w:rPr>
        <w:t>.</w:t>
      </w:r>
    </w:p>
    <w:p w:rsidR="002C41C1" w:rsidRDefault="002C41C1" w:rsidP="009F5E79">
      <w:pPr>
        <w:pStyle w:val="Odstavecseseznamem"/>
        <w:numPr>
          <w:ilvl w:val="0"/>
          <w:numId w:val="22"/>
        </w:numPr>
        <w:spacing w:after="240"/>
        <w:rPr>
          <w:rFonts w:cs="Calibri"/>
          <w:color w:val="222222"/>
          <w:szCs w:val="22"/>
        </w:rPr>
      </w:pPr>
      <w:r>
        <w:rPr>
          <w:rFonts w:cs="Calibri"/>
          <w:color w:val="222222"/>
          <w:szCs w:val="22"/>
        </w:rPr>
        <w:lastRenderedPageBreak/>
        <w:t>R</w:t>
      </w:r>
      <w:r w:rsidRPr="00896015">
        <w:rPr>
          <w:rFonts w:cs="Calibri"/>
          <w:color w:val="222222"/>
          <w:szCs w:val="22"/>
        </w:rPr>
        <w:t>egionální dimenze a integrované přístupy: zhodnocení pojetí a způsobu zapracování regionální dimenze</w:t>
      </w:r>
      <w:r>
        <w:rPr>
          <w:rFonts w:cs="Calibri"/>
          <w:color w:val="222222"/>
          <w:szCs w:val="22"/>
        </w:rPr>
        <w:t xml:space="preserve"> v investiční strategii včetně integrovaných přístupů, </w:t>
      </w:r>
      <w:r w:rsidRPr="00896015">
        <w:rPr>
          <w:rFonts w:cs="Calibri"/>
          <w:color w:val="222222"/>
          <w:szCs w:val="22"/>
        </w:rPr>
        <w:t xml:space="preserve">zhodnocení, jak a do jaké míry zohledňuje </w:t>
      </w:r>
      <w:r>
        <w:rPr>
          <w:rFonts w:cs="Calibri"/>
          <w:color w:val="222222"/>
          <w:szCs w:val="22"/>
        </w:rPr>
        <w:t xml:space="preserve">investiční strategie </w:t>
      </w:r>
      <w:r w:rsidRPr="00896015">
        <w:rPr>
          <w:rFonts w:cs="Calibri"/>
          <w:color w:val="222222"/>
          <w:szCs w:val="22"/>
        </w:rPr>
        <w:t>specifické regionální potřeby a regionální rozdíly</w:t>
      </w:r>
      <w:r>
        <w:rPr>
          <w:rFonts w:cs="Calibri"/>
          <w:color w:val="222222"/>
          <w:szCs w:val="22"/>
        </w:rPr>
        <w:t xml:space="preserve">, </w:t>
      </w:r>
      <w:r w:rsidRPr="00896015">
        <w:rPr>
          <w:rFonts w:cs="Calibri"/>
          <w:color w:val="222222"/>
          <w:szCs w:val="22"/>
        </w:rPr>
        <w:t>zhodnocení relevance zařazení navržených územních jednotek či funkčních území k podpoře poskytované v rámci progra</w:t>
      </w:r>
      <w:r>
        <w:rPr>
          <w:rFonts w:cs="Calibri"/>
          <w:color w:val="222222"/>
          <w:szCs w:val="22"/>
        </w:rPr>
        <w:t>mu, včetně regionálních aktérů,</w:t>
      </w:r>
    </w:p>
    <w:p w:rsidR="002C41C1" w:rsidRDefault="002C41C1" w:rsidP="009F5E79">
      <w:pPr>
        <w:pStyle w:val="Odstavecseseznamem"/>
        <w:numPr>
          <w:ilvl w:val="0"/>
          <w:numId w:val="22"/>
        </w:numPr>
        <w:spacing w:after="240"/>
        <w:rPr>
          <w:rFonts w:cs="Calibri"/>
          <w:color w:val="222222"/>
          <w:szCs w:val="22"/>
        </w:rPr>
      </w:pPr>
      <w:r>
        <w:rPr>
          <w:rFonts w:cs="Calibri"/>
          <w:color w:val="222222"/>
          <w:szCs w:val="22"/>
        </w:rPr>
        <w:t xml:space="preserve">Nástroje pro zohlednění </w:t>
      </w:r>
      <w:r w:rsidRPr="00896015">
        <w:rPr>
          <w:rFonts w:cs="Calibri"/>
          <w:color w:val="222222"/>
          <w:szCs w:val="22"/>
        </w:rPr>
        <w:t>princip</w:t>
      </w:r>
      <w:r>
        <w:rPr>
          <w:rFonts w:cs="Calibri"/>
          <w:color w:val="222222"/>
          <w:szCs w:val="22"/>
        </w:rPr>
        <w:t>u</w:t>
      </w:r>
      <w:r w:rsidRPr="00896015">
        <w:rPr>
          <w:rFonts w:cs="Calibri"/>
          <w:color w:val="222222"/>
          <w:szCs w:val="22"/>
        </w:rPr>
        <w:t xml:space="preserve"> partnerství</w:t>
      </w:r>
      <w:r>
        <w:rPr>
          <w:rFonts w:cs="Calibri"/>
          <w:color w:val="222222"/>
          <w:szCs w:val="22"/>
        </w:rPr>
        <w:t xml:space="preserve"> při přípravě, řízení a monitorování FN podle zvolené investiční strategie.</w:t>
      </w:r>
    </w:p>
    <w:p w:rsidR="002C41C1" w:rsidRPr="005415B9" w:rsidRDefault="002C41C1" w:rsidP="009F5E79">
      <w:pPr>
        <w:pStyle w:val="Odstavecseseznamem"/>
        <w:numPr>
          <w:ilvl w:val="0"/>
          <w:numId w:val="22"/>
        </w:numPr>
        <w:spacing w:after="240"/>
        <w:rPr>
          <w:rFonts w:cs="Calibri"/>
          <w:color w:val="222222"/>
          <w:szCs w:val="22"/>
        </w:rPr>
      </w:pPr>
      <w:r>
        <w:rPr>
          <w:rFonts w:cs="Calibri"/>
          <w:color w:val="222222"/>
          <w:szCs w:val="22"/>
        </w:rPr>
        <w:t>V</w:t>
      </w:r>
      <w:r w:rsidRPr="00896015">
        <w:rPr>
          <w:rFonts w:cs="Calibri"/>
          <w:color w:val="222222"/>
          <w:szCs w:val="22"/>
        </w:rPr>
        <w:t xml:space="preserve">yhodnocení adekvátnosti </w:t>
      </w:r>
      <w:r>
        <w:rPr>
          <w:rFonts w:cs="Calibri"/>
          <w:color w:val="222222"/>
          <w:szCs w:val="22"/>
        </w:rPr>
        <w:t xml:space="preserve">vyčleněných </w:t>
      </w:r>
      <w:r w:rsidRPr="00896015">
        <w:rPr>
          <w:rFonts w:cs="Calibri"/>
          <w:color w:val="222222"/>
          <w:szCs w:val="22"/>
        </w:rPr>
        <w:t>lidských zdrojů a administrati</w:t>
      </w:r>
      <w:r>
        <w:rPr>
          <w:rFonts w:cs="Calibri"/>
          <w:color w:val="222222"/>
          <w:szCs w:val="22"/>
        </w:rPr>
        <w:t>vní kapacity pro řízení FN na straně ŘO</w:t>
      </w:r>
      <w:r w:rsidRPr="00896015">
        <w:rPr>
          <w:rFonts w:cs="Calibri"/>
          <w:color w:val="222222"/>
          <w:szCs w:val="22"/>
        </w:rPr>
        <w:t>.</w:t>
      </w:r>
    </w:p>
    <w:p w:rsidR="002C41C1" w:rsidRPr="00896015" w:rsidRDefault="002C41C1" w:rsidP="009F5E79">
      <w:pPr>
        <w:spacing w:after="240"/>
        <w:rPr>
          <w:rFonts w:cs="Calibri"/>
          <w:b/>
          <w:color w:val="222222"/>
          <w:szCs w:val="22"/>
        </w:rPr>
      </w:pPr>
      <w:r>
        <w:rPr>
          <w:rFonts w:cs="Calibri"/>
          <w:b/>
          <w:color w:val="222222"/>
          <w:szCs w:val="22"/>
        </w:rPr>
        <w:t>c</w:t>
      </w:r>
      <w:r w:rsidRPr="00896015">
        <w:rPr>
          <w:rFonts w:cs="Calibri"/>
          <w:b/>
          <w:color w:val="222222"/>
          <w:szCs w:val="22"/>
        </w:rPr>
        <w:t xml:space="preserve">) </w:t>
      </w:r>
      <w:r>
        <w:rPr>
          <w:rFonts w:cs="Calibri"/>
          <w:b/>
          <w:color w:val="222222"/>
          <w:szCs w:val="22"/>
        </w:rPr>
        <w:t>Očekávané výsledky</w:t>
      </w:r>
    </w:p>
    <w:p w:rsidR="002C41C1" w:rsidRPr="00896015" w:rsidRDefault="002C41C1" w:rsidP="009F5E79">
      <w:pPr>
        <w:pStyle w:val="Odstavecseseznamem"/>
        <w:numPr>
          <w:ilvl w:val="0"/>
          <w:numId w:val="23"/>
        </w:numPr>
        <w:spacing w:after="240"/>
        <w:rPr>
          <w:rFonts w:cs="Calibri"/>
          <w:color w:val="222222"/>
          <w:szCs w:val="22"/>
        </w:rPr>
      </w:pPr>
      <w:r w:rsidRPr="00896015">
        <w:rPr>
          <w:rFonts w:cs="Calibri"/>
          <w:color w:val="222222"/>
          <w:szCs w:val="22"/>
        </w:rPr>
        <w:t>Specifikace o</w:t>
      </w:r>
      <w:r>
        <w:rPr>
          <w:rFonts w:cs="Calibri"/>
          <w:color w:val="222222"/>
          <w:szCs w:val="22"/>
        </w:rPr>
        <w:t>čekávaných výsledků a výstupů FN.</w:t>
      </w:r>
    </w:p>
    <w:p w:rsidR="002C41C1" w:rsidRDefault="002C41C1" w:rsidP="009F5E79">
      <w:pPr>
        <w:pStyle w:val="Odstavecseseznamem"/>
        <w:numPr>
          <w:ilvl w:val="0"/>
          <w:numId w:val="23"/>
        </w:numPr>
        <w:spacing w:after="240"/>
        <w:rPr>
          <w:rFonts w:cs="Calibri"/>
          <w:color w:val="222222"/>
          <w:szCs w:val="22"/>
        </w:rPr>
      </w:pPr>
      <w:r w:rsidRPr="00896015">
        <w:rPr>
          <w:rFonts w:cs="Calibri"/>
          <w:color w:val="222222"/>
          <w:szCs w:val="22"/>
        </w:rPr>
        <w:t xml:space="preserve">Definice </w:t>
      </w:r>
      <w:r>
        <w:rPr>
          <w:rFonts w:cs="Calibri"/>
          <w:color w:val="222222"/>
          <w:szCs w:val="22"/>
        </w:rPr>
        <w:t>výchozích</w:t>
      </w:r>
      <w:r w:rsidRPr="00896015">
        <w:rPr>
          <w:rFonts w:cs="Calibri"/>
          <w:color w:val="222222"/>
          <w:szCs w:val="22"/>
        </w:rPr>
        <w:t xml:space="preserve"> a cílových hodnot na </w:t>
      </w:r>
      <w:r>
        <w:rPr>
          <w:rFonts w:cs="Calibri"/>
          <w:color w:val="222222"/>
          <w:szCs w:val="22"/>
        </w:rPr>
        <w:t>základě konkrétního příspěvku FN</w:t>
      </w:r>
      <w:r w:rsidR="00BD7EA5">
        <w:rPr>
          <w:rFonts w:cs="Calibri"/>
          <w:color w:val="222222"/>
          <w:szCs w:val="22"/>
        </w:rPr>
        <w:t xml:space="preserve"> </w:t>
      </w:r>
      <w:r>
        <w:rPr>
          <w:rFonts w:cs="Calibri"/>
          <w:color w:val="222222"/>
          <w:szCs w:val="22"/>
        </w:rPr>
        <w:t xml:space="preserve">k cílům prioritních osa specifických cílů </w:t>
      </w:r>
      <w:r w:rsidR="0084453C">
        <w:rPr>
          <w:rFonts w:cs="Calibri"/>
          <w:color w:val="222222"/>
          <w:szCs w:val="22"/>
        </w:rPr>
        <w:t>OP PIK</w:t>
      </w:r>
      <w:r w:rsidRPr="00896015">
        <w:rPr>
          <w:rFonts w:cs="Calibri"/>
          <w:color w:val="222222"/>
          <w:szCs w:val="22"/>
        </w:rPr>
        <w:t>.</w:t>
      </w:r>
    </w:p>
    <w:p w:rsidR="002C41C1" w:rsidRDefault="002C41C1" w:rsidP="009F5E79">
      <w:pPr>
        <w:pStyle w:val="Odstavecseseznamem"/>
        <w:numPr>
          <w:ilvl w:val="0"/>
          <w:numId w:val="23"/>
        </w:numPr>
        <w:spacing w:after="240"/>
        <w:rPr>
          <w:rFonts w:cs="Calibri"/>
          <w:color w:val="222222"/>
          <w:szCs w:val="22"/>
        </w:rPr>
      </w:pPr>
      <w:r>
        <w:rPr>
          <w:rFonts w:cs="Calibri"/>
          <w:color w:val="222222"/>
          <w:szCs w:val="22"/>
        </w:rPr>
        <w:t>P</w:t>
      </w:r>
      <w:r w:rsidRPr="00896015">
        <w:rPr>
          <w:rFonts w:cs="Calibri"/>
          <w:color w:val="222222"/>
          <w:szCs w:val="22"/>
        </w:rPr>
        <w:t xml:space="preserve">řezkoumání </w:t>
      </w:r>
      <w:r>
        <w:rPr>
          <w:rFonts w:cs="Calibri"/>
          <w:color w:val="222222"/>
          <w:szCs w:val="22"/>
        </w:rPr>
        <w:t xml:space="preserve">předpokladu existence </w:t>
      </w:r>
      <w:r w:rsidRPr="00896015">
        <w:rPr>
          <w:rFonts w:cs="Calibri"/>
          <w:color w:val="222222"/>
          <w:szCs w:val="22"/>
        </w:rPr>
        <w:t>kauzální vazby mezi navrženými intervencemi, jejich výstupy a výsledky</w:t>
      </w:r>
      <w:r>
        <w:rPr>
          <w:rFonts w:cs="Calibri"/>
          <w:color w:val="222222"/>
          <w:szCs w:val="22"/>
        </w:rPr>
        <w:t>,</w:t>
      </w:r>
      <w:r w:rsidRPr="00896015">
        <w:rPr>
          <w:rFonts w:cs="Calibri"/>
          <w:color w:val="222222"/>
          <w:szCs w:val="22"/>
        </w:rPr>
        <w:t xml:space="preserve"> identifikace a posouzení externích faktorů, které by mohly ovlivnit předpokládané výsledky</w:t>
      </w:r>
      <w:r>
        <w:rPr>
          <w:rFonts w:cs="Calibri"/>
          <w:color w:val="222222"/>
          <w:szCs w:val="22"/>
        </w:rPr>
        <w:t>,</w:t>
      </w:r>
      <w:r w:rsidRPr="00896015">
        <w:rPr>
          <w:rFonts w:cs="Calibri"/>
          <w:color w:val="222222"/>
          <w:szCs w:val="22"/>
        </w:rPr>
        <w:t xml:space="preserve"> posouzení či doporučení, jaké předpoklady musí být splněny, aby navržená opatření vedla k požadovaným změnám</w:t>
      </w:r>
      <w:r>
        <w:rPr>
          <w:rFonts w:cs="Calibri"/>
          <w:color w:val="222222"/>
          <w:szCs w:val="22"/>
        </w:rPr>
        <w:t>.</w:t>
      </w:r>
    </w:p>
    <w:p w:rsidR="002C41C1" w:rsidRDefault="002C41C1" w:rsidP="009F5E79">
      <w:pPr>
        <w:pStyle w:val="Odstavecseseznamem"/>
        <w:numPr>
          <w:ilvl w:val="0"/>
          <w:numId w:val="23"/>
        </w:numPr>
        <w:spacing w:after="240"/>
        <w:rPr>
          <w:rFonts w:cs="Calibri"/>
          <w:color w:val="222222"/>
          <w:szCs w:val="22"/>
        </w:rPr>
      </w:pPr>
      <w:r>
        <w:rPr>
          <w:rFonts w:cs="Calibri"/>
          <w:color w:val="222222"/>
          <w:szCs w:val="22"/>
        </w:rPr>
        <w:t>Kvantifikace</w:t>
      </w:r>
      <w:r w:rsidRPr="00896015">
        <w:rPr>
          <w:rFonts w:cs="Calibri"/>
          <w:color w:val="222222"/>
          <w:szCs w:val="22"/>
        </w:rPr>
        <w:t xml:space="preserve"> výchozí</w:t>
      </w:r>
      <w:r>
        <w:rPr>
          <w:rFonts w:cs="Calibri"/>
          <w:color w:val="222222"/>
          <w:szCs w:val="22"/>
        </w:rPr>
        <w:t>ch</w:t>
      </w:r>
      <w:r w:rsidR="00BD7EA5">
        <w:rPr>
          <w:rFonts w:cs="Calibri"/>
          <w:color w:val="222222"/>
          <w:szCs w:val="22"/>
        </w:rPr>
        <w:t xml:space="preserve"> </w:t>
      </w:r>
      <w:r>
        <w:rPr>
          <w:rFonts w:cs="Calibri"/>
          <w:color w:val="222222"/>
          <w:szCs w:val="22"/>
        </w:rPr>
        <w:t>a cílových hodnot</w:t>
      </w:r>
      <w:r w:rsidRPr="00896015">
        <w:rPr>
          <w:rFonts w:cs="Calibri"/>
          <w:color w:val="222222"/>
          <w:szCs w:val="22"/>
        </w:rPr>
        <w:t xml:space="preserve"> indikátorů: </w:t>
      </w:r>
      <w:r>
        <w:rPr>
          <w:rFonts w:cs="Calibri"/>
          <w:color w:val="222222"/>
          <w:szCs w:val="22"/>
        </w:rPr>
        <w:t xml:space="preserve">volba vhodných ukazatelů, </w:t>
      </w:r>
      <w:r w:rsidRPr="00896015">
        <w:rPr>
          <w:rFonts w:cs="Calibri"/>
          <w:color w:val="222222"/>
          <w:szCs w:val="22"/>
        </w:rPr>
        <w:t>doporučení nebo odkazy na zdroje a metody pro kvantifikaci hodnot indikátorů</w:t>
      </w:r>
      <w:r>
        <w:rPr>
          <w:rFonts w:cs="Calibri"/>
          <w:color w:val="222222"/>
          <w:szCs w:val="22"/>
        </w:rPr>
        <w:t>, kvantifikace cílových hodnot</w:t>
      </w:r>
      <w:r w:rsidRPr="00896015">
        <w:rPr>
          <w:rFonts w:cs="Calibri"/>
          <w:color w:val="222222"/>
          <w:szCs w:val="22"/>
        </w:rPr>
        <w:t xml:space="preserve"> ukazatelů s ohledem na navrhované</w:t>
      </w:r>
      <w:r>
        <w:rPr>
          <w:rFonts w:cs="Calibri"/>
          <w:color w:val="222222"/>
          <w:szCs w:val="22"/>
        </w:rPr>
        <w:t xml:space="preserve"> alokace,</w:t>
      </w:r>
      <w:r w:rsidRPr="00896015">
        <w:rPr>
          <w:rFonts w:cs="Calibri"/>
          <w:color w:val="222222"/>
          <w:szCs w:val="22"/>
        </w:rPr>
        <w:t xml:space="preserve"> zamě</w:t>
      </w:r>
      <w:r>
        <w:rPr>
          <w:rFonts w:cs="Calibri"/>
          <w:color w:val="222222"/>
          <w:szCs w:val="22"/>
        </w:rPr>
        <w:t>ření intervencí a formy podpory.</w:t>
      </w:r>
    </w:p>
    <w:p w:rsidR="002C41C1" w:rsidRPr="00363C8C" w:rsidRDefault="002C41C1" w:rsidP="009F5E79">
      <w:pPr>
        <w:pStyle w:val="Odstavecseseznamem"/>
        <w:numPr>
          <w:ilvl w:val="0"/>
          <w:numId w:val="23"/>
        </w:numPr>
        <w:spacing w:after="240"/>
        <w:rPr>
          <w:rFonts w:cs="Calibri"/>
          <w:color w:val="222222"/>
          <w:szCs w:val="22"/>
        </w:rPr>
      </w:pPr>
      <w:r w:rsidRPr="00363C8C">
        <w:rPr>
          <w:rFonts w:cs="Calibri"/>
          <w:color w:val="222222"/>
          <w:szCs w:val="22"/>
        </w:rPr>
        <w:t>Vhodnost stanovených milníků: posouzení dostupnosti dat pro určení milníků, nadefinování relevantních milníků a jejich cílových hodnot.</w:t>
      </w:r>
    </w:p>
    <w:p w:rsidR="002C41C1" w:rsidRPr="00F850FB" w:rsidRDefault="002C41C1" w:rsidP="009F5E79">
      <w:pPr>
        <w:spacing w:after="240"/>
        <w:rPr>
          <w:rFonts w:cs="Calibri"/>
          <w:b/>
          <w:color w:val="222222"/>
          <w:szCs w:val="22"/>
        </w:rPr>
      </w:pPr>
      <w:r>
        <w:rPr>
          <w:rFonts w:cs="Calibri"/>
          <w:b/>
          <w:color w:val="222222"/>
          <w:szCs w:val="22"/>
        </w:rPr>
        <w:t>d</w:t>
      </w:r>
      <w:r w:rsidRPr="00F850FB">
        <w:rPr>
          <w:rFonts w:cs="Calibri"/>
          <w:b/>
          <w:color w:val="222222"/>
          <w:szCs w:val="22"/>
        </w:rPr>
        <w:t xml:space="preserve">) </w:t>
      </w:r>
      <w:r>
        <w:rPr>
          <w:rFonts w:cs="Calibri"/>
          <w:b/>
          <w:color w:val="222222"/>
          <w:szCs w:val="22"/>
        </w:rPr>
        <w:t>Přezkoumatelnost závěrů hodnocení</w:t>
      </w:r>
    </w:p>
    <w:p w:rsidR="002C41C1" w:rsidRPr="00F850FB" w:rsidRDefault="002C41C1" w:rsidP="009F5E79">
      <w:pPr>
        <w:pStyle w:val="Odstavecseseznamem"/>
        <w:numPr>
          <w:ilvl w:val="0"/>
          <w:numId w:val="25"/>
        </w:numPr>
        <w:spacing w:after="240"/>
        <w:rPr>
          <w:rFonts w:cs="Calibri"/>
          <w:color w:val="222222"/>
          <w:szCs w:val="22"/>
        </w:rPr>
      </w:pPr>
      <w:r>
        <w:rPr>
          <w:rFonts w:cs="Calibri"/>
          <w:color w:val="222222"/>
          <w:szCs w:val="22"/>
        </w:rPr>
        <w:t>Identifikace důvodů</w:t>
      </w:r>
      <w:r w:rsidRPr="00F850FB">
        <w:rPr>
          <w:rFonts w:cs="Calibri"/>
          <w:color w:val="222222"/>
          <w:szCs w:val="22"/>
        </w:rPr>
        <w:t xml:space="preserve"> pro provedení případné revize závěrů předběžného posouzení </w:t>
      </w:r>
      <w:r>
        <w:rPr>
          <w:rFonts w:cs="Calibri"/>
          <w:color w:val="222222"/>
          <w:szCs w:val="22"/>
        </w:rPr>
        <w:t xml:space="preserve">FN </w:t>
      </w:r>
      <w:r w:rsidR="0084453C">
        <w:rPr>
          <w:rFonts w:cs="Calibri"/>
          <w:color w:val="222222"/>
          <w:szCs w:val="22"/>
        </w:rPr>
        <w:t>OP PIK</w:t>
      </w:r>
      <w:r>
        <w:rPr>
          <w:rFonts w:cs="Calibri"/>
          <w:color w:val="222222"/>
          <w:szCs w:val="22"/>
        </w:rPr>
        <w:t xml:space="preserve"> </w:t>
      </w:r>
      <w:r w:rsidRPr="00F850FB">
        <w:rPr>
          <w:rFonts w:cs="Calibri"/>
          <w:color w:val="222222"/>
          <w:szCs w:val="22"/>
        </w:rPr>
        <w:t>v</w:t>
      </w:r>
      <w:r>
        <w:rPr>
          <w:rFonts w:cs="Calibri"/>
          <w:color w:val="222222"/>
          <w:szCs w:val="22"/>
        </w:rPr>
        <w:t> </w:t>
      </w:r>
      <w:r w:rsidRPr="00F850FB">
        <w:rPr>
          <w:rFonts w:cs="Calibri"/>
          <w:color w:val="222222"/>
          <w:szCs w:val="22"/>
        </w:rPr>
        <w:t>budoucnu</w:t>
      </w:r>
      <w:r>
        <w:rPr>
          <w:rFonts w:cs="Calibri"/>
          <w:color w:val="222222"/>
          <w:szCs w:val="22"/>
        </w:rPr>
        <w:t>.</w:t>
      </w:r>
    </w:p>
    <w:p w:rsidR="002C41C1" w:rsidRPr="00012C12" w:rsidRDefault="002C41C1" w:rsidP="00DF6E0B">
      <w:pPr>
        <w:pStyle w:val="Odstavecseseznamem"/>
        <w:numPr>
          <w:ilvl w:val="0"/>
          <w:numId w:val="25"/>
        </w:numPr>
        <w:spacing w:after="240"/>
        <w:rPr>
          <w:rFonts w:cs="Calibri"/>
          <w:bCs/>
          <w:color w:val="222222"/>
          <w:szCs w:val="22"/>
        </w:rPr>
      </w:pPr>
      <w:r>
        <w:t xml:space="preserve">Metodické procesy pro aktualizaci </w:t>
      </w:r>
      <w:r w:rsidRPr="00F850FB">
        <w:t xml:space="preserve">předběžného posouzení </w:t>
      </w:r>
      <w:r>
        <w:t xml:space="preserve">FN </w:t>
      </w:r>
      <w:r w:rsidR="0084453C">
        <w:t>OP PIK</w:t>
      </w:r>
      <w:r>
        <w:t xml:space="preserve"> .</w:t>
      </w:r>
    </w:p>
    <w:p w:rsidR="00012C12" w:rsidRDefault="00012C12" w:rsidP="00012C12">
      <w:pPr>
        <w:pStyle w:val="Nadpis2"/>
      </w:pPr>
      <w:bookmarkStart w:id="16" w:name="_Toc409613010"/>
      <w:bookmarkStart w:id="17" w:name="_Toc413854334"/>
      <w:r>
        <w:t>Definice základních pojmů</w:t>
      </w:r>
      <w:bookmarkEnd w:id="16"/>
      <w:bookmarkEnd w:id="17"/>
    </w:p>
    <w:p w:rsidR="00012C12" w:rsidRPr="00A35F56" w:rsidRDefault="00012C12" w:rsidP="00012C12">
      <w:r>
        <w:t xml:space="preserve">V </w:t>
      </w:r>
      <w:r w:rsidRPr="00A35F56">
        <w:t xml:space="preserve">kontextu </w:t>
      </w:r>
      <w:r>
        <w:t>tohoto ex ante vyhodnocení a v souladu s Obecným nařízením a</w:t>
      </w:r>
      <w:r w:rsidRPr="00A35F56">
        <w:t xml:space="preserve"> Finančním nařízením </w:t>
      </w:r>
      <w:r>
        <w:t xml:space="preserve">se </w:t>
      </w:r>
      <w:r w:rsidRPr="00A35F56">
        <w:t>rozumí:</w:t>
      </w:r>
    </w:p>
    <w:p w:rsidR="00012C12" w:rsidRPr="00A35F56" w:rsidRDefault="00012C12" w:rsidP="00012C12">
      <w:r w:rsidRPr="00A35F56">
        <w:t>a)</w:t>
      </w:r>
      <w:r w:rsidRPr="00A35F56">
        <w:tab/>
        <w:t>„finančním nástrojem“ opatření finanční podpory ve formě kapitálových či kvazikapitálových investic, půjček nebo záruk anebo jiných nástrojů ke sdílení rizik přičemž tam, kde je to vhodné, mohou být spojeny s granty, pokud není v Obecném nařízení stanoveno jinak;</w:t>
      </w:r>
    </w:p>
    <w:p w:rsidR="00012C12" w:rsidRPr="00A35F56" w:rsidRDefault="00012C12" w:rsidP="00012C12">
      <w:pPr>
        <w:rPr>
          <w:rFonts w:cs="Calibri"/>
          <w:szCs w:val="24"/>
        </w:rPr>
      </w:pPr>
      <w:r w:rsidRPr="00A35F56">
        <w:rPr>
          <w:rFonts w:cs="Calibri"/>
          <w:szCs w:val="24"/>
        </w:rPr>
        <w:t>b)</w:t>
      </w:r>
      <w:r w:rsidRPr="00A35F56">
        <w:rPr>
          <w:rFonts w:cs="Calibri"/>
          <w:szCs w:val="24"/>
        </w:rPr>
        <w:tab/>
        <w:t>„fondem fondů“ fond, který investuje prostředky do více finančních nástrojů a pro svou činnost typicky využívá finanční zprostředkovatele;</w:t>
      </w:r>
    </w:p>
    <w:p w:rsidR="00012C12" w:rsidRPr="00A35F56" w:rsidRDefault="00012C12" w:rsidP="00012C12">
      <w:pPr>
        <w:rPr>
          <w:rFonts w:cs="Calibri"/>
          <w:szCs w:val="24"/>
        </w:rPr>
      </w:pPr>
      <w:r w:rsidRPr="00A35F56">
        <w:rPr>
          <w:rFonts w:cs="Calibri"/>
          <w:szCs w:val="24"/>
        </w:rPr>
        <w:t>c)</w:t>
      </w:r>
      <w:r w:rsidRPr="00A35F56">
        <w:rPr>
          <w:rFonts w:cs="Calibri"/>
          <w:szCs w:val="24"/>
        </w:rPr>
        <w:tab/>
        <w:t>„příjemcem“ subjekt, který provádí finanční nástroj, popřípadě fond fondů. V případě, že je pro realizaci finančního nástroje nebo fondu fondů řídícím orgánem založeno SPV jako příjemce prostředků státního rozpočtu obhospodařované příjemcem, je v souladu s obecně závaznými právními předpisy možné, aby smlouvy s konečnými příjemci, soukromými spoluinvestory a podepisoval příjemce jménem příjemce prostředků státního rozpočtu;</w:t>
      </w:r>
    </w:p>
    <w:p w:rsidR="00012C12" w:rsidRPr="00A35F56" w:rsidRDefault="00012C12" w:rsidP="00012C12">
      <w:pPr>
        <w:rPr>
          <w:rFonts w:cs="Calibri"/>
          <w:szCs w:val="24"/>
        </w:rPr>
      </w:pPr>
      <w:r w:rsidRPr="00A35F56">
        <w:rPr>
          <w:rFonts w:cs="Calibri"/>
          <w:szCs w:val="24"/>
        </w:rPr>
        <w:t>d)</w:t>
      </w:r>
      <w:r w:rsidRPr="00A35F56">
        <w:rPr>
          <w:rFonts w:cs="Calibri"/>
          <w:szCs w:val="24"/>
        </w:rPr>
        <w:tab/>
        <w:t>„dohodou o financování“ dohoda o financování podle čl. 38 odst. 7 Obecného nařízení</w:t>
      </w:r>
      <w:r>
        <w:rPr>
          <w:rFonts w:cs="Calibri"/>
          <w:szCs w:val="24"/>
        </w:rPr>
        <w:t>;</w:t>
      </w:r>
    </w:p>
    <w:p w:rsidR="00012C12" w:rsidRPr="00A35F56" w:rsidRDefault="00012C12" w:rsidP="00012C12">
      <w:pPr>
        <w:rPr>
          <w:rFonts w:cs="Calibri"/>
          <w:szCs w:val="24"/>
        </w:rPr>
      </w:pPr>
      <w:r w:rsidRPr="00A35F56">
        <w:rPr>
          <w:rFonts w:cs="Calibri"/>
          <w:szCs w:val="24"/>
        </w:rPr>
        <w:t>e)</w:t>
      </w:r>
      <w:r w:rsidRPr="00A35F56">
        <w:rPr>
          <w:rFonts w:cs="Calibri"/>
          <w:szCs w:val="24"/>
        </w:rPr>
        <w:tab/>
        <w:t>„finančním zprostředkovatelem“ subjekt, kterému subjekt uvedený v čl. 38 odst. 4 prvním pododstavci písm. a) a b) Obecného nařízení při provádění fondů fondů svěřil část provádění za předpokladu, že tento subjekt na vlastní odpovědnost zajistí, aby finanční zprostředkovatel splňoval kritéria stanovená v čl. 140 odst. 1, 2 a 4 Finančního nařízení. Finanční zprostředkovatelé se vybírají prostřednictvím otevřených, transparentních, přiměřených a nediskriminačních postupů, kdy je vyloučen střet zájmů;</w:t>
      </w:r>
    </w:p>
    <w:p w:rsidR="00012C12" w:rsidRPr="00A35F56" w:rsidRDefault="00012C12" w:rsidP="00012C12">
      <w:pPr>
        <w:rPr>
          <w:rFonts w:cs="Calibri"/>
          <w:szCs w:val="24"/>
        </w:rPr>
      </w:pPr>
      <w:r w:rsidRPr="00A35F56">
        <w:rPr>
          <w:rFonts w:cs="Calibri"/>
          <w:szCs w:val="24"/>
        </w:rPr>
        <w:lastRenderedPageBreak/>
        <w:t>f)</w:t>
      </w:r>
      <w:r w:rsidRPr="00A35F56">
        <w:rPr>
          <w:rFonts w:cs="Calibri"/>
          <w:szCs w:val="24"/>
        </w:rPr>
        <w:tab/>
        <w:t>„konečným příjemcem“ právnická nebo fyzická osoba, která dostává finanční podporu z finančního nástroje;</w:t>
      </w:r>
    </w:p>
    <w:p w:rsidR="00012C12" w:rsidRPr="00A35F56" w:rsidRDefault="00012C12" w:rsidP="00012C12">
      <w:pPr>
        <w:rPr>
          <w:rFonts w:cs="Calibri"/>
          <w:szCs w:val="24"/>
        </w:rPr>
      </w:pPr>
      <w:r w:rsidRPr="00A35F56">
        <w:rPr>
          <w:rFonts w:cs="Calibri"/>
          <w:szCs w:val="24"/>
        </w:rPr>
        <w:t>g)</w:t>
      </w:r>
      <w:r w:rsidRPr="00A35F56">
        <w:rPr>
          <w:rFonts w:cs="Calibri"/>
          <w:szCs w:val="24"/>
        </w:rPr>
        <w:tab/>
        <w:t>„operací“ finanční příspěvky z operačního programu na finanční nástroje a následná finanční podpora, kterou tyto finanční nástroje poskytují;</w:t>
      </w:r>
    </w:p>
    <w:p w:rsidR="00012C12" w:rsidRPr="00A35F56" w:rsidRDefault="00012C12" w:rsidP="00012C12">
      <w:pPr>
        <w:rPr>
          <w:rFonts w:cs="Calibri"/>
          <w:szCs w:val="24"/>
        </w:rPr>
      </w:pPr>
      <w:r w:rsidRPr="00A35F56">
        <w:rPr>
          <w:rFonts w:cs="Calibri"/>
          <w:szCs w:val="24"/>
        </w:rPr>
        <w:t>h)</w:t>
      </w:r>
      <w:r w:rsidRPr="00A35F56">
        <w:rPr>
          <w:rFonts w:cs="Calibri"/>
          <w:szCs w:val="24"/>
        </w:rPr>
        <w:tab/>
        <w:t>„projektem konečného příjemce“ finanční, časový a materiální plán činností, který tvoří logický celek, zpracovaný v písemné formě, na který lze čerpat podporu z finančního nástroje v souladu s pravidly pro způsobilost výdajů;</w:t>
      </w:r>
    </w:p>
    <w:p w:rsidR="00012C12" w:rsidRPr="00A35F56" w:rsidRDefault="00012C12" w:rsidP="00012C12">
      <w:pPr>
        <w:rPr>
          <w:rFonts w:cs="Calibri"/>
          <w:szCs w:val="24"/>
        </w:rPr>
      </w:pPr>
      <w:r w:rsidRPr="00A35F56">
        <w:rPr>
          <w:rFonts w:cs="Calibri"/>
          <w:szCs w:val="24"/>
        </w:rPr>
        <w:t>i)</w:t>
      </w:r>
      <w:r w:rsidRPr="00A35F56">
        <w:rPr>
          <w:rFonts w:cs="Calibri"/>
          <w:szCs w:val="24"/>
        </w:rPr>
        <w:tab/>
        <w:t xml:space="preserve">„půjčkou“ smlouva, která zavazuje poskytovatele půjčky k tomu, aby dal příjemci půjčky k dispozici peněžní částku v dohodnuté výši a na dohodnutou dobu, již je příjemce půjčky povinen splatit v dohodnuté době; </w:t>
      </w:r>
    </w:p>
    <w:p w:rsidR="00012C12" w:rsidRPr="00A35F56" w:rsidRDefault="00012C12" w:rsidP="00012C12">
      <w:pPr>
        <w:rPr>
          <w:rFonts w:cs="Calibri"/>
          <w:szCs w:val="24"/>
        </w:rPr>
      </w:pPr>
      <w:r w:rsidRPr="00A35F56">
        <w:rPr>
          <w:rFonts w:cs="Calibri"/>
          <w:szCs w:val="24"/>
        </w:rPr>
        <w:t>j)</w:t>
      </w:r>
      <w:r w:rsidRPr="00A35F56">
        <w:rPr>
          <w:rFonts w:cs="Calibri"/>
          <w:szCs w:val="24"/>
        </w:rPr>
        <w:tab/>
        <w:t xml:space="preserve">„zárukou“ písemný závazek, kterým ručitel přebírá odpovědnost za všechny či některé závazky či povinnosti třetí osoby anebo nebo za úspěšné splnění povinností touto třetí osobou, nastane-li událost, která vede k uplatnění takové záruky, například prodlení při splácení půjčky; </w:t>
      </w:r>
    </w:p>
    <w:p w:rsidR="00012C12" w:rsidRPr="00A35F56" w:rsidRDefault="00012C12" w:rsidP="00012C12">
      <w:pPr>
        <w:rPr>
          <w:rFonts w:cs="Calibri"/>
          <w:szCs w:val="24"/>
        </w:rPr>
      </w:pPr>
      <w:r w:rsidRPr="00A35F56">
        <w:rPr>
          <w:rFonts w:cs="Calibri"/>
          <w:szCs w:val="24"/>
        </w:rPr>
        <w:t>k)</w:t>
      </w:r>
      <w:r w:rsidRPr="00A35F56">
        <w:rPr>
          <w:rFonts w:cs="Calibri"/>
          <w:szCs w:val="24"/>
        </w:rPr>
        <w:tab/>
        <w:t xml:space="preserve">„kapitálovou investicí“ poskytnutí kapitálu společnosti investorem přímo či nepřímo výměnou za celkové nebo částečné vlastnictví této společnosti, při němž může investor převzít určitou kontrolu nad řízením společnosti a podílet se na jejím zisku; </w:t>
      </w:r>
    </w:p>
    <w:p w:rsidR="00012C12" w:rsidRPr="00A35F56" w:rsidRDefault="00012C12" w:rsidP="00012C12">
      <w:pPr>
        <w:rPr>
          <w:rFonts w:cs="Calibri"/>
          <w:szCs w:val="24"/>
        </w:rPr>
      </w:pPr>
      <w:r w:rsidRPr="00A35F56">
        <w:rPr>
          <w:rFonts w:cs="Calibri"/>
          <w:szCs w:val="24"/>
        </w:rPr>
        <w:t>l)</w:t>
      </w:r>
      <w:r w:rsidRPr="00A35F56">
        <w:rPr>
          <w:rFonts w:cs="Calibri"/>
          <w:szCs w:val="24"/>
        </w:rPr>
        <w:tab/>
        <w:t>„kvazikapitálovou investicí“ takový typ financování, které stojí mezi kapitálovou investicí a dluhem, je rizikovější než přednostní dluh a méně rizikové než běžná kapitálová investice. Kvazikapitálové investice mohou mít strukturu dluhu, obvykle nezajištěného a podřízeného, který lze převést na kapitál nebo na preferenční kapitál;</w:t>
      </w:r>
    </w:p>
    <w:p w:rsidR="00012C12" w:rsidRPr="00A35F56" w:rsidRDefault="00012C12" w:rsidP="00012C12">
      <w:pPr>
        <w:rPr>
          <w:rFonts w:cs="Calibri"/>
          <w:szCs w:val="24"/>
        </w:rPr>
      </w:pPr>
      <w:r w:rsidRPr="00A35F56">
        <w:rPr>
          <w:rFonts w:cs="Calibri"/>
          <w:szCs w:val="24"/>
        </w:rPr>
        <w:t>m)</w:t>
      </w:r>
      <w:r w:rsidRPr="00A35F56">
        <w:rPr>
          <w:rFonts w:cs="Calibri"/>
          <w:szCs w:val="24"/>
        </w:rPr>
        <w:tab/>
        <w:t>„nástrojem ke sdílení rizik“ finanční nástroj, který umožňuje sdílet definované riziko mezi dvěma či více subjekty, případně výměnou za dohodnutou odměnu;</w:t>
      </w:r>
    </w:p>
    <w:p w:rsidR="00012C12" w:rsidRPr="00012C12" w:rsidRDefault="00012C12" w:rsidP="00012C12">
      <w:r w:rsidRPr="00A35F56">
        <w:t>n)</w:t>
      </w:r>
      <w:r w:rsidRPr="00A35F56">
        <w:tab/>
        <w:t>„EIB“ Evropská investiční banka, Evropský investiční fond nebo jakákoli dceřiná společnost Evropské investiční banky.</w:t>
      </w:r>
    </w:p>
    <w:p w:rsidR="002C41C1" w:rsidRPr="002C41C1" w:rsidRDefault="002C41C1" w:rsidP="00DF6E0B">
      <w:pPr>
        <w:pStyle w:val="Nadpis1"/>
      </w:pPr>
      <w:bookmarkStart w:id="18" w:name="_Toc413831152"/>
      <w:bookmarkStart w:id="19" w:name="_Toc413854335"/>
      <w:r w:rsidRPr="00DF6E0B">
        <w:t>Blok I.: Analýza tržní situace</w:t>
      </w:r>
      <w:bookmarkEnd w:id="18"/>
      <w:bookmarkEnd w:id="19"/>
    </w:p>
    <w:p w:rsidR="002C41C1" w:rsidRPr="002C41C1" w:rsidRDefault="002C41C1" w:rsidP="00DF6E0B">
      <w:pPr>
        <w:pStyle w:val="Nadpis2"/>
      </w:pPr>
      <w:bookmarkStart w:id="20" w:name="_Toc413824141"/>
      <w:bookmarkStart w:id="21" w:name="_Toc413831124"/>
      <w:bookmarkStart w:id="22" w:name="_Toc413831154"/>
      <w:bookmarkStart w:id="23" w:name="_Toc413854336"/>
      <w:bookmarkEnd w:id="20"/>
      <w:bookmarkEnd w:id="21"/>
      <w:bookmarkEnd w:id="22"/>
      <w:r w:rsidRPr="002C41C1">
        <w:t>Tržní selhání a suboptimální investiční situace u hlavních cílových skupin OP PIK</w:t>
      </w:r>
      <w:bookmarkEnd w:id="23"/>
    </w:p>
    <w:p w:rsidR="002C41C1" w:rsidRDefault="002C41C1" w:rsidP="00EB7775">
      <w:r>
        <w:t>Ve sledované kapitole je na základě podkladů Deloitte</w:t>
      </w:r>
      <w:r w:rsidR="00E0031A">
        <w:t xml:space="preserve"> </w:t>
      </w:r>
      <w:r>
        <w:t xml:space="preserve">Advisory, s.r.o. </w:t>
      </w:r>
      <w:r w:rsidRPr="00DF6E0B">
        <w:rPr>
          <w:shd w:val="clear" w:color="auto" w:fill="FFFFFF"/>
        </w:rPr>
        <w:t>a dle metodiky Evropské komise</w:t>
      </w:r>
      <w:r w:rsidR="00E0031A">
        <w:rPr>
          <w:shd w:val="clear" w:color="auto" w:fill="FFFFFF"/>
        </w:rPr>
        <w:t xml:space="preserve"> </w:t>
      </w:r>
      <w:r w:rsidRPr="00DF6E0B">
        <w:rPr>
          <w:shd w:val="clear" w:color="auto" w:fill="FFFFFF"/>
        </w:rPr>
        <w:t>(EK) zpracována Analýza tržních selhání a suboptimální investiční situace a suboptimálních investičních situací u vybraných specifických cílů OP PIK, které byly vy</w:t>
      </w:r>
      <w:r>
        <w:t>brány k další analýze na základě screeningu vhodnosti využití finančních nástrojů podle zaměření podporovaných aktivit.</w:t>
      </w:r>
    </w:p>
    <w:p w:rsidR="002C41C1" w:rsidRDefault="002C41C1" w:rsidP="00EB7775"/>
    <w:p w:rsidR="002C41C1" w:rsidRPr="00DF6E0B" w:rsidRDefault="002C41C1" w:rsidP="00DF6E0B">
      <w:pPr>
        <w:pStyle w:val="Nadpis3"/>
      </w:pPr>
      <w:bookmarkStart w:id="24" w:name="_Toc413854337"/>
      <w:r w:rsidRPr="00DF6E0B">
        <w:t>Metodický přístup</w:t>
      </w:r>
      <w:r w:rsidR="00DB5BBE">
        <w:t xml:space="preserve"> k bloku I.</w:t>
      </w:r>
      <w:bookmarkEnd w:id="24"/>
    </w:p>
    <w:p w:rsidR="002C41C1" w:rsidRDefault="002C41C1" w:rsidP="00FD0045">
      <w:r>
        <w:t xml:space="preserve">Účelem aplikace finančního nástroje je korekce tržních selhání a neoptimálních investičních situací skupin konečných příjemců operačního programu. Pro posouzení vhodnosti finančního nástroje je dle znění </w:t>
      </w:r>
      <w:r w:rsidRPr="00594D51">
        <w:t>metodiky E</w:t>
      </w:r>
      <w:r w:rsidR="00E0031A">
        <w:t xml:space="preserve">vropské komise (EK) </w:t>
      </w:r>
      <w:r>
        <w:t>nutno tržní selhání nebo suboptimální investiční situaci identifikovat, tj. definovat, proč subjekty cílových skupin operačního programu na straně poptávky na finančním trhu nejsou schopny financovat své investiční záměry za tržních podmínek, včetně případných bariér na straně nabídky na finančním trhu, pro typové projekty podporovaných aktivit jednotlivých specifických cílů operačního programu.</w:t>
      </w:r>
      <w:r w:rsidR="00BD7EA5">
        <w:t xml:space="preserve"> </w:t>
      </w:r>
      <w:r>
        <w:t>V dalším kroku analýza vhodnými</w:t>
      </w:r>
      <w:r w:rsidR="00BD7EA5">
        <w:t xml:space="preserve"> </w:t>
      </w:r>
      <w:r>
        <w:t>metodami tržního průzkumu určuje</w:t>
      </w:r>
      <w:r w:rsidR="00BD7EA5">
        <w:t xml:space="preserve"> </w:t>
      </w:r>
      <w:r>
        <w:t xml:space="preserve">přibližný rozsah škálovatelnosti těchto typových projektů s potížemi přístupu k financování v cílové skupině – investiční mezeru. </w:t>
      </w:r>
    </w:p>
    <w:p w:rsidR="002C41C1" w:rsidRDefault="002C41C1" w:rsidP="00FD0045"/>
    <w:p w:rsidR="002C41C1" w:rsidRDefault="002C41C1" w:rsidP="00FD0045">
      <w:r>
        <w:t xml:space="preserve">Tržní selhání nebo suboptimální investiční situace obvykle vzniká neplodnou interakcí </w:t>
      </w:r>
      <w:r w:rsidR="00BD7EA5">
        <w:t>nabídky a poptávky, proto, má-</w:t>
      </w:r>
      <w:r>
        <w:t xml:space="preserve">li být analyzován trh z hlediska případného selhání, je nutno rozebrat jeho určující komponenty, tedy zvlášť stranu nabídky a poptávky. Výsledky této analýzy umožní </w:t>
      </w:r>
      <w:r>
        <w:lastRenderedPageBreak/>
        <w:t xml:space="preserve">kvantifikovat investiční mezeru, jejíž velikostí se rozumí neuspokojená poptávka po investičních prostředcích, návazně potenciální absorpční kapacitu, jejíž velikostí se rozumí potenciální velikost poptávky způsobilých příjemců po zdrojích alokovaných ve vybraných specifických cílech připravovaného operačního programu. </w:t>
      </w:r>
    </w:p>
    <w:p w:rsidR="002C41C1" w:rsidRDefault="002C41C1" w:rsidP="00FD0045"/>
    <w:p w:rsidR="002C41C1" w:rsidRDefault="002C41C1" w:rsidP="00FD0045">
      <w:r>
        <w:t>Tržní saturaci může bránit nedostatek prostředků na trhu, tedy nedostatečná nabídka finančních prostředků pro typové projektové záměry konečných příjemců, nebo jiné, finanční charakteristiky poptávajícího, které poptávající subjekt diskvalifikují (zejména rizikový profil). Správně nastavený finanční nástroj může tržní selhání nebo suboptimální investiční situaci redukovat dostatečnou alokací a podporovaným rámcem, čímž koriguje obě příčiny vzniku investiční mezery.</w:t>
      </w:r>
    </w:p>
    <w:p w:rsidR="002C41C1" w:rsidRDefault="002C41C1" w:rsidP="00FD0045"/>
    <w:p w:rsidR="002C41C1" w:rsidRDefault="002C41C1" w:rsidP="00CD170D">
      <w:r>
        <w:t>Analýza bere v úvahu střednědobé až dlouhodobé trendy sledovaných ukazatelů, časové řady jsou analyzovány minimálně za poslední tři roky a predikce budoucího vývoje je založena na odhadovaném vývoji v následujících třech letech při zohlednění aktuálních trendů a očekávaných změn.</w:t>
      </w:r>
    </w:p>
    <w:p w:rsidR="002C41C1" w:rsidRDefault="002C41C1" w:rsidP="00FD0045"/>
    <w:p w:rsidR="002C41C1" w:rsidRDefault="002C41C1" w:rsidP="00FD0045"/>
    <w:p w:rsidR="002C41C1" w:rsidRDefault="002C41C1" w:rsidP="00FD0045">
      <w:pPr>
        <w:pStyle w:val="Neslovannadpisy"/>
      </w:pPr>
      <w:r>
        <w:t>Nabídka</w:t>
      </w:r>
    </w:p>
    <w:p w:rsidR="002C41C1" w:rsidRDefault="002C41C1" w:rsidP="00FD0045">
      <w:r>
        <w:t>Výsledek analýzy strany nabídky by měl poskytnout ucelenou představu o této straně trhu, kterou tvoří zejména různé finanční produkty soukromého sektoru, ať už jde o bankovní úvěry, záruky,</w:t>
      </w:r>
      <w:r w:rsidR="00BD7EA5">
        <w:t xml:space="preserve"> </w:t>
      </w:r>
      <w:r>
        <w:t>mezzaninové financování, private</w:t>
      </w:r>
      <w:r w:rsidR="00BD7EA5">
        <w:t xml:space="preserve"> </w:t>
      </w:r>
      <w:r>
        <w:t>equity/venture capital investice, dluhopisy, veřejně obchodované trhy a další.</w:t>
      </w:r>
      <w:r w:rsidR="00BD7EA5">
        <w:t xml:space="preserve"> </w:t>
      </w:r>
      <w:r>
        <w:t>Je nutné brát v úvahu také existující intervence veřejného sektoru, dotace či jinou dostupnou podporu z regionálních, národních či nadnárodních zdrojů. Charakter nabídky utvářejí parametry příslušných finančních produktů a jejich dostupnost.</w:t>
      </w:r>
    </w:p>
    <w:p w:rsidR="002C41C1" w:rsidRDefault="002C41C1" w:rsidP="00FD0045"/>
    <w:p w:rsidR="002C41C1" w:rsidRDefault="002C41C1" w:rsidP="00FD0045">
      <w:r>
        <w:t>Důležitými parametry nabídky finančních zdrojů jsou požadavky na příjemce a typové projekty. Doplňkem k výčtu podporovaných příjemců a projektů vymezíme okruh příjemců či typů projektů, kterým současná podoba nabídky neskýtá vhodná řešení jejich investiční potřeby. Při uvažování je vhodné mít na paměti rovněž revolvingový charakter finančních nástrojů a získat představu o trendu vývoje nabídky do budoucna. Analýza strany nabídky se opírá o desk</w:t>
      </w:r>
      <w:r w:rsidR="00BD7EA5">
        <w:t xml:space="preserve"> </w:t>
      </w:r>
      <w:r>
        <w:t>research</w:t>
      </w:r>
      <w:r w:rsidR="00BD7EA5">
        <w:t xml:space="preserve"> </w:t>
      </w:r>
      <w:r>
        <w:t>dostupných statistických</w:t>
      </w:r>
      <w:r w:rsidR="00BD7EA5">
        <w:t xml:space="preserve"> </w:t>
      </w:r>
      <w:r>
        <w:t>údajů o finančním trhu v České republice z národních i mezinárodních zdrojů (ČNB, ČSÚ, MPO, OECD, EUROSTAT, ECB), informace zájmových sdružení subjektů finančního trhu (ČBA, CVCA, EVCA), informace o veřejné podpoře, či dříve zpracované analýzy MPO a externích</w:t>
      </w:r>
      <w:r w:rsidR="00BD7EA5">
        <w:t xml:space="preserve"> </w:t>
      </w:r>
      <w:r>
        <w:t xml:space="preserve">poradců. Vhodným doplněním jsou nástroje tržního průzkumu včetně dotazníkových či terénních šetření zaměřená jak na popis současného stavu nabídky finančních zdrojů, tak odhad budoucího vývoje. </w:t>
      </w:r>
    </w:p>
    <w:p w:rsidR="002C41C1" w:rsidRDefault="002C41C1" w:rsidP="00FD0045"/>
    <w:p w:rsidR="002C41C1" w:rsidRDefault="002C41C1" w:rsidP="00FD0045">
      <w:pPr>
        <w:pStyle w:val="Neslovannadpisy"/>
      </w:pPr>
      <w:r>
        <w:t>Poptávka</w:t>
      </w:r>
    </w:p>
    <w:p w:rsidR="002C41C1" w:rsidRDefault="002C41C1" w:rsidP="00FD0045">
      <w:r>
        <w:t>Výsledek analýzy strany poptávky by měl poskytnout ucelenou představu o celkové investiční poptávce, o počtech a kategoriích subjektů, které ji utváří, a projektů, pro něž ji vytváří. V analýze je třeba rozlišovat mezi investiční poptávkou a investiční potřebou, která je horním limitem absorpční kapacity a představuje celkovou investiční kapacitu vymezené oblasti ekonomiky. Poptávka je podmnožinou investiční kapacity a tvoří ji aktivovaná část celkové absorpční kapacity, tedy ti žadatelé, kteří spolu s projektem splňují kritéria, mají kam investovat, a zároveň se skutečně pokusí financování získat. Analýza zahrnuje kvalifikovaný odhad investiční poptávky, popisuje kategorie příjemců a projektů. Analýza by neměla být omezena na současný stav a měla by na základě historického vývoje a současných impulzů předpovědět její další vývoj do budoucna. Výstupem analýzy by měla být poptávka vyčíslena jako poptávka po peněžních produktech v daném segmentu, který má zvažovaný finanční nástroj podporovat, včetně parametrů a charakteristik těchto produktů.</w:t>
      </w:r>
    </w:p>
    <w:p w:rsidR="002C41C1" w:rsidRDefault="002C41C1" w:rsidP="00FD0045"/>
    <w:p w:rsidR="002C41C1" w:rsidRDefault="002C41C1" w:rsidP="00FD0045">
      <w:r>
        <w:lastRenderedPageBreak/>
        <w:t xml:space="preserve">Důležitou charakteristikou existující poptávky je důvod jejího dosavadního neuspokojení. Analýza zahrnuje dosavadní zkušenosti s nástroji veřejné podpory – typicky počty podaných, schválených a odmítnutých žádostí. </w:t>
      </w:r>
    </w:p>
    <w:p w:rsidR="002C41C1" w:rsidRDefault="002C41C1" w:rsidP="00FD0045"/>
    <w:p w:rsidR="002C41C1" w:rsidRDefault="002C41C1" w:rsidP="00FD0045">
      <w:r>
        <w:t>Odhad velikosti poptávky vychází ze statistických dat a dotazníkových a jiných šetření.</w:t>
      </w:r>
      <w:r w:rsidR="00BD7EA5">
        <w:t xml:space="preserve"> </w:t>
      </w:r>
      <w:r>
        <w:t>Investiční potenciál lze</w:t>
      </w:r>
      <w:r w:rsidR="00BD7EA5">
        <w:t xml:space="preserve"> </w:t>
      </w:r>
      <w:r>
        <w:t xml:space="preserve">dovozovat i analýzou převisu poptávky po jiných používaných finančních nástrojích nebo dotačních programech – tedy situace, kdy se na některé žadatele nedostalo, i když splňovali všechna kritéria. </w:t>
      </w:r>
    </w:p>
    <w:p w:rsidR="002C41C1" w:rsidRDefault="002C41C1" w:rsidP="00FD0045"/>
    <w:p w:rsidR="002C41C1" w:rsidRDefault="002C41C1" w:rsidP="00FD0045">
      <w:pPr>
        <w:pStyle w:val="Neslovannadpisy"/>
      </w:pPr>
      <w:r>
        <w:t>Absorpční kapacita</w:t>
      </w:r>
    </w:p>
    <w:p w:rsidR="002C41C1" w:rsidRDefault="002C41C1" w:rsidP="00FD0045">
      <w:r>
        <w:t>Porovnání nabídky a poptávky identifikuje velikost investiční mezery, jejíž přítomnost ukazuje na selhání trhu či neoptimální investiční situaci. Ze správně provedené analýzy vyplyne nejen aktivovatelná absorpční kapacita, ale i podmínky její aktivace – optimální nastavení parametrů finančního nástroje tak, aby oslovoval co nejvíce potenciálních konečných příjemců, aniž by se odchýlil od svého obecného cíle. Na základě znalosti výše uvedeného je možno přistoupit k ex-ante navržení zlepšení, resp. předběžnému posouzení vhodnosti použití finančního nástroje k řešení specifické problematiky.</w:t>
      </w:r>
    </w:p>
    <w:p w:rsidR="002C41C1" w:rsidRDefault="002C41C1" w:rsidP="00FD0045"/>
    <w:p w:rsidR="002C41C1" w:rsidRDefault="002C41C1" w:rsidP="00FD0045">
      <w:pPr>
        <w:pStyle w:val="Neslovannadpisy"/>
      </w:pPr>
      <w:r>
        <w:t>Tržní selhání a suboptimální investiční situace</w:t>
      </w:r>
    </w:p>
    <w:p w:rsidR="002C41C1" w:rsidRDefault="002C41C1" w:rsidP="00FD0045">
      <w:r>
        <w:t>Tržní selhání nebo suboptimální investiční situace nastává v okamžiku, kdy nejsou splněny podmínky efektivní</w:t>
      </w:r>
      <w:r w:rsidR="00BD7EA5">
        <w:t xml:space="preserve"> </w:t>
      </w:r>
      <w:r>
        <w:t>alokace zdrojů. Nejčastěji se s tržním selháním setkáváme v případě, kdy i přes dostatečnou nabídku finančních prostředků není možné financovat ekonomicky smysluplné projekty. Nabídka i poptávka jsou tedy dostatečně robustní, ale nedochází k jejich interakci, která by zaručovala efektivní alokaci volných peněžních prostředků na trhu – může jít proto např. o informační bariéry nebo asymetrickou distribuci informací (nedostatečná připravenost projektů). Svojí roli také může hrát averze k riziku na straně nabídky a další faktory.</w:t>
      </w:r>
      <w:r w:rsidR="00BD7EA5">
        <w:t xml:space="preserve"> </w:t>
      </w:r>
      <w:r>
        <w:t xml:space="preserve">Tržní selhání je možno vyčíslit jako převis poptávky nad nabídkou v případě nedostatečnosti financování, nebo jako neuspokojenou nabídku v podmínkách dostatečné saturace trhu volnými peněžními prostředky. V obou případech lze velikost tržního selhání interpretovat jako spodní hranici absorpční kapacity trhu. </w:t>
      </w:r>
    </w:p>
    <w:p w:rsidR="002C41C1" w:rsidRDefault="002C41C1" w:rsidP="00FD0045"/>
    <w:p w:rsidR="002C41C1" w:rsidRDefault="002C41C1" w:rsidP="00FD0045">
      <w:pPr>
        <w:pStyle w:val="Neslovannadpisy"/>
      </w:pPr>
      <w:r>
        <w:t>Návrh opatření</w:t>
      </w:r>
    </w:p>
    <w:p w:rsidR="002C41C1" w:rsidRDefault="002C41C1" w:rsidP="00FD0045">
      <w:r>
        <w:t xml:space="preserve">Navrhovaná opatření usilují o dosažení korekce tržního selhání a suboptimálních investičních situací typových projektů podporovaných aktivit vybraných specifických cílů </w:t>
      </w:r>
      <w:r w:rsidR="0084453C">
        <w:t>OP PIK</w:t>
      </w:r>
      <w:r>
        <w:t xml:space="preserve">, aniž by byly narušeny zdravé tržní mechanismy nebo došlo k vytěsnění soukromého kapitálu. Může se jednat např. o garance bankovních úvěrů, poskytování zvýhodněných úvěrů nebo složitější inovativní finanční nástroje zahrnující kapitálové či kvazikapitálové investice, projektové financování a další. </w:t>
      </w:r>
    </w:p>
    <w:p w:rsidR="002C41C1" w:rsidRDefault="002C41C1" w:rsidP="00FD0045"/>
    <w:p w:rsidR="002C41C1" w:rsidRDefault="002C41C1" w:rsidP="00FD0045">
      <w:r>
        <w:t>Dotazníkové šetření zejména v cílové skupině malých a středních podniků potvrdilo, že podnikatelské subjekty jsou vůči využití zvýhodněných finančních nástrojů otevřené. Výhody spatřují mj. v nižší administrativní zátěži oproti dotační podpoře.</w:t>
      </w:r>
    </w:p>
    <w:p w:rsidR="002C41C1" w:rsidRDefault="002C41C1" w:rsidP="00FD0045"/>
    <w:p w:rsidR="002C41C1" w:rsidRPr="00DF6E0B" w:rsidRDefault="002C41C1" w:rsidP="00DF6E0B">
      <w:pPr>
        <w:pStyle w:val="Nadpis3"/>
      </w:pPr>
      <w:bookmarkStart w:id="25" w:name="_Toc413854338"/>
      <w:r w:rsidRPr="00DF6E0B">
        <w:t xml:space="preserve">Specifický cíl 1.1 </w:t>
      </w:r>
      <w:r w:rsidRPr="0086149D">
        <w:t>–</w:t>
      </w:r>
      <w:r w:rsidRPr="00DF6E0B">
        <w:t xml:space="preserve"> Zvýšení inovační výkonnosti podniků</w:t>
      </w:r>
      <w:bookmarkEnd w:id="25"/>
    </w:p>
    <w:p w:rsidR="002C41C1" w:rsidRDefault="002C41C1" w:rsidP="00B76B9F">
      <w:pPr>
        <w:pStyle w:val="Neslovannadpisy"/>
      </w:pPr>
      <w:r>
        <w:t xml:space="preserve">Podporované aktivity: </w:t>
      </w:r>
    </w:p>
    <w:p w:rsidR="002C41C1" w:rsidRDefault="002C41C1" w:rsidP="00B76B9F">
      <w:pPr>
        <w:pStyle w:val="Odstavecseseznamem"/>
        <w:numPr>
          <w:ilvl w:val="0"/>
          <w:numId w:val="4"/>
        </w:numPr>
      </w:pPr>
      <w:r>
        <w:t>Zakládání a rozvoj podnikových výzkumných a vývojových center ve vazbě na jasně definovanou, životaschopnou strategii firmy.</w:t>
      </w:r>
    </w:p>
    <w:p w:rsidR="002C41C1" w:rsidRDefault="002C41C1" w:rsidP="00B76B9F">
      <w:pPr>
        <w:pStyle w:val="Odstavecseseznamem"/>
        <w:numPr>
          <w:ilvl w:val="0"/>
          <w:numId w:val="4"/>
        </w:numPr>
      </w:pPr>
      <w:r>
        <w:t>Zavádění inovací výrobků a služeb do výroby a jejich uvedení na trh (např. up-scaling, pilotní výrobní linky apod.).</w:t>
      </w:r>
    </w:p>
    <w:p w:rsidR="002C41C1" w:rsidRDefault="002C41C1" w:rsidP="00B76B9F">
      <w:pPr>
        <w:pStyle w:val="Odstavecseseznamem"/>
        <w:numPr>
          <w:ilvl w:val="0"/>
          <w:numId w:val="4"/>
        </w:numPr>
      </w:pPr>
      <w:r>
        <w:t>Zvýšení efektivnosti výrobních procesů, zavádění procesních a marketingových inovací.</w:t>
      </w:r>
    </w:p>
    <w:p w:rsidR="002C41C1" w:rsidRDefault="002C41C1" w:rsidP="00B76B9F">
      <w:pPr>
        <w:pStyle w:val="Odstavecseseznamem"/>
        <w:numPr>
          <w:ilvl w:val="0"/>
          <w:numId w:val="4"/>
        </w:numPr>
      </w:pPr>
      <w:r>
        <w:lastRenderedPageBreak/>
        <w:t>Ochrana duševního vlastnictví v podnicích.</w:t>
      </w:r>
    </w:p>
    <w:p w:rsidR="002C41C1" w:rsidRDefault="002C41C1" w:rsidP="00B76B9F">
      <w:pPr>
        <w:pStyle w:val="Odstavecseseznamem"/>
        <w:numPr>
          <w:ilvl w:val="0"/>
          <w:numId w:val="4"/>
        </w:numPr>
      </w:pPr>
      <w:r>
        <w:t>Průmyslový výzkum a vývoj: realizace projektů aplikovaného výzkumu a experimentálního vývoje – realizovaných zejména ve spolupráci firem a výzkumných institucí, jejichž výsledky povedou následně k zavádění inovací vyšších řádů a k tvorbě produktů konkurenceschopných na světových trzích. Specifická pozornost bude věnována výzkumu v oblasti klíčových průřezových technologií (KETs).</w:t>
      </w:r>
    </w:p>
    <w:p w:rsidR="002C41C1" w:rsidRDefault="002C41C1" w:rsidP="00BB7ECF">
      <w:pPr>
        <w:pStyle w:val="Odstavecseseznamem"/>
        <w:numPr>
          <w:ilvl w:val="0"/>
          <w:numId w:val="4"/>
        </w:numPr>
      </w:pPr>
      <w:r>
        <w:t xml:space="preserve">Aktivity, kde inovační poptávku iniciuje veřejný sektor, jakožto významná část aplikační sféry, pomocí nástroje předkomerčního zadávání veřejných zakázek v inovacích („pre-commercial public procurement“, PCP). </w:t>
      </w:r>
    </w:p>
    <w:p w:rsidR="002C41C1" w:rsidRDefault="002C41C1" w:rsidP="007D1614">
      <w:pPr>
        <w:pStyle w:val="Neslovannadpisy"/>
      </w:pPr>
    </w:p>
    <w:p w:rsidR="002C41C1" w:rsidRDefault="002C41C1" w:rsidP="007D1614">
      <w:pPr>
        <w:pStyle w:val="Neslovannadpisy"/>
      </w:pPr>
      <w:r w:rsidRPr="006416BA">
        <w:t xml:space="preserve">Cílová skupina konečných příjemců: </w:t>
      </w:r>
    </w:p>
    <w:p w:rsidR="002C41C1" w:rsidRDefault="002C41C1" w:rsidP="007D1614">
      <w:r>
        <w:t>Podnikatelské subjekty (zejména malé a střední, v odůvodněných případech velké podniky), organizace pro výzkum a šíření znalostí (tj. subjekty splňující definici výzkumné organizace dle Rámce pro státní podporu výzkumu, vývoje a inovací), orgány státní správy a samosprávy (včetně jejich svazků) a jim podřízené či jimi zřízené organizace (v případě PCP), dále zemědělští podnikatelé s výstupem projektu mimo seznam uvedený v Příloze I. Smlouvy o fungování EU v oblasti výzkumu a vývoje (VaV) a inovací.</w:t>
      </w:r>
    </w:p>
    <w:p w:rsidR="002C41C1" w:rsidRDefault="002C41C1" w:rsidP="007D1614"/>
    <w:p w:rsidR="002C41C1" w:rsidRDefault="002C41C1" w:rsidP="007D1614">
      <w:pPr>
        <w:pStyle w:val="Neslovannadpisy"/>
      </w:pPr>
      <w:r w:rsidRPr="00664618">
        <w:t xml:space="preserve">Cílové území: </w:t>
      </w:r>
    </w:p>
    <w:p w:rsidR="002C41C1" w:rsidRDefault="002C41C1" w:rsidP="007D1614">
      <w:r w:rsidRPr="00664618">
        <w:t>Území České republiky, mimo území hl. města Prahy.</w:t>
      </w:r>
    </w:p>
    <w:p w:rsidR="002C41C1" w:rsidRDefault="002C41C1" w:rsidP="007D1614"/>
    <w:p w:rsidR="002C41C1" w:rsidRDefault="002C41C1" w:rsidP="00A21A86">
      <w:pPr>
        <w:pStyle w:val="Vtneslovannadpis"/>
      </w:pPr>
      <w:r>
        <w:t>Tržní analýza</w:t>
      </w:r>
    </w:p>
    <w:p w:rsidR="002C41C1" w:rsidRDefault="002C41C1" w:rsidP="00FF4517">
      <w:r w:rsidRPr="005720B7">
        <w:t>Celkové výdaje na VaV v</w:t>
      </w:r>
      <w:r>
        <w:t xml:space="preserve"> České republice </w:t>
      </w:r>
      <w:r w:rsidRPr="005720B7">
        <w:t xml:space="preserve">činily </w:t>
      </w:r>
      <w:r>
        <w:t xml:space="preserve">podle šetření ČSÚ v roce 2013 </w:t>
      </w:r>
      <w:r w:rsidRPr="005720B7">
        <w:t xml:space="preserve">77,9 mld. Kč, </w:t>
      </w:r>
      <w:r>
        <w:t>přičemž o</w:t>
      </w:r>
      <w:r w:rsidRPr="005720B7">
        <w:t>proti roku 2012 vzrostly o 5,5 mld. Kč</w:t>
      </w:r>
      <w:r>
        <w:t>, tedy o 7,6 %</w:t>
      </w:r>
      <w:r w:rsidRPr="005720B7">
        <w:t xml:space="preserve">. </w:t>
      </w:r>
      <w:r>
        <w:t xml:space="preserve">V </w:t>
      </w:r>
      <w:r w:rsidRPr="005720B7">
        <w:t>letech 2011 a 2012</w:t>
      </w:r>
      <w:r>
        <w:t xml:space="preserve">byl růst </w:t>
      </w:r>
      <w:r w:rsidRPr="005720B7">
        <w:t>rostly</w:t>
      </w:r>
      <w:r w:rsidR="00BD7EA5">
        <w:t xml:space="preserve"> </w:t>
      </w:r>
      <w:r>
        <w:t xml:space="preserve">tyto výdaje </w:t>
      </w:r>
      <w:r w:rsidRPr="005720B7">
        <w:t>každoročně o téměř 10 mld. Kč</w:t>
      </w:r>
      <w:r>
        <w:t>.</w:t>
      </w:r>
      <w:r w:rsidR="00BD7EA5">
        <w:t xml:space="preserve"> </w:t>
      </w:r>
      <w:r>
        <w:t xml:space="preserve">Výdaje na </w:t>
      </w:r>
      <w:r w:rsidRPr="005720B7">
        <w:t>výzkum a vývoj</w:t>
      </w:r>
      <w:r w:rsidR="00BD7EA5">
        <w:t xml:space="preserve"> </w:t>
      </w:r>
      <w:r>
        <w:t xml:space="preserve">zároveň dosáhly v roce </w:t>
      </w:r>
      <w:r w:rsidRPr="005720B7">
        <w:t xml:space="preserve">2013 </w:t>
      </w:r>
      <w:r>
        <w:t xml:space="preserve">podílu </w:t>
      </w:r>
      <w:r w:rsidRPr="005720B7">
        <w:t>1,91</w:t>
      </w:r>
      <w:r>
        <w:t> </w:t>
      </w:r>
      <w:r w:rsidRPr="005720B7">
        <w:t xml:space="preserve">% </w:t>
      </w:r>
      <w:r>
        <w:t xml:space="preserve">na </w:t>
      </w:r>
      <w:r w:rsidRPr="005720B7">
        <w:t>HDP, což je vyšší hodnota než např. v případě Velké Británie. Na růstu výdajů se více než v předešlých letech podílel soukromý sektor. Uvedené údaje reprezentují celý segment vědy a výzkumu</w:t>
      </w:r>
      <w:r>
        <w:t>.</w:t>
      </w:r>
    </w:p>
    <w:p w:rsidR="002C41C1" w:rsidRDefault="002C41C1" w:rsidP="00FF4517"/>
    <w:p w:rsidR="002C41C1" w:rsidRDefault="002C41C1" w:rsidP="00FF4517">
      <w:r w:rsidRPr="001909F1">
        <w:t xml:space="preserve">V rámci SC 1.1 by měly být podporovány především </w:t>
      </w:r>
      <w:r w:rsidRPr="001909F1">
        <w:rPr>
          <w:b/>
        </w:rPr>
        <w:t>existující podnikatelské subjekty a jejich projekty zaměřené na zavádění</w:t>
      </w:r>
      <w:r w:rsidR="00BD7EA5">
        <w:rPr>
          <w:b/>
        </w:rPr>
        <w:t xml:space="preserve"> </w:t>
      </w:r>
      <w:r w:rsidRPr="001909F1">
        <w:rPr>
          <w:b/>
        </w:rPr>
        <w:t>inovací a rozvoj výzkumných a vývojových aktivit</w:t>
      </w:r>
      <w:r w:rsidRPr="001909F1">
        <w:t>. Vzhledem k tomu, že se jedná o již existující podniky s určitou histo</w:t>
      </w:r>
      <w:r>
        <w:t xml:space="preserve">rií, disponují tyto podniky </w:t>
      </w:r>
      <w:r w:rsidRPr="001909F1">
        <w:t>vlastními aktivy. Projekty, které by měly být podpořeny v rámci tohoto SC, by měly podporovat další rozvoj a konkurenceschopnost</w:t>
      </w:r>
      <w:r>
        <w:t xml:space="preserve"> firem</w:t>
      </w:r>
      <w:r w:rsidRPr="001909F1">
        <w:t xml:space="preserve"> díky investicím do vlastních VaV aktivit a/nebo zaváděním inovací (produktových, procesních, organizačních či marketingových).</w:t>
      </w:r>
    </w:p>
    <w:p w:rsidR="002C41C1" w:rsidRDefault="002C41C1" w:rsidP="00FF4517"/>
    <w:p w:rsidR="002C41C1" w:rsidRPr="00101728" w:rsidRDefault="002C41C1" w:rsidP="00C4648F">
      <w:pPr>
        <w:pStyle w:val="Neslovannadpisy"/>
      </w:pPr>
      <w:r w:rsidRPr="00101728">
        <w:t>Soukromé zdroje financování</w:t>
      </w:r>
    </w:p>
    <w:p w:rsidR="002C41C1" w:rsidRDefault="002C41C1" w:rsidP="00C4648F">
      <w:r>
        <w:t>Více než polovina (54 %) celkových výdajů na VaV (42,3 mld. Kč) měla v roce 2013 podle šetření ČSÚ původ v soukromém sektoru.</w:t>
      </w:r>
    </w:p>
    <w:p w:rsidR="002C41C1" w:rsidRDefault="002C41C1" w:rsidP="00C4648F"/>
    <w:p w:rsidR="002C41C1" w:rsidRDefault="002C41C1" w:rsidP="00C4648F">
      <w:r>
        <w:t xml:space="preserve">Soukromé podniky se zaměřují téměř výhradně na investice do výzkumu a vývoje realizovaného ve vlastní režii. Z výdajů vynaložených na veřejných školách a univerzitách byla pouhá 2 % (400 mil. Kč) financována ze soukromých zdrojů. České soukromé subjekty ve srovnání se zeměmi OECD jen minimálně využívají výzkumné kapacity v akademických prostorách. </w:t>
      </w:r>
    </w:p>
    <w:p w:rsidR="002C41C1" w:rsidRDefault="002C41C1" w:rsidP="00A21A86">
      <w:pPr>
        <w:pStyle w:val="Neslovannadpisy"/>
      </w:pPr>
    </w:p>
    <w:p w:rsidR="002C41C1" w:rsidRDefault="002C41C1" w:rsidP="00807CDD">
      <w:pPr>
        <w:pStyle w:val="Vtneslovannadpis"/>
        <w:rPr>
          <w:lang w:eastAsia="en-US"/>
        </w:rPr>
      </w:pPr>
      <w:r>
        <w:rPr>
          <w:lang w:eastAsia="en-US"/>
        </w:rPr>
        <w:t>Dosavadní podpora a analýza veřejných zdrojů financování</w:t>
      </w:r>
    </w:p>
    <w:p w:rsidR="002C41C1" w:rsidRDefault="002C41C1" w:rsidP="005720B7">
      <w:r>
        <w:t xml:space="preserve">Z domácích veřejných zdrojů byla na VaV vynaložena částka 27 mld. Kč, z nichž největší část směřovala na veřejné vysoké školy (11,8 mld. Kč, meziroční nárůst 4,7 %). Naopak v případě </w:t>
      </w:r>
      <w:r>
        <w:lastRenderedPageBreak/>
        <w:t xml:space="preserve">Akademie věd došlo k poklesu výdajů o 1,2 % proti roku 2012 (na 7,2 mld. Kč). </w:t>
      </w:r>
      <w:r w:rsidRPr="008346A6">
        <w:rPr>
          <w:b/>
        </w:rPr>
        <w:t>Téměř pětina z tuzemských veřejných zdrojů byla v roce 2013 určena na financování podnikatelského (soukromého) výzkumu, což je více než činí průměr EU</w:t>
      </w:r>
      <w:r>
        <w:t>. V posledních pěti letech byly z veřejných zdrojů vynaloženy na podporu soukromého výzkumu a vývoje prostředky ve výši 25 mld. Kč. Dvě třetiny podpory směřovaly k soukromým domácím subjektů, 20 % k veřejným podnikům a zbylá část k soukromým podnikům pod zahraniční kontrolou.</w:t>
      </w:r>
      <w:r>
        <w:rPr>
          <w:rStyle w:val="Znakapoznpodarou"/>
        </w:rPr>
        <w:footnoteReference w:id="7"/>
      </w:r>
    </w:p>
    <w:p w:rsidR="002C41C1" w:rsidRDefault="002C41C1" w:rsidP="005720B7"/>
    <w:p w:rsidR="002C41C1" w:rsidRDefault="002C41C1" w:rsidP="005720B7">
      <w:r>
        <w:t xml:space="preserve">Operační programy zaměřené na VaVaI financované ze strukturálních fondů EU </w:t>
      </w:r>
      <w:r w:rsidRPr="00DF6E0B">
        <w:t>v posledních dvou letech zaznamenaly výrazný podíl jak na celkovém financování VaV v ČR (16% podíl na GERD v roce 2012), tak především na financování vysokoškolského VaV. V roce 2012 se veřejné</w:t>
      </w:r>
      <w:r>
        <w:t xml:space="preserve"> zahraniční zdroje podílely z 37 % na financování VaV provedeného ve vysokoškolském sektoru oproti 8 % v roce 2010. Následující schéma ilustruje operační programy podporující VaV a jejich strukturu, které jsou platné pro právě končící programové období.</w:t>
      </w:r>
    </w:p>
    <w:p w:rsidR="002C41C1" w:rsidRDefault="002C41C1" w:rsidP="005720B7"/>
    <w:tbl>
      <w:tblPr>
        <w:tblW w:w="9072"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1869"/>
        <w:gridCol w:w="1438"/>
        <w:gridCol w:w="1371"/>
        <w:gridCol w:w="1701"/>
        <w:gridCol w:w="1559"/>
        <w:gridCol w:w="1134"/>
      </w:tblGrid>
      <w:tr w:rsidR="002C41C1" w:rsidRPr="00661000" w:rsidTr="00DF6E0B">
        <w:tc>
          <w:tcPr>
            <w:tcW w:w="1869"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OP VaVpI</w:t>
            </w:r>
          </w:p>
        </w:tc>
        <w:tc>
          <w:tcPr>
            <w:tcW w:w="1438"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OP VK</w:t>
            </w:r>
          </w:p>
        </w:tc>
        <w:tc>
          <w:tcPr>
            <w:tcW w:w="1371"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OP PI</w:t>
            </w:r>
          </w:p>
        </w:tc>
        <w:tc>
          <w:tcPr>
            <w:tcW w:w="1701"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OP PK</w:t>
            </w:r>
          </w:p>
        </w:tc>
        <w:tc>
          <w:tcPr>
            <w:tcW w:w="1559" w:type="dxa"/>
            <w:tcBorders>
              <w:top w:val="dashSmallGap" w:sz="12" w:space="0" w:color="548DD4"/>
              <w:left w:val="dashSmallGap" w:sz="12" w:space="0" w:color="548DD4"/>
              <w:bottom w:val="dashSmallGap" w:sz="12" w:space="0" w:color="548DD4"/>
              <w:right w:val="dashSmallGap" w:sz="12" w:space="0" w:color="C0504D"/>
            </w:tcBorders>
          </w:tcPr>
          <w:p w:rsidR="002C41C1" w:rsidRPr="00661000" w:rsidRDefault="002C41C1" w:rsidP="00661000">
            <w:pPr>
              <w:keepNext/>
              <w:jc w:val="left"/>
              <w:rPr>
                <w:szCs w:val="19"/>
                <w:lang w:val="en-US" w:eastAsia="en-US"/>
              </w:rPr>
            </w:pPr>
            <w:r w:rsidRPr="00661000">
              <w:rPr>
                <w:szCs w:val="19"/>
                <w:lang w:val="en-US" w:eastAsia="en-US"/>
              </w:rPr>
              <w:t>OP PA</w:t>
            </w:r>
          </w:p>
        </w:tc>
        <w:tc>
          <w:tcPr>
            <w:tcW w:w="1134" w:type="dxa"/>
            <w:tcBorders>
              <w:top w:val="dashSmallGap" w:sz="12" w:space="0" w:color="C0504D"/>
              <w:left w:val="dashSmallGap" w:sz="12" w:space="0" w:color="C0504D"/>
              <w:bottom w:val="dashSmallGap" w:sz="12" w:space="0" w:color="C0504D"/>
              <w:right w:val="dashSmallGap" w:sz="12" w:space="0" w:color="C0504D"/>
            </w:tcBorders>
          </w:tcPr>
          <w:p w:rsidR="002C41C1" w:rsidRPr="00661000" w:rsidRDefault="002C41C1" w:rsidP="00661000">
            <w:pPr>
              <w:keepNext/>
              <w:jc w:val="left"/>
              <w:rPr>
                <w:szCs w:val="19"/>
                <w:lang w:val="en-US" w:eastAsia="en-US"/>
              </w:rPr>
            </w:pPr>
            <w:r w:rsidRPr="00661000">
              <w:rPr>
                <w:szCs w:val="19"/>
                <w:lang w:val="en-US" w:eastAsia="en-US"/>
              </w:rPr>
              <w:t>Operační program</w:t>
            </w:r>
          </w:p>
        </w:tc>
      </w:tr>
      <w:tr w:rsidR="002C41C1" w:rsidRPr="00661000" w:rsidTr="00DF6E0B">
        <w:tc>
          <w:tcPr>
            <w:tcW w:w="1869"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PO 1 - PO 4</w:t>
            </w:r>
          </w:p>
        </w:tc>
        <w:tc>
          <w:tcPr>
            <w:tcW w:w="1438"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PO 2</w:t>
            </w:r>
          </w:p>
        </w:tc>
        <w:tc>
          <w:tcPr>
            <w:tcW w:w="1371"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PO 4 - PO 5</w:t>
            </w:r>
          </w:p>
        </w:tc>
        <w:tc>
          <w:tcPr>
            <w:tcW w:w="1701"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PO 3</w:t>
            </w:r>
          </w:p>
        </w:tc>
        <w:tc>
          <w:tcPr>
            <w:tcW w:w="1559" w:type="dxa"/>
            <w:tcBorders>
              <w:top w:val="dashSmallGap" w:sz="12" w:space="0" w:color="548DD4"/>
              <w:left w:val="dashSmallGap" w:sz="12" w:space="0" w:color="548DD4"/>
              <w:bottom w:val="dashSmallGap" w:sz="12" w:space="0" w:color="548DD4"/>
              <w:right w:val="dashSmallGap" w:sz="12" w:space="0" w:color="C0504D"/>
            </w:tcBorders>
          </w:tcPr>
          <w:p w:rsidR="002C41C1" w:rsidRPr="00661000" w:rsidRDefault="002C41C1" w:rsidP="00661000">
            <w:pPr>
              <w:keepNext/>
              <w:jc w:val="left"/>
              <w:rPr>
                <w:szCs w:val="19"/>
                <w:lang w:val="en-US" w:eastAsia="en-US"/>
              </w:rPr>
            </w:pPr>
            <w:r w:rsidRPr="00661000">
              <w:rPr>
                <w:szCs w:val="19"/>
                <w:lang w:val="en-US" w:eastAsia="en-US"/>
              </w:rPr>
              <w:t>PO 1</w:t>
            </w:r>
          </w:p>
        </w:tc>
        <w:tc>
          <w:tcPr>
            <w:tcW w:w="1134" w:type="dxa"/>
            <w:tcBorders>
              <w:top w:val="dashSmallGap" w:sz="12" w:space="0" w:color="C0504D"/>
              <w:left w:val="dashSmallGap" w:sz="12" w:space="0" w:color="C0504D"/>
              <w:bottom w:val="dashSmallGap" w:sz="12" w:space="0" w:color="C0504D"/>
              <w:right w:val="dashSmallGap" w:sz="12" w:space="0" w:color="C0504D"/>
            </w:tcBorders>
          </w:tcPr>
          <w:p w:rsidR="002C41C1" w:rsidRPr="00661000" w:rsidRDefault="002C41C1" w:rsidP="00661000">
            <w:pPr>
              <w:keepNext/>
              <w:jc w:val="left"/>
              <w:rPr>
                <w:szCs w:val="19"/>
                <w:lang w:val="en-US" w:eastAsia="en-US"/>
              </w:rPr>
            </w:pPr>
            <w:r w:rsidRPr="00661000">
              <w:rPr>
                <w:szCs w:val="19"/>
                <w:lang w:val="en-US" w:eastAsia="en-US"/>
              </w:rPr>
              <w:t>Prioritní</w:t>
            </w:r>
            <w:r w:rsidR="00254F5C">
              <w:rPr>
                <w:szCs w:val="19"/>
                <w:lang w:val="en-US" w:eastAsia="en-US"/>
              </w:rPr>
              <w:t xml:space="preserve"> </w:t>
            </w:r>
            <w:r w:rsidRPr="00661000">
              <w:rPr>
                <w:szCs w:val="19"/>
                <w:lang w:val="en-US" w:eastAsia="en-US"/>
              </w:rPr>
              <w:t>osa</w:t>
            </w:r>
          </w:p>
        </w:tc>
      </w:tr>
      <w:tr w:rsidR="002C41C1" w:rsidRPr="00661000" w:rsidTr="00DF6E0B">
        <w:tc>
          <w:tcPr>
            <w:tcW w:w="1869"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Evropská</w:t>
            </w:r>
            <w:r w:rsidR="006E4D0C">
              <w:rPr>
                <w:szCs w:val="19"/>
                <w:lang w:val="en-US" w:eastAsia="en-US"/>
              </w:rPr>
              <w:t xml:space="preserve"> </w:t>
            </w:r>
            <w:r w:rsidRPr="00661000">
              <w:rPr>
                <w:szCs w:val="19"/>
                <w:lang w:val="en-US" w:eastAsia="en-US"/>
              </w:rPr>
              <w:t>centra</w:t>
            </w:r>
            <w:r w:rsidR="006E4D0C">
              <w:rPr>
                <w:szCs w:val="19"/>
                <w:lang w:val="en-US" w:eastAsia="en-US"/>
              </w:rPr>
              <w:t xml:space="preserve"> </w:t>
            </w:r>
            <w:r w:rsidRPr="00661000">
              <w:rPr>
                <w:szCs w:val="19"/>
                <w:lang w:val="en-US" w:eastAsia="en-US"/>
              </w:rPr>
              <w:t>excelence</w:t>
            </w:r>
          </w:p>
        </w:tc>
        <w:tc>
          <w:tcPr>
            <w:tcW w:w="1438"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Lidské</w:t>
            </w:r>
            <w:r w:rsidR="006E4D0C">
              <w:rPr>
                <w:szCs w:val="19"/>
                <w:lang w:val="en-US" w:eastAsia="en-US"/>
              </w:rPr>
              <w:t xml:space="preserve"> </w:t>
            </w:r>
            <w:r w:rsidRPr="00661000">
              <w:rPr>
                <w:szCs w:val="19"/>
                <w:lang w:val="en-US" w:eastAsia="en-US"/>
              </w:rPr>
              <w:t>zdroje</w:t>
            </w:r>
            <w:r w:rsidR="006E4D0C">
              <w:rPr>
                <w:szCs w:val="19"/>
                <w:lang w:val="en-US" w:eastAsia="en-US"/>
              </w:rPr>
              <w:t xml:space="preserve"> </w:t>
            </w:r>
            <w:r w:rsidRPr="00661000">
              <w:rPr>
                <w:szCs w:val="19"/>
                <w:lang w:val="en-US" w:eastAsia="en-US"/>
              </w:rPr>
              <w:t>ve</w:t>
            </w:r>
            <w:r w:rsidR="006E4D0C">
              <w:rPr>
                <w:szCs w:val="19"/>
                <w:lang w:val="en-US" w:eastAsia="en-US"/>
              </w:rPr>
              <w:t xml:space="preserve"> </w:t>
            </w:r>
            <w:r w:rsidRPr="00661000">
              <w:rPr>
                <w:szCs w:val="19"/>
                <w:lang w:val="en-US" w:eastAsia="en-US"/>
              </w:rPr>
              <w:t>VaV</w:t>
            </w:r>
          </w:p>
        </w:tc>
        <w:tc>
          <w:tcPr>
            <w:tcW w:w="1371" w:type="dxa"/>
            <w:tcBorders>
              <w:top w:val="dashSmallGap" w:sz="12" w:space="0" w:color="548DD4"/>
              <w:left w:val="dashSmallGap" w:sz="12" w:space="0" w:color="548DD4"/>
              <w:bottom w:val="dashSmallGap" w:sz="12" w:space="0" w:color="548DD4"/>
              <w:right w:val="dashSmallGap" w:sz="12" w:space="0" w:color="548DD4"/>
            </w:tcBorders>
          </w:tcPr>
          <w:p w:rsidR="002C41C1" w:rsidRPr="00DF6E0B" w:rsidRDefault="002C41C1" w:rsidP="00661000">
            <w:pPr>
              <w:keepNext/>
              <w:jc w:val="left"/>
              <w:rPr>
                <w:b/>
                <w:szCs w:val="19"/>
                <w:lang w:val="en-US" w:eastAsia="en-US"/>
              </w:rPr>
            </w:pPr>
            <w:r w:rsidRPr="00DF6E0B">
              <w:rPr>
                <w:b/>
                <w:szCs w:val="19"/>
                <w:highlight w:val="cyan"/>
                <w:lang w:val="en-US" w:eastAsia="en-US"/>
              </w:rPr>
              <w:t>Inovace</w:t>
            </w:r>
          </w:p>
        </w:tc>
        <w:tc>
          <w:tcPr>
            <w:tcW w:w="1701"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Rozvoj</w:t>
            </w:r>
            <w:r w:rsidR="006E4D0C">
              <w:rPr>
                <w:szCs w:val="19"/>
                <w:lang w:val="en-US" w:eastAsia="en-US"/>
              </w:rPr>
              <w:t xml:space="preserve"> </w:t>
            </w:r>
            <w:r w:rsidRPr="00661000">
              <w:rPr>
                <w:szCs w:val="19"/>
                <w:lang w:val="en-US" w:eastAsia="en-US"/>
              </w:rPr>
              <w:t>inovačního</w:t>
            </w:r>
            <w:r w:rsidR="006E4D0C">
              <w:rPr>
                <w:szCs w:val="19"/>
                <w:lang w:val="en-US" w:eastAsia="en-US"/>
              </w:rPr>
              <w:t xml:space="preserve"> </w:t>
            </w:r>
            <w:r w:rsidRPr="00661000">
              <w:rPr>
                <w:szCs w:val="19"/>
                <w:lang w:val="en-US" w:eastAsia="en-US"/>
              </w:rPr>
              <w:t>prostředí</w:t>
            </w:r>
          </w:p>
        </w:tc>
        <w:tc>
          <w:tcPr>
            <w:tcW w:w="1559" w:type="dxa"/>
            <w:tcBorders>
              <w:top w:val="dashSmallGap" w:sz="12" w:space="0" w:color="548DD4"/>
              <w:left w:val="dashSmallGap" w:sz="12" w:space="0" w:color="548DD4"/>
              <w:bottom w:val="dashSmallGap" w:sz="12" w:space="0" w:color="548DD4"/>
              <w:right w:val="dashSmallGap" w:sz="12" w:space="0" w:color="C0504D"/>
            </w:tcBorders>
          </w:tcPr>
          <w:p w:rsidR="002C41C1" w:rsidRPr="00661000" w:rsidRDefault="002C41C1" w:rsidP="00661000">
            <w:pPr>
              <w:keepNext/>
              <w:jc w:val="left"/>
              <w:rPr>
                <w:szCs w:val="19"/>
                <w:lang w:val="en-US" w:eastAsia="en-US"/>
              </w:rPr>
            </w:pPr>
            <w:r w:rsidRPr="00661000">
              <w:rPr>
                <w:szCs w:val="19"/>
                <w:lang w:val="en-US" w:eastAsia="en-US"/>
              </w:rPr>
              <w:t>Rozvoj</w:t>
            </w:r>
            <w:r w:rsidR="006E4D0C">
              <w:rPr>
                <w:szCs w:val="19"/>
                <w:lang w:val="en-US" w:eastAsia="en-US"/>
              </w:rPr>
              <w:t xml:space="preserve"> </w:t>
            </w:r>
            <w:r w:rsidRPr="00661000">
              <w:rPr>
                <w:szCs w:val="19"/>
                <w:lang w:val="en-US" w:eastAsia="en-US"/>
              </w:rPr>
              <w:t>lidských</w:t>
            </w:r>
            <w:r w:rsidR="006E4D0C">
              <w:rPr>
                <w:szCs w:val="19"/>
                <w:lang w:val="en-US" w:eastAsia="en-US"/>
              </w:rPr>
              <w:t xml:space="preserve"> </w:t>
            </w:r>
            <w:r w:rsidRPr="00661000">
              <w:rPr>
                <w:szCs w:val="19"/>
                <w:lang w:val="en-US" w:eastAsia="en-US"/>
              </w:rPr>
              <w:t>zdrojů</w:t>
            </w:r>
            <w:r w:rsidR="006E4D0C">
              <w:rPr>
                <w:szCs w:val="19"/>
                <w:lang w:val="en-US" w:eastAsia="en-US"/>
              </w:rPr>
              <w:t xml:space="preserve"> </w:t>
            </w:r>
            <w:r w:rsidRPr="00661000">
              <w:rPr>
                <w:szCs w:val="19"/>
                <w:lang w:val="en-US" w:eastAsia="en-US"/>
              </w:rPr>
              <w:t>ve</w:t>
            </w:r>
            <w:r w:rsidR="006E4D0C">
              <w:rPr>
                <w:szCs w:val="19"/>
                <w:lang w:val="en-US" w:eastAsia="en-US"/>
              </w:rPr>
              <w:t xml:space="preserve"> </w:t>
            </w:r>
            <w:r w:rsidRPr="00661000">
              <w:rPr>
                <w:szCs w:val="19"/>
                <w:lang w:val="en-US" w:eastAsia="en-US"/>
              </w:rPr>
              <w:t>VaV</w:t>
            </w:r>
          </w:p>
        </w:tc>
        <w:tc>
          <w:tcPr>
            <w:tcW w:w="1134" w:type="dxa"/>
            <w:vMerge w:val="restart"/>
            <w:tcBorders>
              <w:top w:val="dashSmallGap" w:sz="12" w:space="0" w:color="C0504D"/>
              <w:left w:val="dashSmallGap" w:sz="12" w:space="0" w:color="C0504D"/>
              <w:bottom w:val="dashSmallGap" w:sz="12" w:space="0" w:color="C0504D"/>
              <w:right w:val="dashSmallGap" w:sz="12" w:space="0" w:color="C0504D"/>
            </w:tcBorders>
          </w:tcPr>
          <w:p w:rsidR="002C41C1" w:rsidRPr="00661000" w:rsidRDefault="002C41C1" w:rsidP="00661000">
            <w:pPr>
              <w:keepNext/>
              <w:jc w:val="left"/>
              <w:rPr>
                <w:szCs w:val="19"/>
                <w:lang w:val="en-US" w:eastAsia="en-US"/>
              </w:rPr>
            </w:pPr>
            <w:r w:rsidRPr="00661000">
              <w:rPr>
                <w:szCs w:val="19"/>
                <w:lang w:val="en-US" w:eastAsia="en-US"/>
              </w:rPr>
              <w:t>Oblast podpory /cíl / téma</w:t>
            </w:r>
          </w:p>
        </w:tc>
      </w:tr>
      <w:tr w:rsidR="002C41C1" w:rsidRPr="00661000" w:rsidTr="00DF6E0B">
        <w:tc>
          <w:tcPr>
            <w:tcW w:w="1869"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Regionální</w:t>
            </w:r>
            <w:r w:rsidR="006E4D0C">
              <w:rPr>
                <w:szCs w:val="19"/>
                <w:lang w:val="en-US" w:eastAsia="en-US"/>
              </w:rPr>
              <w:t xml:space="preserve"> </w:t>
            </w:r>
            <w:r w:rsidRPr="00661000">
              <w:rPr>
                <w:szCs w:val="19"/>
                <w:lang w:val="en-US" w:eastAsia="en-US"/>
              </w:rPr>
              <w:t>VaV</w:t>
            </w:r>
            <w:r w:rsidR="006E4D0C">
              <w:rPr>
                <w:szCs w:val="19"/>
                <w:lang w:val="en-US" w:eastAsia="en-US"/>
              </w:rPr>
              <w:t xml:space="preserve"> </w:t>
            </w:r>
            <w:r w:rsidRPr="00661000">
              <w:rPr>
                <w:szCs w:val="19"/>
                <w:lang w:val="en-US" w:eastAsia="en-US"/>
              </w:rPr>
              <w:t>centra</w:t>
            </w:r>
          </w:p>
        </w:tc>
        <w:tc>
          <w:tcPr>
            <w:tcW w:w="1438"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Partnerství a sítě</w:t>
            </w:r>
          </w:p>
        </w:tc>
        <w:tc>
          <w:tcPr>
            <w:tcW w:w="1371" w:type="dxa"/>
            <w:tcBorders>
              <w:top w:val="dashSmallGap" w:sz="12" w:space="0" w:color="548DD4"/>
              <w:left w:val="dashSmallGap" w:sz="12" w:space="0" w:color="548DD4"/>
              <w:bottom w:val="dashSmallGap" w:sz="12" w:space="0" w:color="548DD4"/>
              <w:right w:val="dashSmallGap" w:sz="12" w:space="0" w:color="548DD4"/>
            </w:tcBorders>
          </w:tcPr>
          <w:p w:rsidR="002C41C1" w:rsidRPr="00DF6E0B" w:rsidRDefault="002C41C1" w:rsidP="00661000">
            <w:pPr>
              <w:keepNext/>
              <w:jc w:val="left"/>
              <w:rPr>
                <w:b/>
                <w:szCs w:val="19"/>
                <w:lang w:val="en-US" w:eastAsia="en-US"/>
              </w:rPr>
            </w:pPr>
            <w:r w:rsidRPr="00DF6E0B">
              <w:rPr>
                <w:b/>
                <w:szCs w:val="19"/>
                <w:highlight w:val="cyan"/>
                <w:lang w:val="en-US" w:eastAsia="en-US"/>
              </w:rPr>
              <w:t>Potenciál</w:t>
            </w:r>
          </w:p>
        </w:tc>
        <w:tc>
          <w:tcPr>
            <w:tcW w:w="1701" w:type="dxa"/>
            <w:tcBorders>
              <w:top w:val="dashSmallGap" w:sz="12" w:space="0" w:color="548DD4"/>
              <w:left w:val="dashSmallGap" w:sz="12" w:space="0" w:color="548DD4"/>
              <w:bottom w:val="nil"/>
              <w:right w:val="nil"/>
            </w:tcBorders>
          </w:tcPr>
          <w:p w:rsidR="002C41C1" w:rsidRPr="00661000" w:rsidRDefault="002C41C1" w:rsidP="00661000">
            <w:pPr>
              <w:keepNext/>
              <w:jc w:val="left"/>
              <w:rPr>
                <w:szCs w:val="19"/>
                <w:lang w:val="en-US" w:eastAsia="en-US"/>
              </w:rPr>
            </w:pPr>
          </w:p>
        </w:tc>
        <w:tc>
          <w:tcPr>
            <w:tcW w:w="1559" w:type="dxa"/>
            <w:tcBorders>
              <w:top w:val="dashSmallGap" w:sz="12" w:space="0" w:color="548DD4"/>
              <w:left w:val="nil"/>
              <w:bottom w:val="nil"/>
              <w:right w:val="dashSmallGap" w:sz="12" w:space="0" w:color="C0504D"/>
            </w:tcBorders>
          </w:tcPr>
          <w:p w:rsidR="002C41C1" w:rsidRPr="00661000" w:rsidRDefault="002C41C1" w:rsidP="00661000">
            <w:pPr>
              <w:keepNext/>
              <w:jc w:val="left"/>
              <w:rPr>
                <w:szCs w:val="19"/>
                <w:lang w:val="en-US" w:eastAsia="en-US"/>
              </w:rPr>
            </w:pPr>
          </w:p>
        </w:tc>
        <w:tc>
          <w:tcPr>
            <w:tcW w:w="1134" w:type="dxa"/>
            <w:vMerge/>
            <w:tcBorders>
              <w:top w:val="dashSmallGap" w:sz="12" w:space="0" w:color="C0504D"/>
              <w:left w:val="dashSmallGap" w:sz="12" w:space="0" w:color="C0504D"/>
              <w:bottom w:val="dashSmallGap" w:sz="12" w:space="0" w:color="C0504D"/>
              <w:right w:val="dashSmallGap" w:sz="12" w:space="0" w:color="C0504D"/>
            </w:tcBorders>
          </w:tcPr>
          <w:p w:rsidR="002C41C1" w:rsidRPr="00661000" w:rsidRDefault="002C41C1" w:rsidP="00661000">
            <w:pPr>
              <w:keepNext/>
              <w:jc w:val="left"/>
              <w:rPr>
                <w:szCs w:val="19"/>
                <w:lang w:val="en-US" w:eastAsia="en-US"/>
              </w:rPr>
            </w:pPr>
          </w:p>
        </w:tc>
      </w:tr>
      <w:tr w:rsidR="002C41C1" w:rsidRPr="00661000" w:rsidTr="00DF6E0B">
        <w:tc>
          <w:tcPr>
            <w:tcW w:w="1869"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Komercionalizace</w:t>
            </w:r>
          </w:p>
        </w:tc>
        <w:tc>
          <w:tcPr>
            <w:tcW w:w="1438" w:type="dxa"/>
            <w:tcBorders>
              <w:top w:val="dashSmallGap" w:sz="12" w:space="0" w:color="548DD4"/>
              <w:left w:val="dashSmallGap" w:sz="12" w:space="0" w:color="548DD4"/>
              <w:bottom w:val="nil"/>
              <w:right w:val="dashSmallGap" w:sz="12" w:space="0" w:color="548DD4"/>
            </w:tcBorders>
          </w:tcPr>
          <w:p w:rsidR="002C41C1" w:rsidRPr="00661000" w:rsidRDefault="002C41C1" w:rsidP="00661000">
            <w:pPr>
              <w:keepNext/>
              <w:jc w:val="left"/>
              <w:rPr>
                <w:szCs w:val="19"/>
                <w:lang w:val="en-US" w:eastAsia="en-US"/>
              </w:rPr>
            </w:pPr>
          </w:p>
        </w:tc>
        <w:tc>
          <w:tcPr>
            <w:tcW w:w="1371" w:type="dxa"/>
            <w:tcBorders>
              <w:top w:val="dashSmallGap" w:sz="12" w:space="0" w:color="548DD4"/>
              <w:left w:val="dashSmallGap" w:sz="12" w:space="0" w:color="548DD4"/>
              <w:bottom w:val="dashSmallGap" w:sz="12" w:space="0" w:color="548DD4"/>
              <w:right w:val="dashSmallGap" w:sz="12" w:space="0" w:color="548DD4"/>
            </w:tcBorders>
          </w:tcPr>
          <w:p w:rsidR="002C41C1" w:rsidRPr="00DF6E0B" w:rsidRDefault="002C41C1" w:rsidP="00661000">
            <w:pPr>
              <w:keepNext/>
              <w:jc w:val="left"/>
              <w:rPr>
                <w:b/>
                <w:szCs w:val="19"/>
                <w:lang w:val="en-US" w:eastAsia="en-US"/>
              </w:rPr>
            </w:pPr>
            <w:r w:rsidRPr="00DF6E0B">
              <w:rPr>
                <w:b/>
                <w:szCs w:val="19"/>
                <w:lang w:val="en-US" w:eastAsia="en-US"/>
              </w:rPr>
              <w:t>Prosperita</w:t>
            </w:r>
          </w:p>
        </w:tc>
        <w:tc>
          <w:tcPr>
            <w:tcW w:w="1701" w:type="dxa"/>
            <w:tcBorders>
              <w:top w:val="nil"/>
              <w:left w:val="dashSmallGap" w:sz="12" w:space="0" w:color="548DD4"/>
              <w:bottom w:val="nil"/>
              <w:right w:val="nil"/>
            </w:tcBorders>
          </w:tcPr>
          <w:p w:rsidR="002C41C1" w:rsidRPr="00661000" w:rsidRDefault="002C41C1" w:rsidP="00661000">
            <w:pPr>
              <w:keepNext/>
              <w:jc w:val="left"/>
              <w:rPr>
                <w:szCs w:val="19"/>
                <w:lang w:val="en-US" w:eastAsia="en-US"/>
              </w:rPr>
            </w:pPr>
          </w:p>
        </w:tc>
        <w:tc>
          <w:tcPr>
            <w:tcW w:w="1559" w:type="dxa"/>
            <w:tcBorders>
              <w:top w:val="nil"/>
              <w:left w:val="nil"/>
              <w:bottom w:val="nil"/>
              <w:right w:val="dashSmallGap" w:sz="12" w:space="0" w:color="C0504D"/>
            </w:tcBorders>
          </w:tcPr>
          <w:p w:rsidR="002C41C1" w:rsidRPr="00661000" w:rsidRDefault="002C41C1" w:rsidP="00661000">
            <w:pPr>
              <w:keepNext/>
              <w:jc w:val="left"/>
              <w:rPr>
                <w:szCs w:val="19"/>
                <w:lang w:val="en-US" w:eastAsia="en-US"/>
              </w:rPr>
            </w:pPr>
          </w:p>
        </w:tc>
        <w:tc>
          <w:tcPr>
            <w:tcW w:w="1134" w:type="dxa"/>
            <w:vMerge/>
            <w:tcBorders>
              <w:top w:val="dashSmallGap" w:sz="12" w:space="0" w:color="C0504D"/>
              <w:left w:val="dashSmallGap" w:sz="12" w:space="0" w:color="C0504D"/>
              <w:bottom w:val="dashSmallGap" w:sz="12" w:space="0" w:color="C0504D"/>
              <w:right w:val="dashSmallGap" w:sz="12" w:space="0" w:color="C0504D"/>
            </w:tcBorders>
          </w:tcPr>
          <w:p w:rsidR="002C41C1" w:rsidRPr="00661000" w:rsidRDefault="002C41C1" w:rsidP="00661000">
            <w:pPr>
              <w:keepNext/>
              <w:jc w:val="left"/>
              <w:rPr>
                <w:szCs w:val="19"/>
                <w:lang w:val="en-US" w:eastAsia="en-US"/>
              </w:rPr>
            </w:pPr>
          </w:p>
        </w:tc>
      </w:tr>
      <w:tr w:rsidR="002C41C1" w:rsidRPr="00661000" w:rsidTr="00DF6E0B">
        <w:tc>
          <w:tcPr>
            <w:tcW w:w="1869"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Popularizace</w:t>
            </w:r>
          </w:p>
        </w:tc>
        <w:tc>
          <w:tcPr>
            <w:tcW w:w="1438" w:type="dxa"/>
            <w:tcBorders>
              <w:top w:val="nil"/>
              <w:left w:val="dashSmallGap" w:sz="12" w:space="0" w:color="548DD4"/>
              <w:bottom w:val="nil"/>
              <w:right w:val="dashSmallGap" w:sz="12" w:space="0" w:color="548DD4"/>
            </w:tcBorders>
          </w:tcPr>
          <w:p w:rsidR="002C41C1" w:rsidRPr="00661000" w:rsidRDefault="002C41C1" w:rsidP="00661000">
            <w:pPr>
              <w:keepNext/>
              <w:jc w:val="left"/>
              <w:rPr>
                <w:szCs w:val="19"/>
                <w:lang w:val="en-US" w:eastAsia="en-US"/>
              </w:rPr>
            </w:pPr>
          </w:p>
        </w:tc>
        <w:tc>
          <w:tcPr>
            <w:tcW w:w="1371" w:type="dxa"/>
            <w:tcBorders>
              <w:top w:val="dashSmallGap" w:sz="12" w:space="0" w:color="548DD4"/>
              <w:left w:val="dashSmallGap" w:sz="12" w:space="0" w:color="548DD4"/>
              <w:bottom w:val="dashSmallGap" w:sz="12" w:space="0" w:color="548DD4"/>
              <w:right w:val="dashSmallGap" w:sz="12" w:space="0" w:color="548DD4"/>
            </w:tcBorders>
          </w:tcPr>
          <w:p w:rsidR="002C41C1" w:rsidRPr="00DF6E0B" w:rsidRDefault="002C41C1" w:rsidP="00661000">
            <w:pPr>
              <w:keepNext/>
              <w:jc w:val="left"/>
              <w:rPr>
                <w:b/>
                <w:szCs w:val="19"/>
                <w:lang w:val="en-US" w:eastAsia="en-US"/>
              </w:rPr>
            </w:pPr>
            <w:r w:rsidRPr="00DF6E0B">
              <w:rPr>
                <w:b/>
                <w:szCs w:val="19"/>
                <w:highlight w:val="cyan"/>
                <w:lang w:val="en-US" w:eastAsia="en-US"/>
              </w:rPr>
              <w:t>Spolupráce</w:t>
            </w:r>
          </w:p>
        </w:tc>
        <w:tc>
          <w:tcPr>
            <w:tcW w:w="1701" w:type="dxa"/>
            <w:tcBorders>
              <w:top w:val="nil"/>
              <w:left w:val="dashSmallGap" w:sz="12" w:space="0" w:color="548DD4"/>
              <w:bottom w:val="nil"/>
              <w:right w:val="nil"/>
            </w:tcBorders>
          </w:tcPr>
          <w:p w:rsidR="002C41C1" w:rsidRPr="00661000" w:rsidRDefault="002C41C1" w:rsidP="00661000">
            <w:pPr>
              <w:keepNext/>
              <w:jc w:val="left"/>
              <w:rPr>
                <w:szCs w:val="19"/>
                <w:lang w:val="en-US" w:eastAsia="en-US"/>
              </w:rPr>
            </w:pPr>
          </w:p>
        </w:tc>
        <w:tc>
          <w:tcPr>
            <w:tcW w:w="1559" w:type="dxa"/>
            <w:tcBorders>
              <w:top w:val="nil"/>
              <w:left w:val="nil"/>
              <w:bottom w:val="nil"/>
              <w:right w:val="dashSmallGap" w:sz="12" w:space="0" w:color="C0504D"/>
            </w:tcBorders>
          </w:tcPr>
          <w:p w:rsidR="002C41C1" w:rsidRPr="00661000" w:rsidRDefault="002C41C1" w:rsidP="00661000">
            <w:pPr>
              <w:keepNext/>
              <w:jc w:val="left"/>
              <w:rPr>
                <w:szCs w:val="19"/>
                <w:lang w:val="en-US" w:eastAsia="en-US"/>
              </w:rPr>
            </w:pPr>
          </w:p>
        </w:tc>
        <w:tc>
          <w:tcPr>
            <w:tcW w:w="1134" w:type="dxa"/>
            <w:vMerge/>
            <w:tcBorders>
              <w:top w:val="dashSmallGap" w:sz="12" w:space="0" w:color="C0504D"/>
              <w:left w:val="dashSmallGap" w:sz="12" w:space="0" w:color="C0504D"/>
              <w:bottom w:val="dashSmallGap" w:sz="12" w:space="0" w:color="C0504D"/>
              <w:right w:val="dashSmallGap" w:sz="12" w:space="0" w:color="C0504D"/>
            </w:tcBorders>
          </w:tcPr>
          <w:p w:rsidR="002C41C1" w:rsidRPr="00661000" w:rsidRDefault="002C41C1" w:rsidP="00661000">
            <w:pPr>
              <w:keepNext/>
              <w:jc w:val="left"/>
              <w:rPr>
                <w:szCs w:val="19"/>
                <w:lang w:val="en-US" w:eastAsia="en-US"/>
              </w:rPr>
            </w:pPr>
          </w:p>
        </w:tc>
      </w:tr>
      <w:tr w:rsidR="002C41C1" w:rsidRPr="00661000" w:rsidTr="00DF6E0B">
        <w:trPr>
          <w:trHeight w:val="407"/>
        </w:trPr>
        <w:tc>
          <w:tcPr>
            <w:tcW w:w="1869"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Infrastrukturana VŠ</w:t>
            </w:r>
          </w:p>
        </w:tc>
        <w:tc>
          <w:tcPr>
            <w:tcW w:w="1438" w:type="dxa"/>
            <w:tcBorders>
              <w:top w:val="nil"/>
              <w:left w:val="dashSmallGap" w:sz="12" w:space="0" w:color="548DD4"/>
              <w:bottom w:val="nil"/>
              <w:right w:val="nil"/>
            </w:tcBorders>
          </w:tcPr>
          <w:p w:rsidR="002C41C1" w:rsidRPr="00661000" w:rsidRDefault="002C41C1" w:rsidP="00661000">
            <w:pPr>
              <w:keepNext/>
              <w:jc w:val="left"/>
              <w:rPr>
                <w:szCs w:val="19"/>
                <w:lang w:val="en-US" w:eastAsia="en-US"/>
              </w:rPr>
            </w:pPr>
          </w:p>
        </w:tc>
        <w:tc>
          <w:tcPr>
            <w:tcW w:w="1371" w:type="dxa"/>
            <w:tcBorders>
              <w:top w:val="dashSmallGap" w:sz="12" w:space="0" w:color="548DD4"/>
              <w:left w:val="nil"/>
              <w:bottom w:val="nil"/>
              <w:right w:val="nil"/>
            </w:tcBorders>
          </w:tcPr>
          <w:p w:rsidR="002C41C1" w:rsidRPr="00661000" w:rsidRDefault="002C41C1" w:rsidP="00661000">
            <w:pPr>
              <w:keepNext/>
              <w:jc w:val="left"/>
              <w:rPr>
                <w:szCs w:val="19"/>
                <w:lang w:val="en-US" w:eastAsia="en-US"/>
              </w:rPr>
            </w:pPr>
          </w:p>
        </w:tc>
        <w:tc>
          <w:tcPr>
            <w:tcW w:w="1701" w:type="dxa"/>
            <w:tcBorders>
              <w:top w:val="nil"/>
              <w:left w:val="nil"/>
              <w:bottom w:val="nil"/>
              <w:right w:val="nil"/>
            </w:tcBorders>
          </w:tcPr>
          <w:p w:rsidR="002C41C1" w:rsidRPr="00661000" w:rsidRDefault="002C41C1" w:rsidP="00661000">
            <w:pPr>
              <w:keepNext/>
              <w:jc w:val="left"/>
              <w:rPr>
                <w:szCs w:val="19"/>
                <w:lang w:val="en-US" w:eastAsia="en-US"/>
              </w:rPr>
            </w:pPr>
          </w:p>
        </w:tc>
        <w:tc>
          <w:tcPr>
            <w:tcW w:w="1559" w:type="dxa"/>
            <w:tcBorders>
              <w:top w:val="nil"/>
              <w:left w:val="nil"/>
              <w:bottom w:val="nil"/>
              <w:right w:val="dashSmallGap" w:sz="12" w:space="0" w:color="C0504D"/>
            </w:tcBorders>
          </w:tcPr>
          <w:p w:rsidR="002C41C1" w:rsidRPr="00661000" w:rsidRDefault="002C41C1" w:rsidP="00661000">
            <w:pPr>
              <w:keepNext/>
              <w:jc w:val="left"/>
              <w:rPr>
                <w:szCs w:val="19"/>
                <w:lang w:val="en-US" w:eastAsia="en-US"/>
              </w:rPr>
            </w:pPr>
          </w:p>
        </w:tc>
        <w:tc>
          <w:tcPr>
            <w:tcW w:w="1134" w:type="dxa"/>
            <w:vMerge/>
            <w:tcBorders>
              <w:top w:val="dashSmallGap" w:sz="12" w:space="0" w:color="C0504D"/>
              <w:left w:val="dashSmallGap" w:sz="12" w:space="0" w:color="C0504D"/>
              <w:bottom w:val="dashSmallGap" w:sz="12" w:space="0" w:color="C0504D"/>
              <w:right w:val="dashSmallGap" w:sz="12" w:space="0" w:color="C0504D"/>
            </w:tcBorders>
          </w:tcPr>
          <w:p w:rsidR="002C41C1" w:rsidRPr="00661000" w:rsidRDefault="002C41C1" w:rsidP="00661000">
            <w:pPr>
              <w:keepNext/>
              <w:jc w:val="left"/>
              <w:rPr>
                <w:szCs w:val="19"/>
                <w:lang w:val="en-US" w:eastAsia="en-US"/>
              </w:rPr>
            </w:pPr>
          </w:p>
        </w:tc>
      </w:tr>
      <w:tr w:rsidR="002C41C1" w:rsidRPr="00661000" w:rsidTr="00DF6E0B">
        <w:tc>
          <w:tcPr>
            <w:tcW w:w="1869" w:type="dxa"/>
            <w:tcBorders>
              <w:top w:val="dashSmallGap" w:sz="12" w:space="0" w:color="548DD4"/>
              <w:left w:val="nil"/>
              <w:right w:val="nil"/>
            </w:tcBorders>
          </w:tcPr>
          <w:p w:rsidR="002C41C1" w:rsidRPr="00661000" w:rsidRDefault="002C41C1" w:rsidP="00661000">
            <w:pPr>
              <w:keepNext/>
              <w:jc w:val="left"/>
              <w:rPr>
                <w:szCs w:val="19"/>
                <w:lang w:val="en-US" w:eastAsia="en-US"/>
              </w:rPr>
            </w:pPr>
          </w:p>
        </w:tc>
        <w:tc>
          <w:tcPr>
            <w:tcW w:w="1438" w:type="dxa"/>
            <w:tcBorders>
              <w:top w:val="nil"/>
              <w:left w:val="nil"/>
              <w:right w:val="nil"/>
            </w:tcBorders>
          </w:tcPr>
          <w:p w:rsidR="002C41C1" w:rsidRPr="00661000" w:rsidRDefault="002C41C1" w:rsidP="00661000">
            <w:pPr>
              <w:keepNext/>
              <w:jc w:val="left"/>
              <w:rPr>
                <w:szCs w:val="19"/>
                <w:lang w:val="en-US" w:eastAsia="en-US"/>
              </w:rPr>
            </w:pPr>
          </w:p>
        </w:tc>
        <w:tc>
          <w:tcPr>
            <w:tcW w:w="1371" w:type="dxa"/>
            <w:tcBorders>
              <w:top w:val="nil"/>
              <w:left w:val="nil"/>
              <w:right w:val="nil"/>
            </w:tcBorders>
          </w:tcPr>
          <w:p w:rsidR="002C41C1" w:rsidRPr="00661000" w:rsidRDefault="002C41C1" w:rsidP="00661000">
            <w:pPr>
              <w:keepNext/>
              <w:jc w:val="left"/>
              <w:rPr>
                <w:szCs w:val="19"/>
                <w:lang w:val="en-US" w:eastAsia="en-US"/>
              </w:rPr>
            </w:pPr>
          </w:p>
        </w:tc>
        <w:tc>
          <w:tcPr>
            <w:tcW w:w="1701" w:type="dxa"/>
            <w:tcBorders>
              <w:top w:val="nil"/>
              <w:left w:val="nil"/>
              <w:right w:val="nil"/>
            </w:tcBorders>
          </w:tcPr>
          <w:p w:rsidR="002C41C1" w:rsidRPr="00661000" w:rsidRDefault="002C41C1" w:rsidP="00661000">
            <w:pPr>
              <w:keepNext/>
              <w:jc w:val="left"/>
              <w:rPr>
                <w:szCs w:val="19"/>
                <w:lang w:val="en-US" w:eastAsia="en-US"/>
              </w:rPr>
            </w:pPr>
          </w:p>
        </w:tc>
        <w:tc>
          <w:tcPr>
            <w:tcW w:w="1559" w:type="dxa"/>
            <w:tcBorders>
              <w:top w:val="nil"/>
              <w:left w:val="nil"/>
              <w:right w:val="nil"/>
            </w:tcBorders>
          </w:tcPr>
          <w:p w:rsidR="002C41C1" w:rsidRPr="00661000" w:rsidRDefault="002C41C1" w:rsidP="00661000">
            <w:pPr>
              <w:keepNext/>
              <w:jc w:val="left"/>
              <w:rPr>
                <w:szCs w:val="19"/>
                <w:lang w:val="en-US" w:eastAsia="en-US"/>
              </w:rPr>
            </w:pPr>
          </w:p>
        </w:tc>
        <w:tc>
          <w:tcPr>
            <w:tcW w:w="1134" w:type="dxa"/>
            <w:tcBorders>
              <w:top w:val="dashSmallGap" w:sz="12" w:space="0" w:color="C0504D"/>
              <w:left w:val="nil"/>
              <w:right w:val="nil"/>
            </w:tcBorders>
          </w:tcPr>
          <w:p w:rsidR="002C41C1" w:rsidRPr="00661000" w:rsidRDefault="005F2B40" w:rsidP="00661000">
            <w:pPr>
              <w:keepNext/>
              <w:jc w:val="left"/>
              <w:rPr>
                <w:szCs w:val="19"/>
                <w:lang w:val="en-US" w:eastAsia="en-US"/>
              </w:rPr>
            </w:pPr>
            <w:r>
              <w:rPr>
                <w:noProof/>
              </w:rPr>
              <mc:AlternateContent>
                <mc:Choice Requires="wps">
                  <w:drawing>
                    <wp:anchor distT="0" distB="0" distL="114298" distR="114298" simplePos="0" relativeHeight="251658240" behindDoc="0" locked="0" layoutInCell="1" allowOverlap="1" wp14:anchorId="5FB3A2D0" wp14:editId="097A0146">
                      <wp:simplePos x="0" y="0"/>
                      <wp:positionH relativeFrom="column">
                        <wp:posOffset>488314</wp:posOffset>
                      </wp:positionH>
                      <wp:positionV relativeFrom="paragraph">
                        <wp:posOffset>15240</wp:posOffset>
                      </wp:positionV>
                      <wp:extent cx="0" cy="130810"/>
                      <wp:effectExtent l="76200" t="38100" r="57150" b="21590"/>
                      <wp:wrapNone/>
                      <wp:docPr id="42"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0810"/>
                              </a:xfrm>
                              <a:prstGeom prst="straightConnector1">
                                <a:avLst/>
                              </a:prstGeom>
                              <a:noFill/>
                              <a:ln w="9525">
                                <a:solidFill>
                                  <a:srgbClr val="C050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38.45pt;margin-top:1.2pt;width:0;height:10.3pt;flip:y;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VZQgIAAHYEAAAOAAAAZHJzL2Uyb0RvYy54bWysVE2P2jAQvVfqf7B8hyRsoBARVqsEetm2&#10;SGx7N7ZDrDq2ZRsCqvrfO3ZYdre9VFUvzvhjnt+bec7y/txJdOLWCa1KnI1TjLiimgl1KPHXp81o&#10;jpHzRDEiteIlvnCH71fv3y17U/CJbrVk3CIAUa7oTYlb702RJI62vCNurA1XsNlo2xEPU3tImCU9&#10;oHcymaTpLOm1ZcZqyp2D1XrYxKuI3zSc+i9N47hHssTAzcfRxnEfxmS1JMXBEtMKeqVB/oFFR4SC&#10;S29QNfEEHa34A6oT1GqnGz+mukt00wjKowZQk6W/qdm1xPCoBYrjzK1M7v/B0s+nrUWClTifYKRI&#10;Bz3aeUvEofXowVrdo0orBXXUFs1DuXrjCsiq1NYGwfSsduZR0+8OKV21RB14pP10MQCVhYzkTUqY&#10;OAOX7vtPmsEZcvQ61u7c2A41UphvITGAQ33QOTbrcmsWP3tEh0UKq9ldOs9iHxNSBISQZ6zzH7nu&#10;UAhK7K6CbkoGdHJ6dD7we0kIyUpvhJTRGFKhvsSL6WQa6TgtBQub4Zizh30lLToRsFaVTtO8jmJh&#10;5/Uxq4+KRbCWE7a+xp4ICTHysUreCqib5Djc1nGGkeTwmkI00JMq3AjKgfA1Gtz1Y5Eu1vP1PB/l&#10;k9l6lKd1PXrYVPlotsk+TOu7uqrq7Gcgn+VFKxjjKvB/dnqW/52Trm9u8OjN67dCJW/RY0WB7PM3&#10;ko4mCH0fHLTX7LK1QV3wA5g7Hr4+xPB6Xs/jqZffxeoXAAAA//8DAFBLAwQUAAYACAAAACEAab8r&#10;fNkAAAAGAQAADwAAAGRycy9kb3ducmV2LnhtbEyOwU7DMBBE70j8g7VI3KjTgFoIcaqqoudCihT1&#10;5sZLHBGvo9hpA1/PwqUcn2Y08/LV5DpxwiG0nhTMZwkIpNqblhoF7/vt3SOIEDUZ3XlCBV8YYFVc&#10;X+U6M/5Mb3gqYyN4hEKmFdgY+0zKUFt0Osx8j8TZhx+cjoxDI82gzzzuOpkmyUI63RI/WN3jxmL9&#10;WY6OT15pjLvqsJ2/7IItv9MqHQ+VUrc30/oZRMQpXsrwq8/qULDT0Y9kgugULBdP3FSQPoDg+A+P&#10;jPcJyCKX//WLHwAAAP//AwBQSwECLQAUAAYACAAAACEAtoM4kv4AAADhAQAAEwAAAAAAAAAAAAAA&#10;AAAAAAAAW0NvbnRlbnRfVHlwZXNdLnhtbFBLAQItABQABgAIAAAAIQA4/SH/1gAAAJQBAAALAAAA&#10;AAAAAAAAAAAAAC8BAABfcmVscy8ucmVsc1BLAQItABQABgAIAAAAIQAznvVZQgIAAHYEAAAOAAAA&#10;AAAAAAAAAAAAAC4CAABkcnMvZTJvRG9jLnhtbFBLAQItABQABgAIAAAAIQBpvyt82QAAAAYBAAAP&#10;AAAAAAAAAAAAAAAAAJwEAABkcnMvZG93bnJldi54bWxQSwUGAAAAAAQABADzAAAAogUAAAAA&#10;" strokecolor="#c0504d">
                      <v:stroke endarrow="block"/>
                    </v:shape>
                  </w:pict>
                </mc:Fallback>
              </mc:AlternateContent>
            </w:r>
          </w:p>
        </w:tc>
      </w:tr>
      <w:tr w:rsidR="002C41C1" w:rsidRPr="00661000" w:rsidTr="00DF6E0B">
        <w:tc>
          <w:tcPr>
            <w:tcW w:w="1869" w:type="dxa"/>
            <w:tcBorders>
              <w:left w:val="nil"/>
            </w:tcBorders>
            <w:shd w:val="clear" w:color="auto" w:fill="548DD4"/>
          </w:tcPr>
          <w:p w:rsidR="002C41C1" w:rsidRPr="00661000" w:rsidRDefault="002C41C1" w:rsidP="00661000">
            <w:pPr>
              <w:keepNext/>
              <w:jc w:val="left"/>
              <w:rPr>
                <w:color w:val="FFFFFF"/>
                <w:szCs w:val="19"/>
                <w:lang w:val="en-US" w:eastAsia="en-US"/>
              </w:rPr>
            </w:pPr>
            <w:r w:rsidRPr="00661000">
              <w:rPr>
                <w:color w:val="FFFFFF"/>
                <w:szCs w:val="19"/>
                <w:lang w:val="en-US" w:eastAsia="en-US"/>
              </w:rPr>
              <w:t>MŠMT</w:t>
            </w:r>
          </w:p>
        </w:tc>
        <w:tc>
          <w:tcPr>
            <w:tcW w:w="1438" w:type="dxa"/>
            <w:shd w:val="clear" w:color="auto" w:fill="548DD4"/>
          </w:tcPr>
          <w:p w:rsidR="002C41C1" w:rsidRPr="00661000" w:rsidRDefault="002C41C1" w:rsidP="00661000">
            <w:pPr>
              <w:keepNext/>
              <w:jc w:val="left"/>
              <w:rPr>
                <w:color w:val="FFFFFF"/>
                <w:szCs w:val="19"/>
                <w:lang w:val="en-US" w:eastAsia="en-US"/>
              </w:rPr>
            </w:pPr>
            <w:r w:rsidRPr="00661000">
              <w:rPr>
                <w:color w:val="FFFFFF"/>
                <w:szCs w:val="19"/>
                <w:lang w:val="en-US" w:eastAsia="en-US"/>
              </w:rPr>
              <w:t>MŠMT</w:t>
            </w:r>
          </w:p>
        </w:tc>
        <w:tc>
          <w:tcPr>
            <w:tcW w:w="1371" w:type="dxa"/>
            <w:shd w:val="clear" w:color="auto" w:fill="548DD4"/>
          </w:tcPr>
          <w:p w:rsidR="002C41C1" w:rsidRPr="00661000" w:rsidRDefault="002C41C1" w:rsidP="00661000">
            <w:pPr>
              <w:keepNext/>
              <w:jc w:val="left"/>
              <w:rPr>
                <w:color w:val="FFFFFF"/>
                <w:szCs w:val="19"/>
                <w:lang w:val="en-US" w:eastAsia="en-US"/>
              </w:rPr>
            </w:pPr>
            <w:r w:rsidRPr="00661000">
              <w:rPr>
                <w:color w:val="FFFFFF"/>
                <w:szCs w:val="19"/>
                <w:lang w:val="en-US" w:eastAsia="en-US"/>
              </w:rPr>
              <w:t>MPO</w:t>
            </w:r>
          </w:p>
        </w:tc>
        <w:tc>
          <w:tcPr>
            <w:tcW w:w="1701" w:type="dxa"/>
            <w:shd w:val="clear" w:color="auto" w:fill="548DD4"/>
          </w:tcPr>
          <w:p w:rsidR="002C41C1" w:rsidRPr="00661000" w:rsidRDefault="002C41C1" w:rsidP="00661000">
            <w:pPr>
              <w:keepNext/>
              <w:jc w:val="left"/>
              <w:rPr>
                <w:color w:val="FFFFFF"/>
                <w:szCs w:val="19"/>
                <w:lang w:val="en-US" w:eastAsia="en-US"/>
              </w:rPr>
            </w:pPr>
            <w:r w:rsidRPr="00661000">
              <w:rPr>
                <w:color w:val="FFFFFF"/>
                <w:szCs w:val="19"/>
                <w:lang w:val="en-US" w:eastAsia="en-US"/>
              </w:rPr>
              <w:t>Hl. m. Praha</w:t>
            </w:r>
          </w:p>
        </w:tc>
        <w:tc>
          <w:tcPr>
            <w:tcW w:w="1559" w:type="dxa"/>
            <w:shd w:val="clear" w:color="auto" w:fill="548DD4"/>
          </w:tcPr>
          <w:p w:rsidR="002C41C1" w:rsidRPr="00661000" w:rsidRDefault="002C41C1" w:rsidP="00661000">
            <w:pPr>
              <w:keepNext/>
              <w:jc w:val="left"/>
              <w:rPr>
                <w:color w:val="FFFFFF"/>
                <w:szCs w:val="19"/>
                <w:lang w:val="en-US" w:eastAsia="en-US"/>
              </w:rPr>
            </w:pPr>
            <w:r w:rsidRPr="00661000">
              <w:rPr>
                <w:color w:val="FFFFFF"/>
                <w:szCs w:val="19"/>
                <w:lang w:val="en-US" w:eastAsia="en-US"/>
              </w:rPr>
              <w:t>Hl. m. Praha</w:t>
            </w:r>
          </w:p>
        </w:tc>
        <w:tc>
          <w:tcPr>
            <w:tcW w:w="1134" w:type="dxa"/>
            <w:shd w:val="clear" w:color="auto" w:fill="17365D"/>
          </w:tcPr>
          <w:p w:rsidR="002C41C1" w:rsidRPr="00661000" w:rsidRDefault="002C41C1" w:rsidP="00661000">
            <w:pPr>
              <w:keepNext/>
              <w:jc w:val="left"/>
              <w:rPr>
                <w:color w:val="FFFFFF"/>
                <w:szCs w:val="19"/>
                <w:lang w:val="en-US" w:eastAsia="en-US"/>
              </w:rPr>
            </w:pPr>
            <w:r w:rsidRPr="00661000">
              <w:rPr>
                <w:color w:val="FFFFFF"/>
                <w:szCs w:val="19"/>
                <w:lang w:val="en-US" w:eastAsia="en-US"/>
              </w:rPr>
              <w:t>ŘO</w:t>
            </w:r>
          </w:p>
        </w:tc>
      </w:tr>
    </w:tbl>
    <w:p w:rsidR="002C41C1" w:rsidRDefault="002C41C1" w:rsidP="00CC70F8">
      <w:pPr>
        <w:pStyle w:val="Titulek"/>
        <w:jc w:val="center"/>
      </w:pPr>
      <w:r>
        <w:t xml:space="preserve">Tabulka </w:t>
      </w:r>
      <w:fldSimple w:instr=" SEQ Tabulka \* ARABIC ">
        <w:r>
          <w:rPr>
            <w:noProof/>
          </w:rPr>
          <w:t>1</w:t>
        </w:r>
      </w:fldSimple>
      <w:r>
        <w:t xml:space="preserve"> - </w:t>
      </w:r>
      <w:r w:rsidRPr="00FF22B2">
        <w:t>Operační programy podporující VaV a jejich struktura v období 2007-2013</w:t>
      </w:r>
    </w:p>
    <w:p w:rsidR="002C41C1" w:rsidRDefault="002C41C1" w:rsidP="00101728"/>
    <w:p w:rsidR="002C41C1" w:rsidRDefault="002C41C1" w:rsidP="000858D8">
      <w:r w:rsidRPr="000858D8">
        <w:rPr>
          <w:b/>
        </w:rPr>
        <w:t xml:space="preserve">Dosavadní podpora aktivit zahrnutých do SC 1.1 </w:t>
      </w:r>
      <w:r w:rsidR="00DB5BBE">
        <w:rPr>
          <w:b/>
        </w:rPr>
        <w:t xml:space="preserve">(zvýrazněno v tabulce výše) </w:t>
      </w:r>
      <w:r w:rsidRPr="000858D8">
        <w:rPr>
          <w:b/>
        </w:rPr>
        <w:t>byla zaměřena na dotační podporu prostřednictvím OPPI a grantových programů na podporu aplikovaného a průmyslového výzkumu</w:t>
      </w:r>
      <w:r w:rsidR="00254F5C">
        <w:rPr>
          <w:b/>
        </w:rPr>
        <w:t xml:space="preserve"> </w:t>
      </w:r>
      <w:r>
        <w:rPr>
          <w:b/>
        </w:rPr>
        <w:t>a spolupráce firem s výzkumnými institucemi (VI)</w:t>
      </w:r>
      <w:r w:rsidRPr="000858D8">
        <w:t xml:space="preserve">. </w:t>
      </w:r>
      <w:r>
        <w:t>Na národní úrovni se jednalo zejména o národní programy v současnosti vyhlašované TAČR</w:t>
      </w:r>
      <w:r w:rsidR="00011070">
        <w:t xml:space="preserve"> </w:t>
      </w:r>
      <w:r>
        <w:t xml:space="preserve">a MPO, </w:t>
      </w:r>
      <w:r w:rsidRPr="000858D8">
        <w:t>podporu</w:t>
      </w:r>
      <w:r>
        <w:t xml:space="preserve"> v této oblasti nabízel</w:t>
      </w:r>
      <w:r w:rsidRPr="000858D8">
        <w:t xml:space="preserve"> také evropský </w:t>
      </w:r>
      <w:r>
        <w:t>7. rámcový program pro výzkum a technologický rozvoj, v současnosti místo něj běží evropský program HORIZONT 2020</w:t>
      </w:r>
      <w:r w:rsidRPr="000858D8">
        <w:t>.</w:t>
      </w:r>
    </w:p>
    <w:p w:rsidR="002C41C1" w:rsidRDefault="002C41C1" w:rsidP="000858D8"/>
    <w:p w:rsidR="002C41C1" w:rsidRPr="0007393D" w:rsidRDefault="002C41C1" w:rsidP="00312A2F">
      <w:r>
        <w:rPr>
          <w:b/>
        </w:rPr>
        <w:t xml:space="preserve">OPPI Inovace </w:t>
      </w:r>
      <w:r w:rsidR="00254F5C">
        <w:rPr>
          <w:b/>
        </w:rPr>
        <w:t>–</w:t>
      </w:r>
      <w:r>
        <w:rPr>
          <w:b/>
        </w:rPr>
        <w:t xml:space="preserve"> </w:t>
      </w:r>
      <w:r w:rsidRPr="00312A2F">
        <w:t xml:space="preserve">Cílem programu </w:t>
      </w:r>
      <w:r>
        <w:t>bylo</w:t>
      </w:r>
      <w:r w:rsidRPr="00312A2F">
        <w:t xml:space="preserve"> zvýšení inovačního potenciálu podnikatelského sektoru prostřednictvím</w:t>
      </w:r>
      <w:r w:rsidR="00254F5C">
        <w:t xml:space="preserve"> </w:t>
      </w:r>
      <w:r w:rsidRPr="00312A2F">
        <w:t>dotací na realizaci inovačních projektů podniků (zejména MSP) a na projekty veřejných</w:t>
      </w:r>
      <w:r w:rsidR="00011070">
        <w:t xml:space="preserve"> </w:t>
      </w:r>
      <w:r w:rsidRPr="00312A2F">
        <w:t>výzkumných in</w:t>
      </w:r>
      <w:r w:rsidRPr="00DF6E0B">
        <w:t>stitucí, vysokých škol, fyzických osob a MSP směřující k ochraně práv</w:t>
      </w:r>
      <w:r w:rsidR="00011070">
        <w:t xml:space="preserve"> </w:t>
      </w:r>
      <w:r w:rsidRPr="00DF6E0B">
        <w:t>průmyslového vlastnictví.</w:t>
      </w:r>
      <w:r w:rsidR="00254F5C">
        <w:t xml:space="preserve"> </w:t>
      </w:r>
      <w:r w:rsidRPr="00DF6E0B">
        <w:t>V</w:t>
      </w:r>
      <w:r w:rsidRPr="00D144BB">
        <w:t> </w:t>
      </w:r>
      <w:r w:rsidRPr="00DF6E0B">
        <w:t xml:space="preserve">oblasti inovačních projektů podniků bylo do konce roku 2014 přijato MPO </w:t>
      </w:r>
      <w:r w:rsidR="00DB5BBE">
        <w:t>4335</w:t>
      </w:r>
      <w:r w:rsidRPr="00DF6E0B">
        <w:t xml:space="preserve"> </w:t>
      </w:r>
      <w:r w:rsidR="00DB5BBE">
        <w:t xml:space="preserve">registračních </w:t>
      </w:r>
      <w:r w:rsidRPr="00DF6E0B">
        <w:t>žádostí o celkových nákladech</w:t>
      </w:r>
      <w:r w:rsidR="00DB5BBE">
        <w:t xml:space="preserve"> </w:t>
      </w:r>
      <w:r w:rsidRPr="00DF6E0B">
        <w:t>1</w:t>
      </w:r>
      <w:r w:rsidR="00DB5BBE">
        <w:t>58 mld. Kč a 65,4</w:t>
      </w:r>
      <w:r w:rsidRPr="00DF6E0B">
        <w:t xml:space="preserve"> mld. Kč požadované dotace. Podpořeno bylo </w:t>
      </w:r>
      <w:r w:rsidR="00DB5BBE">
        <w:t>1643 projektů (38</w:t>
      </w:r>
      <w:r w:rsidRPr="00DF6E0B">
        <w:t xml:space="preserve"> %)</w:t>
      </w:r>
      <w:r w:rsidR="00254F5C">
        <w:t xml:space="preserve"> </w:t>
      </w:r>
      <w:r w:rsidRPr="00DF6E0B">
        <w:t>v</w:t>
      </w:r>
      <w:r w:rsidRPr="00D144BB">
        <w:t> </w:t>
      </w:r>
      <w:r w:rsidRPr="00DF6E0B">
        <w:t>objemu 51 mld. uznatelných nákladů a požadovanou dotací 22</w:t>
      </w:r>
      <w:r w:rsidR="00DB5BBE">
        <w:t>,3</w:t>
      </w:r>
      <w:r w:rsidRPr="00DF6E0B">
        <w:t xml:space="preserve"> mld. Kč.</w:t>
      </w:r>
    </w:p>
    <w:p w:rsidR="002C41C1" w:rsidRPr="0007393D" w:rsidRDefault="002C41C1" w:rsidP="00312A2F"/>
    <w:p w:rsidR="002C41C1" w:rsidRPr="0007393D" w:rsidRDefault="002C41C1" w:rsidP="00312A2F">
      <w:r w:rsidRPr="00DF6E0B">
        <w:rPr>
          <w:b/>
        </w:rPr>
        <w:t>OPPI Potenciál</w:t>
      </w:r>
      <w:r w:rsidR="00DB5BBE">
        <w:rPr>
          <w:b/>
        </w:rPr>
        <w:t xml:space="preserve"> – </w:t>
      </w:r>
      <w:r w:rsidRPr="00DF6E0B">
        <w:t>Cílem programu bylo podpořit budování a rozšiřování vlastních podnikových kapacit pro výzkum a inovace.</w:t>
      </w:r>
      <w:r w:rsidR="00254F5C">
        <w:t xml:space="preserve"> </w:t>
      </w:r>
      <w:r w:rsidRPr="00DF6E0B">
        <w:t xml:space="preserve">Do konce roku 2014 přijalo MPO 1822 </w:t>
      </w:r>
      <w:r w:rsidR="00DB5BBE">
        <w:t xml:space="preserve">registračních </w:t>
      </w:r>
      <w:r w:rsidRPr="00DF6E0B">
        <w:t xml:space="preserve">žádostí o celkových </w:t>
      </w:r>
      <w:r w:rsidRPr="00DF6E0B">
        <w:lastRenderedPageBreak/>
        <w:t>nákladech</w:t>
      </w:r>
      <w:r w:rsidR="00254F5C">
        <w:t xml:space="preserve"> </w:t>
      </w:r>
      <w:r w:rsidR="00DB5BBE">
        <w:t>74</w:t>
      </w:r>
      <w:r w:rsidRPr="00DF6E0B">
        <w:t xml:space="preserve"> mld. Kč a 32,2 mld. Kč požadované dotace. Podpořeno bylo </w:t>
      </w:r>
      <w:r w:rsidR="00DB5BBE">
        <w:t>656</w:t>
      </w:r>
      <w:r w:rsidRPr="00DF6E0B">
        <w:t xml:space="preserve"> projektů v</w:t>
      </w:r>
      <w:r w:rsidRPr="00D144BB">
        <w:t> </w:t>
      </w:r>
      <w:r w:rsidR="00DB5BBE">
        <w:t>objemu 18 </w:t>
      </w:r>
      <w:r w:rsidRPr="00DF6E0B">
        <w:t xml:space="preserve">mld. Kč způsobilých výdajů a požadovanou dotací </w:t>
      </w:r>
      <w:r w:rsidR="00DB5BBE">
        <w:t>8,7</w:t>
      </w:r>
      <w:r w:rsidRPr="00DF6E0B">
        <w:t xml:space="preserve"> mld. Kč.</w:t>
      </w:r>
    </w:p>
    <w:p w:rsidR="002C41C1" w:rsidRPr="0007393D" w:rsidRDefault="002C41C1" w:rsidP="001C3828">
      <w:pPr>
        <w:rPr>
          <w:b/>
        </w:rPr>
      </w:pPr>
    </w:p>
    <w:p w:rsidR="002C41C1" w:rsidRDefault="002C41C1" w:rsidP="001C3828">
      <w:r w:rsidRPr="00DF6E0B">
        <w:rPr>
          <w:b/>
        </w:rPr>
        <w:t>TIP</w:t>
      </w:r>
      <w:r w:rsidRPr="00DF6E0B">
        <w:t xml:space="preserve"> - Cílem programu bylo poskytovat podporu z prostředků státní</w:t>
      </w:r>
      <w:r>
        <w:t>ho rozpočtu České republiky výzkumným a vývojovým projektům pro aplikaci v průmyslu. Příjemci byly podniky i výzkumné instituce. V letech 2009-2012 proběhly 4 veřejné soutěže, z 3029 projektů odpovídalo kritériím 86,7 % a podpořeno 28,7 %. Celková přiznaná výše podpory dosáhla 12,5 mld. Kč.</w:t>
      </w:r>
      <w:r w:rsidR="00011070">
        <w:t xml:space="preserve"> </w:t>
      </w:r>
      <w:r>
        <w:t>Celkové uznatelné náklady projektů podpořených v programu budou za celou dobu jejich řešení činit cca 21 425 mil. Kč. Na jejich řešení byla poskytnuta podpora v celkovém objemu cca 12 474 mil. Kč (z toho 9 103 mil. Kč bylo poskytnuto do konce roku 2012),</w:t>
      </w:r>
      <w:r w:rsidR="00254F5C">
        <w:t xml:space="preserve"> </w:t>
      </w:r>
      <w:r>
        <w:t>průměrná dosažená míra podpory činila 58 %.</w:t>
      </w:r>
      <w:r w:rsidR="00254F5C">
        <w:t xml:space="preserve"> </w:t>
      </w:r>
      <w:r>
        <w:t>Lze</w:t>
      </w:r>
      <w:r w:rsidR="00254F5C">
        <w:t xml:space="preserve"> </w:t>
      </w:r>
      <w:r>
        <w:t>tak odvodit hrubou neuspokojeno</w:t>
      </w:r>
      <w:r w:rsidR="00011070">
        <w:t>u poptávku odmítnutých žadatelů</w:t>
      </w:r>
      <w:r>
        <w:t xml:space="preserve"> ve výši 43 mld. způsobilých nákladů.</w:t>
      </w:r>
    </w:p>
    <w:p w:rsidR="002C41C1" w:rsidRDefault="002C41C1" w:rsidP="00B92348"/>
    <w:p w:rsidR="002C41C1" w:rsidRPr="0007393D" w:rsidRDefault="002C41C1" w:rsidP="000858D8">
      <w:r w:rsidRPr="00DF6E0B">
        <w:rPr>
          <w:b/>
        </w:rPr>
        <w:t>Inostart</w:t>
      </w:r>
      <w:r>
        <w:t xml:space="preserve"> - MPO ve spolupráci s  ČMZRB a Českou spořitelnou realizuje od roku 2012 finanční nástroj na podporu inovativních podnikatelských záměrů program INOSTART ze zdrojů Programu švýcarsko-české spolupráce. Cílem programu INOSTART je podpora projektů začínajících inovativních MSP (do 3 let) z celé České republiky. Česká spořitelna vysoutěžená v rámci programu jako finanční zprostředkovatel zajišťuje odborné poradenské služby a poskytování zvýhodněných úvěrů zaručených ČMZRB. Podpora probíhá ve formě záruky za 60 % jistiny úvěru v rozmezí 0,5 – 15 mil. Kč a částečně dotovaných nákladů na poraden</w:t>
      </w:r>
      <w:r w:rsidRPr="00DF6E0B">
        <w:t>ské služby. Celková alokace činí 10 mil. CHF (cca 250 mil. Kč) Po spuštění v roce 2012 a rozjezdu v roce 2013 v</w:t>
      </w:r>
      <w:r w:rsidRPr="00D144BB">
        <w:t> </w:t>
      </w:r>
      <w:r w:rsidRPr="00DF6E0B">
        <w:t>Olomouckém a Moravskoslezském kraji (MSK a OK), kde byly poskytnuty první dva úvěry v souhrnné výši 8 mil. Kč, byla působnost programu rozšířena na celou ČR kvůli nedostatečné absorpční kapacitě.  Velký zájem žadatelů v</w:t>
      </w:r>
      <w:r w:rsidRPr="00D144BB">
        <w:t> </w:t>
      </w:r>
      <w:r w:rsidRPr="00DF6E0B">
        <w:t xml:space="preserve">OK a MSK většinou ztroskotal na požadavku inovativnosti. </w:t>
      </w:r>
      <w:r w:rsidRPr="00DF6E0B">
        <w:rPr>
          <w:b/>
        </w:rPr>
        <w:t xml:space="preserve">K 31.12. 2014 byly poskytnuty záruky v celkové výši 52 mil. Kč za úvěry ve výši </w:t>
      </w:r>
      <w:r w:rsidRPr="00D144BB">
        <w:rPr>
          <w:b/>
        </w:rPr>
        <w:t> </w:t>
      </w:r>
      <w:r w:rsidRPr="00DF6E0B">
        <w:rPr>
          <w:b/>
        </w:rPr>
        <w:t>87</w:t>
      </w:r>
      <w:r w:rsidR="00254F5C">
        <w:rPr>
          <w:b/>
        </w:rPr>
        <w:t xml:space="preserve"> </w:t>
      </w:r>
      <w:r w:rsidRPr="00DF6E0B">
        <w:rPr>
          <w:b/>
        </w:rPr>
        <w:t>mil. Kč</w:t>
      </w:r>
      <w:r w:rsidR="00254F5C">
        <w:rPr>
          <w:b/>
        </w:rPr>
        <w:t xml:space="preserve"> </w:t>
      </w:r>
      <w:r w:rsidRPr="00DF6E0B">
        <w:t>(podáno 39 žádostí, podepsáno 16 úvěrových smluv, dalších 8 schválených žádostí v</w:t>
      </w:r>
      <w:r w:rsidRPr="00D144BB">
        <w:t> </w:t>
      </w:r>
      <w:r w:rsidRPr="00DF6E0B">
        <w:t>jednání)</w:t>
      </w:r>
      <w:r w:rsidR="00254F5C">
        <w:t>.</w:t>
      </w:r>
      <w:r w:rsidRPr="00DF6E0B">
        <w:t xml:space="preserve"> Program potrvá do roku 2016.</w:t>
      </w:r>
    </w:p>
    <w:p w:rsidR="002C41C1" w:rsidRPr="0007393D" w:rsidRDefault="002C41C1" w:rsidP="000858D8"/>
    <w:p w:rsidR="002C41C1" w:rsidRDefault="002C41C1" w:rsidP="00C4648F">
      <w:r w:rsidRPr="00DF6E0B">
        <w:t>Soukromé finanční instituce v Česku realizovaly v</w:t>
      </w:r>
      <w:r w:rsidRPr="00D144BB">
        <w:t> </w:t>
      </w:r>
      <w:r w:rsidRPr="00DF6E0B">
        <w:t xml:space="preserve">období 2007-2013 podporu prostřednictvím tzv. </w:t>
      </w:r>
      <w:r w:rsidRPr="00DF6E0B">
        <w:rPr>
          <w:b/>
        </w:rPr>
        <w:t>Risk Sharing Instrument Evropského investičního</w:t>
      </w:r>
      <w:r w:rsidR="00254F5C">
        <w:rPr>
          <w:b/>
        </w:rPr>
        <w:t xml:space="preserve"> </w:t>
      </w:r>
      <w:r w:rsidRPr="00DF6E0B">
        <w:rPr>
          <w:b/>
        </w:rPr>
        <w:t>fondu</w:t>
      </w:r>
      <w:r w:rsidR="00254F5C">
        <w:rPr>
          <w:b/>
        </w:rPr>
        <w:t xml:space="preserve"> </w:t>
      </w:r>
      <w:r w:rsidRPr="00DF6E0B">
        <w:t>v</w:t>
      </w:r>
      <w:r w:rsidRPr="00D144BB">
        <w:t> </w:t>
      </w:r>
      <w:r w:rsidRPr="00DF6E0B">
        <w:t>rámci</w:t>
      </w:r>
      <w:r w:rsidRPr="00DF6E0B">
        <w:rPr>
          <w:b/>
        </w:rPr>
        <w:t xml:space="preserve"> 7. rámcového programu pro výzkum a technologický rozvoj.</w:t>
      </w:r>
      <w:r w:rsidR="00254F5C">
        <w:rPr>
          <w:b/>
        </w:rPr>
        <w:t xml:space="preserve"> </w:t>
      </w:r>
      <w:r w:rsidRPr="00DF6E0B">
        <w:t>Nabízely</w:t>
      </w:r>
      <w:r w:rsidR="00011070">
        <w:t xml:space="preserve"> </w:t>
      </w:r>
      <w:r w:rsidRPr="00DF6E0B">
        <w:t>podporu na inovativní aktivity MSP</w:t>
      </w:r>
      <w:r w:rsidR="00011070">
        <w:t xml:space="preserve"> </w:t>
      </w:r>
      <w:r w:rsidRPr="00DF6E0B">
        <w:t>pr</w:t>
      </w:r>
      <w:r w:rsidRPr="008346A6">
        <w:t>ostřednic</w:t>
      </w:r>
      <w:r>
        <w:t>tvím úvěrů se zajištěním od EIF</w:t>
      </w:r>
      <w:r w:rsidRPr="008346A6">
        <w:t xml:space="preserve">. Tyto úvěry </w:t>
      </w:r>
      <w:r>
        <w:t>nabízely</w:t>
      </w:r>
      <w:r w:rsidRPr="008346A6">
        <w:t xml:space="preserve"> v ČR tři banky – Česká spořitelna, Komerční banka a GE Money Bank.</w:t>
      </w:r>
      <w:r>
        <w:t xml:space="preserve"> Nástupcem tohoto nástroje pro období 2014-2020 je </w:t>
      </w:r>
      <w:r w:rsidRPr="00DF6E0B">
        <w:rPr>
          <w:b/>
        </w:rPr>
        <w:t>InnovFin SME Guarantee</w:t>
      </w:r>
      <w:r w:rsidR="00011070">
        <w:rPr>
          <w:b/>
        </w:rPr>
        <w:t xml:space="preserve"> </w:t>
      </w:r>
      <w:r w:rsidRPr="00DF6E0B">
        <w:rPr>
          <w:b/>
        </w:rPr>
        <w:t>Facility</w:t>
      </w:r>
      <w:r>
        <w:t xml:space="preserve"> EIF z evropského programu HORIZONT 2020.</w:t>
      </w:r>
    </w:p>
    <w:p w:rsidR="002C41C1" w:rsidRDefault="002C41C1" w:rsidP="00C4648F"/>
    <w:p w:rsidR="002C41C1" w:rsidRDefault="005F2B40" w:rsidP="00C4648F">
      <w:r>
        <w:rPr>
          <w:noProof/>
        </w:rPr>
        <mc:AlternateContent>
          <mc:Choice Requires="wps">
            <w:drawing>
              <wp:inline distT="0" distB="0" distL="0" distR="0" wp14:anchorId="288F89A3" wp14:editId="259FF654">
                <wp:extent cx="5805805" cy="1932305"/>
                <wp:effectExtent l="19050" t="19050" r="13970" b="20320"/>
                <wp:docPr id="41" name="Obdélní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1932305"/>
                        </a:xfrm>
                        <a:prstGeom prst="rect">
                          <a:avLst/>
                        </a:prstGeom>
                        <a:solidFill>
                          <a:srgbClr val="4F81BD"/>
                        </a:solidFill>
                        <a:ln w="25400">
                          <a:solidFill>
                            <a:srgbClr val="243F60"/>
                          </a:solidFill>
                          <a:miter lim="800000"/>
                          <a:headEnd/>
                          <a:tailEnd/>
                        </a:ln>
                      </wps:spPr>
                      <wps:txbx>
                        <w:txbxContent>
                          <w:p w:rsidR="00DC3B1F" w:rsidRPr="00DF6E0B" w:rsidRDefault="00DC3B1F" w:rsidP="00C4648F">
                            <w:pPr>
                              <w:rPr>
                                <w:b/>
                                <w:color w:val="FFFFFF"/>
                              </w:rPr>
                            </w:pPr>
                            <w:r w:rsidRPr="00DF6E0B">
                              <w:rPr>
                                <w:b/>
                                <w:color w:val="FFFFFF"/>
                              </w:rPr>
                              <w:t>Stávající využívaná dotační podpora v ČR</w:t>
                            </w:r>
                          </w:p>
                          <w:p w:rsidR="00DC3B1F" w:rsidRPr="00DF6E0B" w:rsidRDefault="00DC3B1F" w:rsidP="00C4648F">
                            <w:pPr>
                              <w:pStyle w:val="Odstavecseseznamem"/>
                              <w:numPr>
                                <w:ilvl w:val="0"/>
                                <w:numId w:val="5"/>
                              </w:numPr>
                              <w:spacing w:after="120"/>
                              <w:rPr>
                                <w:color w:val="FFFFFF"/>
                              </w:rPr>
                            </w:pPr>
                            <w:r w:rsidRPr="00DF6E0B">
                              <w:rPr>
                                <w:color w:val="FFFFFF"/>
                              </w:rPr>
                              <w:t>Program Inovace (OPPI)</w:t>
                            </w:r>
                          </w:p>
                          <w:p w:rsidR="00DC3B1F" w:rsidRPr="00DF6E0B" w:rsidRDefault="00DC3B1F" w:rsidP="00C4648F">
                            <w:pPr>
                              <w:pStyle w:val="Odstavecseseznamem"/>
                              <w:numPr>
                                <w:ilvl w:val="0"/>
                                <w:numId w:val="5"/>
                              </w:numPr>
                              <w:overflowPunct/>
                              <w:autoSpaceDE/>
                              <w:autoSpaceDN/>
                              <w:adjustRightInd/>
                              <w:spacing w:after="120" w:line="240" w:lineRule="atLeast"/>
                              <w:textAlignment w:val="auto"/>
                              <w:rPr>
                                <w:color w:val="FFFFFF"/>
                                <w:szCs w:val="24"/>
                              </w:rPr>
                            </w:pPr>
                            <w:r w:rsidRPr="00DF6E0B">
                              <w:rPr>
                                <w:color w:val="FFFFFF"/>
                                <w:szCs w:val="24"/>
                              </w:rPr>
                              <w:t>Program Potenciál (OPPI)</w:t>
                            </w:r>
                          </w:p>
                          <w:p w:rsidR="00DC3B1F" w:rsidRPr="00DF6E0B" w:rsidRDefault="00DC3B1F" w:rsidP="00C4648F">
                            <w:pPr>
                              <w:pStyle w:val="Odstavecseseznamem"/>
                              <w:numPr>
                                <w:ilvl w:val="0"/>
                                <w:numId w:val="5"/>
                              </w:numPr>
                              <w:overflowPunct/>
                              <w:autoSpaceDE/>
                              <w:autoSpaceDN/>
                              <w:adjustRightInd/>
                              <w:spacing w:after="120" w:line="240" w:lineRule="atLeast"/>
                              <w:textAlignment w:val="auto"/>
                              <w:rPr>
                                <w:color w:val="FFFFFF"/>
                                <w:szCs w:val="24"/>
                              </w:rPr>
                            </w:pPr>
                            <w:r w:rsidRPr="00DF6E0B">
                              <w:rPr>
                                <w:color w:val="FFFFFF"/>
                                <w:szCs w:val="24"/>
                              </w:rPr>
                              <w:t>Dotační podpora prostřednictvím výzkumných programů TAČR</w:t>
                            </w:r>
                          </w:p>
                          <w:p w:rsidR="00DC3B1F" w:rsidRPr="00DF6E0B" w:rsidRDefault="00DC3B1F" w:rsidP="00C4648F">
                            <w:pPr>
                              <w:pStyle w:val="Odstavecseseznamem"/>
                              <w:numPr>
                                <w:ilvl w:val="0"/>
                                <w:numId w:val="5"/>
                              </w:numPr>
                              <w:overflowPunct/>
                              <w:autoSpaceDE/>
                              <w:autoSpaceDN/>
                              <w:adjustRightInd/>
                              <w:spacing w:after="120" w:line="240" w:lineRule="atLeast"/>
                              <w:textAlignment w:val="auto"/>
                              <w:rPr>
                                <w:color w:val="FFFFFF"/>
                                <w:szCs w:val="24"/>
                              </w:rPr>
                            </w:pPr>
                            <w:r w:rsidRPr="00DF6E0B">
                              <w:rPr>
                                <w:color w:val="FFFFFF"/>
                                <w:szCs w:val="24"/>
                              </w:rPr>
                              <w:t>Program TIP (do roku 2011)</w:t>
                            </w:r>
                          </w:p>
                          <w:p w:rsidR="00DC3B1F" w:rsidRPr="00DF6E0B" w:rsidRDefault="00DC3B1F" w:rsidP="00C4648F">
                            <w:pPr>
                              <w:pStyle w:val="Odstavecseseznamem"/>
                              <w:numPr>
                                <w:ilvl w:val="0"/>
                                <w:numId w:val="5"/>
                              </w:numPr>
                              <w:overflowPunct/>
                              <w:autoSpaceDE/>
                              <w:autoSpaceDN/>
                              <w:adjustRightInd/>
                              <w:spacing w:after="120" w:line="240" w:lineRule="atLeast"/>
                              <w:textAlignment w:val="auto"/>
                              <w:rPr>
                                <w:color w:val="FFFFFF"/>
                                <w:szCs w:val="24"/>
                              </w:rPr>
                            </w:pPr>
                            <w:r w:rsidRPr="00DF6E0B">
                              <w:rPr>
                                <w:color w:val="FFFFFF"/>
                                <w:szCs w:val="24"/>
                              </w:rPr>
                              <w:t>Program CIP</w:t>
                            </w:r>
                          </w:p>
                          <w:p w:rsidR="00DC3B1F" w:rsidRPr="00DF6E0B" w:rsidRDefault="00DC3B1F" w:rsidP="00C4648F">
                            <w:pPr>
                              <w:rPr>
                                <w:b/>
                                <w:color w:val="FFFFFF"/>
                              </w:rPr>
                            </w:pPr>
                            <w:r w:rsidRPr="00DF6E0B">
                              <w:rPr>
                                <w:b/>
                                <w:color w:val="FFFFFF"/>
                              </w:rPr>
                              <w:t>Stávající návratné financování dostupné v ČR</w:t>
                            </w:r>
                          </w:p>
                          <w:p w:rsidR="00DC3B1F" w:rsidRPr="00DF6E0B" w:rsidRDefault="00DC3B1F" w:rsidP="00C4648F">
                            <w:pPr>
                              <w:pStyle w:val="Odstavecseseznamem"/>
                              <w:numPr>
                                <w:ilvl w:val="0"/>
                                <w:numId w:val="6"/>
                              </w:numPr>
                              <w:overflowPunct/>
                              <w:autoSpaceDE/>
                              <w:autoSpaceDN/>
                              <w:adjustRightInd/>
                              <w:spacing w:after="120" w:line="240" w:lineRule="atLeast"/>
                              <w:textAlignment w:val="auto"/>
                              <w:rPr>
                                <w:color w:val="FFFFFF"/>
                                <w:szCs w:val="24"/>
                              </w:rPr>
                            </w:pPr>
                            <w:r w:rsidRPr="00DF6E0B">
                              <w:rPr>
                                <w:color w:val="FFFFFF"/>
                                <w:szCs w:val="24"/>
                              </w:rPr>
                              <w:t xml:space="preserve">Risk Sharing Instrument EIF realizovaný ve spolupráci s bankami v ČR (KB, ČS, </w:t>
                            </w:r>
                          </w:p>
                          <w:p w:rsidR="00DC3B1F" w:rsidRPr="00DF6E0B" w:rsidRDefault="00DC3B1F" w:rsidP="00C4648F">
                            <w:pPr>
                              <w:pStyle w:val="Odstavecseseznamem"/>
                              <w:overflowPunct/>
                              <w:autoSpaceDE/>
                              <w:autoSpaceDN/>
                              <w:adjustRightInd/>
                              <w:spacing w:after="120" w:line="240" w:lineRule="atLeast"/>
                              <w:ind w:left="1080"/>
                              <w:textAlignment w:val="auto"/>
                              <w:rPr>
                                <w:color w:val="FFFFFF"/>
                                <w:szCs w:val="24"/>
                              </w:rPr>
                            </w:pPr>
                            <w:r w:rsidRPr="00DF6E0B">
                              <w:rPr>
                                <w:color w:val="FFFFFF"/>
                                <w:szCs w:val="24"/>
                              </w:rPr>
                              <w:t>GE Money Bank)</w:t>
                            </w:r>
                          </w:p>
                          <w:p w:rsidR="00DC3B1F" w:rsidRDefault="00DC3B1F" w:rsidP="00C4648F">
                            <w:pPr>
                              <w:jc w:val="center"/>
                            </w:pPr>
                          </w:p>
                        </w:txbxContent>
                      </wps:txbx>
                      <wps:bodyPr rot="0" vert="horz" wrap="square" lIns="91440" tIns="45720" rIns="91440" bIns="45720" anchor="ctr" anchorCtr="0" upright="1">
                        <a:noAutofit/>
                      </wps:bodyPr>
                    </wps:wsp>
                  </a:graphicData>
                </a:graphic>
              </wp:inline>
            </w:drawing>
          </mc:Choice>
          <mc:Fallback>
            <w:pict>
              <v:rect id="Obdélník 10" o:spid="_x0000_s1026" style="width:457.15pt;height:15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fXOwIAAE4EAAAOAAAAZHJzL2Uyb0RvYy54bWysVFFu2zAM/R+wOwj6X2wnTpcacYouWYYB&#10;3Vqg2wFkWY6FypJGKXGyG/Vjp+jFRslpm2x/wwxDEE3qiXx89Pxq3ymyE+Ck0SXNRiklQnNTS70p&#10;6fdv63czSpxnumbKaFHSg3D0avH2zby3hRib1qhaAEEQ7YrelrT13hZJ4ngrOuZGxgqNzsZAxzya&#10;sElqYD2idyoZp+lF0huoLRgunMOvq8FJFxG/aQT3t03jhCeqpJibjyvEtQprspizYgPMtpIf02D/&#10;kEXHpMZLX6BWzDOyBfkXVCc5GGcaP+KmS0zTSC5iDVhNlv5RzX3LrIi1IDnOvtDk/h8s/7q7AyLr&#10;kuYZJZp12KPbqn56VPrp1wPJIkO9dQUG3ts7CDU6e2P4gyPaLFumN+IawPStYDXmlQVGk7MDwXB4&#10;lFT9F1MjPtt6E8naN9AFQKSB7GNPDi89EXtPOH6cztLwUsLRl11OxhM0wh2seD5uwflPwnQkbEoK&#10;2PQIz3Y3zg+hzyExfaNkvZZKRQM21VIB2TEUSL6eZR9WR3R3GqY06Us6nuZpGqHPnO4UY5xP1heR&#10;NczwLKyTHqWuZFfSWRqeQXyBuI+6jkL0TKphj4eVPjIZyAuCdoXfV3sMDNvK1AfkFMwgaRxB3LQG&#10;flLSo5xL6n5sGQhK1GeNfbnM8jzoPxr59P0YDTj1VKcepjlClZR7oGQwln6Ymq0FuWnxriwSoc01&#10;drORkefXvI6Zo2hjp44DFqbi1I5Rr7+BxW8AAAD//wMAUEsDBBQABgAIAAAAIQCyscuC3QAAAAUB&#10;AAAPAAAAZHJzL2Rvd25yZXYueG1sTI9BS8NAEIXvQv/DMoIXsZtYKRqzKbUoFOwl0R+wzY5JMDsb&#10;djdt6q/v6KVehje84b1v8tVke3FAHzpHCtJ5AgKpdqajRsHnx9vdI4gQNRndO0IFJwywKmZXuc6M&#10;O1KJhyo2gkMoZFpBG+OQSRnqFq0OczcgsfflvNWRV99I4/WRw20v75NkKa3uiBtaPeCmxfq7Gq2C&#10;kL5swk8Z09fduF3uypO/rYZ3pW6up/UziIhTvBzDLz6jQ8FMezeSCaJXwI/Ev8neU/qwALFXsEhY&#10;yCKX/+mLMwAAAP//AwBQSwECLQAUAAYACAAAACEAtoM4kv4AAADhAQAAEwAAAAAAAAAAAAAAAAAA&#10;AAAAW0NvbnRlbnRfVHlwZXNdLnhtbFBLAQItABQABgAIAAAAIQA4/SH/1gAAAJQBAAALAAAAAAAA&#10;AAAAAAAAAC8BAABfcmVscy8ucmVsc1BLAQItABQABgAIAAAAIQDQmcfXOwIAAE4EAAAOAAAAAAAA&#10;AAAAAAAAAC4CAABkcnMvZTJvRG9jLnhtbFBLAQItABQABgAIAAAAIQCyscuC3QAAAAUBAAAPAAAA&#10;AAAAAAAAAAAAAJUEAABkcnMvZG93bnJldi54bWxQSwUGAAAAAAQABADzAAAAnwUAAAAA&#10;" fillcolor="#4f81bd" strokecolor="#243f60" strokeweight="2pt">
                <v:textbox>
                  <w:txbxContent>
                    <w:p w:rsidR="00DC3B1F" w:rsidRPr="00DF6E0B" w:rsidRDefault="00DC3B1F" w:rsidP="00C4648F">
                      <w:pPr>
                        <w:rPr>
                          <w:b/>
                          <w:color w:val="FFFFFF"/>
                        </w:rPr>
                      </w:pPr>
                      <w:r w:rsidRPr="00DF6E0B">
                        <w:rPr>
                          <w:b/>
                          <w:color w:val="FFFFFF"/>
                        </w:rPr>
                        <w:t>Stávající využívaná dotační podpora v ČR</w:t>
                      </w:r>
                    </w:p>
                    <w:p w:rsidR="00DC3B1F" w:rsidRPr="00DF6E0B" w:rsidRDefault="00DC3B1F" w:rsidP="00C4648F">
                      <w:pPr>
                        <w:pStyle w:val="Odstavecseseznamem"/>
                        <w:numPr>
                          <w:ilvl w:val="0"/>
                          <w:numId w:val="5"/>
                        </w:numPr>
                        <w:spacing w:after="120"/>
                        <w:rPr>
                          <w:color w:val="FFFFFF"/>
                        </w:rPr>
                      </w:pPr>
                      <w:r w:rsidRPr="00DF6E0B">
                        <w:rPr>
                          <w:color w:val="FFFFFF"/>
                        </w:rPr>
                        <w:t>Program Inovace (OPPI)</w:t>
                      </w:r>
                    </w:p>
                    <w:p w:rsidR="00DC3B1F" w:rsidRPr="00DF6E0B" w:rsidRDefault="00DC3B1F" w:rsidP="00C4648F">
                      <w:pPr>
                        <w:pStyle w:val="Odstavecseseznamem"/>
                        <w:numPr>
                          <w:ilvl w:val="0"/>
                          <w:numId w:val="5"/>
                        </w:numPr>
                        <w:overflowPunct/>
                        <w:autoSpaceDE/>
                        <w:autoSpaceDN/>
                        <w:adjustRightInd/>
                        <w:spacing w:after="120" w:line="240" w:lineRule="atLeast"/>
                        <w:textAlignment w:val="auto"/>
                        <w:rPr>
                          <w:color w:val="FFFFFF"/>
                          <w:szCs w:val="24"/>
                        </w:rPr>
                      </w:pPr>
                      <w:r w:rsidRPr="00DF6E0B">
                        <w:rPr>
                          <w:color w:val="FFFFFF"/>
                          <w:szCs w:val="24"/>
                        </w:rPr>
                        <w:t>Program Potenciál (OPPI)</w:t>
                      </w:r>
                    </w:p>
                    <w:p w:rsidR="00DC3B1F" w:rsidRPr="00DF6E0B" w:rsidRDefault="00DC3B1F" w:rsidP="00C4648F">
                      <w:pPr>
                        <w:pStyle w:val="Odstavecseseznamem"/>
                        <w:numPr>
                          <w:ilvl w:val="0"/>
                          <w:numId w:val="5"/>
                        </w:numPr>
                        <w:overflowPunct/>
                        <w:autoSpaceDE/>
                        <w:autoSpaceDN/>
                        <w:adjustRightInd/>
                        <w:spacing w:after="120" w:line="240" w:lineRule="atLeast"/>
                        <w:textAlignment w:val="auto"/>
                        <w:rPr>
                          <w:color w:val="FFFFFF"/>
                          <w:szCs w:val="24"/>
                        </w:rPr>
                      </w:pPr>
                      <w:r w:rsidRPr="00DF6E0B">
                        <w:rPr>
                          <w:color w:val="FFFFFF"/>
                          <w:szCs w:val="24"/>
                        </w:rPr>
                        <w:t>Dotační podpora prostřednictvím výzkumných programů TAČR</w:t>
                      </w:r>
                    </w:p>
                    <w:p w:rsidR="00DC3B1F" w:rsidRPr="00DF6E0B" w:rsidRDefault="00DC3B1F" w:rsidP="00C4648F">
                      <w:pPr>
                        <w:pStyle w:val="Odstavecseseznamem"/>
                        <w:numPr>
                          <w:ilvl w:val="0"/>
                          <w:numId w:val="5"/>
                        </w:numPr>
                        <w:overflowPunct/>
                        <w:autoSpaceDE/>
                        <w:autoSpaceDN/>
                        <w:adjustRightInd/>
                        <w:spacing w:after="120" w:line="240" w:lineRule="atLeast"/>
                        <w:textAlignment w:val="auto"/>
                        <w:rPr>
                          <w:color w:val="FFFFFF"/>
                          <w:szCs w:val="24"/>
                        </w:rPr>
                      </w:pPr>
                      <w:r w:rsidRPr="00DF6E0B">
                        <w:rPr>
                          <w:color w:val="FFFFFF"/>
                          <w:szCs w:val="24"/>
                        </w:rPr>
                        <w:t>Program TIP (do roku 2011)</w:t>
                      </w:r>
                    </w:p>
                    <w:p w:rsidR="00DC3B1F" w:rsidRPr="00DF6E0B" w:rsidRDefault="00DC3B1F" w:rsidP="00C4648F">
                      <w:pPr>
                        <w:pStyle w:val="Odstavecseseznamem"/>
                        <w:numPr>
                          <w:ilvl w:val="0"/>
                          <w:numId w:val="5"/>
                        </w:numPr>
                        <w:overflowPunct/>
                        <w:autoSpaceDE/>
                        <w:autoSpaceDN/>
                        <w:adjustRightInd/>
                        <w:spacing w:after="120" w:line="240" w:lineRule="atLeast"/>
                        <w:textAlignment w:val="auto"/>
                        <w:rPr>
                          <w:color w:val="FFFFFF"/>
                          <w:szCs w:val="24"/>
                        </w:rPr>
                      </w:pPr>
                      <w:r w:rsidRPr="00DF6E0B">
                        <w:rPr>
                          <w:color w:val="FFFFFF"/>
                          <w:szCs w:val="24"/>
                        </w:rPr>
                        <w:t>Program CIP</w:t>
                      </w:r>
                    </w:p>
                    <w:p w:rsidR="00DC3B1F" w:rsidRPr="00DF6E0B" w:rsidRDefault="00DC3B1F" w:rsidP="00C4648F">
                      <w:pPr>
                        <w:rPr>
                          <w:b/>
                          <w:color w:val="FFFFFF"/>
                        </w:rPr>
                      </w:pPr>
                      <w:r w:rsidRPr="00DF6E0B">
                        <w:rPr>
                          <w:b/>
                          <w:color w:val="FFFFFF"/>
                        </w:rPr>
                        <w:t>Stávající návratné financování dostupné v ČR</w:t>
                      </w:r>
                    </w:p>
                    <w:p w:rsidR="00DC3B1F" w:rsidRPr="00DF6E0B" w:rsidRDefault="00DC3B1F" w:rsidP="00C4648F">
                      <w:pPr>
                        <w:pStyle w:val="Odstavecseseznamem"/>
                        <w:numPr>
                          <w:ilvl w:val="0"/>
                          <w:numId w:val="6"/>
                        </w:numPr>
                        <w:overflowPunct/>
                        <w:autoSpaceDE/>
                        <w:autoSpaceDN/>
                        <w:adjustRightInd/>
                        <w:spacing w:after="120" w:line="240" w:lineRule="atLeast"/>
                        <w:textAlignment w:val="auto"/>
                        <w:rPr>
                          <w:color w:val="FFFFFF"/>
                          <w:szCs w:val="24"/>
                        </w:rPr>
                      </w:pPr>
                      <w:r w:rsidRPr="00DF6E0B">
                        <w:rPr>
                          <w:color w:val="FFFFFF"/>
                          <w:szCs w:val="24"/>
                        </w:rPr>
                        <w:t xml:space="preserve">Risk Sharing Instrument EIF realizovaný ve spolupráci s bankami v ČR (KB, ČS, </w:t>
                      </w:r>
                    </w:p>
                    <w:p w:rsidR="00DC3B1F" w:rsidRPr="00DF6E0B" w:rsidRDefault="00DC3B1F" w:rsidP="00C4648F">
                      <w:pPr>
                        <w:pStyle w:val="Odstavecseseznamem"/>
                        <w:overflowPunct/>
                        <w:autoSpaceDE/>
                        <w:autoSpaceDN/>
                        <w:adjustRightInd/>
                        <w:spacing w:after="120" w:line="240" w:lineRule="atLeast"/>
                        <w:ind w:left="1080"/>
                        <w:textAlignment w:val="auto"/>
                        <w:rPr>
                          <w:color w:val="FFFFFF"/>
                          <w:szCs w:val="24"/>
                        </w:rPr>
                      </w:pPr>
                      <w:r w:rsidRPr="00DF6E0B">
                        <w:rPr>
                          <w:color w:val="FFFFFF"/>
                          <w:szCs w:val="24"/>
                        </w:rPr>
                        <w:t>GE Money Bank)</w:t>
                      </w:r>
                    </w:p>
                    <w:p w:rsidR="00DC3B1F" w:rsidRDefault="00DC3B1F" w:rsidP="00C4648F">
                      <w:pPr>
                        <w:jc w:val="center"/>
                      </w:pPr>
                    </w:p>
                  </w:txbxContent>
                </v:textbox>
                <w10:anchorlock/>
              </v:rect>
            </w:pict>
          </mc:Fallback>
        </mc:AlternateContent>
      </w:r>
    </w:p>
    <w:p w:rsidR="002C41C1" w:rsidRDefault="002C41C1" w:rsidP="000A0F88"/>
    <w:p w:rsidR="002C41C1" w:rsidRDefault="002C41C1" w:rsidP="00DF6E0B">
      <w:pPr>
        <w:pStyle w:val="Vtneslovannadpis"/>
      </w:pPr>
      <w:r>
        <w:t>Vyčíslení</w:t>
      </w:r>
      <w:r w:rsidR="00011070">
        <w:t xml:space="preserve"> </w:t>
      </w:r>
      <w:r>
        <w:t>potenciální absorpční kapacity</w:t>
      </w:r>
    </w:p>
    <w:p w:rsidR="002C41C1" w:rsidRDefault="002C41C1">
      <w:r>
        <w:t xml:space="preserve">Absorpční kapacita investic do podnikového VaVaI je kvantifikována především na základě minulé poptávky po podpoře. Programy </w:t>
      </w:r>
      <w:r w:rsidR="00737851">
        <w:t xml:space="preserve">Tip a Inovace OPPI </w:t>
      </w:r>
      <w:r>
        <w:t xml:space="preserve">se </w:t>
      </w:r>
      <w:r w:rsidR="00737851">
        <w:t xml:space="preserve">svým zaměřením částečně </w:t>
      </w:r>
      <w:r>
        <w:t xml:space="preserve">překrývaly, nicméně vzhledem k vysoké míře neuspokojené investiční poptávky u obou (43, resp. 41 mld. Kč) a </w:t>
      </w:r>
      <w:r>
        <w:lastRenderedPageBreak/>
        <w:t>vzrůstajícímu trendu podnikových výdajů na VaV odhadujeme v</w:t>
      </w:r>
      <w:r w:rsidR="00737851">
        <w:t> novém programovém</w:t>
      </w:r>
      <w:r>
        <w:t xml:space="preserve"> období aktivovatelnou investiční poptávku nejméně ve výši 120 mld. Kč.</w:t>
      </w:r>
    </w:p>
    <w:p w:rsidR="002C41C1" w:rsidRDefault="002C41C1"/>
    <w:p w:rsidR="002C41C1" w:rsidRDefault="002C41C1">
      <w:r>
        <w:t>Vzhledem k rozdílně ziskovým a rizikovým parametrům projektů bude pouze část této poptávky aktivovatelná finančním nástrojem. Jeho absorpční kapacitu tak odhadujeme na 30 mld. Kč.</w:t>
      </w:r>
    </w:p>
    <w:p w:rsidR="002C41C1" w:rsidRDefault="002C41C1"/>
    <w:tbl>
      <w:tblPr>
        <w:tblStyle w:val="Mkatabulky"/>
        <w:tblW w:w="6806" w:type="dxa"/>
        <w:tblLook w:val="00A0" w:firstRow="1" w:lastRow="0" w:firstColumn="1" w:lastColumn="0" w:noHBand="0" w:noVBand="0"/>
      </w:tblPr>
      <w:tblGrid>
        <w:gridCol w:w="4786"/>
        <w:gridCol w:w="2020"/>
      </w:tblGrid>
      <w:tr w:rsidR="002C41C1" w:rsidRPr="00D36323" w:rsidTr="008D55D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6" w:type="dxa"/>
            <w:noWrap/>
          </w:tcPr>
          <w:p w:rsidR="002C41C1" w:rsidRPr="00D36323" w:rsidRDefault="002C41C1" w:rsidP="00D36323">
            <w:pPr>
              <w:overflowPunct/>
              <w:autoSpaceDE/>
              <w:autoSpaceDN/>
              <w:adjustRightInd/>
              <w:jc w:val="left"/>
              <w:textAlignment w:val="auto"/>
              <w:rPr>
                <w:rFonts w:cs="Calibri"/>
                <w:b w:val="0"/>
                <w:bCs/>
                <w:szCs w:val="22"/>
              </w:rPr>
            </w:pPr>
            <w:r w:rsidRPr="00D36323">
              <w:rPr>
                <w:rFonts w:cs="Calibri"/>
                <w:bCs/>
                <w:szCs w:val="22"/>
              </w:rPr>
              <w:t>Mil. Kč</w:t>
            </w:r>
          </w:p>
        </w:tc>
        <w:tc>
          <w:tcPr>
            <w:tcW w:w="2020" w:type="dxa"/>
            <w:noWrap/>
          </w:tcPr>
          <w:p w:rsidR="002C41C1" w:rsidRPr="00D36323" w:rsidRDefault="002C41C1" w:rsidP="00D36323">
            <w:pPr>
              <w:overflowPunct/>
              <w:autoSpaceDE/>
              <w:autoSpaceDN/>
              <w:adjustRightInd/>
              <w:jc w:val="left"/>
              <w:textAlignment w:val="auto"/>
              <w:cnfStyle w:val="100000000000" w:firstRow="1" w:lastRow="0" w:firstColumn="0" w:lastColumn="0" w:oddVBand="0" w:evenVBand="0" w:oddHBand="0" w:evenHBand="0" w:firstRowFirstColumn="0" w:firstRowLastColumn="0" w:lastRowFirstColumn="0" w:lastRowLastColumn="0"/>
              <w:rPr>
                <w:rFonts w:cs="Calibri"/>
                <w:b w:val="0"/>
                <w:bCs/>
                <w:szCs w:val="22"/>
              </w:rPr>
            </w:pPr>
            <w:r>
              <w:rPr>
                <w:rFonts w:cs="Calibri"/>
                <w:bCs/>
                <w:szCs w:val="22"/>
              </w:rPr>
              <w:t>U</w:t>
            </w:r>
            <w:r w:rsidRPr="00D36323">
              <w:rPr>
                <w:rFonts w:cs="Calibri"/>
                <w:bCs/>
                <w:szCs w:val="22"/>
              </w:rPr>
              <w:t>znatelné náklady</w:t>
            </w:r>
          </w:p>
        </w:tc>
      </w:tr>
      <w:tr w:rsidR="002C41C1" w:rsidRPr="00D36323" w:rsidTr="008D55D2">
        <w:trPr>
          <w:trHeight w:val="300"/>
        </w:trPr>
        <w:tc>
          <w:tcPr>
            <w:cnfStyle w:val="001000000000" w:firstRow="0" w:lastRow="0" w:firstColumn="1" w:lastColumn="0" w:oddVBand="0" w:evenVBand="0" w:oddHBand="0" w:evenHBand="0" w:firstRowFirstColumn="0" w:firstRowLastColumn="0" w:lastRowFirstColumn="0" w:lastRowLastColumn="0"/>
            <w:tcW w:w="4786" w:type="dxa"/>
            <w:noWrap/>
          </w:tcPr>
          <w:p w:rsidR="002C41C1" w:rsidRPr="00D36323" w:rsidRDefault="002C41C1" w:rsidP="00D36323">
            <w:pPr>
              <w:overflowPunct/>
              <w:autoSpaceDE/>
              <w:autoSpaceDN/>
              <w:adjustRightInd/>
              <w:jc w:val="left"/>
              <w:textAlignment w:val="auto"/>
              <w:rPr>
                <w:rFonts w:cs="Calibri"/>
                <w:b/>
                <w:bCs/>
                <w:color w:val="000000"/>
                <w:szCs w:val="22"/>
              </w:rPr>
            </w:pPr>
            <w:r w:rsidRPr="00D36323">
              <w:rPr>
                <w:rFonts w:cs="Calibri"/>
                <w:b/>
                <w:bCs/>
                <w:color w:val="000000"/>
                <w:szCs w:val="22"/>
              </w:rPr>
              <w:t xml:space="preserve">Aktivovatelná investiční poptávka </w:t>
            </w:r>
            <w:r w:rsidR="0084453C">
              <w:rPr>
                <w:rFonts w:cs="Calibri"/>
                <w:b/>
                <w:bCs/>
                <w:color w:val="000000"/>
                <w:szCs w:val="22"/>
              </w:rPr>
              <w:t>OP PIK</w:t>
            </w:r>
          </w:p>
        </w:tc>
        <w:tc>
          <w:tcPr>
            <w:tcW w:w="2020" w:type="dxa"/>
            <w:noWrap/>
          </w:tcPr>
          <w:p w:rsidR="002C41C1" w:rsidRPr="00D36323" w:rsidRDefault="002C41C1" w:rsidP="00D76BFD">
            <w:pPr>
              <w:overflowPunct/>
              <w:autoSpaceDE/>
              <w:autoSpaceDN/>
              <w:adjustRightInd/>
              <w:jc w:val="right"/>
              <w:textAlignment w:val="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D36323">
              <w:rPr>
                <w:rFonts w:cs="Calibri"/>
                <w:color w:val="000000"/>
                <w:szCs w:val="22"/>
              </w:rPr>
              <w:t>1</w:t>
            </w:r>
            <w:r>
              <w:rPr>
                <w:rFonts w:cs="Calibri"/>
                <w:color w:val="000000"/>
                <w:szCs w:val="22"/>
              </w:rPr>
              <w:t>2</w:t>
            </w:r>
            <w:r w:rsidRPr="00D36323">
              <w:rPr>
                <w:rFonts w:cs="Calibri"/>
                <w:color w:val="000000"/>
                <w:szCs w:val="22"/>
              </w:rPr>
              <w:t>0 000</w:t>
            </w:r>
          </w:p>
        </w:tc>
      </w:tr>
      <w:tr w:rsidR="002C41C1" w:rsidRPr="00D36323" w:rsidTr="008D55D2">
        <w:trPr>
          <w:trHeight w:val="315"/>
        </w:trPr>
        <w:tc>
          <w:tcPr>
            <w:cnfStyle w:val="001000000000" w:firstRow="0" w:lastRow="0" w:firstColumn="1" w:lastColumn="0" w:oddVBand="0" w:evenVBand="0" w:oddHBand="0" w:evenHBand="0" w:firstRowFirstColumn="0" w:firstRowLastColumn="0" w:lastRowFirstColumn="0" w:lastRowLastColumn="0"/>
            <w:tcW w:w="4786" w:type="dxa"/>
            <w:noWrap/>
          </w:tcPr>
          <w:p w:rsidR="002C41C1" w:rsidRPr="00D36323" w:rsidRDefault="002C41C1" w:rsidP="00D36323">
            <w:pPr>
              <w:overflowPunct/>
              <w:autoSpaceDE/>
              <w:autoSpaceDN/>
              <w:adjustRightInd/>
              <w:jc w:val="left"/>
              <w:textAlignment w:val="auto"/>
              <w:rPr>
                <w:rFonts w:cs="Calibri"/>
                <w:b/>
                <w:bCs/>
                <w:color w:val="000000"/>
                <w:szCs w:val="22"/>
              </w:rPr>
            </w:pPr>
            <w:r w:rsidRPr="00D36323">
              <w:rPr>
                <w:rFonts w:cs="Calibri"/>
                <w:b/>
                <w:bCs/>
                <w:color w:val="000000"/>
                <w:szCs w:val="22"/>
              </w:rPr>
              <w:t>Odhadovaná absorpční kapacita finančního nástroje</w:t>
            </w:r>
          </w:p>
        </w:tc>
        <w:tc>
          <w:tcPr>
            <w:tcW w:w="2020" w:type="dxa"/>
            <w:noWrap/>
          </w:tcPr>
          <w:p w:rsidR="002C41C1" w:rsidRPr="00D36323" w:rsidRDefault="002C41C1" w:rsidP="00D36323">
            <w:pPr>
              <w:overflowPunct/>
              <w:autoSpaceDE/>
              <w:autoSpaceDN/>
              <w:adjustRightInd/>
              <w:jc w:val="right"/>
              <w:textAlignment w:val="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30</w:t>
            </w:r>
            <w:r w:rsidRPr="00D36323">
              <w:rPr>
                <w:rFonts w:cs="Calibri"/>
                <w:color w:val="000000"/>
                <w:szCs w:val="22"/>
              </w:rPr>
              <w:t xml:space="preserve"> 000</w:t>
            </w:r>
          </w:p>
        </w:tc>
      </w:tr>
    </w:tbl>
    <w:p w:rsidR="002C41C1" w:rsidRDefault="002C41C1" w:rsidP="000A0F88"/>
    <w:p w:rsidR="002C41C1" w:rsidRDefault="002C41C1" w:rsidP="003709F3">
      <w:pPr>
        <w:pStyle w:val="Vtneslovannadpis"/>
      </w:pPr>
      <w:r>
        <w:t>Analýza tržních selhání a suboptimální investiční situace</w:t>
      </w:r>
    </w:p>
    <w:p w:rsidR="002C41C1" w:rsidRDefault="002C41C1" w:rsidP="00461E71">
      <w:r w:rsidRPr="00DA0A7A">
        <w:rPr>
          <w:b/>
        </w:rPr>
        <w:t>Přirozenou bariérou podnikového výzkumu i spolupráce podniků s VO je velká finanční náročnost a rizika</w:t>
      </w:r>
      <w:r>
        <w:t xml:space="preserve"> v některých odvětvích výzkumu. Nedostatečné rozpočty na VaV aktivity firmy v ČR neřeší poolingem, jako například v Německu, kde </w:t>
      </w:r>
      <w:r w:rsidR="00737851">
        <w:t xml:space="preserve">některé </w:t>
      </w:r>
      <w:r>
        <w:t xml:space="preserve">konkurenční </w:t>
      </w:r>
      <w:r w:rsidR="00737851">
        <w:t xml:space="preserve">podniky </w:t>
      </w:r>
      <w:r>
        <w:t xml:space="preserve">řeší výzkumné problémy společně a vytvářejí tak </w:t>
      </w:r>
      <w:r w:rsidR="00737851">
        <w:t xml:space="preserve">koncentrovanou </w:t>
      </w:r>
      <w:r>
        <w:t>poptávku po výzkumných službách.</w:t>
      </w:r>
    </w:p>
    <w:p w:rsidR="002C41C1" w:rsidRDefault="002C41C1" w:rsidP="00461E71"/>
    <w:p w:rsidR="002C41C1" w:rsidRDefault="002C41C1" w:rsidP="00CA0217">
      <w:r>
        <w:t>Podniky, které podnikají v odvětvích vysoce citlivých na technolo</w:t>
      </w:r>
      <w:r w:rsidR="00737851">
        <w:t>gický náskok oproti konkurenci</w:t>
      </w:r>
      <w:r>
        <w:t xml:space="preserve"> musí </w:t>
      </w:r>
      <w:r w:rsidR="00737851">
        <w:t xml:space="preserve">od samého začátku počítat </w:t>
      </w:r>
      <w:r>
        <w:t xml:space="preserve">s kontinuálními výdaji na další výzkum a vývoj. Vytvářejí odpovídající fondy a rezervy a proto se většinou při financování VaV nedostávají do finanční nouze. Ostatní podniky se k vlastnímu výzkumu a inovacím uchylují zejména v případě, kdy inovativní konkurence vytváří tlak na jejich postavení na trhu. V tomto případě hovoříme o stabilizovaných podnicích, které principiálně nebudou mít zájem o kapitálový vstup, a rovněž by neměly mít problém s přístupem k bankovnímu financování. Dostane-li se ovšem podnik do situace, kdy ztrácí své tržní postavení, může být jeho jediným východiskem spuštění výzkumného projektu, jehož výsledek je přinejmenším nejistý. Pokles tržeb zároveň z pohledu banky rapidně zhoršuje rizikový profil předmětného podniku. V takovém případě má význam zpřístupnění financování formou garančního nebo úvěrového nástroje. </w:t>
      </w:r>
      <w:r w:rsidRPr="00461E71">
        <w:rPr>
          <w:b/>
        </w:rPr>
        <w:t>Povědomí o dostupnosti financí by pak měla podniky motivovat k tomu, aby se výzkumu věnovaly kontinuálně a nečekaly na bezprostřední ohrožení tržních pozic.</w:t>
      </w:r>
    </w:p>
    <w:p w:rsidR="002C41C1" w:rsidRDefault="002C41C1" w:rsidP="00CA0217"/>
    <w:p w:rsidR="002C41C1" w:rsidRDefault="002C41C1" w:rsidP="00CA0217">
      <w:r>
        <w:t>Hloubkové šetření realizované mezi 138 firmami provádějícími VaV v rámci projektu INKA TAČR odhaluje, že samotná dostupnost financování není jedinou překážkou správně fungujícímu systému VaV aktivit. Na druhou stranu lze důvodně předpokládat, že zvýšení kapitálové vybavenosti českého sektoru VaV a zvýšení mezinárodního povědomí o něm v důsledku medializace komerčně úspěšných projektů jej zatraktivní v očích vědeckých pracovníků a odborníků a přispěje k řešení nejčastěji zmiňovaného problému – nedostatku kompetentních lidských zdrojů.</w:t>
      </w:r>
    </w:p>
    <w:p w:rsidR="002C41C1" w:rsidRDefault="002C41C1" w:rsidP="00CA0217"/>
    <w:p w:rsidR="002C41C1" w:rsidRDefault="005F2B40" w:rsidP="00CA0217">
      <w:pPr>
        <w:keepNext/>
      </w:pPr>
      <w:r>
        <w:rPr>
          <w:noProof/>
        </w:rPr>
        <w:lastRenderedPageBreak/>
        <w:drawing>
          <wp:inline distT="0" distB="0" distL="0" distR="0" wp14:anchorId="04B9AC44" wp14:editId="62126592">
            <wp:extent cx="5764530" cy="3021330"/>
            <wp:effectExtent l="0" t="0" r="7620" b="7620"/>
            <wp:docPr id="32"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4530" cy="3021330"/>
                    </a:xfrm>
                    <a:prstGeom prst="rect">
                      <a:avLst/>
                    </a:prstGeom>
                    <a:noFill/>
                    <a:ln>
                      <a:noFill/>
                    </a:ln>
                  </pic:spPr>
                </pic:pic>
              </a:graphicData>
            </a:graphic>
          </wp:inline>
        </w:drawing>
      </w:r>
    </w:p>
    <w:p w:rsidR="002C41C1" w:rsidRDefault="002C41C1" w:rsidP="00DF6E0B">
      <w:pPr>
        <w:pStyle w:val="Titulek"/>
      </w:pPr>
      <w:r w:rsidRPr="003709F3">
        <w:t xml:space="preserve">Graf </w:t>
      </w:r>
      <w:fldSimple w:instr=" SEQ Graf \* ARABIC ">
        <w:r>
          <w:rPr>
            <w:noProof/>
          </w:rPr>
          <w:t>1</w:t>
        </w:r>
      </w:fldSimple>
      <w:r w:rsidRPr="003709F3">
        <w:t xml:space="preserve"> - Bariéry VaV</w:t>
      </w:r>
    </w:p>
    <w:p w:rsidR="002C41C1" w:rsidRDefault="002C41C1" w:rsidP="00DF6E0B">
      <w:pPr>
        <w:pStyle w:val="Titulek"/>
      </w:pPr>
      <w:r>
        <w:t>(Zdroj: Šetření INKA)</w:t>
      </w:r>
    </w:p>
    <w:p w:rsidR="002C41C1" w:rsidRPr="00CA0217" w:rsidRDefault="002C41C1" w:rsidP="00CA0217">
      <w:pPr>
        <w:rPr>
          <w:lang w:eastAsia="en-US"/>
        </w:rPr>
      </w:pPr>
    </w:p>
    <w:p w:rsidR="002C41C1" w:rsidRPr="00B55F2E" w:rsidRDefault="002C41C1" w:rsidP="007E49E5">
      <w:pPr>
        <w:spacing w:line="300" w:lineRule="exact"/>
      </w:pPr>
      <w:r w:rsidRPr="00DF6E0B">
        <w:t>Z</w:t>
      </w:r>
      <w:r w:rsidRPr="00D144BB">
        <w:t> </w:t>
      </w:r>
      <w:r w:rsidRPr="00DF6E0B">
        <w:t xml:space="preserve">analýzy dotazníkového šetření MPO vyplývá, že vzájemná spolupráce </w:t>
      </w:r>
      <w:r w:rsidR="00737851">
        <w:t>výzkumných organizací (</w:t>
      </w:r>
      <w:r w:rsidRPr="00DF6E0B">
        <w:t>VO</w:t>
      </w:r>
      <w:r w:rsidR="00737851">
        <w:t>)</w:t>
      </w:r>
      <w:r w:rsidRPr="00DF6E0B">
        <w:t xml:space="preserve"> a podniků na aplikačním výzkumu je stále problematická a naráží na četné bariéry na obou stranách. Některé vychází již z</w:t>
      </w:r>
      <w:r w:rsidRPr="00D144BB">
        <w:t> </w:t>
      </w:r>
      <w:r w:rsidRPr="00DF6E0B">
        <w:t>odlišnosti akademického a firemního prostředí, jiných zájmů a vzájemné neznalosti partnera, která vede ke zkresleným očekáváním.</w:t>
      </w:r>
    </w:p>
    <w:p w:rsidR="002C41C1" w:rsidRDefault="002C41C1" w:rsidP="007E49E5">
      <w:pPr>
        <w:spacing w:line="300" w:lineRule="exact"/>
      </w:pPr>
    </w:p>
    <w:p w:rsidR="002C41C1" w:rsidRDefault="002C41C1" w:rsidP="00722B2E">
      <w:pPr>
        <w:spacing w:line="300" w:lineRule="exact"/>
      </w:pPr>
      <w:r w:rsidRPr="00722B2E">
        <w:rPr>
          <w:b/>
        </w:rPr>
        <w:t>Poptávka podniků po službách VO je pouze velmi omezená</w:t>
      </w:r>
      <w:r>
        <w:t xml:space="preserve"> a i u aktivních firem je z velké části orientována na krátkodobé technické činnosti rutinnějšího charakteru (měření, testování), případně na projekty s podporou veřejných peněz. Nejčastěji se nejedná o strategický výzkum, ale nápravu nedostatků současného technologického řešení, např. změna vlastností při různých teplotách atd. Firmy nemají ambici investovat do dlouhodobého výzkumu. Často též nevědí, co přesně mohou výzkumné facility nabídnout a jak s nimi komunikovat, a jak posléze čerpat daňové výhody příslušné realizovanému VaV. V některých oborech není o in</w:t>
      </w:r>
      <w:r w:rsidR="00011070">
        <w:t xml:space="preserve">ovace zájem – typicky odvětví, </w:t>
      </w:r>
      <w:r>
        <w:t>k</w:t>
      </w:r>
      <w:r w:rsidR="00011070">
        <w:t>t</w:t>
      </w:r>
      <w:r>
        <w:t>erá soutěží pouze cenou a o inovativnost, která přináší vedle vyšší kvality i vyšší cenu, nemají zájem.</w:t>
      </w:r>
      <w:r w:rsidR="00011070">
        <w:t xml:space="preserve"> </w:t>
      </w:r>
      <w:r>
        <w:t xml:space="preserve">Obecně lze říci, že soukromé firmy se prozatím neztotožňují s komerčním charakterem VaV a předpokládají, že je tento financovaný státem a proto by výzkumné instituce měly své služby nabízet téměř zadarmo. </w:t>
      </w:r>
    </w:p>
    <w:p w:rsidR="002C41C1" w:rsidRDefault="002C41C1" w:rsidP="007E2F0B"/>
    <w:p w:rsidR="002C41C1" w:rsidRDefault="002C41C1" w:rsidP="007E49E5">
      <w:r>
        <w:t xml:space="preserve">Jako problém se ukazují i </w:t>
      </w:r>
      <w:r w:rsidRPr="00DA0A7A">
        <w:rPr>
          <w:b/>
        </w:rPr>
        <w:t xml:space="preserve">bariéry na straně veřejných VO, jejich </w:t>
      </w:r>
      <w:r w:rsidR="0043123A">
        <w:rPr>
          <w:b/>
        </w:rPr>
        <w:t>nižší ochota</w:t>
      </w:r>
      <w:r w:rsidRPr="00DA0A7A">
        <w:rPr>
          <w:b/>
        </w:rPr>
        <w:t xml:space="preserve"> vyjít vstříc firemním potřebám a slabá motivace ke spolupráci s podniky v rámci financování VO, hodnocení výzkumu a odměňování jejích pracovníků.</w:t>
      </w:r>
      <w:r w:rsidR="00254F5C">
        <w:rPr>
          <w:b/>
        </w:rPr>
        <w:t xml:space="preserve"> </w:t>
      </w:r>
      <w:r>
        <w:t>Překážkou je v některých případech i nedostatečná kvalita pracoviště a nedostatečné know-how a aktivity vedoucí ke spolupráci s podniky.</w:t>
      </w:r>
      <w:r w:rsidR="00011070">
        <w:t xml:space="preserve"> </w:t>
      </w:r>
      <w:r>
        <w:t>Nedávný rozvoj center transferu technologií, které se staly vyčleněnými pracovišti pro komercionalizaci výzkumu u velké části veřejných VO, však postupně potenciál ke spolupráci zvyšuje a pomáhá propast mezi podniky a VO překlenout.</w:t>
      </w:r>
    </w:p>
    <w:p w:rsidR="002C41C1" w:rsidRDefault="002C41C1" w:rsidP="007E49E5"/>
    <w:p w:rsidR="002C41C1" w:rsidRDefault="002C41C1" w:rsidP="00EC52E6">
      <w:pPr>
        <w:pStyle w:val="Vtneslovannadpis"/>
      </w:pPr>
      <w:r>
        <w:t>Návrh opatření</w:t>
      </w:r>
    </w:p>
    <w:p w:rsidR="002C41C1" w:rsidRDefault="002C41C1" w:rsidP="00EC52E6">
      <w:r>
        <w:t xml:space="preserve">V případě podnikového výzkumu a vývoje nových produktů se jedná o investice, u kterých by měly být podniky schopny vyhodnotit jejich ekonomickou návratnost a efektivitu investice, včetně schopnosti generovat příjmy a splácet případné dluhy. Budoucí příjmy projektu jsou generovány díky </w:t>
      </w:r>
      <w:r>
        <w:lastRenderedPageBreak/>
        <w:t>nově vytvořenému know-how, prostřednictvím nových / vylepšených produktů a služeb či díky vyšší produktivitě získané zavedením existujících inovací.</w:t>
      </w:r>
    </w:p>
    <w:p w:rsidR="002C41C1" w:rsidRDefault="002C41C1" w:rsidP="00EC52E6"/>
    <w:p w:rsidR="002C41C1" w:rsidRDefault="002C41C1" w:rsidP="00EC52E6">
      <w:r>
        <w:t>Na druhé straně, i když se jedná o existující podnikatelské subjekty, investice do inovací a VaV aktivit zahrnují vyšší míru rizika než „tradiční“ podnikání a často také delší časový horizont návratnosti investice. I proto nemohou ani zavedené malé a střední podniky garantovat trvalou, dlouhodobou úroveň příjmů a tudíž i trvalou jistotu splátek. Kromě toho se mohou, zejména v případě malých a středních podniků, vyznačovat i tím, že disponují nižší úrovní vlastního kapitálu i množstvím aktiv, která mohou sloužit jako zástava vůči financující bance.</w:t>
      </w:r>
    </w:p>
    <w:p w:rsidR="002C41C1" w:rsidRDefault="002C41C1" w:rsidP="00D75AD2"/>
    <w:p w:rsidR="002C41C1" w:rsidRPr="00D75AD2" w:rsidRDefault="002C41C1" w:rsidP="00D75AD2">
      <w:r>
        <w:t xml:space="preserve">Pro tuto skupinu aktivit a příjemců přichází v úvahu jako vhodná forma zejména zvýhodněné úvěry a podřízené úvěry. Vzhledem k současné nízké úrovni úrokových sazeb je nicméně motivační účinek samotných zvýhodněných úvěrů na investiční činnost v oblasti VaV minimální. </w:t>
      </w:r>
      <w:r w:rsidRPr="00DF6E0B">
        <w:t>V</w:t>
      </w:r>
      <w:r w:rsidRPr="00D144BB">
        <w:t> </w:t>
      </w:r>
      <w:r w:rsidRPr="00DF6E0B">
        <w:t>případě rozhodnutí o uplatnění finančního nástroje v</w:t>
      </w:r>
      <w:r w:rsidRPr="00D144BB">
        <w:t> </w:t>
      </w:r>
      <w:r w:rsidRPr="00DF6E0B">
        <w:t xml:space="preserve">SC 1.1 je vhodné doplnit úvěr o širší možnosti zvýhodnění ve formě možnosti odkladu splátek </w:t>
      </w:r>
      <w:r>
        <w:t xml:space="preserve">a prodloužení doby splatnosti. </w:t>
      </w:r>
      <w:r w:rsidRPr="00DF6E0B">
        <w:t>Stejně tak je pro tuto oblast možné zvažovat kombinaci s</w:t>
      </w:r>
      <w:r w:rsidRPr="00D144BB">
        <w:t> </w:t>
      </w:r>
      <w:r w:rsidRPr="00DF6E0B">
        <w:t>nenávratnou (dotační) formou podpory ve formě kombinace dotace a úvěru na dofinancování (na odlišné způsobilé náklady).</w:t>
      </w:r>
    </w:p>
    <w:p w:rsidR="002C41C1" w:rsidRDefault="002C41C1" w:rsidP="00D75AD2"/>
    <w:p w:rsidR="002C41C1" w:rsidRDefault="002C41C1" w:rsidP="00EC52E6">
      <w:r>
        <w:t>Deloitte Advisory doporučuje pro podporu podnikového výzkumu v SC 1.1 využít záruční finanční nástroj, který usnadní přístup k financování z hlediska rizika projektu.</w:t>
      </w:r>
    </w:p>
    <w:p w:rsidR="002C41C1" w:rsidRDefault="002C41C1" w:rsidP="00EC52E6"/>
    <w:tbl>
      <w:tblPr>
        <w:tblW w:w="6664" w:type="dxa"/>
        <w:jc w:val="center"/>
        <w:tblCellMar>
          <w:left w:w="70" w:type="dxa"/>
          <w:right w:w="70" w:type="dxa"/>
        </w:tblCellMar>
        <w:tblLook w:val="00A0" w:firstRow="1" w:lastRow="0" w:firstColumn="1" w:lastColumn="0" w:noHBand="0" w:noVBand="0"/>
      </w:tblPr>
      <w:tblGrid>
        <w:gridCol w:w="960"/>
        <w:gridCol w:w="960"/>
        <w:gridCol w:w="2414"/>
        <w:gridCol w:w="2330"/>
      </w:tblGrid>
      <w:tr w:rsidR="002C41C1" w:rsidRPr="00661000" w:rsidTr="00994D93">
        <w:trPr>
          <w:trHeight w:val="315"/>
          <w:jc w:val="center"/>
        </w:trPr>
        <w:tc>
          <w:tcPr>
            <w:tcW w:w="960" w:type="dxa"/>
            <w:tcBorders>
              <w:top w:val="nil"/>
              <w:left w:val="nil"/>
              <w:bottom w:val="nil"/>
              <w:right w:val="nil"/>
            </w:tcBorders>
            <w:noWrap/>
            <w:vAlign w:val="bottom"/>
          </w:tcPr>
          <w:p w:rsidR="002C41C1" w:rsidRPr="001540D5" w:rsidRDefault="002C41C1" w:rsidP="00994D93">
            <w:pPr>
              <w:jc w:val="left"/>
              <w:rPr>
                <w:rFonts w:ascii="Times New Roman" w:hAnsi="Times New Roman"/>
                <w:sz w:val="20"/>
              </w:rPr>
            </w:pPr>
          </w:p>
        </w:tc>
        <w:tc>
          <w:tcPr>
            <w:tcW w:w="960" w:type="dxa"/>
            <w:tcBorders>
              <w:top w:val="nil"/>
              <w:left w:val="nil"/>
              <w:bottom w:val="nil"/>
              <w:right w:val="single" w:sz="8" w:space="0" w:color="auto"/>
            </w:tcBorders>
            <w:noWrap/>
            <w:vAlign w:val="bottom"/>
          </w:tcPr>
          <w:p w:rsidR="002C41C1" w:rsidRPr="001540D5" w:rsidRDefault="002C41C1" w:rsidP="00994D93">
            <w:pPr>
              <w:jc w:val="left"/>
              <w:rPr>
                <w:rFonts w:ascii="Times New Roman" w:hAnsi="Times New Roman"/>
                <w:color w:val="000000"/>
                <w:sz w:val="20"/>
              </w:rPr>
            </w:pPr>
            <w:r w:rsidRPr="001540D5">
              <w:rPr>
                <w:rFonts w:ascii="Times New Roman" w:hAnsi="Times New Roman"/>
                <w:color w:val="000000"/>
                <w:sz w:val="20"/>
              </w:rPr>
              <w:t> </w:t>
            </w:r>
          </w:p>
        </w:tc>
        <w:tc>
          <w:tcPr>
            <w:tcW w:w="4744" w:type="dxa"/>
            <w:gridSpan w:val="2"/>
            <w:tcBorders>
              <w:top w:val="single" w:sz="8" w:space="0" w:color="auto"/>
              <w:left w:val="nil"/>
              <w:bottom w:val="single" w:sz="8" w:space="0" w:color="auto"/>
              <w:right w:val="single" w:sz="8" w:space="0" w:color="000000"/>
            </w:tcBorders>
            <w:shd w:val="clear" w:color="000000" w:fill="C5EEFF"/>
            <w:noWrap/>
            <w:vAlign w:val="center"/>
          </w:tcPr>
          <w:p w:rsidR="002C41C1" w:rsidRPr="00661000" w:rsidRDefault="002C41C1" w:rsidP="00994D93">
            <w:pPr>
              <w:jc w:val="center"/>
              <w:rPr>
                <w:b/>
                <w:bCs/>
                <w:color w:val="000000"/>
                <w:sz w:val="18"/>
                <w:szCs w:val="18"/>
              </w:rPr>
            </w:pPr>
            <w:r w:rsidRPr="00661000">
              <w:rPr>
                <w:b/>
                <w:bCs/>
                <w:color w:val="000000"/>
                <w:sz w:val="18"/>
                <w:szCs w:val="18"/>
              </w:rPr>
              <w:t>Finanční nástroj</w:t>
            </w:r>
          </w:p>
        </w:tc>
      </w:tr>
      <w:tr w:rsidR="002C41C1" w:rsidRPr="00661000" w:rsidTr="00994D93">
        <w:trPr>
          <w:trHeight w:val="315"/>
          <w:jc w:val="center"/>
        </w:trPr>
        <w:tc>
          <w:tcPr>
            <w:tcW w:w="960" w:type="dxa"/>
            <w:tcBorders>
              <w:top w:val="nil"/>
              <w:left w:val="nil"/>
              <w:bottom w:val="nil"/>
              <w:right w:val="nil"/>
            </w:tcBorders>
            <w:noWrap/>
            <w:vAlign w:val="center"/>
          </w:tcPr>
          <w:p w:rsidR="002C41C1" w:rsidRPr="00661000" w:rsidRDefault="002C41C1" w:rsidP="00994D93">
            <w:pPr>
              <w:jc w:val="center"/>
              <w:rPr>
                <w:b/>
                <w:bCs/>
                <w:color w:val="000000"/>
                <w:sz w:val="18"/>
                <w:szCs w:val="18"/>
              </w:rPr>
            </w:pPr>
          </w:p>
        </w:tc>
        <w:tc>
          <w:tcPr>
            <w:tcW w:w="960" w:type="dxa"/>
            <w:tcBorders>
              <w:top w:val="nil"/>
              <w:left w:val="nil"/>
              <w:bottom w:val="nil"/>
              <w:right w:val="single" w:sz="8" w:space="0" w:color="auto"/>
            </w:tcBorders>
            <w:noWrap/>
            <w:vAlign w:val="center"/>
          </w:tcPr>
          <w:p w:rsidR="002C41C1" w:rsidRPr="00661000" w:rsidRDefault="002C41C1" w:rsidP="00994D93">
            <w:pPr>
              <w:jc w:val="left"/>
              <w:rPr>
                <w:color w:val="000000"/>
                <w:sz w:val="18"/>
                <w:szCs w:val="18"/>
              </w:rPr>
            </w:pPr>
            <w:r w:rsidRPr="00661000">
              <w:rPr>
                <w:color w:val="000000"/>
                <w:sz w:val="18"/>
                <w:szCs w:val="18"/>
              </w:rPr>
              <w:t> </w:t>
            </w:r>
          </w:p>
        </w:tc>
        <w:tc>
          <w:tcPr>
            <w:tcW w:w="2414" w:type="dxa"/>
            <w:tcBorders>
              <w:top w:val="nil"/>
              <w:left w:val="nil"/>
              <w:bottom w:val="single" w:sz="8" w:space="0" w:color="auto"/>
              <w:right w:val="nil"/>
            </w:tcBorders>
            <w:shd w:val="clear" w:color="000000" w:fill="C5EEFF"/>
            <w:vAlign w:val="center"/>
          </w:tcPr>
          <w:p w:rsidR="002C41C1" w:rsidRPr="00661000" w:rsidRDefault="002C41C1" w:rsidP="00994D93">
            <w:pPr>
              <w:jc w:val="center"/>
              <w:rPr>
                <w:b/>
                <w:bCs/>
                <w:color w:val="000000"/>
                <w:sz w:val="18"/>
                <w:szCs w:val="18"/>
              </w:rPr>
            </w:pPr>
            <w:r w:rsidRPr="00661000">
              <w:rPr>
                <w:b/>
                <w:bCs/>
                <w:color w:val="000000"/>
                <w:sz w:val="18"/>
                <w:szCs w:val="18"/>
              </w:rPr>
              <w:t>Záruky</w:t>
            </w:r>
          </w:p>
        </w:tc>
        <w:tc>
          <w:tcPr>
            <w:tcW w:w="2330" w:type="dxa"/>
            <w:tcBorders>
              <w:top w:val="nil"/>
              <w:left w:val="single" w:sz="8" w:space="0" w:color="auto"/>
              <w:bottom w:val="single" w:sz="8" w:space="0" w:color="auto"/>
              <w:right w:val="single" w:sz="8" w:space="0" w:color="auto"/>
            </w:tcBorders>
            <w:shd w:val="clear" w:color="000000" w:fill="C5EEFF"/>
            <w:vAlign w:val="center"/>
          </w:tcPr>
          <w:p w:rsidR="002C41C1" w:rsidRPr="00661000" w:rsidRDefault="002C41C1" w:rsidP="00994D93">
            <w:pPr>
              <w:jc w:val="center"/>
              <w:rPr>
                <w:b/>
                <w:bCs/>
                <w:color w:val="000000"/>
                <w:sz w:val="18"/>
                <w:szCs w:val="18"/>
              </w:rPr>
            </w:pPr>
            <w:r w:rsidRPr="00661000">
              <w:rPr>
                <w:b/>
                <w:bCs/>
                <w:color w:val="000000"/>
                <w:sz w:val="18"/>
                <w:szCs w:val="18"/>
              </w:rPr>
              <w:t>Zvýhodněný úvěr</w:t>
            </w:r>
          </w:p>
        </w:tc>
      </w:tr>
      <w:tr w:rsidR="002C41C1" w:rsidRPr="00661000" w:rsidTr="00994D93">
        <w:trPr>
          <w:trHeight w:val="720"/>
          <w:jc w:val="center"/>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A6DE9D"/>
            <w:noWrap/>
            <w:textDirection w:val="btLr"/>
            <w:vAlign w:val="center"/>
          </w:tcPr>
          <w:p w:rsidR="002C41C1" w:rsidRPr="00661000" w:rsidRDefault="0043123A" w:rsidP="00994D93">
            <w:pPr>
              <w:jc w:val="center"/>
              <w:rPr>
                <w:b/>
                <w:bCs/>
                <w:color w:val="000000"/>
                <w:sz w:val="18"/>
                <w:szCs w:val="18"/>
              </w:rPr>
            </w:pPr>
            <w:r>
              <w:rPr>
                <w:b/>
                <w:bCs/>
                <w:color w:val="000000"/>
                <w:sz w:val="18"/>
                <w:szCs w:val="18"/>
              </w:rPr>
              <w:t>Přidaná hodnota</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A6DE9D"/>
            <w:noWrap/>
            <w:textDirection w:val="btLr"/>
            <w:vAlign w:val="center"/>
          </w:tcPr>
          <w:p w:rsidR="002C41C1" w:rsidRPr="00661000" w:rsidRDefault="0043123A" w:rsidP="0043123A">
            <w:pPr>
              <w:jc w:val="center"/>
              <w:rPr>
                <w:b/>
                <w:bCs/>
                <w:color w:val="000000"/>
                <w:sz w:val="18"/>
                <w:szCs w:val="18"/>
              </w:rPr>
            </w:pPr>
            <w:r>
              <w:rPr>
                <w:b/>
                <w:bCs/>
                <w:color w:val="000000"/>
                <w:sz w:val="18"/>
                <w:szCs w:val="18"/>
              </w:rPr>
              <w:t>Konečný p</w:t>
            </w:r>
            <w:r w:rsidR="002C41C1" w:rsidRPr="00661000">
              <w:rPr>
                <w:b/>
                <w:bCs/>
                <w:color w:val="000000"/>
                <w:sz w:val="18"/>
                <w:szCs w:val="18"/>
              </w:rPr>
              <w:t>říjemce</w:t>
            </w:r>
          </w:p>
        </w:tc>
        <w:tc>
          <w:tcPr>
            <w:tcW w:w="2414" w:type="dxa"/>
            <w:tcBorders>
              <w:top w:val="nil"/>
              <w:left w:val="nil"/>
              <w:bottom w:val="nil"/>
              <w:right w:val="nil"/>
            </w:tcBorders>
            <w:shd w:val="clear" w:color="000000" w:fill="A6DE9D"/>
            <w:vAlign w:val="center"/>
          </w:tcPr>
          <w:p w:rsidR="002C41C1" w:rsidRPr="00661000" w:rsidRDefault="002C41C1" w:rsidP="00994D93">
            <w:pPr>
              <w:jc w:val="center"/>
              <w:rPr>
                <w:color w:val="000000"/>
                <w:sz w:val="18"/>
                <w:szCs w:val="18"/>
              </w:rPr>
            </w:pPr>
            <w:r w:rsidRPr="00661000">
              <w:rPr>
                <w:color w:val="000000"/>
                <w:sz w:val="18"/>
                <w:szCs w:val="18"/>
              </w:rPr>
              <w:t>Zpřístupnění nedosažitelného financování</w:t>
            </w:r>
          </w:p>
        </w:tc>
        <w:tc>
          <w:tcPr>
            <w:tcW w:w="2330" w:type="dxa"/>
            <w:tcBorders>
              <w:top w:val="nil"/>
              <w:left w:val="single" w:sz="8" w:space="0" w:color="auto"/>
              <w:bottom w:val="nil"/>
              <w:right w:val="single" w:sz="8" w:space="0" w:color="auto"/>
            </w:tcBorders>
            <w:shd w:val="clear" w:color="000000" w:fill="A6DE9D"/>
            <w:vAlign w:val="center"/>
          </w:tcPr>
          <w:p w:rsidR="002C41C1" w:rsidRPr="00661000" w:rsidRDefault="002C41C1" w:rsidP="00994D93">
            <w:pPr>
              <w:jc w:val="center"/>
              <w:rPr>
                <w:color w:val="000000"/>
                <w:sz w:val="18"/>
                <w:szCs w:val="18"/>
              </w:rPr>
            </w:pPr>
            <w:r w:rsidRPr="00661000">
              <w:rPr>
                <w:color w:val="000000"/>
                <w:sz w:val="18"/>
                <w:szCs w:val="18"/>
              </w:rPr>
              <w:t>Zpřístupnění nedosažitelného financování</w:t>
            </w:r>
          </w:p>
        </w:tc>
      </w:tr>
      <w:tr w:rsidR="002C41C1" w:rsidRPr="00661000" w:rsidTr="00994D93">
        <w:trPr>
          <w:trHeight w:val="480"/>
          <w:jc w:val="center"/>
        </w:trPr>
        <w:tc>
          <w:tcPr>
            <w:tcW w:w="960" w:type="dxa"/>
            <w:vMerge/>
            <w:tcBorders>
              <w:top w:val="single" w:sz="8" w:space="0" w:color="auto"/>
              <w:left w:val="single" w:sz="8" w:space="0" w:color="auto"/>
              <w:bottom w:val="single" w:sz="8" w:space="0" w:color="000000"/>
              <w:right w:val="single" w:sz="8" w:space="0" w:color="auto"/>
            </w:tcBorders>
            <w:vAlign w:val="center"/>
          </w:tcPr>
          <w:p w:rsidR="002C41C1" w:rsidRPr="00661000" w:rsidRDefault="002C41C1" w:rsidP="00994D93">
            <w:pPr>
              <w:jc w:val="left"/>
              <w:rPr>
                <w:b/>
                <w:bCs/>
                <w:color w:val="000000"/>
                <w:sz w:val="18"/>
                <w:szCs w:val="18"/>
              </w:rPr>
            </w:pPr>
          </w:p>
        </w:tc>
        <w:tc>
          <w:tcPr>
            <w:tcW w:w="960" w:type="dxa"/>
            <w:vMerge/>
            <w:tcBorders>
              <w:top w:val="single" w:sz="8" w:space="0" w:color="auto"/>
              <w:left w:val="single" w:sz="8" w:space="0" w:color="auto"/>
              <w:bottom w:val="single" w:sz="8" w:space="0" w:color="000000"/>
              <w:right w:val="single" w:sz="8" w:space="0" w:color="auto"/>
            </w:tcBorders>
            <w:vAlign w:val="center"/>
          </w:tcPr>
          <w:p w:rsidR="002C41C1" w:rsidRPr="00661000" w:rsidRDefault="002C41C1" w:rsidP="00994D93">
            <w:pPr>
              <w:jc w:val="left"/>
              <w:rPr>
                <w:b/>
                <w:bCs/>
                <w:color w:val="000000"/>
                <w:sz w:val="18"/>
                <w:szCs w:val="18"/>
              </w:rPr>
            </w:pPr>
          </w:p>
        </w:tc>
        <w:tc>
          <w:tcPr>
            <w:tcW w:w="2414" w:type="dxa"/>
            <w:tcBorders>
              <w:top w:val="nil"/>
              <w:left w:val="nil"/>
              <w:bottom w:val="nil"/>
              <w:right w:val="nil"/>
            </w:tcBorders>
            <w:shd w:val="clear" w:color="000000" w:fill="A6DE9D"/>
            <w:vAlign w:val="center"/>
          </w:tcPr>
          <w:p w:rsidR="002C41C1" w:rsidRPr="00661000" w:rsidRDefault="0043123A" w:rsidP="00994D93">
            <w:pPr>
              <w:jc w:val="center"/>
              <w:rPr>
                <w:color w:val="000000"/>
                <w:sz w:val="18"/>
                <w:szCs w:val="18"/>
              </w:rPr>
            </w:pPr>
            <w:r>
              <w:rPr>
                <w:color w:val="000000"/>
                <w:sz w:val="18"/>
                <w:szCs w:val="18"/>
              </w:rPr>
              <w:t xml:space="preserve">Možné </w:t>
            </w:r>
            <w:r w:rsidR="002C41C1" w:rsidRPr="00661000">
              <w:rPr>
                <w:color w:val="000000"/>
                <w:sz w:val="18"/>
                <w:szCs w:val="18"/>
              </w:rPr>
              <w:t>Snížení úrokové sazby</w:t>
            </w:r>
          </w:p>
        </w:tc>
        <w:tc>
          <w:tcPr>
            <w:tcW w:w="2330" w:type="dxa"/>
            <w:tcBorders>
              <w:top w:val="nil"/>
              <w:left w:val="single" w:sz="8" w:space="0" w:color="auto"/>
              <w:bottom w:val="nil"/>
              <w:right w:val="single" w:sz="8" w:space="0" w:color="auto"/>
            </w:tcBorders>
            <w:shd w:val="clear" w:color="000000" w:fill="A6DE9D"/>
            <w:vAlign w:val="center"/>
          </w:tcPr>
          <w:p w:rsidR="002C41C1" w:rsidRPr="00661000" w:rsidRDefault="002C41C1" w:rsidP="00994D93">
            <w:pPr>
              <w:jc w:val="center"/>
              <w:rPr>
                <w:color w:val="000000"/>
                <w:sz w:val="18"/>
                <w:szCs w:val="18"/>
              </w:rPr>
            </w:pPr>
            <w:r w:rsidRPr="00661000">
              <w:rPr>
                <w:color w:val="000000"/>
                <w:sz w:val="18"/>
                <w:szCs w:val="18"/>
              </w:rPr>
              <w:t>Snížení úrokové sazby</w:t>
            </w:r>
          </w:p>
        </w:tc>
      </w:tr>
      <w:tr w:rsidR="002C41C1" w:rsidRPr="00661000" w:rsidTr="00994D93">
        <w:trPr>
          <w:trHeight w:val="720"/>
          <w:jc w:val="center"/>
        </w:trPr>
        <w:tc>
          <w:tcPr>
            <w:tcW w:w="960" w:type="dxa"/>
            <w:vMerge/>
            <w:tcBorders>
              <w:top w:val="single" w:sz="8" w:space="0" w:color="auto"/>
              <w:left w:val="single" w:sz="8" w:space="0" w:color="auto"/>
              <w:bottom w:val="single" w:sz="8" w:space="0" w:color="000000"/>
              <w:right w:val="single" w:sz="8" w:space="0" w:color="auto"/>
            </w:tcBorders>
            <w:vAlign w:val="center"/>
          </w:tcPr>
          <w:p w:rsidR="002C41C1" w:rsidRPr="00661000" w:rsidRDefault="002C41C1" w:rsidP="00994D93">
            <w:pPr>
              <w:jc w:val="left"/>
              <w:rPr>
                <w:b/>
                <w:bCs/>
                <w:color w:val="000000"/>
                <w:sz w:val="18"/>
                <w:szCs w:val="18"/>
              </w:rPr>
            </w:pPr>
          </w:p>
        </w:tc>
        <w:tc>
          <w:tcPr>
            <w:tcW w:w="960" w:type="dxa"/>
            <w:vMerge/>
            <w:tcBorders>
              <w:top w:val="single" w:sz="8" w:space="0" w:color="auto"/>
              <w:left w:val="single" w:sz="8" w:space="0" w:color="auto"/>
              <w:bottom w:val="single" w:sz="8" w:space="0" w:color="000000"/>
              <w:right w:val="single" w:sz="8" w:space="0" w:color="auto"/>
            </w:tcBorders>
            <w:vAlign w:val="center"/>
          </w:tcPr>
          <w:p w:rsidR="002C41C1" w:rsidRPr="00661000" w:rsidRDefault="002C41C1" w:rsidP="00994D93">
            <w:pPr>
              <w:jc w:val="left"/>
              <w:rPr>
                <w:b/>
                <w:bCs/>
                <w:color w:val="000000"/>
                <w:sz w:val="18"/>
                <w:szCs w:val="18"/>
              </w:rPr>
            </w:pPr>
          </w:p>
        </w:tc>
        <w:tc>
          <w:tcPr>
            <w:tcW w:w="2414" w:type="dxa"/>
            <w:tcBorders>
              <w:top w:val="nil"/>
              <w:left w:val="nil"/>
              <w:bottom w:val="nil"/>
              <w:right w:val="nil"/>
            </w:tcBorders>
            <w:shd w:val="clear" w:color="000000" w:fill="A6DE9D"/>
            <w:vAlign w:val="center"/>
          </w:tcPr>
          <w:p w:rsidR="002C41C1" w:rsidRPr="00661000" w:rsidRDefault="002C41C1" w:rsidP="00994D93">
            <w:pPr>
              <w:jc w:val="center"/>
              <w:rPr>
                <w:color w:val="000000"/>
                <w:sz w:val="18"/>
                <w:szCs w:val="18"/>
              </w:rPr>
            </w:pPr>
            <w:r w:rsidRPr="00661000">
              <w:rPr>
                <w:color w:val="000000"/>
                <w:sz w:val="18"/>
                <w:szCs w:val="18"/>
              </w:rPr>
              <w:t>Prodloužení doby splácení</w:t>
            </w:r>
          </w:p>
        </w:tc>
        <w:tc>
          <w:tcPr>
            <w:tcW w:w="2330" w:type="dxa"/>
            <w:tcBorders>
              <w:top w:val="nil"/>
              <w:left w:val="single" w:sz="8" w:space="0" w:color="auto"/>
              <w:bottom w:val="nil"/>
              <w:right w:val="single" w:sz="8" w:space="0" w:color="auto"/>
            </w:tcBorders>
            <w:shd w:val="clear" w:color="000000" w:fill="A6DE9D"/>
            <w:vAlign w:val="center"/>
          </w:tcPr>
          <w:p w:rsidR="002C41C1" w:rsidRPr="00661000" w:rsidRDefault="002C41C1" w:rsidP="00994D93">
            <w:pPr>
              <w:jc w:val="center"/>
              <w:rPr>
                <w:color w:val="000000"/>
                <w:sz w:val="18"/>
                <w:szCs w:val="18"/>
              </w:rPr>
            </w:pPr>
            <w:r w:rsidRPr="00661000">
              <w:rPr>
                <w:color w:val="000000"/>
                <w:sz w:val="18"/>
                <w:szCs w:val="18"/>
              </w:rPr>
              <w:t>Prodloužení doby splácení</w:t>
            </w:r>
          </w:p>
        </w:tc>
      </w:tr>
      <w:tr w:rsidR="0043123A" w:rsidRPr="00661000" w:rsidTr="00994D93">
        <w:trPr>
          <w:trHeight w:val="720"/>
          <w:jc w:val="center"/>
        </w:trPr>
        <w:tc>
          <w:tcPr>
            <w:tcW w:w="960" w:type="dxa"/>
            <w:vMerge/>
            <w:tcBorders>
              <w:top w:val="single" w:sz="8" w:space="0" w:color="auto"/>
              <w:left w:val="single" w:sz="8" w:space="0" w:color="auto"/>
              <w:bottom w:val="single" w:sz="8" w:space="0" w:color="000000"/>
              <w:right w:val="single" w:sz="8" w:space="0" w:color="auto"/>
            </w:tcBorders>
            <w:vAlign w:val="center"/>
          </w:tcPr>
          <w:p w:rsidR="0043123A" w:rsidRPr="00661000" w:rsidRDefault="0043123A" w:rsidP="00994D93">
            <w:pPr>
              <w:jc w:val="left"/>
              <w:rPr>
                <w:b/>
                <w:bCs/>
                <w:color w:val="000000"/>
                <w:sz w:val="18"/>
                <w:szCs w:val="18"/>
              </w:rPr>
            </w:pPr>
          </w:p>
        </w:tc>
        <w:tc>
          <w:tcPr>
            <w:tcW w:w="960" w:type="dxa"/>
            <w:vMerge/>
            <w:tcBorders>
              <w:top w:val="single" w:sz="8" w:space="0" w:color="auto"/>
              <w:left w:val="single" w:sz="8" w:space="0" w:color="auto"/>
              <w:bottom w:val="single" w:sz="8" w:space="0" w:color="000000"/>
              <w:right w:val="single" w:sz="8" w:space="0" w:color="auto"/>
            </w:tcBorders>
            <w:vAlign w:val="center"/>
          </w:tcPr>
          <w:p w:rsidR="0043123A" w:rsidRPr="00661000" w:rsidRDefault="0043123A" w:rsidP="00994D93">
            <w:pPr>
              <w:jc w:val="left"/>
              <w:rPr>
                <w:b/>
                <w:bCs/>
                <w:color w:val="000000"/>
                <w:sz w:val="18"/>
                <w:szCs w:val="18"/>
              </w:rPr>
            </w:pPr>
          </w:p>
        </w:tc>
        <w:tc>
          <w:tcPr>
            <w:tcW w:w="2414" w:type="dxa"/>
            <w:tcBorders>
              <w:top w:val="nil"/>
              <w:left w:val="nil"/>
              <w:bottom w:val="nil"/>
              <w:right w:val="nil"/>
            </w:tcBorders>
            <w:shd w:val="clear" w:color="000000" w:fill="A6DE9D"/>
            <w:noWrap/>
            <w:vAlign w:val="center"/>
          </w:tcPr>
          <w:p w:rsidR="0043123A" w:rsidRPr="00661000" w:rsidRDefault="0043123A" w:rsidP="00994D93">
            <w:pPr>
              <w:jc w:val="center"/>
              <w:rPr>
                <w:color w:val="000000"/>
                <w:sz w:val="18"/>
                <w:szCs w:val="18"/>
              </w:rPr>
            </w:pPr>
            <w:r w:rsidRPr="00661000">
              <w:rPr>
                <w:color w:val="000000"/>
                <w:sz w:val="18"/>
                <w:szCs w:val="18"/>
              </w:rPr>
              <w:t>Sdílení rizika</w:t>
            </w:r>
          </w:p>
        </w:tc>
        <w:tc>
          <w:tcPr>
            <w:tcW w:w="2330" w:type="dxa"/>
            <w:tcBorders>
              <w:top w:val="nil"/>
              <w:left w:val="single" w:sz="8" w:space="0" w:color="auto"/>
              <w:bottom w:val="nil"/>
              <w:right w:val="single" w:sz="8" w:space="0" w:color="auto"/>
            </w:tcBorders>
            <w:shd w:val="clear" w:color="000000" w:fill="A6DE9D"/>
            <w:vAlign w:val="center"/>
          </w:tcPr>
          <w:p w:rsidR="0043123A" w:rsidRPr="00661000" w:rsidRDefault="0043123A" w:rsidP="007B6168">
            <w:pPr>
              <w:jc w:val="center"/>
              <w:rPr>
                <w:color w:val="000000"/>
                <w:sz w:val="18"/>
                <w:szCs w:val="18"/>
              </w:rPr>
            </w:pPr>
            <w:r>
              <w:rPr>
                <w:color w:val="000000"/>
                <w:sz w:val="18"/>
                <w:szCs w:val="18"/>
              </w:rPr>
              <w:t>Platba v předstihu</w:t>
            </w:r>
          </w:p>
        </w:tc>
      </w:tr>
      <w:tr w:rsidR="0043123A" w:rsidRPr="00661000" w:rsidTr="00994D93">
        <w:trPr>
          <w:trHeight w:val="1440"/>
          <w:jc w:val="center"/>
        </w:trPr>
        <w:tc>
          <w:tcPr>
            <w:tcW w:w="960" w:type="dxa"/>
            <w:vMerge/>
            <w:tcBorders>
              <w:top w:val="single" w:sz="8" w:space="0" w:color="auto"/>
              <w:left w:val="single" w:sz="8" w:space="0" w:color="auto"/>
              <w:bottom w:val="single" w:sz="8" w:space="0" w:color="000000"/>
              <w:right w:val="single" w:sz="8" w:space="0" w:color="auto"/>
            </w:tcBorders>
            <w:vAlign w:val="center"/>
          </w:tcPr>
          <w:p w:rsidR="0043123A" w:rsidRPr="00661000" w:rsidRDefault="0043123A" w:rsidP="00994D93">
            <w:pPr>
              <w:jc w:val="left"/>
              <w:rPr>
                <w:b/>
                <w:bCs/>
                <w:color w:val="000000"/>
                <w:sz w:val="18"/>
                <w:szCs w:val="18"/>
              </w:rPr>
            </w:pPr>
          </w:p>
        </w:tc>
        <w:tc>
          <w:tcPr>
            <w:tcW w:w="960" w:type="dxa"/>
            <w:vMerge/>
            <w:tcBorders>
              <w:top w:val="single" w:sz="8" w:space="0" w:color="auto"/>
              <w:left w:val="single" w:sz="8" w:space="0" w:color="auto"/>
              <w:bottom w:val="single" w:sz="8" w:space="0" w:color="000000"/>
              <w:right w:val="single" w:sz="8" w:space="0" w:color="auto"/>
            </w:tcBorders>
            <w:vAlign w:val="center"/>
          </w:tcPr>
          <w:p w:rsidR="0043123A" w:rsidRPr="00661000" w:rsidRDefault="0043123A" w:rsidP="00994D93">
            <w:pPr>
              <w:jc w:val="left"/>
              <w:rPr>
                <w:b/>
                <w:bCs/>
                <w:color w:val="000000"/>
                <w:sz w:val="18"/>
                <w:szCs w:val="18"/>
              </w:rPr>
            </w:pPr>
          </w:p>
        </w:tc>
        <w:tc>
          <w:tcPr>
            <w:tcW w:w="2414" w:type="dxa"/>
            <w:tcBorders>
              <w:top w:val="nil"/>
              <w:left w:val="nil"/>
              <w:bottom w:val="nil"/>
              <w:right w:val="nil"/>
            </w:tcBorders>
            <w:shd w:val="clear" w:color="000000" w:fill="A6DE9D"/>
            <w:vAlign w:val="center"/>
          </w:tcPr>
          <w:p w:rsidR="0043123A" w:rsidRPr="00661000" w:rsidRDefault="0043123A" w:rsidP="007B6168">
            <w:pPr>
              <w:jc w:val="center"/>
              <w:rPr>
                <w:color w:val="000000"/>
                <w:sz w:val="18"/>
                <w:szCs w:val="18"/>
              </w:rPr>
            </w:pPr>
            <w:r>
              <w:rPr>
                <w:color w:val="000000"/>
                <w:sz w:val="18"/>
                <w:szCs w:val="18"/>
              </w:rPr>
              <w:t>Platba v předstihu</w:t>
            </w:r>
          </w:p>
        </w:tc>
        <w:tc>
          <w:tcPr>
            <w:tcW w:w="2330" w:type="dxa"/>
            <w:tcBorders>
              <w:top w:val="nil"/>
              <w:left w:val="single" w:sz="8" w:space="0" w:color="auto"/>
              <w:bottom w:val="nil"/>
              <w:right w:val="single" w:sz="8" w:space="0" w:color="auto"/>
            </w:tcBorders>
            <w:shd w:val="clear" w:color="000000" w:fill="A6DE9D"/>
            <w:vAlign w:val="center"/>
          </w:tcPr>
          <w:p w:rsidR="0043123A" w:rsidRPr="00661000" w:rsidRDefault="0043123A" w:rsidP="00994D93">
            <w:pPr>
              <w:jc w:val="center"/>
              <w:rPr>
                <w:color w:val="000000"/>
                <w:sz w:val="18"/>
                <w:szCs w:val="18"/>
              </w:rPr>
            </w:pPr>
            <w:r>
              <w:rPr>
                <w:color w:val="000000"/>
                <w:sz w:val="18"/>
                <w:szCs w:val="18"/>
              </w:rPr>
              <w:t>Nižší administrativní náročnost</w:t>
            </w:r>
          </w:p>
        </w:tc>
      </w:tr>
      <w:tr w:rsidR="0043123A" w:rsidRPr="00661000" w:rsidTr="007B6168">
        <w:trPr>
          <w:trHeight w:val="815"/>
          <w:jc w:val="center"/>
        </w:trPr>
        <w:tc>
          <w:tcPr>
            <w:tcW w:w="960" w:type="dxa"/>
            <w:vMerge/>
            <w:tcBorders>
              <w:top w:val="single" w:sz="8" w:space="0" w:color="auto"/>
              <w:left w:val="single" w:sz="8" w:space="0" w:color="auto"/>
              <w:bottom w:val="single" w:sz="8" w:space="0" w:color="000000"/>
              <w:right w:val="single" w:sz="8" w:space="0" w:color="auto"/>
            </w:tcBorders>
            <w:vAlign w:val="center"/>
          </w:tcPr>
          <w:p w:rsidR="0043123A" w:rsidRPr="00661000" w:rsidRDefault="0043123A" w:rsidP="00994D93">
            <w:pPr>
              <w:jc w:val="left"/>
              <w:rPr>
                <w:b/>
                <w:bCs/>
                <w:color w:val="000000"/>
                <w:sz w:val="18"/>
                <w:szCs w:val="18"/>
              </w:rPr>
            </w:pPr>
          </w:p>
        </w:tc>
        <w:tc>
          <w:tcPr>
            <w:tcW w:w="960" w:type="dxa"/>
            <w:vMerge/>
            <w:tcBorders>
              <w:top w:val="single" w:sz="8" w:space="0" w:color="auto"/>
              <w:left w:val="single" w:sz="8" w:space="0" w:color="auto"/>
              <w:bottom w:val="single" w:sz="8" w:space="0" w:color="000000"/>
              <w:right w:val="single" w:sz="8" w:space="0" w:color="auto"/>
            </w:tcBorders>
            <w:vAlign w:val="center"/>
          </w:tcPr>
          <w:p w:rsidR="0043123A" w:rsidRPr="00661000" w:rsidRDefault="0043123A" w:rsidP="00994D93">
            <w:pPr>
              <w:jc w:val="left"/>
              <w:rPr>
                <w:b/>
                <w:bCs/>
                <w:color w:val="000000"/>
                <w:sz w:val="18"/>
                <w:szCs w:val="18"/>
              </w:rPr>
            </w:pPr>
          </w:p>
        </w:tc>
        <w:tc>
          <w:tcPr>
            <w:tcW w:w="2414" w:type="dxa"/>
            <w:tcBorders>
              <w:top w:val="nil"/>
              <w:left w:val="nil"/>
              <w:right w:val="nil"/>
            </w:tcBorders>
            <w:shd w:val="clear" w:color="000000" w:fill="A6DE9D"/>
            <w:vAlign w:val="center"/>
          </w:tcPr>
          <w:p w:rsidR="0043123A" w:rsidRPr="00661000" w:rsidRDefault="0043123A" w:rsidP="00994D93">
            <w:pPr>
              <w:jc w:val="center"/>
              <w:rPr>
                <w:color w:val="000000"/>
                <w:sz w:val="18"/>
                <w:szCs w:val="18"/>
              </w:rPr>
            </w:pPr>
            <w:r>
              <w:rPr>
                <w:color w:val="000000"/>
                <w:sz w:val="18"/>
                <w:szCs w:val="18"/>
              </w:rPr>
              <w:t>Nižší administrativní náročnost</w:t>
            </w:r>
          </w:p>
        </w:tc>
        <w:tc>
          <w:tcPr>
            <w:tcW w:w="2330" w:type="dxa"/>
            <w:tcBorders>
              <w:top w:val="nil"/>
              <w:left w:val="single" w:sz="8" w:space="0" w:color="auto"/>
              <w:right w:val="single" w:sz="8" w:space="0" w:color="auto"/>
            </w:tcBorders>
            <w:shd w:val="clear" w:color="000000" w:fill="A6DE9D"/>
            <w:vAlign w:val="center"/>
          </w:tcPr>
          <w:p w:rsidR="0043123A" w:rsidRPr="00661000" w:rsidRDefault="0043123A" w:rsidP="00994D93">
            <w:pPr>
              <w:jc w:val="left"/>
              <w:rPr>
                <w:color w:val="000000"/>
                <w:sz w:val="18"/>
                <w:szCs w:val="18"/>
              </w:rPr>
            </w:pPr>
            <w:r w:rsidRPr="001540D5">
              <w:rPr>
                <w:rFonts w:ascii="Times New Roman" w:hAnsi="Times New Roman"/>
                <w:color w:val="000000"/>
                <w:sz w:val="20"/>
              </w:rPr>
              <w:t> </w:t>
            </w:r>
          </w:p>
        </w:tc>
      </w:tr>
      <w:tr w:rsidR="0043123A" w:rsidRPr="00661000" w:rsidTr="00994D93">
        <w:trPr>
          <w:trHeight w:val="735"/>
          <w:jc w:val="center"/>
        </w:trPr>
        <w:tc>
          <w:tcPr>
            <w:tcW w:w="960" w:type="dxa"/>
            <w:vMerge/>
            <w:tcBorders>
              <w:top w:val="single" w:sz="8" w:space="0" w:color="auto"/>
              <w:left w:val="single" w:sz="8" w:space="0" w:color="auto"/>
              <w:bottom w:val="single" w:sz="8" w:space="0" w:color="000000"/>
              <w:right w:val="single" w:sz="8" w:space="0" w:color="auto"/>
            </w:tcBorders>
            <w:vAlign w:val="center"/>
          </w:tcPr>
          <w:p w:rsidR="0043123A" w:rsidRPr="00661000" w:rsidRDefault="0043123A" w:rsidP="00994D93">
            <w:pPr>
              <w:jc w:val="left"/>
              <w:rPr>
                <w:b/>
                <w:bCs/>
                <w:color w:val="000000"/>
                <w:sz w:val="18"/>
                <w:szCs w:val="18"/>
              </w:rPr>
            </w:pPr>
          </w:p>
        </w:tc>
        <w:tc>
          <w:tcPr>
            <w:tcW w:w="960" w:type="dxa"/>
            <w:tcBorders>
              <w:top w:val="nil"/>
              <w:left w:val="nil"/>
              <w:bottom w:val="single" w:sz="8" w:space="0" w:color="auto"/>
              <w:right w:val="single" w:sz="8" w:space="0" w:color="auto"/>
            </w:tcBorders>
            <w:shd w:val="clear" w:color="000000" w:fill="A6DE9D"/>
            <w:noWrap/>
            <w:textDirection w:val="btLr"/>
            <w:vAlign w:val="center"/>
          </w:tcPr>
          <w:p w:rsidR="0043123A" w:rsidRPr="00661000" w:rsidRDefault="0043123A" w:rsidP="00994D93">
            <w:pPr>
              <w:jc w:val="center"/>
              <w:rPr>
                <w:b/>
                <w:bCs/>
                <w:color w:val="000000"/>
                <w:sz w:val="18"/>
                <w:szCs w:val="18"/>
              </w:rPr>
            </w:pPr>
            <w:r w:rsidRPr="00661000">
              <w:rPr>
                <w:b/>
                <w:bCs/>
                <w:color w:val="000000"/>
                <w:sz w:val="18"/>
                <w:szCs w:val="18"/>
              </w:rPr>
              <w:t>ŘO</w:t>
            </w:r>
          </w:p>
        </w:tc>
        <w:tc>
          <w:tcPr>
            <w:tcW w:w="2414" w:type="dxa"/>
            <w:tcBorders>
              <w:top w:val="nil"/>
              <w:left w:val="nil"/>
              <w:bottom w:val="single" w:sz="8" w:space="0" w:color="auto"/>
              <w:right w:val="single" w:sz="4" w:space="0" w:color="auto"/>
            </w:tcBorders>
            <w:shd w:val="clear" w:color="000000" w:fill="A6DE9D"/>
            <w:vAlign w:val="center"/>
          </w:tcPr>
          <w:p w:rsidR="0043123A" w:rsidRPr="00661000" w:rsidRDefault="0043123A" w:rsidP="00994D93">
            <w:pPr>
              <w:jc w:val="center"/>
              <w:rPr>
                <w:color w:val="000000"/>
                <w:sz w:val="18"/>
                <w:szCs w:val="18"/>
              </w:rPr>
            </w:pPr>
            <w:r w:rsidRPr="00661000">
              <w:rPr>
                <w:color w:val="000000"/>
                <w:sz w:val="18"/>
                <w:szCs w:val="18"/>
              </w:rPr>
              <w:t>Podmíněné čerpání</w:t>
            </w:r>
          </w:p>
        </w:tc>
        <w:tc>
          <w:tcPr>
            <w:tcW w:w="2330" w:type="dxa"/>
            <w:tcBorders>
              <w:top w:val="single" w:sz="8" w:space="0" w:color="auto"/>
              <w:left w:val="single" w:sz="4" w:space="0" w:color="auto"/>
              <w:bottom w:val="single" w:sz="8" w:space="0" w:color="auto"/>
              <w:right w:val="single" w:sz="8" w:space="0" w:color="auto"/>
            </w:tcBorders>
            <w:shd w:val="clear" w:color="000000" w:fill="A6DE9D"/>
            <w:vAlign w:val="center"/>
          </w:tcPr>
          <w:p w:rsidR="0043123A" w:rsidRPr="00661000" w:rsidRDefault="0043123A" w:rsidP="00994D93">
            <w:pPr>
              <w:jc w:val="center"/>
              <w:rPr>
                <w:color w:val="000000"/>
                <w:sz w:val="18"/>
                <w:szCs w:val="18"/>
              </w:rPr>
            </w:pPr>
            <w:r w:rsidRPr="00661000">
              <w:rPr>
                <w:color w:val="000000"/>
                <w:sz w:val="18"/>
                <w:szCs w:val="18"/>
              </w:rPr>
              <w:t>Predikovatelné splátky</w:t>
            </w:r>
          </w:p>
        </w:tc>
      </w:tr>
    </w:tbl>
    <w:p w:rsidR="002C41C1" w:rsidRDefault="002C41C1" w:rsidP="00EC52E6"/>
    <w:p w:rsidR="002C41C1" w:rsidRDefault="002C41C1" w:rsidP="00EC52E6"/>
    <w:p w:rsidR="002C41C1" w:rsidRDefault="002C41C1" w:rsidP="00EC52E6">
      <w:r>
        <w:t>V případě výzkumných a vývojových aktivit realizovaných ve spolupráci firem a výzkumných institucí se jedná o odlišné aktivity. V prvé řadě</w:t>
      </w:r>
      <w:r w:rsidR="0043123A">
        <w:t xml:space="preserve"> se může jednat o aktivity v ra</w:t>
      </w:r>
      <w:r>
        <w:t xml:space="preserve">nějších fázích vývoje, u nichž je možnost odhadu konečného výsledku a úspěchu méně jistá. Jde tedy o aktivity s vyšší mírou rizika, kterou banky nejsou schopny v naprosté většině případů v rámci svých nastavených hodnotících kritérií financovat. Dále, společné výzkumné aktivity byly dosud financovány prakticky pouze </w:t>
      </w:r>
      <w:r>
        <w:lastRenderedPageBreak/>
        <w:t>prostřednictvím dotačních / grantových programů, kdy výzkumná organizace měla většinou 100 % svých nákladů hrazenu z veřejných prostředků, zatímco podnik získal dotaci z veřejných prostředků pouze na část nákladů.</w:t>
      </w:r>
    </w:p>
    <w:p w:rsidR="002C41C1" w:rsidRDefault="002C41C1" w:rsidP="00EC52E6"/>
    <w:p w:rsidR="002C41C1" w:rsidRDefault="002C41C1" w:rsidP="00EC52E6">
      <w:r>
        <w:t>Rozdělení výsledků výzkumu bylo dáno podle struktury financování a podle úvodní smlouvy mezi spolupracujícími subjekty. Riziko tím bylo významně sníženo, na druhé straně grantová podpora je omezená, administrativně náročná a nemotivující z hlediska dalších investic do rozvoje výsledků VaV a jejich efektivnímu využití. Nastavení grantových programů v řadě případů také vyžaduje, aby žadatelé již v žádosti poměrně detailně popsali očekávané aktivity, jejich výsledky a také přínosy, čímž tyto aktivity odpovídají svým charakterem i aktivitám popsaným výše – lze u nich vyhodnotit potenciální ekonomickou návratnost a investiční náročnost.</w:t>
      </w:r>
    </w:p>
    <w:p w:rsidR="002C41C1" w:rsidRDefault="002C41C1" w:rsidP="00EC52E6"/>
    <w:p w:rsidR="002C41C1" w:rsidRDefault="002C41C1" w:rsidP="00EC52E6">
      <w:r>
        <w:t xml:space="preserve">Bariérou pro úvěrové financování těchto aktivit je jejich obtížné využití ze strany výzkumných organizací, bariérou pro financování prostřednictvím </w:t>
      </w:r>
      <w:r w:rsidR="0043123A">
        <w:t>kapitálového vstupu</w:t>
      </w:r>
      <w:r>
        <w:t xml:space="preserve"> je v době realizace projektu neexistence subjektu, do kterého by bylo možné kapitálový vstup vložit – kapitálového vstupu by bylo možné využít v případě založení společnosti na základě výsledků společného VaV či v případě prodeje licence soukromému podniku, který by daný výsledek uplatnil.</w:t>
      </w:r>
      <w:r w:rsidR="0043123A">
        <w:t xml:space="preserve"> </w:t>
      </w:r>
      <w:r>
        <w:t xml:space="preserve">Pro financování tohoto typu aktivit by bylo </w:t>
      </w:r>
      <w:r w:rsidR="0043123A">
        <w:t>dle názoru Deloitte Advisory možné zvážit také</w:t>
      </w:r>
      <w:r>
        <w:t xml:space="preserve"> využít formy </w:t>
      </w:r>
      <w:r w:rsidRPr="0043123A">
        <w:t xml:space="preserve">návratné </w:t>
      </w:r>
      <w:r w:rsidR="0043123A" w:rsidRPr="0043123A">
        <w:t>pomoci</w:t>
      </w:r>
      <w:r w:rsidRPr="0043123A">
        <w:t xml:space="preserve"> – část nákladů na daný projekt by byla financována ze strany veřejného sektoru na základě určité opční smlouvy</w:t>
      </w:r>
      <w:r>
        <w:t xml:space="preserve">. Prostřednictvím této smlouvy by daný finanční nástroj (zprostředkující subjekt / fond) financující daný projekt získal právo (opci) na budoucí příjmy v případě úspěšného projektu a využití výsledků VaV v praxi. </w:t>
      </w:r>
    </w:p>
    <w:p w:rsidR="002C41C1" w:rsidRDefault="002C41C1" w:rsidP="00EC52E6"/>
    <w:p w:rsidR="002C41C1" w:rsidRPr="00DF6E0B" w:rsidRDefault="002C41C1" w:rsidP="00EC52E6">
      <w:r w:rsidRPr="00DF6E0B">
        <w:t xml:space="preserve">Z pohledu projektu by financování bylo obdobné současnosti </w:t>
      </w:r>
      <w:r w:rsidRPr="00D144BB">
        <w:t>–</w:t>
      </w:r>
      <w:r w:rsidRPr="00DF6E0B">
        <w:t xml:space="preserve"> financování projektu by vyžadovalo kombinaci vlastních (soukromých) prostředků podniku, vlastních prostředků výzkumné organizace a veřejných prostředků daného finančního nástroje. Podmínkou pro poskytnutí těchto prostředků by bylo uzavření smlouvy, která by zaručovala určitý podíl na případných budoucích příjmech z uplatněných výsledků výzkumného projektu (např. licenčních příjmů) i pro subjekt poskytující veřejné prostředky (finanční nástroj). Rozdělení budoucích příjmů by tedy bylo rozděleno mezi všechny tři strany zúčastněné na financování projektu </w:t>
      </w:r>
      <w:r w:rsidRPr="00D144BB">
        <w:t>–</w:t>
      </w:r>
      <w:r w:rsidRPr="00DF6E0B">
        <w:t xml:space="preserve"> podnik, výzkumnou organizaci a finanční nástroj. Výše celkových příjmů finančního nástroje by mohla být zároveň omezena jen do určité výše poskytnutých prostředků. </w:t>
      </w:r>
    </w:p>
    <w:p w:rsidR="002C41C1" w:rsidRDefault="002C41C1" w:rsidP="00EC52E6"/>
    <w:p w:rsidR="00254F5C" w:rsidRDefault="002C41C1" w:rsidP="00EC52E6">
      <w:r>
        <w:t>SC 1.1 a jím podporované aktivity mohou zahrnovat samozřejmě také vysoce inovativní, technologické firmy s potenciálem pro vysoký růst. Pro tento typ projektů a podniků platí především bariéra v podobě vysokého rizika jimi realizovaných projektů na jedné straně, ale také potenciál vysoké návratnosti, pokud se projekt vydaří. Z těchto důvodů jsou tyto aktivity a tito příjemci financování nejčastěji prostřednictvím private</w:t>
      </w:r>
      <w:r w:rsidR="00011070">
        <w:t xml:space="preserve"> </w:t>
      </w:r>
      <w:r>
        <w:t>equity a rizikového kapitálu. Tento typ příjemců a aktivit však není předmětem tohoto SC, ale je součástí PO 2, SC 2.1.</w:t>
      </w:r>
    </w:p>
    <w:p w:rsidR="00254F5C" w:rsidRDefault="00254F5C">
      <w:pPr>
        <w:overflowPunct/>
        <w:autoSpaceDE/>
        <w:autoSpaceDN/>
        <w:adjustRightInd/>
        <w:jc w:val="left"/>
        <w:textAlignment w:val="auto"/>
      </w:pPr>
      <w:r>
        <w:br w:type="page"/>
      </w:r>
    </w:p>
    <w:p w:rsidR="002C41C1" w:rsidRPr="00DF6E0B" w:rsidRDefault="002C41C1" w:rsidP="00DF6E0B">
      <w:pPr>
        <w:pStyle w:val="Nadpis3"/>
      </w:pPr>
      <w:bookmarkStart w:id="26" w:name="_Toc413854339"/>
      <w:r w:rsidRPr="00DF6E0B">
        <w:lastRenderedPageBreak/>
        <w:t xml:space="preserve">Specifický cíl 1.2 </w:t>
      </w:r>
      <w:r w:rsidRPr="0086149D">
        <w:t>–</w:t>
      </w:r>
      <w:r w:rsidRPr="00DF6E0B">
        <w:t xml:space="preserve"> Zvýšit intenzitu a účinnost spolupráce ve výzkumu, vývoji a inovacích</w:t>
      </w:r>
      <w:bookmarkEnd w:id="26"/>
    </w:p>
    <w:p w:rsidR="002C41C1" w:rsidRDefault="002C41C1" w:rsidP="00B46E74">
      <w:pPr>
        <w:pStyle w:val="Neslovannadpisy"/>
      </w:pPr>
      <w:r>
        <w:t xml:space="preserve">Podporované aktivity: </w:t>
      </w:r>
    </w:p>
    <w:p w:rsidR="002C41C1" w:rsidRDefault="002C41C1" w:rsidP="00B46E74">
      <w:pPr>
        <w:pStyle w:val="Odstavecseseznamem"/>
        <w:numPr>
          <w:ilvl w:val="0"/>
          <w:numId w:val="7"/>
        </w:numPr>
      </w:pPr>
      <w:r>
        <w:t>Tvorba nových a rozšiřování a zvyšování kvality současných služeb podpůrné infrastruktury, tj. vědecko-technických parků, podnikatelských inovačních center, podnikatelských inkubátorů</w:t>
      </w:r>
    </w:p>
    <w:p w:rsidR="002C41C1" w:rsidRDefault="002C41C1" w:rsidP="00B46E74">
      <w:pPr>
        <w:pStyle w:val="Odstavecseseznamem"/>
        <w:numPr>
          <w:ilvl w:val="0"/>
          <w:numId w:val="7"/>
        </w:numPr>
      </w:pPr>
      <w:r>
        <w:t>Rozvoj sítí spolupráce, vč. klastrů a technologických platforem (zejména kolektivní výzkum, založený na potřebách většího počtu MSP i větších firem, rozvoj mezisektorové spolupráce a internacionalizace)</w:t>
      </w:r>
    </w:p>
    <w:p w:rsidR="002C41C1" w:rsidRDefault="002C41C1" w:rsidP="00B46E74">
      <w:pPr>
        <w:pStyle w:val="Odstavecseseznamem"/>
        <w:numPr>
          <w:ilvl w:val="0"/>
          <w:numId w:val="7"/>
        </w:numPr>
      </w:pPr>
      <w:r>
        <w:t xml:space="preserve">Vytváření partnerství pro znalostní transfer mezi podniky a univerzitami </w:t>
      </w:r>
    </w:p>
    <w:p w:rsidR="002C41C1" w:rsidRDefault="002C41C1" w:rsidP="00B46E74">
      <w:pPr>
        <w:pStyle w:val="Odstavecseseznamem"/>
        <w:numPr>
          <w:ilvl w:val="0"/>
          <w:numId w:val="7"/>
        </w:numPr>
      </w:pPr>
      <w:r>
        <w:t>Rozvoj komunikace a sdílení poznatků mezi podnikovou a výzkumnou sférou</w:t>
      </w:r>
    </w:p>
    <w:p w:rsidR="002C41C1" w:rsidRDefault="002C41C1" w:rsidP="00B46E74">
      <w:pPr>
        <w:pStyle w:val="Odstavecseseznamem"/>
        <w:numPr>
          <w:ilvl w:val="0"/>
          <w:numId w:val="7"/>
        </w:numPr>
      </w:pPr>
      <w:r>
        <w:t>Rozšiřování/výstavba sdílené infrastruktury pro průmyslový výzkum</w:t>
      </w:r>
    </w:p>
    <w:p w:rsidR="002C41C1" w:rsidRDefault="002C41C1" w:rsidP="00B46E74">
      <w:pPr>
        <w:pStyle w:val="Odstavecseseznamem"/>
        <w:numPr>
          <w:ilvl w:val="0"/>
          <w:numId w:val="7"/>
        </w:numPr>
      </w:pPr>
      <w:r>
        <w:t>Aktivity vedoucí ke komercializaci výsledků výzkumu pomocí aktivit ověření proveditelnosti („proof-of-concept“)</w:t>
      </w:r>
    </w:p>
    <w:p w:rsidR="002C41C1" w:rsidRDefault="002C41C1" w:rsidP="00664618">
      <w:pPr>
        <w:pStyle w:val="Neslovannadpisy"/>
      </w:pPr>
    </w:p>
    <w:p w:rsidR="002C41C1" w:rsidRDefault="002C41C1" w:rsidP="00664618">
      <w:pPr>
        <w:pStyle w:val="Neslovannadpisy"/>
      </w:pPr>
      <w:r w:rsidRPr="006416BA">
        <w:t xml:space="preserve">Cílová skupina konečných příjemců: </w:t>
      </w:r>
    </w:p>
    <w:p w:rsidR="002C41C1" w:rsidRDefault="002C41C1" w:rsidP="007D1614">
      <w:r>
        <w:t>Podnikatelské subjekty, podnikatelská seskupení, orgány státní správy a samosprávy (včetně jejich svazků), jim podřízené či jimi zřízené organizace, organizace pro výzkum a šíření znalostí (tj. subjekty splňující definici výzkumné organizace dle Rámce pro státní podporu Výzkumu, vývoje a inovací), neziskové organizace</w:t>
      </w:r>
    </w:p>
    <w:p w:rsidR="002C41C1" w:rsidRDefault="002C41C1" w:rsidP="007D1614"/>
    <w:p w:rsidR="002C41C1" w:rsidRDefault="002C41C1" w:rsidP="00664618">
      <w:pPr>
        <w:pStyle w:val="Neslovannadpisy"/>
      </w:pPr>
      <w:r w:rsidRPr="00664618">
        <w:t xml:space="preserve">Cílové území: </w:t>
      </w:r>
    </w:p>
    <w:p w:rsidR="002C41C1" w:rsidRDefault="002C41C1" w:rsidP="00664618">
      <w:r w:rsidRPr="00664618">
        <w:t>Území České republiky, mimo území hl. města Prahy.</w:t>
      </w:r>
    </w:p>
    <w:p w:rsidR="002C41C1" w:rsidRDefault="002C41C1" w:rsidP="00953BAD">
      <w:pPr>
        <w:pStyle w:val="Vtneslovannadpis"/>
      </w:pPr>
    </w:p>
    <w:p w:rsidR="002C41C1" w:rsidRDefault="002C41C1" w:rsidP="00953BAD">
      <w:pPr>
        <w:pStyle w:val="Vtneslovannadpis"/>
      </w:pPr>
      <w:r>
        <w:t>Tržní analýza</w:t>
      </w:r>
    </w:p>
    <w:p w:rsidR="002C41C1" w:rsidRDefault="0043123A" w:rsidP="00953BAD">
      <w:r>
        <w:t>Jak již bylo uvedeno v případě SC 1.1, z</w:t>
      </w:r>
      <w:r w:rsidR="002C41C1">
        <w:t xml:space="preserve"> domácích veřejných zdrojů byla na VaV vynaložena částka 27 mld. Kč, z nichž největší část směřovala na veřejné vysoké školy (11,8 mld. Kč, meziroční nárůst 4,7 %). Naopak v případě Akademie věd došlo k poklesu výdajů o 1,2 % proti roku 2012 (na 7,2 mld. Kč).</w:t>
      </w:r>
      <w:r w:rsidR="002C41C1">
        <w:rPr>
          <w:rStyle w:val="Znakapoznpodarou"/>
        </w:rPr>
        <w:footnoteReference w:id="8"/>
      </w:r>
    </w:p>
    <w:p w:rsidR="002C41C1" w:rsidRDefault="002C41C1" w:rsidP="00953BAD"/>
    <w:p w:rsidR="002C41C1" w:rsidRDefault="002C41C1" w:rsidP="00953BAD">
      <w:r>
        <w:t xml:space="preserve">Ve vysokoškolském sektoru byla v roce 2013 na VaV vynaložena částka přesahující 21,2 mld. Kč, což je výrazně více, než ve veřejných výzkumných institucích a ostatních subjektech veřejného sektoru. </w:t>
      </w:r>
    </w:p>
    <w:p w:rsidR="002C41C1" w:rsidRDefault="002C41C1" w:rsidP="00953BAD"/>
    <w:p w:rsidR="002C41C1" w:rsidRDefault="002C41C1" w:rsidP="00D12A61">
      <w:pPr>
        <w:pStyle w:val="Neslovannadpisy"/>
      </w:pPr>
      <w:r>
        <w:t>Patentová aktivita</w:t>
      </w:r>
    </w:p>
    <w:p w:rsidR="002C41C1" w:rsidRDefault="002C41C1" w:rsidP="00D12A61">
      <w:r w:rsidRPr="00A35566">
        <w:rPr>
          <w:b/>
        </w:rPr>
        <w:t>Poptávku po pre</w:t>
      </w:r>
      <w:r>
        <w:rPr>
          <w:b/>
        </w:rPr>
        <w:t>-</w:t>
      </w:r>
      <w:r w:rsidRPr="00A35566">
        <w:rPr>
          <w:b/>
        </w:rPr>
        <w:t>seed financování</w:t>
      </w:r>
      <w:r>
        <w:t xml:space="preserve"> lze mimo jiného odvozovat od výsledků výzkumné aktivity v podobě požadovaných a přiznaných patentů a užitných vzorů. Výstupy veřejného výzkumu v podobě udělených patentů zaznamenaly v posledních letech poměrně rychlý nárůst. Zatímco ještě v roce 2008 bylo vysokým školám a veřejným výzkumným institucím uděleno nebo validováno Úřadem průmyslového vlastnictví ČR jen 47 patentů pro území ČR, v roce 2011 to již bylo 144 udělených patentů a v roce 2012 dokonce 190. </w:t>
      </w:r>
      <w:r w:rsidRPr="000A0F88">
        <w:rPr>
          <w:b/>
        </w:rPr>
        <w:t>Enormně rychle rostly patenty udělené pro ČR vysokým školám, konkrétně z 19 v roce 2008 na 142 v roce 2012</w:t>
      </w:r>
      <w:r>
        <w:t xml:space="preserve">. </w:t>
      </w:r>
    </w:p>
    <w:p w:rsidR="002C41C1" w:rsidRDefault="002C41C1" w:rsidP="00D12A61"/>
    <w:p w:rsidR="002C41C1" w:rsidRDefault="002C41C1" w:rsidP="00D12A61">
      <w:r>
        <w:t xml:space="preserve">Patentová aktivita českých subjektů (výzkumných organizací i podniků) v zahraničí však i přes trvalý nárůst výrazně zaostává za vyspělými zeměmi EU. Zatímco v EU27 bylo v roce 2012 podáno v průměru 129 přihlášek vynálezů u Evropského patentového úřadu na jeden milion obyvatel v ČR to bylo pouze 13 přihlášek. </w:t>
      </w:r>
      <w:r w:rsidRPr="000A0F88">
        <w:rPr>
          <w:b/>
        </w:rPr>
        <w:t xml:space="preserve">Nárůst patentové aktivity ve veřejném výzkumu v posledních letech ale </w:t>
      </w:r>
      <w:r w:rsidRPr="000A0F88">
        <w:rPr>
          <w:b/>
        </w:rPr>
        <w:lastRenderedPageBreak/>
        <w:t>není doprovázen odpovídajícím nárůstem počtu licencovaných patentů a souvisejících licenčních příjmů.</w:t>
      </w:r>
      <w:r>
        <w:t xml:space="preserve"> Při abstrahování od licenčních příjmů Ústavu organické chemie a biochemie Akademie věd ČR, který má v tomto ohledu výjimečné postavení, získaly vysoké školy a veřejné výzkumné instituce v roce 2012 necelých 19 mil. Kč z licenčních poplatků za poskytnuté právo využívat vynálezy či technická řešení chráněná patentem nebo užitným vzorem, přičemž pouze 1,2 mil. Kč pocházelo z nových smluv.</w:t>
      </w:r>
      <w:r w:rsidR="00254F5C">
        <w:t xml:space="preserve"> </w:t>
      </w:r>
      <w:r w:rsidRPr="00C85EB1">
        <w:rPr>
          <w:b/>
        </w:rPr>
        <w:t>Příčinou je mimo jiné současná metodika hodnocení výsledků vědy a výzkumu</w:t>
      </w:r>
      <w:r w:rsidRPr="007B7552">
        <w:t>, která jako jeden z ukazatelů sleduje právě počet patentových přihlášek. Ve výsledku jsou tak často podávány předčasné, nepřipravené, často ekonomicky nevyužitelné patenty.</w:t>
      </w:r>
    </w:p>
    <w:p w:rsidR="002C41C1" w:rsidRDefault="002C41C1" w:rsidP="00D12A61">
      <w:pPr>
        <w:pStyle w:val="Neslovannadpisy"/>
      </w:pPr>
    </w:p>
    <w:p w:rsidR="002C41C1" w:rsidRPr="00101728" w:rsidRDefault="002C41C1" w:rsidP="00D12A61">
      <w:pPr>
        <w:pStyle w:val="Neslovannadpisy"/>
      </w:pPr>
      <w:r>
        <w:t>Soukro</w:t>
      </w:r>
      <w:r w:rsidRPr="00101728">
        <w:t>mé zdroje financování</w:t>
      </w:r>
    </w:p>
    <w:p w:rsidR="002C41C1" w:rsidRDefault="002C41C1" w:rsidP="00D12A61">
      <w:r>
        <w:t>Podniky se zaměřují téměř výhradně na investice do výzkumu a vývoje realizovaného ve vlastní režii. Z výdajů vynaložených na veřejných školách a univerzitách byla pouhá 2 % (400 mil.) financována ze soukromých zdrojů. České soukromé subjekty ve srovnání se zeměmi OECD jen minimálně využívají výzkumné kapacity v akademických prostorách. Celkově má ovšem více než polovina (54 %) celkových výdajů na VaV (42,3 mld. Kč) v roce 2013 původ právě v soukromém sektoru.</w:t>
      </w:r>
    </w:p>
    <w:p w:rsidR="002C41C1" w:rsidRDefault="002C41C1" w:rsidP="00D12A61"/>
    <w:p w:rsidR="002C41C1" w:rsidRDefault="002C41C1" w:rsidP="00D12A61">
      <w:r>
        <w:t xml:space="preserve">Co se týče </w:t>
      </w:r>
      <w:r w:rsidRPr="00101728">
        <w:rPr>
          <w:b/>
        </w:rPr>
        <w:t>alternativních zdrojů soukromého financování</w:t>
      </w:r>
      <w:r>
        <w:rPr>
          <w:b/>
        </w:rPr>
        <w:t xml:space="preserve"> v oblasti pre-seed</w:t>
      </w:r>
      <w:r>
        <w:t>, Česká republika se vyznačuje značnou zaostalostí v jejich využívání, a to nejen v oblasti VaV – viz tržní selhání SC 1.2.</w:t>
      </w:r>
    </w:p>
    <w:p w:rsidR="002C41C1" w:rsidRDefault="002C41C1" w:rsidP="00953BAD"/>
    <w:p w:rsidR="002C41C1" w:rsidRDefault="002C41C1" w:rsidP="002A5076">
      <w:pPr>
        <w:pStyle w:val="Vtneslovannadpis"/>
        <w:rPr>
          <w:lang w:eastAsia="en-US"/>
        </w:rPr>
      </w:pPr>
      <w:r>
        <w:rPr>
          <w:lang w:eastAsia="en-US"/>
        </w:rPr>
        <w:t>Dosavadní podpora a analýza veřejných zdrojů financování</w:t>
      </w:r>
    </w:p>
    <w:p w:rsidR="002C41C1" w:rsidRDefault="002C41C1" w:rsidP="00953BAD">
      <w:r>
        <w:t>Operační programy zaměřené na VaVaI financované ze strukturálních fondů EU v posledních dvou letech zaznamenaly výrazný podíl jak na celkovém financování VaV v ČR (16 % podíl na GERD v roce 2012), tak především na financování vysokoškolského VaV. V roce 2012 se veřejné zahraniční zdroje podílely z 37 % na financování VaV provedeného ve vysokoškolském sektoru oproti 8 % v roce 2010. S ohledem na specifické postavení Prahy jako rozvinutého regionu soudržnosti byla v rámci těchto fondů podpora tohoto typu minimální. Následující schéma ilustruje operační programy podporující VaV a jejich strukturu, které jsou platné pro právě končící programové období.</w:t>
      </w:r>
    </w:p>
    <w:p w:rsidR="002C41C1" w:rsidRDefault="002C41C1" w:rsidP="00953BAD"/>
    <w:tbl>
      <w:tblPr>
        <w:tblW w:w="9001"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821"/>
        <w:gridCol w:w="1573"/>
        <w:gridCol w:w="1215"/>
        <w:gridCol w:w="1320"/>
        <w:gridCol w:w="1294"/>
        <w:gridCol w:w="1778"/>
      </w:tblGrid>
      <w:tr w:rsidR="002C41C1" w:rsidRPr="00661000" w:rsidTr="00661000">
        <w:tc>
          <w:tcPr>
            <w:tcW w:w="1716"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OP VaVpI</w:t>
            </w:r>
          </w:p>
        </w:tc>
        <w:tc>
          <w:tcPr>
            <w:tcW w:w="1606"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OP VK</w:t>
            </w:r>
          </w:p>
        </w:tc>
        <w:tc>
          <w:tcPr>
            <w:tcW w:w="1178"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OP PI</w:t>
            </w:r>
          </w:p>
        </w:tc>
        <w:tc>
          <w:tcPr>
            <w:tcW w:w="1331"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OP PK</w:t>
            </w:r>
          </w:p>
        </w:tc>
        <w:tc>
          <w:tcPr>
            <w:tcW w:w="1326" w:type="dxa"/>
            <w:tcBorders>
              <w:top w:val="dashSmallGap" w:sz="12" w:space="0" w:color="548DD4"/>
              <w:left w:val="dashSmallGap" w:sz="12" w:space="0" w:color="548DD4"/>
              <w:bottom w:val="dashSmallGap" w:sz="12" w:space="0" w:color="548DD4"/>
              <w:right w:val="dashSmallGap" w:sz="12" w:space="0" w:color="C0504D"/>
            </w:tcBorders>
          </w:tcPr>
          <w:p w:rsidR="002C41C1" w:rsidRPr="00661000" w:rsidRDefault="002C41C1" w:rsidP="00661000">
            <w:pPr>
              <w:keepNext/>
              <w:jc w:val="left"/>
              <w:rPr>
                <w:szCs w:val="19"/>
                <w:lang w:val="en-US" w:eastAsia="en-US"/>
              </w:rPr>
            </w:pPr>
            <w:r w:rsidRPr="00661000">
              <w:rPr>
                <w:szCs w:val="19"/>
                <w:lang w:val="en-US" w:eastAsia="en-US"/>
              </w:rPr>
              <w:t>OP PA</w:t>
            </w:r>
          </w:p>
        </w:tc>
        <w:tc>
          <w:tcPr>
            <w:tcW w:w="1844" w:type="dxa"/>
            <w:tcBorders>
              <w:top w:val="dashSmallGap" w:sz="12" w:space="0" w:color="C0504D"/>
              <w:left w:val="dashSmallGap" w:sz="12" w:space="0" w:color="C0504D"/>
              <w:bottom w:val="dashSmallGap" w:sz="12" w:space="0" w:color="C0504D"/>
              <w:right w:val="dashSmallGap" w:sz="12" w:space="0" w:color="C0504D"/>
            </w:tcBorders>
          </w:tcPr>
          <w:p w:rsidR="002C41C1" w:rsidRPr="00661000" w:rsidRDefault="002C41C1" w:rsidP="00661000">
            <w:pPr>
              <w:keepNext/>
              <w:jc w:val="left"/>
              <w:rPr>
                <w:szCs w:val="19"/>
                <w:lang w:val="en-US" w:eastAsia="en-US"/>
              </w:rPr>
            </w:pPr>
            <w:r w:rsidRPr="00661000">
              <w:rPr>
                <w:szCs w:val="19"/>
                <w:lang w:val="en-US" w:eastAsia="en-US"/>
              </w:rPr>
              <w:t>Operační program</w:t>
            </w:r>
          </w:p>
        </w:tc>
      </w:tr>
      <w:tr w:rsidR="002C41C1" w:rsidRPr="00661000" w:rsidTr="00661000">
        <w:tc>
          <w:tcPr>
            <w:tcW w:w="1716"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PO 1 - PO 4</w:t>
            </w:r>
          </w:p>
        </w:tc>
        <w:tc>
          <w:tcPr>
            <w:tcW w:w="1606"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PO 2</w:t>
            </w:r>
          </w:p>
        </w:tc>
        <w:tc>
          <w:tcPr>
            <w:tcW w:w="1178"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PO 4 - PO 5</w:t>
            </w:r>
          </w:p>
        </w:tc>
        <w:tc>
          <w:tcPr>
            <w:tcW w:w="1331"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PO 3</w:t>
            </w:r>
          </w:p>
        </w:tc>
        <w:tc>
          <w:tcPr>
            <w:tcW w:w="1326" w:type="dxa"/>
            <w:tcBorders>
              <w:top w:val="dashSmallGap" w:sz="12" w:space="0" w:color="548DD4"/>
              <w:left w:val="dashSmallGap" w:sz="12" w:space="0" w:color="548DD4"/>
              <w:bottom w:val="dashSmallGap" w:sz="12" w:space="0" w:color="548DD4"/>
              <w:right w:val="dashSmallGap" w:sz="12" w:space="0" w:color="C0504D"/>
            </w:tcBorders>
          </w:tcPr>
          <w:p w:rsidR="002C41C1" w:rsidRPr="00661000" w:rsidRDefault="002C41C1" w:rsidP="00661000">
            <w:pPr>
              <w:keepNext/>
              <w:jc w:val="left"/>
              <w:rPr>
                <w:szCs w:val="19"/>
                <w:lang w:val="en-US" w:eastAsia="en-US"/>
              </w:rPr>
            </w:pPr>
            <w:r w:rsidRPr="00661000">
              <w:rPr>
                <w:szCs w:val="19"/>
                <w:lang w:val="en-US" w:eastAsia="en-US"/>
              </w:rPr>
              <w:t>PO 1</w:t>
            </w:r>
          </w:p>
        </w:tc>
        <w:tc>
          <w:tcPr>
            <w:tcW w:w="1844" w:type="dxa"/>
            <w:tcBorders>
              <w:top w:val="dashSmallGap" w:sz="12" w:space="0" w:color="C0504D"/>
              <w:left w:val="dashSmallGap" w:sz="12" w:space="0" w:color="C0504D"/>
              <w:bottom w:val="dashSmallGap" w:sz="12" w:space="0" w:color="C0504D"/>
              <w:right w:val="dashSmallGap" w:sz="12" w:space="0" w:color="C0504D"/>
            </w:tcBorders>
          </w:tcPr>
          <w:p w:rsidR="002C41C1" w:rsidRPr="00661000" w:rsidRDefault="002C41C1" w:rsidP="00661000">
            <w:pPr>
              <w:keepNext/>
              <w:jc w:val="left"/>
              <w:rPr>
                <w:szCs w:val="19"/>
                <w:lang w:val="en-US" w:eastAsia="en-US"/>
              </w:rPr>
            </w:pPr>
            <w:r w:rsidRPr="00661000">
              <w:rPr>
                <w:szCs w:val="19"/>
                <w:lang w:val="en-US" w:eastAsia="en-US"/>
              </w:rPr>
              <w:t>Prioritní</w:t>
            </w:r>
            <w:r w:rsidR="00254F5C">
              <w:rPr>
                <w:szCs w:val="19"/>
                <w:lang w:val="en-US" w:eastAsia="en-US"/>
              </w:rPr>
              <w:t xml:space="preserve"> </w:t>
            </w:r>
            <w:r w:rsidRPr="00661000">
              <w:rPr>
                <w:szCs w:val="19"/>
                <w:lang w:val="en-US" w:eastAsia="en-US"/>
              </w:rPr>
              <w:t>osa</w:t>
            </w:r>
          </w:p>
        </w:tc>
      </w:tr>
      <w:tr w:rsidR="002C41C1" w:rsidRPr="00661000" w:rsidTr="00661000">
        <w:tc>
          <w:tcPr>
            <w:tcW w:w="1716"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Evropská</w:t>
            </w:r>
            <w:r w:rsidR="00254F5C">
              <w:rPr>
                <w:szCs w:val="19"/>
                <w:lang w:val="en-US" w:eastAsia="en-US"/>
              </w:rPr>
              <w:t xml:space="preserve"> </w:t>
            </w:r>
            <w:r w:rsidRPr="00661000">
              <w:rPr>
                <w:szCs w:val="19"/>
                <w:lang w:val="en-US" w:eastAsia="en-US"/>
              </w:rPr>
              <w:t>centra</w:t>
            </w:r>
            <w:r w:rsidR="00254F5C">
              <w:rPr>
                <w:szCs w:val="19"/>
                <w:lang w:val="en-US" w:eastAsia="en-US"/>
              </w:rPr>
              <w:t xml:space="preserve"> </w:t>
            </w:r>
            <w:r w:rsidRPr="00661000">
              <w:rPr>
                <w:szCs w:val="19"/>
                <w:lang w:val="en-US" w:eastAsia="en-US"/>
              </w:rPr>
              <w:t>excelence</w:t>
            </w:r>
          </w:p>
        </w:tc>
        <w:tc>
          <w:tcPr>
            <w:tcW w:w="1606"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Lidské</w:t>
            </w:r>
            <w:r w:rsidR="00254F5C">
              <w:rPr>
                <w:szCs w:val="19"/>
                <w:lang w:val="en-US" w:eastAsia="en-US"/>
              </w:rPr>
              <w:t xml:space="preserve"> </w:t>
            </w:r>
            <w:r w:rsidRPr="00661000">
              <w:rPr>
                <w:szCs w:val="19"/>
                <w:lang w:val="en-US" w:eastAsia="en-US"/>
              </w:rPr>
              <w:t>zdroje</w:t>
            </w:r>
            <w:r w:rsidR="00254F5C">
              <w:rPr>
                <w:szCs w:val="19"/>
                <w:lang w:val="en-US" w:eastAsia="en-US"/>
              </w:rPr>
              <w:t xml:space="preserve"> </w:t>
            </w:r>
            <w:r w:rsidRPr="00661000">
              <w:rPr>
                <w:szCs w:val="19"/>
                <w:lang w:val="en-US" w:eastAsia="en-US"/>
              </w:rPr>
              <w:t>ve</w:t>
            </w:r>
            <w:r w:rsidR="00254F5C">
              <w:rPr>
                <w:szCs w:val="19"/>
                <w:lang w:val="en-US" w:eastAsia="en-US"/>
              </w:rPr>
              <w:t xml:space="preserve"> </w:t>
            </w:r>
            <w:r w:rsidRPr="00661000">
              <w:rPr>
                <w:szCs w:val="19"/>
                <w:lang w:val="en-US" w:eastAsia="en-US"/>
              </w:rPr>
              <w:t>VaV</w:t>
            </w:r>
          </w:p>
        </w:tc>
        <w:tc>
          <w:tcPr>
            <w:tcW w:w="1178" w:type="dxa"/>
            <w:tcBorders>
              <w:top w:val="dashSmallGap" w:sz="12" w:space="0" w:color="548DD4"/>
              <w:left w:val="dashSmallGap" w:sz="12" w:space="0" w:color="548DD4"/>
              <w:bottom w:val="dashSmallGap" w:sz="12" w:space="0" w:color="548DD4"/>
              <w:right w:val="dashSmallGap" w:sz="12" w:space="0" w:color="548DD4"/>
            </w:tcBorders>
          </w:tcPr>
          <w:p w:rsidR="002C41C1" w:rsidRPr="00DF6E0B" w:rsidRDefault="002C41C1" w:rsidP="00661000">
            <w:pPr>
              <w:keepNext/>
              <w:jc w:val="left"/>
              <w:rPr>
                <w:b/>
                <w:szCs w:val="19"/>
                <w:lang w:val="en-US" w:eastAsia="en-US"/>
              </w:rPr>
            </w:pPr>
            <w:r w:rsidRPr="00DF6E0B">
              <w:rPr>
                <w:b/>
                <w:szCs w:val="19"/>
                <w:highlight w:val="cyan"/>
                <w:lang w:val="en-US" w:eastAsia="en-US"/>
              </w:rPr>
              <w:t>Inovace</w:t>
            </w:r>
          </w:p>
        </w:tc>
        <w:tc>
          <w:tcPr>
            <w:tcW w:w="1331"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Rozvoj</w:t>
            </w:r>
            <w:r w:rsidR="00254F5C">
              <w:rPr>
                <w:szCs w:val="19"/>
                <w:lang w:val="en-US" w:eastAsia="en-US"/>
              </w:rPr>
              <w:t xml:space="preserve"> </w:t>
            </w:r>
            <w:r w:rsidRPr="00661000">
              <w:rPr>
                <w:szCs w:val="19"/>
                <w:lang w:val="en-US" w:eastAsia="en-US"/>
              </w:rPr>
              <w:t>inovačního</w:t>
            </w:r>
            <w:r w:rsidR="00254F5C">
              <w:rPr>
                <w:szCs w:val="19"/>
                <w:lang w:val="en-US" w:eastAsia="en-US"/>
              </w:rPr>
              <w:t xml:space="preserve"> </w:t>
            </w:r>
            <w:r w:rsidRPr="00661000">
              <w:rPr>
                <w:szCs w:val="19"/>
                <w:lang w:val="en-US" w:eastAsia="en-US"/>
              </w:rPr>
              <w:t>prostředí</w:t>
            </w:r>
          </w:p>
        </w:tc>
        <w:tc>
          <w:tcPr>
            <w:tcW w:w="1326" w:type="dxa"/>
            <w:tcBorders>
              <w:top w:val="dashSmallGap" w:sz="12" w:space="0" w:color="548DD4"/>
              <w:left w:val="dashSmallGap" w:sz="12" w:space="0" w:color="548DD4"/>
              <w:bottom w:val="dashSmallGap" w:sz="12" w:space="0" w:color="548DD4"/>
              <w:right w:val="dashSmallGap" w:sz="12" w:space="0" w:color="C0504D"/>
            </w:tcBorders>
          </w:tcPr>
          <w:p w:rsidR="002C41C1" w:rsidRPr="00661000" w:rsidRDefault="002C41C1" w:rsidP="00661000">
            <w:pPr>
              <w:keepNext/>
              <w:jc w:val="left"/>
              <w:rPr>
                <w:szCs w:val="19"/>
                <w:lang w:val="en-US" w:eastAsia="en-US"/>
              </w:rPr>
            </w:pPr>
            <w:r w:rsidRPr="00661000">
              <w:rPr>
                <w:szCs w:val="19"/>
                <w:lang w:val="en-US" w:eastAsia="en-US"/>
              </w:rPr>
              <w:t>Rozvoj</w:t>
            </w:r>
            <w:r w:rsidR="00254F5C">
              <w:rPr>
                <w:szCs w:val="19"/>
                <w:lang w:val="en-US" w:eastAsia="en-US"/>
              </w:rPr>
              <w:t xml:space="preserve"> </w:t>
            </w:r>
            <w:r w:rsidRPr="00661000">
              <w:rPr>
                <w:szCs w:val="19"/>
                <w:lang w:val="en-US" w:eastAsia="en-US"/>
              </w:rPr>
              <w:t>lidských</w:t>
            </w:r>
            <w:r w:rsidR="00254F5C">
              <w:rPr>
                <w:szCs w:val="19"/>
                <w:lang w:val="en-US" w:eastAsia="en-US"/>
              </w:rPr>
              <w:t xml:space="preserve"> </w:t>
            </w:r>
            <w:r w:rsidRPr="00661000">
              <w:rPr>
                <w:szCs w:val="19"/>
                <w:lang w:val="en-US" w:eastAsia="en-US"/>
              </w:rPr>
              <w:t>zdrojů</w:t>
            </w:r>
            <w:r w:rsidR="00254F5C">
              <w:rPr>
                <w:szCs w:val="19"/>
                <w:lang w:val="en-US" w:eastAsia="en-US"/>
              </w:rPr>
              <w:t xml:space="preserve"> </w:t>
            </w:r>
            <w:r w:rsidRPr="00661000">
              <w:rPr>
                <w:szCs w:val="19"/>
                <w:lang w:val="en-US" w:eastAsia="en-US"/>
              </w:rPr>
              <w:t>ve</w:t>
            </w:r>
            <w:r w:rsidR="00254F5C">
              <w:rPr>
                <w:szCs w:val="19"/>
                <w:lang w:val="en-US" w:eastAsia="en-US"/>
              </w:rPr>
              <w:t xml:space="preserve"> </w:t>
            </w:r>
            <w:r w:rsidRPr="00661000">
              <w:rPr>
                <w:szCs w:val="19"/>
                <w:lang w:val="en-US" w:eastAsia="en-US"/>
              </w:rPr>
              <w:t>VaV</w:t>
            </w:r>
          </w:p>
        </w:tc>
        <w:tc>
          <w:tcPr>
            <w:tcW w:w="1844" w:type="dxa"/>
            <w:vMerge w:val="restart"/>
            <w:tcBorders>
              <w:top w:val="dashSmallGap" w:sz="12" w:space="0" w:color="C0504D"/>
              <w:left w:val="dashSmallGap" w:sz="12" w:space="0" w:color="C0504D"/>
              <w:bottom w:val="dashSmallGap" w:sz="12" w:space="0" w:color="C0504D"/>
              <w:right w:val="dashSmallGap" w:sz="12" w:space="0" w:color="C0504D"/>
            </w:tcBorders>
          </w:tcPr>
          <w:p w:rsidR="002C41C1" w:rsidRPr="00661000" w:rsidRDefault="002C41C1" w:rsidP="00661000">
            <w:pPr>
              <w:keepNext/>
              <w:jc w:val="left"/>
              <w:rPr>
                <w:szCs w:val="19"/>
                <w:lang w:val="en-US" w:eastAsia="en-US"/>
              </w:rPr>
            </w:pPr>
            <w:r w:rsidRPr="00661000">
              <w:rPr>
                <w:szCs w:val="19"/>
                <w:lang w:val="en-US" w:eastAsia="en-US"/>
              </w:rPr>
              <w:t>Oblast podpory /cíl / téma</w:t>
            </w:r>
          </w:p>
        </w:tc>
      </w:tr>
      <w:tr w:rsidR="002C41C1" w:rsidRPr="00661000" w:rsidTr="00661000">
        <w:tc>
          <w:tcPr>
            <w:tcW w:w="1716"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Regionální</w:t>
            </w:r>
            <w:r w:rsidR="00254F5C">
              <w:rPr>
                <w:szCs w:val="19"/>
                <w:lang w:val="en-US" w:eastAsia="en-US"/>
              </w:rPr>
              <w:t xml:space="preserve"> </w:t>
            </w:r>
            <w:r w:rsidRPr="00661000">
              <w:rPr>
                <w:szCs w:val="19"/>
                <w:lang w:val="en-US" w:eastAsia="en-US"/>
              </w:rPr>
              <w:t>VaV</w:t>
            </w:r>
            <w:r w:rsidR="00254F5C">
              <w:rPr>
                <w:szCs w:val="19"/>
                <w:lang w:val="en-US" w:eastAsia="en-US"/>
              </w:rPr>
              <w:t xml:space="preserve"> </w:t>
            </w:r>
            <w:r w:rsidRPr="00661000">
              <w:rPr>
                <w:szCs w:val="19"/>
                <w:lang w:val="en-US" w:eastAsia="en-US"/>
              </w:rPr>
              <w:t>centra</w:t>
            </w:r>
          </w:p>
        </w:tc>
        <w:tc>
          <w:tcPr>
            <w:tcW w:w="1606"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Partnerství a sítě</w:t>
            </w:r>
          </w:p>
        </w:tc>
        <w:tc>
          <w:tcPr>
            <w:tcW w:w="1178"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Potenciál</w:t>
            </w:r>
          </w:p>
        </w:tc>
        <w:tc>
          <w:tcPr>
            <w:tcW w:w="1331" w:type="dxa"/>
            <w:tcBorders>
              <w:top w:val="dashSmallGap" w:sz="12" w:space="0" w:color="548DD4"/>
              <w:left w:val="dashSmallGap" w:sz="12" w:space="0" w:color="548DD4"/>
              <w:bottom w:val="nil"/>
              <w:right w:val="nil"/>
            </w:tcBorders>
          </w:tcPr>
          <w:p w:rsidR="002C41C1" w:rsidRPr="00661000" w:rsidRDefault="002C41C1" w:rsidP="00661000">
            <w:pPr>
              <w:keepNext/>
              <w:jc w:val="left"/>
              <w:rPr>
                <w:szCs w:val="19"/>
                <w:lang w:val="en-US" w:eastAsia="en-US"/>
              </w:rPr>
            </w:pPr>
          </w:p>
        </w:tc>
        <w:tc>
          <w:tcPr>
            <w:tcW w:w="1326" w:type="dxa"/>
            <w:tcBorders>
              <w:top w:val="dashSmallGap" w:sz="12" w:space="0" w:color="548DD4"/>
              <w:left w:val="nil"/>
              <w:bottom w:val="nil"/>
              <w:right w:val="dashSmallGap" w:sz="12" w:space="0" w:color="C0504D"/>
            </w:tcBorders>
          </w:tcPr>
          <w:p w:rsidR="002C41C1" w:rsidRPr="00661000" w:rsidRDefault="002C41C1" w:rsidP="00661000">
            <w:pPr>
              <w:keepNext/>
              <w:jc w:val="left"/>
              <w:rPr>
                <w:szCs w:val="19"/>
                <w:lang w:val="en-US" w:eastAsia="en-US"/>
              </w:rPr>
            </w:pPr>
          </w:p>
        </w:tc>
        <w:tc>
          <w:tcPr>
            <w:tcW w:w="1844" w:type="dxa"/>
            <w:vMerge/>
            <w:tcBorders>
              <w:top w:val="dashSmallGap" w:sz="12" w:space="0" w:color="C0504D"/>
              <w:left w:val="dashSmallGap" w:sz="12" w:space="0" w:color="C0504D"/>
              <w:bottom w:val="dashSmallGap" w:sz="12" w:space="0" w:color="C0504D"/>
              <w:right w:val="dashSmallGap" w:sz="12" w:space="0" w:color="C0504D"/>
            </w:tcBorders>
          </w:tcPr>
          <w:p w:rsidR="002C41C1" w:rsidRPr="00661000" w:rsidRDefault="002C41C1" w:rsidP="00661000">
            <w:pPr>
              <w:keepNext/>
              <w:jc w:val="left"/>
              <w:rPr>
                <w:szCs w:val="19"/>
                <w:lang w:val="en-US" w:eastAsia="en-US"/>
              </w:rPr>
            </w:pPr>
          </w:p>
        </w:tc>
      </w:tr>
      <w:tr w:rsidR="002C41C1" w:rsidRPr="00661000" w:rsidTr="00661000">
        <w:tc>
          <w:tcPr>
            <w:tcW w:w="1716" w:type="dxa"/>
            <w:tcBorders>
              <w:top w:val="dashSmallGap" w:sz="12" w:space="0" w:color="548DD4"/>
              <w:left w:val="dashSmallGap" w:sz="12" w:space="0" w:color="548DD4"/>
              <w:bottom w:val="dashSmallGap" w:sz="12" w:space="0" w:color="548DD4"/>
              <w:right w:val="dashSmallGap" w:sz="12" w:space="0" w:color="548DD4"/>
            </w:tcBorders>
          </w:tcPr>
          <w:p w:rsidR="002C41C1" w:rsidRPr="00DF6E0B" w:rsidRDefault="002C41C1" w:rsidP="00661000">
            <w:pPr>
              <w:keepNext/>
              <w:jc w:val="left"/>
              <w:rPr>
                <w:b/>
                <w:szCs w:val="19"/>
                <w:lang w:val="en-US" w:eastAsia="en-US"/>
              </w:rPr>
            </w:pPr>
            <w:r w:rsidRPr="00DF6E0B">
              <w:rPr>
                <w:b/>
                <w:szCs w:val="19"/>
                <w:highlight w:val="cyan"/>
                <w:lang w:val="en-US" w:eastAsia="en-US"/>
              </w:rPr>
              <w:t>Komercionalizace</w:t>
            </w:r>
          </w:p>
        </w:tc>
        <w:tc>
          <w:tcPr>
            <w:tcW w:w="1606" w:type="dxa"/>
            <w:tcBorders>
              <w:top w:val="dashSmallGap" w:sz="12" w:space="0" w:color="548DD4"/>
              <w:left w:val="dashSmallGap" w:sz="12" w:space="0" w:color="548DD4"/>
              <w:bottom w:val="nil"/>
              <w:right w:val="dashSmallGap" w:sz="12" w:space="0" w:color="548DD4"/>
            </w:tcBorders>
          </w:tcPr>
          <w:p w:rsidR="002C41C1" w:rsidRPr="00661000" w:rsidRDefault="002C41C1" w:rsidP="00661000">
            <w:pPr>
              <w:keepNext/>
              <w:jc w:val="left"/>
              <w:rPr>
                <w:szCs w:val="19"/>
                <w:lang w:val="en-US" w:eastAsia="en-US"/>
              </w:rPr>
            </w:pPr>
          </w:p>
        </w:tc>
        <w:tc>
          <w:tcPr>
            <w:tcW w:w="1178" w:type="dxa"/>
            <w:tcBorders>
              <w:top w:val="dashSmallGap" w:sz="12" w:space="0" w:color="548DD4"/>
              <w:left w:val="dashSmallGap" w:sz="12" w:space="0" w:color="548DD4"/>
              <w:bottom w:val="dashSmallGap" w:sz="12" w:space="0" w:color="548DD4"/>
              <w:right w:val="dashSmallGap" w:sz="12" w:space="0" w:color="548DD4"/>
            </w:tcBorders>
          </w:tcPr>
          <w:p w:rsidR="002C41C1" w:rsidRPr="00DF6E0B" w:rsidRDefault="002C41C1" w:rsidP="00661000">
            <w:pPr>
              <w:keepNext/>
              <w:jc w:val="left"/>
              <w:rPr>
                <w:b/>
                <w:szCs w:val="19"/>
                <w:lang w:val="en-US" w:eastAsia="en-US"/>
              </w:rPr>
            </w:pPr>
            <w:r w:rsidRPr="00DF6E0B">
              <w:rPr>
                <w:b/>
                <w:szCs w:val="19"/>
                <w:highlight w:val="cyan"/>
                <w:lang w:val="en-US" w:eastAsia="en-US"/>
              </w:rPr>
              <w:t>Prosperita</w:t>
            </w:r>
          </w:p>
        </w:tc>
        <w:tc>
          <w:tcPr>
            <w:tcW w:w="1331" w:type="dxa"/>
            <w:tcBorders>
              <w:top w:val="nil"/>
              <w:left w:val="dashSmallGap" w:sz="12" w:space="0" w:color="548DD4"/>
              <w:bottom w:val="nil"/>
              <w:right w:val="nil"/>
            </w:tcBorders>
          </w:tcPr>
          <w:p w:rsidR="002C41C1" w:rsidRPr="00661000" w:rsidRDefault="002C41C1" w:rsidP="00661000">
            <w:pPr>
              <w:keepNext/>
              <w:jc w:val="left"/>
              <w:rPr>
                <w:szCs w:val="19"/>
                <w:lang w:val="en-US" w:eastAsia="en-US"/>
              </w:rPr>
            </w:pPr>
          </w:p>
        </w:tc>
        <w:tc>
          <w:tcPr>
            <w:tcW w:w="1326" w:type="dxa"/>
            <w:tcBorders>
              <w:top w:val="nil"/>
              <w:left w:val="nil"/>
              <w:bottom w:val="nil"/>
              <w:right w:val="dashSmallGap" w:sz="12" w:space="0" w:color="C0504D"/>
            </w:tcBorders>
          </w:tcPr>
          <w:p w:rsidR="002C41C1" w:rsidRPr="00661000" w:rsidRDefault="002C41C1" w:rsidP="00661000">
            <w:pPr>
              <w:keepNext/>
              <w:jc w:val="left"/>
              <w:rPr>
                <w:szCs w:val="19"/>
                <w:lang w:val="en-US" w:eastAsia="en-US"/>
              </w:rPr>
            </w:pPr>
          </w:p>
        </w:tc>
        <w:tc>
          <w:tcPr>
            <w:tcW w:w="1844" w:type="dxa"/>
            <w:vMerge/>
            <w:tcBorders>
              <w:top w:val="dashSmallGap" w:sz="12" w:space="0" w:color="C0504D"/>
              <w:left w:val="dashSmallGap" w:sz="12" w:space="0" w:color="C0504D"/>
              <w:bottom w:val="dashSmallGap" w:sz="12" w:space="0" w:color="C0504D"/>
              <w:right w:val="dashSmallGap" w:sz="12" w:space="0" w:color="C0504D"/>
            </w:tcBorders>
          </w:tcPr>
          <w:p w:rsidR="002C41C1" w:rsidRPr="00661000" w:rsidRDefault="002C41C1" w:rsidP="00661000">
            <w:pPr>
              <w:keepNext/>
              <w:jc w:val="left"/>
              <w:rPr>
                <w:szCs w:val="19"/>
                <w:lang w:val="en-US" w:eastAsia="en-US"/>
              </w:rPr>
            </w:pPr>
          </w:p>
        </w:tc>
      </w:tr>
      <w:tr w:rsidR="002C41C1" w:rsidRPr="00661000" w:rsidTr="00661000">
        <w:tc>
          <w:tcPr>
            <w:tcW w:w="1716"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Popularizace</w:t>
            </w:r>
          </w:p>
        </w:tc>
        <w:tc>
          <w:tcPr>
            <w:tcW w:w="1606" w:type="dxa"/>
            <w:tcBorders>
              <w:top w:val="nil"/>
              <w:left w:val="dashSmallGap" w:sz="12" w:space="0" w:color="548DD4"/>
              <w:bottom w:val="nil"/>
              <w:right w:val="dashSmallGap" w:sz="12" w:space="0" w:color="548DD4"/>
            </w:tcBorders>
          </w:tcPr>
          <w:p w:rsidR="002C41C1" w:rsidRPr="00661000" w:rsidRDefault="002C41C1" w:rsidP="00661000">
            <w:pPr>
              <w:keepNext/>
              <w:jc w:val="left"/>
              <w:rPr>
                <w:szCs w:val="19"/>
                <w:lang w:val="en-US" w:eastAsia="en-US"/>
              </w:rPr>
            </w:pPr>
          </w:p>
        </w:tc>
        <w:tc>
          <w:tcPr>
            <w:tcW w:w="1178"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Spolupráce</w:t>
            </w:r>
          </w:p>
        </w:tc>
        <w:tc>
          <w:tcPr>
            <w:tcW w:w="1331" w:type="dxa"/>
            <w:tcBorders>
              <w:top w:val="nil"/>
              <w:left w:val="dashSmallGap" w:sz="12" w:space="0" w:color="548DD4"/>
              <w:bottom w:val="nil"/>
              <w:right w:val="nil"/>
            </w:tcBorders>
          </w:tcPr>
          <w:p w:rsidR="002C41C1" w:rsidRPr="00661000" w:rsidRDefault="002C41C1" w:rsidP="00661000">
            <w:pPr>
              <w:keepNext/>
              <w:jc w:val="left"/>
              <w:rPr>
                <w:szCs w:val="19"/>
                <w:lang w:val="en-US" w:eastAsia="en-US"/>
              </w:rPr>
            </w:pPr>
          </w:p>
        </w:tc>
        <w:tc>
          <w:tcPr>
            <w:tcW w:w="1326" w:type="dxa"/>
            <w:tcBorders>
              <w:top w:val="nil"/>
              <w:left w:val="nil"/>
              <w:bottom w:val="nil"/>
              <w:right w:val="dashSmallGap" w:sz="12" w:space="0" w:color="C0504D"/>
            </w:tcBorders>
          </w:tcPr>
          <w:p w:rsidR="002C41C1" w:rsidRPr="00661000" w:rsidRDefault="002C41C1" w:rsidP="00661000">
            <w:pPr>
              <w:keepNext/>
              <w:jc w:val="left"/>
              <w:rPr>
                <w:szCs w:val="19"/>
                <w:lang w:val="en-US" w:eastAsia="en-US"/>
              </w:rPr>
            </w:pPr>
          </w:p>
        </w:tc>
        <w:tc>
          <w:tcPr>
            <w:tcW w:w="1844" w:type="dxa"/>
            <w:vMerge/>
            <w:tcBorders>
              <w:top w:val="dashSmallGap" w:sz="12" w:space="0" w:color="C0504D"/>
              <w:left w:val="dashSmallGap" w:sz="12" w:space="0" w:color="C0504D"/>
              <w:bottom w:val="dashSmallGap" w:sz="12" w:space="0" w:color="C0504D"/>
              <w:right w:val="dashSmallGap" w:sz="12" w:space="0" w:color="C0504D"/>
            </w:tcBorders>
          </w:tcPr>
          <w:p w:rsidR="002C41C1" w:rsidRPr="00661000" w:rsidRDefault="002C41C1" w:rsidP="00661000">
            <w:pPr>
              <w:keepNext/>
              <w:jc w:val="left"/>
              <w:rPr>
                <w:szCs w:val="19"/>
                <w:lang w:val="en-US" w:eastAsia="en-US"/>
              </w:rPr>
            </w:pPr>
          </w:p>
        </w:tc>
      </w:tr>
      <w:tr w:rsidR="002C41C1" w:rsidRPr="00661000" w:rsidTr="00661000">
        <w:trPr>
          <w:trHeight w:val="407"/>
        </w:trPr>
        <w:tc>
          <w:tcPr>
            <w:tcW w:w="1716" w:type="dxa"/>
            <w:tcBorders>
              <w:top w:val="dashSmallGap" w:sz="12" w:space="0" w:color="548DD4"/>
              <w:left w:val="dashSmallGap" w:sz="12" w:space="0" w:color="548DD4"/>
              <w:bottom w:val="dashSmallGap" w:sz="12" w:space="0" w:color="548DD4"/>
              <w:right w:val="dashSmallGap" w:sz="12" w:space="0" w:color="548DD4"/>
            </w:tcBorders>
          </w:tcPr>
          <w:p w:rsidR="002C41C1" w:rsidRPr="00661000" w:rsidRDefault="002C41C1" w:rsidP="00661000">
            <w:pPr>
              <w:keepNext/>
              <w:jc w:val="left"/>
              <w:rPr>
                <w:szCs w:val="19"/>
                <w:lang w:val="en-US" w:eastAsia="en-US"/>
              </w:rPr>
            </w:pPr>
            <w:r w:rsidRPr="00661000">
              <w:rPr>
                <w:szCs w:val="19"/>
                <w:lang w:val="en-US" w:eastAsia="en-US"/>
              </w:rPr>
              <w:t>Infrastruktura</w:t>
            </w:r>
            <w:r w:rsidR="00254F5C">
              <w:rPr>
                <w:szCs w:val="19"/>
                <w:lang w:val="en-US" w:eastAsia="en-US"/>
              </w:rPr>
              <w:t xml:space="preserve"> </w:t>
            </w:r>
            <w:r w:rsidRPr="00661000">
              <w:rPr>
                <w:szCs w:val="19"/>
                <w:lang w:val="en-US" w:eastAsia="en-US"/>
              </w:rPr>
              <w:t>na VŠ</w:t>
            </w:r>
          </w:p>
        </w:tc>
        <w:tc>
          <w:tcPr>
            <w:tcW w:w="1606" w:type="dxa"/>
            <w:tcBorders>
              <w:top w:val="nil"/>
              <w:left w:val="dashSmallGap" w:sz="12" w:space="0" w:color="548DD4"/>
              <w:bottom w:val="nil"/>
              <w:right w:val="nil"/>
            </w:tcBorders>
          </w:tcPr>
          <w:p w:rsidR="002C41C1" w:rsidRPr="00661000" w:rsidRDefault="002C41C1" w:rsidP="00661000">
            <w:pPr>
              <w:keepNext/>
              <w:jc w:val="left"/>
              <w:rPr>
                <w:szCs w:val="19"/>
                <w:lang w:val="en-US" w:eastAsia="en-US"/>
              </w:rPr>
            </w:pPr>
          </w:p>
        </w:tc>
        <w:tc>
          <w:tcPr>
            <w:tcW w:w="1178" w:type="dxa"/>
            <w:tcBorders>
              <w:top w:val="dashSmallGap" w:sz="12" w:space="0" w:color="548DD4"/>
              <w:left w:val="nil"/>
              <w:bottom w:val="nil"/>
              <w:right w:val="nil"/>
            </w:tcBorders>
          </w:tcPr>
          <w:p w:rsidR="002C41C1" w:rsidRPr="00661000" w:rsidRDefault="002C41C1" w:rsidP="00661000">
            <w:pPr>
              <w:keepNext/>
              <w:jc w:val="left"/>
              <w:rPr>
                <w:szCs w:val="19"/>
                <w:lang w:val="en-US" w:eastAsia="en-US"/>
              </w:rPr>
            </w:pPr>
          </w:p>
        </w:tc>
        <w:tc>
          <w:tcPr>
            <w:tcW w:w="1331" w:type="dxa"/>
            <w:tcBorders>
              <w:top w:val="nil"/>
              <w:left w:val="nil"/>
              <w:bottom w:val="nil"/>
              <w:right w:val="nil"/>
            </w:tcBorders>
          </w:tcPr>
          <w:p w:rsidR="002C41C1" w:rsidRPr="00661000" w:rsidRDefault="002C41C1" w:rsidP="00661000">
            <w:pPr>
              <w:keepNext/>
              <w:jc w:val="left"/>
              <w:rPr>
                <w:szCs w:val="19"/>
                <w:lang w:val="en-US" w:eastAsia="en-US"/>
              </w:rPr>
            </w:pPr>
          </w:p>
        </w:tc>
        <w:tc>
          <w:tcPr>
            <w:tcW w:w="1326" w:type="dxa"/>
            <w:tcBorders>
              <w:top w:val="nil"/>
              <w:left w:val="nil"/>
              <w:bottom w:val="nil"/>
              <w:right w:val="dashSmallGap" w:sz="12" w:space="0" w:color="C0504D"/>
            </w:tcBorders>
          </w:tcPr>
          <w:p w:rsidR="002C41C1" w:rsidRPr="00661000" w:rsidRDefault="002C41C1" w:rsidP="00661000">
            <w:pPr>
              <w:keepNext/>
              <w:jc w:val="left"/>
              <w:rPr>
                <w:szCs w:val="19"/>
                <w:lang w:val="en-US" w:eastAsia="en-US"/>
              </w:rPr>
            </w:pPr>
          </w:p>
        </w:tc>
        <w:tc>
          <w:tcPr>
            <w:tcW w:w="1844" w:type="dxa"/>
            <w:vMerge/>
            <w:tcBorders>
              <w:top w:val="dashSmallGap" w:sz="12" w:space="0" w:color="C0504D"/>
              <w:left w:val="dashSmallGap" w:sz="12" w:space="0" w:color="C0504D"/>
              <w:bottom w:val="dashSmallGap" w:sz="12" w:space="0" w:color="C0504D"/>
              <w:right w:val="dashSmallGap" w:sz="12" w:space="0" w:color="C0504D"/>
            </w:tcBorders>
          </w:tcPr>
          <w:p w:rsidR="002C41C1" w:rsidRPr="00661000" w:rsidRDefault="002C41C1" w:rsidP="00661000">
            <w:pPr>
              <w:keepNext/>
              <w:jc w:val="left"/>
              <w:rPr>
                <w:szCs w:val="19"/>
                <w:lang w:val="en-US" w:eastAsia="en-US"/>
              </w:rPr>
            </w:pPr>
          </w:p>
        </w:tc>
      </w:tr>
      <w:tr w:rsidR="002C41C1" w:rsidRPr="00661000" w:rsidTr="00661000">
        <w:tc>
          <w:tcPr>
            <w:tcW w:w="1716" w:type="dxa"/>
            <w:tcBorders>
              <w:top w:val="dashSmallGap" w:sz="12" w:space="0" w:color="548DD4"/>
              <w:left w:val="nil"/>
              <w:right w:val="nil"/>
            </w:tcBorders>
          </w:tcPr>
          <w:p w:rsidR="002C41C1" w:rsidRPr="00661000" w:rsidRDefault="002C41C1" w:rsidP="00661000">
            <w:pPr>
              <w:keepNext/>
              <w:jc w:val="left"/>
              <w:rPr>
                <w:szCs w:val="19"/>
                <w:lang w:val="en-US" w:eastAsia="en-US"/>
              </w:rPr>
            </w:pPr>
          </w:p>
        </w:tc>
        <w:tc>
          <w:tcPr>
            <w:tcW w:w="1606" w:type="dxa"/>
            <w:tcBorders>
              <w:top w:val="nil"/>
              <w:left w:val="nil"/>
              <w:right w:val="nil"/>
            </w:tcBorders>
          </w:tcPr>
          <w:p w:rsidR="002C41C1" w:rsidRPr="00661000" w:rsidRDefault="002C41C1" w:rsidP="00661000">
            <w:pPr>
              <w:keepNext/>
              <w:jc w:val="left"/>
              <w:rPr>
                <w:szCs w:val="19"/>
                <w:lang w:val="en-US" w:eastAsia="en-US"/>
              </w:rPr>
            </w:pPr>
          </w:p>
        </w:tc>
        <w:tc>
          <w:tcPr>
            <w:tcW w:w="1178" w:type="dxa"/>
            <w:tcBorders>
              <w:top w:val="nil"/>
              <w:left w:val="nil"/>
              <w:right w:val="nil"/>
            </w:tcBorders>
          </w:tcPr>
          <w:p w:rsidR="002C41C1" w:rsidRPr="00661000" w:rsidRDefault="002C41C1" w:rsidP="00661000">
            <w:pPr>
              <w:keepNext/>
              <w:jc w:val="left"/>
              <w:rPr>
                <w:szCs w:val="19"/>
                <w:lang w:val="en-US" w:eastAsia="en-US"/>
              </w:rPr>
            </w:pPr>
          </w:p>
        </w:tc>
        <w:tc>
          <w:tcPr>
            <w:tcW w:w="1331" w:type="dxa"/>
            <w:tcBorders>
              <w:top w:val="nil"/>
              <w:left w:val="nil"/>
              <w:right w:val="nil"/>
            </w:tcBorders>
          </w:tcPr>
          <w:p w:rsidR="002C41C1" w:rsidRPr="00661000" w:rsidRDefault="002C41C1" w:rsidP="00661000">
            <w:pPr>
              <w:keepNext/>
              <w:jc w:val="left"/>
              <w:rPr>
                <w:szCs w:val="19"/>
                <w:lang w:val="en-US" w:eastAsia="en-US"/>
              </w:rPr>
            </w:pPr>
          </w:p>
        </w:tc>
        <w:tc>
          <w:tcPr>
            <w:tcW w:w="1326" w:type="dxa"/>
            <w:tcBorders>
              <w:top w:val="nil"/>
              <w:left w:val="nil"/>
              <w:right w:val="nil"/>
            </w:tcBorders>
          </w:tcPr>
          <w:p w:rsidR="002C41C1" w:rsidRPr="00661000" w:rsidRDefault="002C41C1" w:rsidP="00661000">
            <w:pPr>
              <w:keepNext/>
              <w:jc w:val="left"/>
              <w:rPr>
                <w:szCs w:val="19"/>
                <w:lang w:val="en-US" w:eastAsia="en-US"/>
              </w:rPr>
            </w:pPr>
          </w:p>
        </w:tc>
        <w:tc>
          <w:tcPr>
            <w:tcW w:w="1844" w:type="dxa"/>
            <w:tcBorders>
              <w:top w:val="dashSmallGap" w:sz="12" w:space="0" w:color="C0504D"/>
              <w:left w:val="nil"/>
              <w:right w:val="nil"/>
            </w:tcBorders>
          </w:tcPr>
          <w:p w:rsidR="002C41C1" w:rsidRPr="00661000" w:rsidRDefault="005F2B40" w:rsidP="00661000">
            <w:pPr>
              <w:keepNext/>
              <w:jc w:val="left"/>
              <w:rPr>
                <w:szCs w:val="19"/>
                <w:lang w:val="en-US" w:eastAsia="en-US"/>
              </w:rPr>
            </w:pPr>
            <w:r>
              <w:rPr>
                <w:noProof/>
              </w:rPr>
              <mc:AlternateContent>
                <mc:Choice Requires="wps">
                  <w:drawing>
                    <wp:anchor distT="0" distB="0" distL="114298" distR="114298" simplePos="0" relativeHeight="251659264" behindDoc="0" locked="0" layoutInCell="1" allowOverlap="1" wp14:anchorId="76CF8D11" wp14:editId="1363CF1F">
                      <wp:simplePos x="0" y="0"/>
                      <wp:positionH relativeFrom="column">
                        <wp:posOffset>488314</wp:posOffset>
                      </wp:positionH>
                      <wp:positionV relativeFrom="paragraph">
                        <wp:posOffset>15240</wp:posOffset>
                      </wp:positionV>
                      <wp:extent cx="0" cy="130810"/>
                      <wp:effectExtent l="76200" t="38100" r="57150" b="21590"/>
                      <wp:wrapNone/>
                      <wp:docPr id="3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0810"/>
                              </a:xfrm>
                              <a:prstGeom prst="straightConnector1">
                                <a:avLst/>
                              </a:prstGeom>
                              <a:noFill/>
                              <a:ln w="9525">
                                <a:solidFill>
                                  <a:srgbClr val="C050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38.45pt;margin-top:1.2pt;width:0;height:10.3pt;flip:y;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RkPQIAAGgEAAAOAAAAZHJzL2Uyb0RvYy54bWysVMGO2yAQvVfqPyDuie3ESRMrzmplJ71s&#10;20i77Z0AjlExICBxoqr/3gFns7vtpap6wQPMvHkz8/Dq7txJdOLWCa1KnI1TjLiimgl1KPHXp+1o&#10;gZHzRDEiteIlvnCH79bv3616U/CJbrVk3CIAUa7oTYlb702RJI62vCNurA1XcNlo2xEPW3tImCU9&#10;oHcymaTpPOm1ZcZqyp2D03q4xOuI3zSc+i9N47hHssTAzcfVxnUf1mS9IsXBEtMKeqVB/oFFR4SC&#10;pDeomniCjlb8AdUJarXTjR9T3SW6aQTlsQaoJkt/q+axJYbHWqA5ztza5P4fLP182lkkWImnS4wU&#10;6WBG90evY2qUzUKDeuMK8KvUzoYS6Vk9mgdNvzukdNUSdeDR++liIDgLEcmbkLBxBtLs+0+agQ+B&#10;BLFb58Z2qJHCfAuBARw6gs5xPJfbePjZIzocUjjNpukii5NLSBEQQpyxzn/kukPBKLHzlohD6yut&#10;FGhA2wGdnB6cD/xeAkKw0lshZZSCVKgv8XI2mUU6TkvBwmVwc/awr6RFJwJiqtJZmtexWLh57Wb1&#10;UbEI1nLCNlfbEyHBRj52yVsBfZMch2wdZxhJDu8nWAM9qUJGqBwIX61BTz+W6XKz2CzyUT6Zb0Z5&#10;Wtej+22Vj+bb7MOsntZVVWc/A/ksL1rBGFeB/7O2s/zvtHN9ZYMqb+q+NSp5ix47CmSfv5F0FEGY&#10;+6CgvWaXnQ3VBT2AnKPz9emF9/J6H71efhDrXwAAAP//AwBQSwMEFAAGAAgAAAAhAGm/K3zZAAAA&#10;BgEAAA8AAABkcnMvZG93bnJldi54bWxMjsFOwzAQRO9I/IO1SNyo04BaCHGqqqLnQooU9ebGSxwR&#10;r6PYaQNfz8KlHJ9mNPPy1eQ6ccIhtJ4UzGcJCKTam5YaBe/77d0jiBA1Gd15QgVfGGBVXF/lOjP+&#10;TG94KmMjeIRCphXYGPtMylBbdDrMfI/E2YcfnI6MQyPNoM887jqZJslCOt0SP1jd48Zi/VmOjk9e&#10;aYy76rCdv+yCLb/TKh0PlVK3N9P6GUTEKV7K8KvP6lCw09GPZILoFCwXT9xUkD6A4PgPj4z3Ccgi&#10;l//1ix8AAAD//wMAUEsBAi0AFAAGAAgAAAAhALaDOJL+AAAA4QEAABMAAAAAAAAAAAAAAAAAAAAA&#10;AFtDb250ZW50X1R5cGVzXS54bWxQSwECLQAUAAYACAAAACEAOP0h/9YAAACUAQAACwAAAAAAAAAA&#10;AAAAAAAvAQAAX3JlbHMvLnJlbHNQSwECLQAUAAYACAAAACEAY6j0ZD0CAABoBAAADgAAAAAAAAAA&#10;AAAAAAAuAgAAZHJzL2Uyb0RvYy54bWxQSwECLQAUAAYACAAAACEAab8rfNkAAAAGAQAADwAAAAAA&#10;AAAAAAAAAACXBAAAZHJzL2Rvd25yZXYueG1sUEsFBgAAAAAEAAQA8wAAAJ0FAAAAAA==&#10;" strokecolor="#c0504d">
                      <v:stroke endarrow="block"/>
                    </v:shape>
                  </w:pict>
                </mc:Fallback>
              </mc:AlternateContent>
            </w:r>
          </w:p>
        </w:tc>
      </w:tr>
      <w:tr w:rsidR="002C41C1" w:rsidRPr="00661000" w:rsidTr="00661000">
        <w:tc>
          <w:tcPr>
            <w:tcW w:w="1716" w:type="dxa"/>
            <w:tcBorders>
              <w:left w:val="nil"/>
            </w:tcBorders>
            <w:shd w:val="clear" w:color="auto" w:fill="548DD4"/>
          </w:tcPr>
          <w:p w:rsidR="002C41C1" w:rsidRPr="00661000" w:rsidRDefault="002C41C1" w:rsidP="00661000">
            <w:pPr>
              <w:keepNext/>
              <w:jc w:val="left"/>
              <w:rPr>
                <w:color w:val="FFFFFF"/>
                <w:szCs w:val="19"/>
                <w:lang w:val="en-US" w:eastAsia="en-US"/>
              </w:rPr>
            </w:pPr>
            <w:r w:rsidRPr="00661000">
              <w:rPr>
                <w:color w:val="FFFFFF"/>
                <w:szCs w:val="19"/>
                <w:lang w:val="en-US" w:eastAsia="en-US"/>
              </w:rPr>
              <w:t>MŠMT</w:t>
            </w:r>
          </w:p>
        </w:tc>
        <w:tc>
          <w:tcPr>
            <w:tcW w:w="1606" w:type="dxa"/>
            <w:shd w:val="clear" w:color="auto" w:fill="548DD4"/>
          </w:tcPr>
          <w:p w:rsidR="002C41C1" w:rsidRPr="00661000" w:rsidRDefault="002C41C1" w:rsidP="00661000">
            <w:pPr>
              <w:keepNext/>
              <w:jc w:val="left"/>
              <w:rPr>
                <w:color w:val="FFFFFF"/>
                <w:szCs w:val="19"/>
                <w:lang w:val="en-US" w:eastAsia="en-US"/>
              </w:rPr>
            </w:pPr>
            <w:r w:rsidRPr="00661000">
              <w:rPr>
                <w:color w:val="FFFFFF"/>
                <w:szCs w:val="19"/>
                <w:lang w:val="en-US" w:eastAsia="en-US"/>
              </w:rPr>
              <w:t>MŠMT</w:t>
            </w:r>
          </w:p>
        </w:tc>
        <w:tc>
          <w:tcPr>
            <w:tcW w:w="1178" w:type="dxa"/>
            <w:shd w:val="clear" w:color="auto" w:fill="548DD4"/>
          </w:tcPr>
          <w:p w:rsidR="002C41C1" w:rsidRPr="00661000" w:rsidRDefault="002C41C1" w:rsidP="00661000">
            <w:pPr>
              <w:keepNext/>
              <w:jc w:val="left"/>
              <w:rPr>
                <w:color w:val="FFFFFF"/>
                <w:szCs w:val="19"/>
                <w:lang w:val="en-US" w:eastAsia="en-US"/>
              </w:rPr>
            </w:pPr>
            <w:r w:rsidRPr="00661000">
              <w:rPr>
                <w:color w:val="FFFFFF"/>
                <w:szCs w:val="19"/>
                <w:lang w:val="en-US" w:eastAsia="en-US"/>
              </w:rPr>
              <w:t>MPO</w:t>
            </w:r>
          </w:p>
        </w:tc>
        <w:tc>
          <w:tcPr>
            <w:tcW w:w="1331" w:type="dxa"/>
            <w:shd w:val="clear" w:color="auto" w:fill="548DD4"/>
          </w:tcPr>
          <w:p w:rsidR="002C41C1" w:rsidRPr="00661000" w:rsidRDefault="002C41C1" w:rsidP="00661000">
            <w:pPr>
              <w:keepNext/>
              <w:jc w:val="left"/>
              <w:rPr>
                <w:color w:val="FFFFFF"/>
                <w:szCs w:val="19"/>
                <w:lang w:val="en-US" w:eastAsia="en-US"/>
              </w:rPr>
            </w:pPr>
            <w:r w:rsidRPr="00661000">
              <w:rPr>
                <w:color w:val="FFFFFF"/>
                <w:szCs w:val="19"/>
                <w:lang w:val="en-US" w:eastAsia="en-US"/>
              </w:rPr>
              <w:t>Hl. m. Praha</w:t>
            </w:r>
          </w:p>
        </w:tc>
        <w:tc>
          <w:tcPr>
            <w:tcW w:w="1326" w:type="dxa"/>
            <w:shd w:val="clear" w:color="auto" w:fill="548DD4"/>
          </w:tcPr>
          <w:p w:rsidR="002C41C1" w:rsidRPr="00661000" w:rsidRDefault="002C41C1" w:rsidP="00661000">
            <w:pPr>
              <w:keepNext/>
              <w:jc w:val="left"/>
              <w:rPr>
                <w:color w:val="FFFFFF"/>
                <w:szCs w:val="19"/>
                <w:lang w:val="en-US" w:eastAsia="en-US"/>
              </w:rPr>
            </w:pPr>
            <w:r w:rsidRPr="00661000">
              <w:rPr>
                <w:color w:val="FFFFFF"/>
                <w:szCs w:val="19"/>
                <w:lang w:val="en-US" w:eastAsia="en-US"/>
              </w:rPr>
              <w:t>Hl. m. Praha</w:t>
            </w:r>
          </w:p>
        </w:tc>
        <w:tc>
          <w:tcPr>
            <w:tcW w:w="1844" w:type="dxa"/>
            <w:shd w:val="clear" w:color="auto" w:fill="17365D"/>
          </w:tcPr>
          <w:p w:rsidR="002C41C1" w:rsidRPr="00661000" w:rsidRDefault="002C41C1" w:rsidP="00661000">
            <w:pPr>
              <w:keepNext/>
              <w:jc w:val="left"/>
              <w:rPr>
                <w:color w:val="FFFFFF"/>
                <w:szCs w:val="19"/>
                <w:lang w:val="en-US" w:eastAsia="en-US"/>
              </w:rPr>
            </w:pPr>
            <w:r w:rsidRPr="00661000">
              <w:rPr>
                <w:color w:val="FFFFFF"/>
                <w:szCs w:val="19"/>
                <w:lang w:val="en-US" w:eastAsia="en-US"/>
              </w:rPr>
              <w:t>ŘO</w:t>
            </w:r>
          </w:p>
        </w:tc>
      </w:tr>
    </w:tbl>
    <w:p w:rsidR="002C41C1" w:rsidRDefault="002C41C1" w:rsidP="00DF6E0B">
      <w:pPr>
        <w:pStyle w:val="Titulek"/>
      </w:pPr>
      <w:r>
        <w:t xml:space="preserve">Tabulka </w:t>
      </w:r>
      <w:fldSimple w:instr=" SEQ Tabulka \* ARABIC ">
        <w:r>
          <w:rPr>
            <w:noProof/>
          </w:rPr>
          <w:t>2</w:t>
        </w:r>
      </w:fldSimple>
      <w:r>
        <w:t xml:space="preserve"> - </w:t>
      </w:r>
      <w:r w:rsidRPr="00FF22B2">
        <w:t>Operační programy podporující VaV a jejich struktura v období 2007-2013</w:t>
      </w:r>
    </w:p>
    <w:p w:rsidR="002C41C1" w:rsidRDefault="002C41C1" w:rsidP="00953BAD"/>
    <w:p w:rsidR="002C41C1" w:rsidRDefault="002C41C1" w:rsidP="000E1BCA">
      <w:r w:rsidRPr="000858D8">
        <w:rPr>
          <w:b/>
        </w:rPr>
        <w:t>Dosavadní podpora aktivit zahrnutých do SC 1.</w:t>
      </w:r>
      <w:r>
        <w:rPr>
          <w:b/>
        </w:rPr>
        <w:t>2</w:t>
      </w:r>
      <w:r w:rsidRPr="000858D8">
        <w:rPr>
          <w:b/>
        </w:rPr>
        <w:t xml:space="preserve"> </w:t>
      </w:r>
      <w:r w:rsidR="0043123A">
        <w:rPr>
          <w:b/>
        </w:rPr>
        <w:t xml:space="preserve">(zvýrazněno výše v tabulce) </w:t>
      </w:r>
      <w:r w:rsidRPr="000858D8">
        <w:rPr>
          <w:b/>
        </w:rPr>
        <w:t xml:space="preserve">byla zaměřena na dotační podporu </w:t>
      </w:r>
      <w:r>
        <w:rPr>
          <w:b/>
        </w:rPr>
        <w:t>patentovací aktivity a rozvoje infrastruktur  pr</w:t>
      </w:r>
      <w:r w:rsidRPr="000858D8">
        <w:rPr>
          <w:b/>
        </w:rPr>
        <w:t>ostřednictvím</w:t>
      </w:r>
      <w:r>
        <w:rPr>
          <w:b/>
        </w:rPr>
        <w:t xml:space="preserve"> programů</w:t>
      </w:r>
      <w:r w:rsidRPr="000858D8">
        <w:rPr>
          <w:b/>
        </w:rPr>
        <w:t xml:space="preserve">OPPI a </w:t>
      </w:r>
      <w:r w:rsidRPr="000858D8">
        <w:rPr>
          <w:b/>
        </w:rPr>
        <w:lastRenderedPageBreak/>
        <w:t>grantových programů na podporu</w:t>
      </w:r>
      <w:r>
        <w:rPr>
          <w:b/>
        </w:rPr>
        <w:t xml:space="preserve"> patentovací aktivity a rozvoje infrastruktur pro aplikovaný výzkum a jeho komercionalizaci</w:t>
      </w:r>
      <w:r w:rsidRPr="000858D8">
        <w:t xml:space="preserve">. </w:t>
      </w:r>
      <w:r>
        <w:t>Na národní úrovni se jednalo zejména o národní programy v současnosti vyhlašované TAČR a MPO.</w:t>
      </w:r>
    </w:p>
    <w:p w:rsidR="002C41C1" w:rsidRDefault="002C41C1" w:rsidP="00307228"/>
    <w:p w:rsidR="002C41C1" w:rsidRDefault="002C41C1" w:rsidP="002A5076">
      <w:r>
        <w:rPr>
          <w:b/>
        </w:rPr>
        <w:t xml:space="preserve">OPPI Inovace - </w:t>
      </w:r>
      <w:r w:rsidRPr="00312A2F">
        <w:t xml:space="preserve">Cílem programu </w:t>
      </w:r>
      <w:r>
        <w:t>bylo</w:t>
      </w:r>
      <w:r w:rsidRPr="00312A2F">
        <w:t xml:space="preserve"> zvýšení inovačního potenciálu podnikatelského sektoru prostřednictvím</w:t>
      </w:r>
      <w:r w:rsidR="00E27D33">
        <w:t xml:space="preserve"> </w:t>
      </w:r>
      <w:r w:rsidRPr="00312A2F">
        <w:t>dotací na realizaci inovačních projektů podniků (zejména MSP) a na projekty veřejných</w:t>
      </w:r>
      <w:r w:rsidR="00011070">
        <w:t xml:space="preserve"> </w:t>
      </w:r>
      <w:r w:rsidRPr="00312A2F">
        <w:t>výzkumných institucí, vysokých škol, fyzických osob a MSP směřující k ochraně práv</w:t>
      </w:r>
      <w:r w:rsidR="00011070">
        <w:t xml:space="preserve"> </w:t>
      </w:r>
      <w:r w:rsidRPr="00312A2F">
        <w:t>průmyslového vlastnictví</w:t>
      </w:r>
      <w:r>
        <w:t>. V oblasti ochrany práv průmyslového vlastnictv</w:t>
      </w:r>
      <w:r w:rsidR="00011070">
        <w:t>í bylo do konce roku 2014 přijat</w:t>
      </w:r>
      <w:r>
        <w:t>o MPO 815 žádostí o celkových způsobilých výdajích 238</w:t>
      </w:r>
      <w:r w:rsidR="00E27D33">
        <w:t xml:space="preserve"> </w:t>
      </w:r>
      <w:r>
        <w:t>mil. Kč a 113 mil. Kč požadované dotace. Podpořeno bylo 373 projektů v objemu 168 mil. způsobilých výdajů a požadovanou dotací 80 mil. Kč.</w:t>
      </w:r>
    </w:p>
    <w:p w:rsidR="002C41C1" w:rsidRDefault="002C41C1" w:rsidP="002A5076"/>
    <w:p w:rsidR="002C41C1" w:rsidRDefault="002C41C1" w:rsidP="00307228">
      <w:r>
        <w:t xml:space="preserve">Kromě těchto oblastí podporovaných v OPPI je třeba zmínit </w:t>
      </w:r>
      <w:r w:rsidR="00F47219">
        <w:t xml:space="preserve">zejména </w:t>
      </w:r>
      <w:r>
        <w:t xml:space="preserve">podporu aktivit </w:t>
      </w:r>
      <w:r w:rsidRPr="003034CE">
        <w:rPr>
          <w:b/>
        </w:rPr>
        <w:t>„proof-of-concept“</w:t>
      </w:r>
      <w:r>
        <w:t>, resp. pre-seed, které</w:t>
      </w:r>
      <w:r w:rsidRPr="00E4523A">
        <w:t xml:space="preserve"> v minulosti </w:t>
      </w:r>
      <w:r>
        <w:t>pod národní a evropské programy</w:t>
      </w:r>
      <w:r w:rsidRPr="00E4523A">
        <w:t xml:space="preserve"> MPO </w:t>
      </w:r>
      <w:r>
        <w:t xml:space="preserve">nespadaly, avšak nyní do podporovaných aktivit SC 2.2 </w:t>
      </w:r>
      <w:r w:rsidR="0084453C">
        <w:t>OP PIK</w:t>
      </w:r>
      <w:r>
        <w:t xml:space="preserve"> patří. První jsou </w:t>
      </w:r>
      <w:r w:rsidRPr="00307228">
        <w:rPr>
          <w:b/>
        </w:rPr>
        <w:t>výzvy 6.3 a 7.3 v rámci OP VaVpI</w:t>
      </w:r>
      <w:r>
        <w:rPr>
          <w:b/>
        </w:rPr>
        <w:t xml:space="preserve"> (MŠMT)</w:t>
      </w:r>
      <w:r>
        <w:t xml:space="preserve">, které se zaměřily na dotační podporu proof-of-concept aktivit veřejných výzkumných organizací – podpořeny byly projekty vysokých škol i výzkumných organizací. </w:t>
      </w:r>
      <w:r w:rsidRPr="00D9149C">
        <w:rPr>
          <w:b/>
        </w:rPr>
        <w:t>Celková alokace v těchto výzvách za roky 2012-2013 byla 980 mil. Kč</w:t>
      </w:r>
      <w:r>
        <w:t>.</w:t>
      </w:r>
    </w:p>
    <w:p w:rsidR="002C41C1" w:rsidRDefault="002C41C1" w:rsidP="00307228"/>
    <w:p w:rsidR="002C41C1" w:rsidRDefault="002C41C1" w:rsidP="00307228">
      <w:r>
        <w:t xml:space="preserve">Druhým programem zaměřeným na proof-of-concept je nový </w:t>
      </w:r>
      <w:r w:rsidRPr="00DF6E0B">
        <w:rPr>
          <w:b/>
        </w:rPr>
        <w:t>národní</w:t>
      </w:r>
      <w:r w:rsidR="00E27D33">
        <w:rPr>
          <w:b/>
        </w:rPr>
        <w:t xml:space="preserve"> </w:t>
      </w:r>
      <w:r w:rsidRPr="00307228">
        <w:rPr>
          <w:b/>
        </w:rPr>
        <w:t xml:space="preserve">program </w:t>
      </w:r>
      <w:r>
        <w:rPr>
          <w:b/>
        </w:rPr>
        <w:t>GAMA</w:t>
      </w:r>
      <w:r w:rsidRPr="00307228">
        <w:rPr>
          <w:b/>
        </w:rPr>
        <w:t xml:space="preserve"> připravený TAČR</w:t>
      </w:r>
      <w:r>
        <w:t>, který má být zaměřen podporu ověření výsledků výzkumu a vývoje z hlediska jejich praktického uplatnění a na přípravu jejich následného komerčního využití. Program GAMA byl spuštěn v roce 2013, zatím</w:t>
      </w:r>
      <w:r w:rsidR="00011070">
        <w:t xml:space="preserve"> </w:t>
      </w:r>
      <w:r>
        <w:t xml:space="preserve">proběhla první veřejná soutěž pro výzkumné instituce. Celková alokace pro roky 2014-2019 </w:t>
      </w:r>
      <w:r w:rsidRPr="0088620F">
        <w:t>2 770 mil. Kč</w:t>
      </w:r>
      <w:r>
        <w:t>. V první veřejné soutěži bylo podpořeno 10 projektů výzkumných institucí z 31 podaných o úhrnné výši dotace 194 mil. Kč (v průměru 19,4 mil. Kč na projekt při maximální výši 21 mil. Kč). Z 21 nepodpořených projektů bylo 6 doporučeno, avšak odmítnuto z důvodu nedostatku disponibilních prostředků.</w:t>
      </w:r>
    </w:p>
    <w:p w:rsidR="002C41C1" w:rsidRDefault="002C41C1" w:rsidP="003168BC"/>
    <w:p w:rsidR="002C41C1" w:rsidRDefault="005F2B40" w:rsidP="00953BAD">
      <w:r>
        <w:rPr>
          <w:noProof/>
        </w:rPr>
        <mc:AlternateContent>
          <mc:Choice Requires="wps">
            <w:drawing>
              <wp:inline distT="0" distB="0" distL="0" distR="0" wp14:anchorId="770D9B2B" wp14:editId="6006C8B0">
                <wp:extent cx="5581015" cy="1510748"/>
                <wp:effectExtent l="0" t="0" r="19685" b="13335"/>
                <wp:docPr id="38" name="Obdélní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015" cy="1510748"/>
                        </a:xfrm>
                        <a:prstGeom prst="rect">
                          <a:avLst/>
                        </a:prstGeom>
                        <a:solidFill>
                          <a:srgbClr val="4F81BD"/>
                        </a:solidFill>
                        <a:ln w="25400">
                          <a:solidFill>
                            <a:srgbClr val="243F60"/>
                          </a:solidFill>
                          <a:miter lim="800000"/>
                          <a:headEnd/>
                          <a:tailEnd/>
                        </a:ln>
                      </wps:spPr>
                      <wps:txbx>
                        <w:txbxContent>
                          <w:p w:rsidR="00DC3B1F" w:rsidRPr="00DF6E0B" w:rsidRDefault="00DC3B1F" w:rsidP="003168BC">
                            <w:pPr>
                              <w:rPr>
                                <w:b/>
                                <w:color w:val="FFFFFF"/>
                              </w:rPr>
                            </w:pPr>
                            <w:r w:rsidRPr="00DF6E0B">
                              <w:rPr>
                                <w:b/>
                                <w:color w:val="FFFFFF"/>
                              </w:rPr>
                              <w:t>Stávající dotační podpora</w:t>
                            </w:r>
                          </w:p>
                          <w:p w:rsidR="00DC3B1F" w:rsidRPr="00DF6E0B" w:rsidRDefault="00DC3B1F" w:rsidP="003168BC">
                            <w:pPr>
                              <w:rPr>
                                <w:color w:val="FFFFFF"/>
                              </w:rPr>
                            </w:pPr>
                            <w:r w:rsidRPr="00CF7099">
                              <w:rPr>
                                <w:color w:val="FFFFFF"/>
                              </w:rPr>
                              <w:t>•</w:t>
                            </w:r>
                            <w:r w:rsidRPr="00CF7099">
                              <w:rPr>
                                <w:color w:val="FFFFFF"/>
                              </w:rPr>
                              <w:tab/>
                            </w:r>
                            <w:r w:rsidRPr="00DF6E0B">
                              <w:rPr>
                                <w:color w:val="FFFFFF"/>
                              </w:rPr>
                              <w:t>Dotační podpora prostřednictvím výzkumných grantů a projektů TAČR</w:t>
                            </w:r>
                          </w:p>
                          <w:p w:rsidR="00DC3B1F" w:rsidRPr="00DF6E0B" w:rsidRDefault="00DC3B1F" w:rsidP="003168BC">
                            <w:pPr>
                              <w:rPr>
                                <w:color w:val="FFFFFF"/>
                              </w:rPr>
                            </w:pPr>
                            <w:r w:rsidRPr="00CF7099">
                              <w:rPr>
                                <w:color w:val="FFFFFF"/>
                              </w:rPr>
                              <w:t>•</w:t>
                            </w:r>
                            <w:r w:rsidRPr="00CF7099">
                              <w:rPr>
                                <w:color w:val="FFFFFF"/>
                              </w:rPr>
                              <w:tab/>
                            </w:r>
                            <w:r w:rsidRPr="00DF6E0B">
                              <w:rPr>
                                <w:color w:val="FFFFFF"/>
                              </w:rPr>
                              <w:t>Výzva pre-seed MŠMT v rámci OP VaVpI (dotace na podporu fáze proof-of-concept)</w:t>
                            </w:r>
                          </w:p>
                          <w:p w:rsidR="00DC3B1F" w:rsidRPr="00DF6E0B" w:rsidRDefault="00DC3B1F" w:rsidP="003168BC">
                            <w:pPr>
                              <w:rPr>
                                <w:color w:val="FFFFFF"/>
                              </w:rPr>
                            </w:pPr>
                            <w:r w:rsidRPr="00CF7099">
                              <w:rPr>
                                <w:color w:val="FFFFFF"/>
                              </w:rPr>
                              <w:t>•</w:t>
                            </w:r>
                            <w:r w:rsidRPr="00CF7099">
                              <w:rPr>
                                <w:color w:val="FFFFFF"/>
                              </w:rPr>
                              <w:tab/>
                            </w:r>
                            <w:r w:rsidRPr="00DF6E0B">
                              <w:rPr>
                                <w:color w:val="FFFFFF"/>
                              </w:rPr>
                              <w:t xml:space="preserve">Program GAMA (TAČR) </w:t>
                            </w:r>
                            <w:r w:rsidRPr="00CF7099">
                              <w:rPr>
                                <w:color w:val="FFFFFF"/>
                              </w:rPr>
                              <w:t>–</w:t>
                            </w:r>
                            <w:r w:rsidRPr="00DF6E0B">
                              <w:rPr>
                                <w:color w:val="FFFFFF"/>
                              </w:rPr>
                              <w:t xml:space="preserve"> dotační podpora ověření výsledků VaV</w:t>
                            </w:r>
                          </w:p>
                          <w:p w:rsidR="00DC3B1F" w:rsidRPr="00DF6E0B" w:rsidRDefault="00DC3B1F" w:rsidP="003168BC">
                            <w:pPr>
                              <w:rPr>
                                <w:color w:val="FFFFFF"/>
                              </w:rPr>
                            </w:pPr>
                            <w:r w:rsidRPr="00CF7099">
                              <w:rPr>
                                <w:color w:val="FFFFFF"/>
                              </w:rPr>
                              <w:t>•</w:t>
                            </w:r>
                            <w:r w:rsidRPr="00CF7099">
                              <w:rPr>
                                <w:color w:val="FFFFFF"/>
                              </w:rPr>
                              <w:tab/>
                            </w:r>
                            <w:r w:rsidRPr="00DF6E0B">
                              <w:rPr>
                                <w:color w:val="FFFFFF"/>
                              </w:rPr>
                              <w:t>Program Prosperita (OPPI)</w:t>
                            </w:r>
                          </w:p>
                          <w:p w:rsidR="00DC3B1F" w:rsidRDefault="00DC3B1F" w:rsidP="003168BC">
                            <w:pPr>
                              <w:rPr>
                                <w:color w:val="FFFFFF"/>
                              </w:rPr>
                            </w:pPr>
                            <w:r w:rsidRPr="00CF7099">
                              <w:rPr>
                                <w:color w:val="FFFFFF"/>
                              </w:rPr>
                              <w:t>•</w:t>
                            </w:r>
                            <w:r w:rsidRPr="00CF7099">
                              <w:rPr>
                                <w:color w:val="FFFFFF"/>
                              </w:rPr>
                              <w:tab/>
                            </w:r>
                            <w:r w:rsidRPr="00DF6E0B">
                              <w:rPr>
                                <w:color w:val="FFFFFF"/>
                              </w:rPr>
                              <w:t>Program Spolupráce (OPPI)</w:t>
                            </w:r>
                          </w:p>
                          <w:p w:rsidR="00DC3B1F" w:rsidRPr="00F47219" w:rsidRDefault="00DC3B1F" w:rsidP="00F47219">
                            <w:pPr>
                              <w:rPr>
                                <w:color w:val="FFFFFF"/>
                              </w:rPr>
                            </w:pPr>
                            <w:r w:rsidRPr="00CF7099">
                              <w:rPr>
                                <w:color w:val="FFFFFF"/>
                              </w:rPr>
                              <w:t>•</w:t>
                            </w:r>
                            <w:r w:rsidRPr="00CF7099">
                              <w:rPr>
                                <w:color w:val="FFFFFF"/>
                              </w:rPr>
                              <w:tab/>
                            </w:r>
                            <w:r w:rsidRPr="00F47219">
                              <w:rPr>
                                <w:color w:val="FFFFFF"/>
                              </w:rPr>
                              <w:t>Program Inovace – patent (OPPI)</w:t>
                            </w:r>
                          </w:p>
                          <w:p w:rsidR="00DC3B1F" w:rsidRPr="00DF6E0B" w:rsidRDefault="00DC3B1F" w:rsidP="003168BC">
                            <w:pPr>
                              <w:rPr>
                                <w:color w:val="FFFFFF"/>
                              </w:rPr>
                            </w:pPr>
                            <w:r w:rsidRPr="00CF7099">
                              <w:rPr>
                                <w:color w:val="FFFFFF"/>
                              </w:rPr>
                              <w:t>•</w:t>
                            </w:r>
                            <w:r w:rsidRPr="00CF7099">
                              <w:rPr>
                                <w:color w:val="FFFFFF"/>
                              </w:rPr>
                              <w:tab/>
                            </w:r>
                            <w:r w:rsidRPr="00DF6E0B">
                              <w:rPr>
                                <w:color w:val="FFFFFF"/>
                              </w:rPr>
                              <w:t>7. rámcový program</w:t>
                            </w:r>
                          </w:p>
                          <w:p w:rsidR="00DC3B1F" w:rsidRDefault="00DC3B1F" w:rsidP="003168BC">
                            <w:pPr>
                              <w:jc w:val="center"/>
                            </w:pPr>
                          </w:p>
                        </w:txbxContent>
                      </wps:txbx>
                      <wps:bodyPr rot="0" vert="horz" wrap="square" lIns="91440" tIns="45720" rIns="91440" bIns="45720" anchor="ctr" anchorCtr="0" upright="1">
                        <a:noAutofit/>
                      </wps:bodyPr>
                    </wps:wsp>
                  </a:graphicData>
                </a:graphic>
              </wp:inline>
            </w:drawing>
          </mc:Choice>
          <mc:Fallback>
            <w:pict>
              <v:rect id="Obdélník 3" o:spid="_x0000_s1027" style="width:439.45pt;height:11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KdPwIAAFQEAAAOAAAAZHJzL2Uyb0RvYy54bWysVMFu2zAMvQ/YPwi6L7YTp82MOEWXLMOA&#10;bi3Q7QNkWY6FypJGKXG6P+phX9EfGyWnabLdhuUgiCb1SL5HZn617xTZCXDS6JJmo5QSobmppd6U&#10;9Pu39bsZJc4zXTNltCjpo3D0avH2zby3hRib1qhaAEEQ7YrelrT13hZJ4ngrOuZGxgqNzsZAxzya&#10;sElqYD2idyoZp+lF0huoLRgunMOvq8FJFxG/aQT3t03jhCeqpFibjyfEswpnspizYgPMtpIfymD/&#10;UEXHpMakR6gV84xsQf4F1UkOxpnGj7jpEtM0kovYA3aTpX90c98yK2IvSI6zR5rc/4PlX3d3QGRd&#10;0gkqpVmHGt1W9fOT0s+/HsgkENRbV2Dcvb2D0KKzN4Y/OKLNsmV6I64BTN8KVmNZWYhPzh4Ew+FT&#10;UvVfTI3wbOtN5GrfQBcAkQWyj5I8HiURe084fpxOZ1maTSnh6MumWXqZz2IOVrw8t+D8J2E6Ei4l&#10;BdQ8wrPdjfOhHFa8hMTyjZL1WioVDdhUSwVkx3A+8vUs+7A6oLvTMKVJX9LxNE/TCH3mdKcY43yy&#10;vohjhWnPwjrpcdKV7Eo6S8MvJGJFIO6jruPdM6mGOz5W+sBkIG8Qwe+rfdQq0hyIrUz9iNSCGQYb&#10;FxEvrYGflPQ41CV1P7YMBCXqs0Z53md5HrYgGvn0cowGnHqqUw/THKFKyj1QMhhLP+zO1oLctJgr&#10;i3xoc42iNjLS/VrXoQEc3ajCYc3CbpzaMer1z2DxGwAA//8DAFBLAwQUAAYACAAAACEAbxaSTN0A&#10;AAAFAQAADwAAAGRycy9kb3ducmV2LnhtbEyPQUvDQBCF74L/YRnBi9hNKrRpzKZoURDsJdEfMM2O&#10;STA7G3Y3beqvd/Wil4HHe7z3TbGdzSCO5HxvWUG6SEAQN1b33Cp4f3u+zUD4gKxxsEwKzuRhW15e&#10;FJhre+KKjnVoRSxhn6OCLoQxl9I3HRn0CzsSR+/DOoMhStdK7fAUy80gl0mykgZ7jgsdjrTrqPms&#10;J6PAp487/1WF9Gk/vaz21dnd1OOrUtdX88M9iEBz+AvDD35EhzIyHezE2otBQXwk/N7oZetsA+Kg&#10;YHm33oAsC/mfvvwGAAD//wMAUEsBAi0AFAAGAAgAAAAhALaDOJL+AAAA4QEAABMAAAAAAAAAAAAA&#10;AAAAAAAAAFtDb250ZW50X1R5cGVzXS54bWxQSwECLQAUAAYACAAAACEAOP0h/9YAAACUAQAACwAA&#10;AAAAAAAAAAAAAAAvAQAAX3JlbHMvLnJlbHNQSwECLQAUAAYACAAAACEAIrZynT8CAABUBAAADgAA&#10;AAAAAAAAAAAAAAAuAgAAZHJzL2Uyb0RvYy54bWxQSwECLQAUAAYACAAAACEAbxaSTN0AAAAFAQAA&#10;DwAAAAAAAAAAAAAAAACZBAAAZHJzL2Rvd25yZXYueG1sUEsFBgAAAAAEAAQA8wAAAKMFAAAAAA==&#10;" fillcolor="#4f81bd" strokecolor="#243f60" strokeweight="2pt">
                <v:textbox>
                  <w:txbxContent>
                    <w:p w:rsidR="00DC3B1F" w:rsidRPr="00DF6E0B" w:rsidRDefault="00DC3B1F" w:rsidP="003168BC">
                      <w:pPr>
                        <w:rPr>
                          <w:b/>
                          <w:color w:val="FFFFFF"/>
                        </w:rPr>
                      </w:pPr>
                      <w:r w:rsidRPr="00DF6E0B">
                        <w:rPr>
                          <w:b/>
                          <w:color w:val="FFFFFF"/>
                        </w:rPr>
                        <w:t>Stávající dotační podpora</w:t>
                      </w:r>
                    </w:p>
                    <w:p w:rsidR="00DC3B1F" w:rsidRPr="00DF6E0B" w:rsidRDefault="00DC3B1F" w:rsidP="003168BC">
                      <w:pPr>
                        <w:rPr>
                          <w:color w:val="FFFFFF"/>
                        </w:rPr>
                      </w:pPr>
                      <w:r w:rsidRPr="00CF7099">
                        <w:rPr>
                          <w:color w:val="FFFFFF"/>
                        </w:rPr>
                        <w:t>•</w:t>
                      </w:r>
                      <w:r w:rsidRPr="00CF7099">
                        <w:rPr>
                          <w:color w:val="FFFFFF"/>
                        </w:rPr>
                        <w:tab/>
                      </w:r>
                      <w:r w:rsidRPr="00DF6E0B">
                        <w:rPr>
                          <w:color w:val="FFFFFF"/>
                        </w:rPr>
                        <w:t>Dotační podpora prostřednictvím výzkumných grantů a projektů TAČR</w:t>
                      </w:r>
                    </w:p>
                    <w:p w:rsidR="00DC3B1F" w:rsidRPr="00DF6E0B" w:rsidRDefault="00DC3B1F" w:rsidP="003168BC">
                      <w:pPr>
                        <w:rPr>
                          <w:color w:val="FFFFFF"/>
                        </w:rPr>
                      </w:pPr>
                      <w:r w:rsidRPr="00CF7099">
                        <w:rPr>
                          <w:color w:val="FFFFFF"/>
                        </w:rPr>
                        <w:t>•</w:t>
                      </w:r>
                      <w:r w:rsidRPr="00CF7099">
                        <w:rPr>
                          <w:color w:val="FFFFFF"/>
                        </w:rPr>
                        <w:tab/>
                      </w:r>
                      <w:r w:rsidRPr="00DF6E0B">
                        <w:rPr>
                          <w:color w:val="FFFFFF"/>
                        </w:rPr>
                        <w:t>Výzva pre-seed MŠMT v rámci OP VaVpI (dotace na podporu fáze proof-of-concept)</w:t>
                      </w:r>
                    </w:p>
                    <w:p w:rsidR="00DC3B1F" w:rsidRPr="00DF6E0B" w:rsidRDefault="00DC3B1F" w:rsidP="003168BC">
                      <w:pPr>
                        <w:rPr>
                          <w:color w:val="FFFFFF"/>
                        </w:rPr>
                      </w:pPr>
                      <w:r w:rsidRPr="00CF7099">
                        <w:rPr>
                          <w:color w:val="FFFFFF"/>
                        </w:rPr>
                        <w:t>•</w:t>
                      </w:r>
                      <w:r w:rsidRPr="00CF7099">
                        <w:rPr>
                          <w:color w:val="FFFFFF"/>
                        </w:rPr>
                        <w:tab/>
                      </w:r>
                      <w:r w:rsidRPr="00DF6E0B">
                        <w:rPr>
                          <w:color w:val="FFFFFF"/>
                        </w:rPr>
                        <w:t xml:space="preserve">Program GAMA (TAČR) </w:t>
                      </w:r>
                      <w:r w:rsidRPr="00CF7099">
                        <w:rPr>
                          <w:color w:val="FFFFFF"/>
                        </w:rPr>
                        <w:t>–</w:t>
                      </w:r>
                      <w:r w:rsidRPr="00DF6E0B">
                        <w:rPr>
                          <w:color w:val="FFFFFF"/>
                        </w:rPr>
                        <w:t xml:space="preserve"> dotační podpora ověření výsledků VaV</w:t>
                      </w:r>
                    </w:p>
                    <w:p w:rsidR="00DC3B1F" w:rsidRPr="00DF6E0B" w:rsidRDefault="00DC3B1F" w:rsidP="003168BC">
                      <w:pPr>
                        <w:rPr>
                          <w:color w:val="FFFFFF"/>
                        </w:rPr>
                      </w:pPr>
                      <w:r w:rsidRPr="00CF7099">
                        <w:rPr>
                          <w:color w:val="FFFFFF"/>
                        </w:rPr>
                        <w:t>•</w:t>
                      </w:r>
                      <w:r w:rsidRPr="00CF7099">
                        <w:rPr>
                          <w:color w:val="FFFFFF"/>
                        </w:rPr>
                        <w:tab/>
                      </w:r>
                      <w:r w:rsidRPr="00DF6E0B">
                        <w:rPr>
                          <w:color w:val="FFFFFF"/>
                        </w:rPr>
                        <w:t>Program Prosperita (OPPI)</w:t>
                      </w:r>
                    </w:p>
                    <w:p w:rsidR="00DC3B1F" w:rsidRDefault="00DC3B1F" w:rsidP="003168BC">
                      <w:pPr>
                        <w:rPr>
                          <w:color w:val="FFFFFF"/>
                        </w:rPr>
                      </w:pPr>
                      <w:r w:rsidRPr="00CF7099">
                        <w:rPr>
                          <w:color w:val="FFFFFF"/>
                        </w:rPr>
                        <w:t>•</w:t>
                      </w:r>
                      <w:r w:rsidRPr="00CF7099">
                        <w:rPr>
                          <w:color w:val="FFFFFF"/>
                        </w:rPr>
                        <w:tab/>
                      </w:r>
                      <w:r w:rsidRPr="00DF6E0B">
                        <w:rPr>
                          <w:color w:val="FFFFFF"/>
                        </w:rPr>
                        <w:t>Program Spolupráce (OPPI)</w:t>
                      </w:r>
                    </w:p>
                    <w:p w:rsidR="00DC3B1F" w:rsidRPr="00F47219" w:rsidRDefault="00DC3B1F" w:rsidP="00F47219">
                      <w:pPr>
                        <w:rPr>
                          <w:color w:val="FFFFFF"/>
                        </w:rPr>
                      </w:pPr>
                      <w:r w:rsidRPr="00CF7099">
                        <w:rPr>
                          <w:color w:val="FFFFFF"/>
                        </w:rPr>
                        <w:t>•</w:t>
                      </w:r>
                      <w:r w:rsidRPr="00CF7099">
                        <w:rPr>
                          <w:color w:val="FFFFFF"/>
                        </w:rPr>
                        <w:tab/>
                      </w:r>
                      <w:r w:rsidRPr="00F47219">
                        <w:rPr>
                          <w:color w:val="FFFFFF"/>
                        </w:rPr>
                        <w:t>Program Inovace – patent (OPPI)</w:t>
                      </w:r>
                    </w:p>
                    <w:p w:rsidR="00DC3B1F" w:rsidRPr="00DF6E0B" w:rsidRDefault="00DC3B1F" w:rsidP="003168BC">
                      <w:pPr>
                        <w:rPr>
                          <w:color w:val="FFFFFF"/>
                        </w:rPr>
                      </w:pPr>
                      <w:r w:rsidRPr="00CF7099">
                        <w:rPr>
                          <w:color w:val="FFFFFF"/>
                        </w:rPr>
                        <w:t>•</w:t>
                      </w:r>
                      <w:r w:rsidRPr="00CF7099">
                        <w:rPr>
                          <w:color w:val="FFFFFF"/>
                        </w:rPr>
                        <w:tab/>
                      </w:r>
                      <w:r w:rsidRPr="00DF6E0B">
                        <w:rPr>
                          <w:color w:val="FFFFFF"/>
                        </w:rPr>
                        <w:t>7. rámcový program</w:t>
                      </w:r>
                    </w:p>
                    <w:p w:rsidR="00DC3B1F" w:rsidRDefault="00DC3B1F" w:rsidP="003168BC">
                      <w:pPr>
                        <w:jc w:val="center"/>
                      </w:pPr>
                    </w:p>
                  </w:txbxContent>
                </v:textbox>
                <w10:anchorlock/>
              </v:rect>
            </w:pict>
          </mc:Fallback>
        </mc:AlternateContent>
      </w:r>
    </w:p>
    <w:p w:rsidR="002C41C1" w:rsidRPr="00101728" w:rsidDel="00D12A61" w:rsidRDefault="002C41C1" w:rsidP="00953BAD">
      <w:pPr>
        <w:pStyle w:val="Neslovannadpisy"/>
      </w:pPr>
    </w:p>
    <w:p w:rsidR="002C41C1" w:rsidRDefault="002C41C1" w:rsidP="00F47219">
      <w:pPr>
        <w:pStyle w:val="Neslovannadpisy"/>
      </w:pPr>
      <w:r>
        <w:t>Vyčíslení absorpční kapacity</w:t>
      </w:r>
    </w:p>
    <w:p w:rsidR="002C41C1" w:rsidRDefault="002C41C1" w:rsidP="002A5076">
      <w:r>
        <w:t>Vyčíslení absorpční kapacity v oblasti proof-of-concept bylo provedeno na základě zkušeností s minulou podporou podobně vymezených aktivit. Vzhledem k velmi špatně kvantifikovatelnému potenciálu výzkumu na českých výzkumných institucích a značně rozdílné nákladové náročnosti jednotlivých oblastí se však jedná pouze o hrubý odhad v konzervativní výši. Vysoký počet neuspokojených</w:t>
      </w:r>
      <w:r w:rsidR="00011070">
        <w:t xml:space="preserve"> </w:t>
      </w:r>
      <w:r>
        <w:t>žádostí v programech GAMA a MŠMT, rostoucí poptávka úspěšn</w:t>
      </w:r>
      <w:r w:rsidR="00011070">
        <w:t>ých CTT po financování komerci</w:t>
      </w:r>
      <w:r>
        <w:t xml:space="preserve">alizovatelných projektů a na druhou stranu slabý podíl podnikového sektoru na financování veřejného VaV indikuje </w:t>
      </w:r>
      <w:r w:rsidRPr="00004922">
        <w:rPr>
          <w:b/>
        </w:rPr>
        <w:t>minimální potenciál na úrovni 1,8 mld. Kč</w:t>
      </w:r>
      <w:r>
        <w:t>. V případě úspěchu pilotního projektu se absorpce může značně zvýšit.</w:t>
      </w:r>
    </w:p>
    <w:p w:rsidR="002C41C1" w:rsidRDefault="002C41C1" w:rsidP="002A5076"/>
    <w:tbl>
      <w:tblPr>
        <w:tblStyle w:val="Mkatabulky"/>
        <w:tblW w:w="7670" w:type="dxa"/>
        <w:tblLook w:val="00A0" w:firstRow="1" w:lastRow="0" w:firstColumn="1" w:lastColumn="0" w:noHBand="0" w:noVBand="0"/>
      </w:tblPr>
      <w:tblGrid>
        <w:gridCol w:w="5544"/>
        <w:gridCol w:w="2126"/>
      </w:tblGrid>
      <w:tr w:rsidR="002C41C1" w:rsidRPr="00237CC2" w:rsidTr="008D55D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44" w:type="dxa"/>
            <w:noWrap/>
          </w:tcPr>
          <w:p w:rsidR="002C41C1" w:rsidRPr="00CF7099" w:rsidRDefault="002C41C1" w:rsidP="00CF7099">
            <w:pPr>
              <w:overflowPunct/>
              <w:autoSpaceDE/>
              <w:autoSpaceDN/>
              <w:adjustRightInd/>
              <w:jc w:val="left"/>
              <w:textAlignment w:val="auto"/>
              <w:rPr>
                <w:rFonts w:cs="Calibri"/>
                <w:b w:val="0"/>
                <w:bCs/>
                <w:szCs w:val="22"/>
              </w:rPr>
            </w:pPr>
            <w:r w:rsidRPr="00CF7099">
              <w:rPr>
                <w:rFonts w:cs="Calibri"/>
                <w:bCs/>
                <w:szCs w:val="22"/>
              </w:rPr>
              <w:t>Mil. Kč</w:t>
            </w:r>
          </w:p>
        </w:tc>
        <w:tc>
          <w:tcPr>
            <w:tcW w:w="2126" w:type="dxa"/>
            <w:noWrap/>
          </w:tcPr>
          <w:p w:rsidR="002C41C1" w:rsidRPr="00CF7099" w:rsidRDefault="002C41C1" w:rsidP="00CF7099">
            <w:pPr>
              <w:overflowPunct/>
              <w:autoSpaceDE/>
              <w:autoSpaceDN/>
              <w:adjustRightInd/>
              <w:jc w:val="left"/>
              <w:textAlignment w:val="auto"/>
              <w:cnfStyle w:val="100000000000" w:firstRow="1" w:lastRow="0" w:firstColumn="0" w:lastColumn="0" w:oddVBand="0" w:evenVBand="0" w:oddHBand="0" w:evenHBand="0" w:firstRowFirstColumn="0" w:firstRowLastColumn="0" w:lastRowFirstColumn="0" w:lastRowLastColumn="0"/>
              <w:rPr>
                <w:rFonts w:cs="Calibri"/>
                <w:b w:val="0"/>
                <w:bCs/>
                <w:szCs w:val="22"/>
              </w:rPr>
            </w:pPr>
            <w:r w:rsidRPr="00CF7099">
              <w:rPr>
                <w:rFonts w:cs="Calibri"/>
                <w:bCs/>
                <w:szCs w:val="22"/>
              </w:rPr>
              <w:t>Uznatelné náklady</w:t>
            </w:r>
          </w:p>
        </w:tc>
      </w:tr>
      <w:tr w:rsidR="002C41C1" w:rsidRPr="00237CC2" w:rsidTr="008D55D2">
        <w:trPr>
          <w:trHeight w:val="300"/>
        </w:trPr>
        <w:tc>
          <w:tcPr>
            <w:cnfStyle w:val="001000000000" w:firstRow="0" w:lastRow="0" w:firstColumn="1" w:lastColumn="0" w:oddVBand="0" w:evenVBand="0" w:oddHBand="0" w:evenHBand="0" w:firstRowFirstColumn="0" w:firstRowLastColumn="0" w:lastRowFirstColumn="0" w:lastRowLastColumn="0"/>
            <w:tcW w:w="5544" w:type="dxa"/>
            <w:noWrap/>
          </w:tcPr>
          <w:p w:rsidR="002C41C1" w:rsidRPr="00CF7099" w:rsidRDefault="002C41C1" w:rsidP="00CF7099">
            <w:pPr>
              <w:overflowPunct/>
              <w:autoSpaceDE/>
              <w:autoSpaceDN/>
              <w:adjustRightInd/>
              <w:jc w:val="left"/>
              <w:textAlignment w:val="auto"/>
              <w:rPr>
                <w:rFonts w:cs="Calibri"/>
                <w:b/>
                <w:bCs/>
                <w:color w:val="000000"/>
                <w:szCs w:val="22"/>
              </w:rPr>
            </w:pPr>
            <w:r w:rsidRPr="00CF7099">
              <w:rPr>
                <w:rFonts w:cs="Calibri"/>
                <w:b/>
                <w:bCs/>
                <w:color w:val="000000"/>
                <w:szCs w:val="22"/>
              </w:rPr>
              <w:t xml:space="preserve">Odhadovaná absorpční kapacita </w:t>
            </w:r>
            <w:r w:rsidR="0084453C">
              <w:rPr>
                <w:rFonts w:cs="Calibri"/>
                <w:b/>
                <w:bCs/>
                <w:color w:val="000000"/>
                <w:szCs w:val="22"/>
              </w:rPr>
              <w:t>OP PIK</w:t>
            </w:r>
            <w:r w:rsidRPr="00CF7099">
              <w:rPr>
                <w:rFonts w:cs="Calibri"/>
                <w:b/>
                <w:bCs/>
                <w:color w:val="000000"/>
                <w:szCs w:val="22"/>
              </w:rPr>
              <w:t xml:space="preserve"> proof-of-concept</w:t>
            </w:r>
          </w:p>
        </w:tc>
        <w:tc>
          <w:tcPr>
            <w:tcW w:w="2126" w:type="dxa"/>
            <w:noWrap/>
          </w:tcPr>
          <w:p w:rsidR="002C41C1" w:rsidRPr="00CF7099" w:rsidRDefault="002C41C1" w:rsidP="00CF7099">
            <w:pPr>
              <w:overflowPunct/>
              <w:autoSpaceDE/>
              <w:autoSpaceDN/>
              <w:adjustRightInd/>
              <w:jc w:val="right"/>
              <w:textAlignment w:val="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CF7099">
              <w:rPr>
                <w:rFonts w:cs="Calibri"/>
                <w:color w:val="000000"/>
                <w:szCs w:val="22"/>
              </w:rPr>
              <w:t>1800</w:t>
            </w:r>
          </w:p>
        </w:tc>
      </w:tr>
    </w:tbl>
    <w:p w:rsidR="002C41C1" w:rsidRDefault="002C41C1" w:rsidP="00953BAD"/>
    <w:p w:rsidR="002C41C1" w:rsidRDefault="002C41C1" w:rsidP="007C6E8B">
      <w:pPr>
        <w:pStyle w:val="Vtneslovannadpis"/>
      </w:pPr>
      <w:r>
        <w:t>Analýza tržních selhání a suboptimální investiční situace</w:t>
      </w:r>
    </w:p>
    <w:p w:rsidR="002C41C1" w:rsidRDefault="002C41C1" w:rsidP="007C6E8B">
      <w:r>
        <w:t>Potřeba financování vědy a výzkumu nemůže být vzhledem k zákonité rizikovosti takovýchto investic pokryta soukromými zdroji alokovanými na tržním principu. Ačkoliv se věda a výzkum nacházejí v hledáčku veřejné podpory, pozorujeme výrazné tržní selhání v oblasti proof</w:t>
      </w:r>
      <w:r w:rsidR="00011070">
        <w:t>-</w:t>
      </w:r>
      <w:r>
        <w:t>of</w:t>
      </w:r>
      <w:r w:rsidR="00011070">
        <w:t>-</w:t>
      </w:r>
      <w:r>
        <w:t>concept, či pre-seed</w:t>
      </w:r>
      <w:r w:rsidR="00011070">
        <w:t xml:space="preserve"> </w:t>
      </w:r>
      <w:r>
        <w:t>stage, což je fáze bezprostředně navazující na dostatečně podporovanou fázi výzkumu, na jehož konci disponují inovativní subjekty životaschopným záměrem, ale nedostatkem financí i kompetencí k jeho komercializaci.</w:t>
      </w:r>
    </w:p>
    <w:p w:rsidR="002C41C1" w:rsidRDefault="002C41C1" w:rsidP="007C6E8B"/>
    <w:p w:rsidR="002C41C1" w:rsidRDefault="005F2B40" w:rsidP="007C6E8B">
      <w:pPr>
        <w:keepNext/>
      </w:pPr>
      <w:r>
        <w:rPr>
          <w:rFonts w:cs="Calibri"/>
          <w:noProof/>
        </w:rPr>
        <w:drawing>
          <wp:inline distT="0" distB="0" distL="0" distR="0" wp14:anchorId="7F4E02BE" wp14:editId="6ECC280F">
            <wp:extent cx="3307715" cy="2202815"/>
            <wp:effectExtent l="0" t="0" r="6985" b="6985"/>
            <wp:docPr id="31" name="Picture 2" descr="Schéma V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éma VC.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7715" cy="2202815"/>
                    </a:xfrm>
                    <a:prstGeom prst="rect">
                      <a:avLst/>
                    </a:prstGeom>
                    <a:noFill/>
                    <a:ln>
                      <a:noFill/>
                    </a:ln>
                  </pic:spPr>
                </pic:pic>
              </a:graphicData>
            </a:graphic>
          </wp:inline>
        </w:drawing>
      </w:r>
    </w:p>
    <w:p w:rsidR="002C41C1" w:rsidRDefault="002C41C1" w:rsidP="00DF6E0B">
      <w:pPr>
        <w:pStyle w:val="Titulek"/>
      </w:pPr>
      <w:r>
        <w:t xml:space="preserve">Graf </w:t>
      </w:r>
      <w:fldSimple w:instr=" SEQ Graf \* ARABIC ">
        <w:r>
          <w:rPr>
            <w:noProof/>
          </w:rPr>
          <w:t>2</w:t>
        </w:r>
      </w:fldSimple>
      <w:r>
        <w:t xml:space="preserve"> - Životní cyklus firmy</w:t>
      </w:r>
    </w:p>
    <w:p w:rsidR="002C41C1" w:rsidRDefault="002C41C1" w:rsidP="007C6E8B"/>
    <w:p w:rsidR="002C41C1" w:rsidRDefault="002C41C1" w:rsidP="007C6E8B">
      <w:r w:rsidRPr="00330F00">
        <w:t>Žadatelé o financování nového projektu z podstaty nemohou mít dostatečnou kreditní historii ani schopnost ručení. Perspektivní výzkumníci se ne vždy obklopí osobami kompetentními ke komercializaci výstupu. Výsledkem je nedostatečná připravenost záměrů a oboustranná informační asymetrie, kdy vlastníci projektů nemají dostatečné informace o dostupnosti financování a potenciální investoři jsou nedůvěřiví vůči projektům, jejichž nosná činnost leží mimo hranice jejich chápání. Špatně připravení vlastníci projektů neumí investory přesvědčit o možnosti komerčního uplatnění projektu a o reálně nižší, i když stále vysoké míře rizika, což ústí ve zbytečně vysokou požadovanou míru výnosnosti či zamítnutí investice do projektu.</w:t>
      </w:r>
    </w:p>
    <w:p w:rsidR="002C41C1" w:rsidRDefault="002C41C1" w:rsidP="003664A3"/>
    <w:p w:rsidR="002C41C1" w:rsidRDefault="002C41C1" w:rsidP="003664A3">
      <w:r w:rsidRPr="00DF6E0B">
        <w:rPr>
          <w:b/>
        </w:rPr>
        <w:t>Nutnost vyřešit financování podnikatelských záměrů v</w:t>
      </w:r>
      <w:r w:rsidR="00011070">
        <w:rPr>
          <w:b/>
        </w:rPr>
        <w:t> </w:t>
      </w:r>
      <w:r w:rsidRPr="00DF6E0B">
        <w:rPr>
          <w:b/>
        </w:rPr>
        <w:t>pre</w:t>
      </w:r>
      <w:r w:rsidR="00011070">
        <w:rPr>
          <w:b/>
        </w:rPr>
        <w:t>-</w:t>
      </w:r>
      <w:r w:rsidRPr="00DF6E0B">
        <w:rPr>
          <w:b/>
        </w:rPr>
        <w:t>seed fázi bude stále zřejmější s výsledky dobře koncipované podpory dřívější fáze vědy a výzkumu.</w:t>
      </w:r>
      <w:r>
        <w:t xml:space="preserve"> V nákladně vybudovaných výzkumných a inovačních centrech jsou ve fázích počátečního výzkumu </w:t>
      </w:r>
      <w:r w:rsidRPr="007130D4">
        <w:t xml:space="preserve">a bádání zkoumány záměry, které z nezanedbatelné části vyústí v registraci patentu či užitného vzoru. Za současné situace neexistuje efektivní mechanismus, který by inovativní subjekty podporoval po finanční a kompetenční stránce v realizaci ziskové komercializace záměru. Pokud orgány veřejné správy nezjednají nápravu, bude stále více a více projektů vzešlých z veřejně financovaného výzkumu končit ve slepé uličce. </w:t>
      </w:r>
    </w:p>
    <w:p w:rsidR="002C41C1" w:rsidRDefault="002C41C1" w:rsidP="003664A3"/>
    <w:p w:rsidR="002C41C1" w:rsidRDefault="002C41C1" w:rsidP="007C6E8B">
      <w:r>
        <w:t>Dotazníkové šetření realizované mezi 37 výzkumnými institucemi v rámci projektu INKA TAČR odhaluje, že</w:t>
      </w:r>
      <w:r w:rsidRPr="00DF6E0B">
        <w:rPr>
          <w:b/>
        </w:rPr>
        <w:t xml:space="preserve"> samotná dostupnost financování není jedinou překážkou správně fungujícímu systému VaV aktivit.</w:t>
      </w:r>
      <w:r>
        <w:t xml:space="preserve"> Na druhou stranu lze důvodně předpokládat, že zvýšení kapitálové vybavenosti českého sektoru VaV a zvýšení mezinárodního povědomí o něm v důsledku medializace komerčně úspěšných projektů jej zatraktivní v očích vědeckých pracovníků a odborníků a přispěje k řešení nejčastěji zmiňovaného problému – nedostatku kompetentních lidských zdrojů.</w:t>
      </w:r>
    </w:p>
    <w:p w:rsidR="002C41C1" w:rsidRDefault="002C41C1" w:rsidP="007C6E8B"/>
    <w:p w:rsidR="002C41C1" w:rsidRDefault="005F2B40" w:rsidP="003A0BF1">
      <w:pPr>
        <w:keepNext/>
      </w:pPr>
      <w:r>
        <w:rPr>
          <w:noProof/>
        </w:rPr>
        <w:lastRenderedPageBreak/>
        <w:drawing>
          <wp:inline distT="0" distB="0" distL="0" distR="0" wp14:anchorId="2929BD03" wp14:editId="4144F5C7">
            <wp:extent cx="5764530" cy="3021330"/>
            <wp:effectExtent l="0" t="0" r="7620" b="7620"/>
            <wp:docPr id="8"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4530" cy="3021330"/>
                    </a:xfrm>
                    <a:prstGeom prst="rect">
                      <a:avLst/>
                    </a:prstGeom>
                    <a:noFill/>
                    <a:ln>
                      <a:noFill/>
                    </a:ln>
                  </pic:spPr>
                </pic:pic>
              </a:graphicData>
            </a:graphic>
          </wp:inline>
        </w:drawing>
      </w:r>
    </w:p>
    <w:p w:rsidR="002C41C1" w:rsidRDefault="002C41C1" w:rsidP="003A0BF1">
      <w:pPr>
        <w:pStyle w:val="Titulek"/>
      </w:pPr>
      <w:r w:rsidRPr="003709F3">
        <w:t xml:space="preserve">Graf </w:t>
      </w:r>
      <w:fldSimple w:instr=" SEQ Graf \* ARABIC ">
        <w:r>
          <w:rPr>
            <w:noProof/>
          </w:rPr>
          <w:t>3</w:t>
        </w:r>
      </w:fldSimple>
      <w:r w:rsidRPr="003709F3">
        <w:t xml:space="preserve"> - Bariéry VaV</w:t>
      </w:r>
    </w:p>
    <w:p w:rsidR="002C41C1" w:rsidRDefault="002C41C1" w:rsidP="00DF6E0B">
      <w:pPr>
        <w:pStyle w:val="Titulek"/>
      </w:pPr>
      <w:r>
        <w:t>Zdroj: Šetření INKA</w:t>
      </w:r>
    </w:p>
    <w:p w:rsidR="002C41C1" w:rsidRPr="00DF6E0B" w:rsidRDefault="002C41C1">
      <w:pPr>
        <w:rPr>
          <w:lang w:eastAsia="en-US"/>
        </w:rPr>
      </w:pPr>
    </w:p>
    <w:p w:rsidR="002C41C1" w:rsidRDefault="002C41C1" w:rsidP="007C6E8B">
      <w:r w:rsidRPr="007130D4">
        <w:t xml:space="preserve">Výsledky VaV často končí pouze patentováním. </w:t>
      </w:r>
      <w:r w:rsidR="00F47219">
        <w:rPr>
          <w:b/>
        </w:rPr>
        <w:t>Je zřejmé</w:t>
      </w:r>
      <w:r w:rsidRPr="00DF6E0B">
        <w:rPr>
          <w:b/>
        </w:rPr>
        <w:t>, že k této situaci vede i stávající systém hodnocení účinnosti VaV, kdy patentováním příjemce podpory vykáže požadovanou aktivitu, a není dále motivován vyvíjet aktivitu k další komercializaci záměru</w:t>
      </w:r>
      <w:r>
        <w:t>. Kvůli tlaku na splnění ukazatele jsou pak patentové žádosti často předkládány příliš brzy a bez dostatečné přípravy. Patent přiznaný na nedokonale připravené žádosti již nelze v budoucnu měnit, a jeho nedostatečná kvalita pak snižuje hodnotu duševního vlastnictví z výzkumu a vývoje, které se za ním skrývá. Procento nevyužitých patentů podle jednotlivých přihlašovacích institucí uvádí následující graf.</w:t>
      </w:r>
    </w:p>
    <w:p w:rsidR="002C41C1" w:rsidRDefault="005F2B40" w:rsidP="007C6E8B">
      <w:pPr>
        <w:jc w:val="center"/>
      </w:pPr>
      <w:r>
        <w:rPr>
          <w:noProof/>
        </w:rPr>
        <w:drawing>
          <wp:inline distT="0" distB="0" distL="0" distR="0" wp14:anchorId="0D95BD65" wp14:editId="448F86F6">
            <wp:extent cx="5764530" cy="3068955"/>
            <wp:effectExtent l="0" t="0" r="7620" b="0"/>
            <wp:docPr id="10"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4530" cy="3068955"/>
                    </a:xfrm>
                    <a:prstGeom prst="rect">
                      <a:avLst/>
                    </a:prstGeom>
                    <a:noFill/>
                    <a:ln>
                      <a:noFill/>
                    </a:ln>
                  </pic:spPr>
                </pic:pic>
              </a:graphicData>
            </a:graphic>
          </wp:inline>
        </w:drawing>
      </w:r>
    </w:p>
    <w:p w:rsidR="002C41C1" w:rsidRDefault="002C41C1" w:rsidP="00DF6E0B">
      <w:pPr>
        <w:pStyle w:val="Titulek"/>
        <w:rPr>
          <w:rStyle w:val="Znakapoznpodarou"/>
          <w:rFonts w:cs="Arial"/>
          <w:b w:val="0"/>
          <w:bCs w:val="0"/>
          <w:color w:val="auto"/>
          <w:lang w:eastAsia="cs-CZ"/>
        </w:rPr>
      </w:pPr>
      <w:r>
        <w:t xml:space="preserve">Graf </w:t>
      </w:r>
      <w:fldSimple w:instr=" SEQ Graf \* ARABIC ">
        <w:r>
          <w:rPr>
            <w:noProof/>
          </w:rPr>
          <w:t>4</w:t>
        </w:r>
      </w:fldSimple>
      <w:r>
        <w:t xml:space="preserve"> - Využití patentů vzniklých s veřejnou podporou</w:t>
      </w:r>
    </w:p>
    <w:p w:rsidR="002C41C1" w:rsidRDefault="002C41C1" w:rsidP="00DF6E0B">
      <w:pPr>
        <w:pStyle w:val="Titulek"/>
      </w:pPr>
      <w:r>
        <w:t>Zdroj: Šetření Inka</w:t>
      </w:r>
    </w:p>
    <w:p w:rsidR="002C41C1" w:rsidRDefault="002C41C1" w:rsidP="00953BAD"/>
    <w:p w:rsidR="002C41C1" w:rsidRDefault="002C41C1" w:rsidP="00261EC0">
      <w:pPr>
        <w:pStyle w:val="Vtneslovannadpis"/>
      </w:pPr>
      <w:r>
        <w:t>Návrh opatření</w:t>
      </w:r>
    </w:p>
    <w:p w:rsidR="002C41C1" w:rsidRDefault="002C41C1" w:rsidP="00261EC0">
      <w:r>
        <w:lastRenderedPageBreak/>
        <w:t xml:space="preserve">Je nezbytný snadnější přístup k financování nákladů na další aplikovaný výzkum, marketingové studie, administrativní náklady spojené se založením společnosti, atd. V minulém programovacím období byla tato aktivita označovaná jako </w:t>
      </w:r>
      <w:r w:rsidRPr="00B55D0C">
        <w:rPr>
          <w:b/>
        </w:rPr>
        <w:t>proof</w:t>
      </w:r>
      <w:r>
        <w:rPr>
          <w:b/>
        </w:rPr>
        <w:t>-</w:t>
      </w:r>
      <w:r w:rsidRPr="00B55D0C">
        <w:rPr>
          <w:b/>
        </w:rPr>
        <w:t>of</w:t>
      </w:r>
      <w:r>
        <w:rPr>
          <w:b/>
        </w:rPr>
        <w:t>-</w:t>
      </w:r>
      <w:r w:rsidRPr="00B55D0C">
        <w:rPr>
          <w:b/>
        </w:rPr>
        <w:t>concept</w:t>
      </w:r>
      <w:r>
        <w:t>.</w:t>
      </w:r>
    </w:p>
    <w:p w:rsidR="002C41C1" w:rsidRDefault="002C41C1" w:rsidP="00261EC0"/>
    <w:p w:rsidR="002C41C1" w:rsidRDefault="002C41C1" w:rsidP="00261EC0">
      <w:pPr>
        <w:rPr>
          <w:b/>
        </w:rPr>
      </w:pPr>
      <w:r w:rsidRPr="001D1197">
        <w:t xml:space="preserve">Nezpochybnitelný komerční potenciál výsledků výzkumu a vývoje vede </w:t>
      </w:r>
      <w:r w:rsidR="00F47219">
        <w:t xml:space="preserve">Deloitte Advisory </w:t>
      </w:r>
      <w:r w:rsidRPr="001D1197">
        <w:t>k přesvědčení, že dosavadním způsobem dotačního financování</w:t>
      </w:r>
      <w:r>
        <w:t xml:space="preserve"> v rámci VaVPI,</w:t>
      </w:r>
      <w:r w:rsidRPr="001D1197">
        <w:t xml:space="preserve"> které navíc nebylo plně pod kontrolou řídícího orgánu, ale spadalo do kompetence jiných těles, například vědeckých rad univerzit, jsou prostředky vynakládány neefektivně. Grantová povaha financování neklade na</w:t>
      </w:r>
      <w:r w:rsidR="00F47219">
        <w:t xml:space="preserve"> příjemce dostatečné nároky na zkvalitnění vnitřních procesů spojených s komercializací. Z</w:t>
      </w:r>
      <w:r w:rsidRPr="001D1197">
        <w:t xml:space="preserve">ároveň </w:t>
      </w:r>
      <w:r w:rsidR="00F47219">
        <w:t xml:space="preserve">stát </w:t>
      </w:r>
      <w:r w:rsidRPr="001D1197">
        <w:t xml:space="preserve">přichází o možnost v budoucnu </w:t>
      </w:r>
      <w:r w:rsidR="00F47219">
        <w:t xml:space="preserve">částečně využít výnosů </w:t>
      </w:r>
      <w:r w:rsidRPr="001D1197">
        <w:t>z úspěšných záměrů realizovaných s využitím veřejné podpory</w:t>
      </w:r>
      <w:r w:rsidR="00F47219">
        <w:t xml:space="preserve"> k podpoře dalších projektů</w:t>
      </w:r>
      <w:r w:rsidRPr="001D1197">
        <w:t xml:space="preserve">. S ohledem na nejistý výsledek investice není možné uvažovat o poskytování zvýhodněných úvěrů či bankovních garancí. </w:t>
      </w:r>
      <w:r w:rsidRPr="001D1197">
        <w:rPr>
          <w:b/>
        </w:rPr>
        <w:t xml:space="preserve">Jako jednoznačně nejvhodnější se </w:t>
      </w:r>
      <w:r w:rsidR="00562B73">
        <w:rPr>
          <w:b/>
        </w:rPr>
        <w:t xml:space="preserve">dle Deloitte Advisory </w:t>
      </w:r>
      <w:r w:rsidRPr="001D1197">
        <w:rPr>
          <w:b/>
        </w:rPr>
        <w:t>jeví finanční nástroj v podobě kapitálových vstupů.</w:t>
      </w:r>
    </w:p>
    <w:p w:rsidR="002C41C1" w:rsidRDefault="002C41C1" w:rsidP="00261EC0"/>
    <w:p w:rsidR="002C41C1" w:rsidRPr="00DF6E0B" w:rsidRDefault="002C41C1" w:rsidP="002454F8">
      <w:r w:rsidRPr="00DF6E0B">
        <w:t xml:space="preserve">Prostředky plynoucí z fondu založeného v rámci OP PIK do fondů zřízených jednotlivými univerzitami či jinými veřejnými výzkumnými institucemi budou investovány do nadějných projektů. Povaha tohoto vztahu </w:t>
      </w:r>
      <w:r>
        <w:t>bude vyvíjet</w:t>
      </w:r>
      <w:r w:rsidR="00011070">
        <w:t xml:space="preserve"> </w:t>
      </w:r>
      <w:r w:rsidRPr="00DF6E0B">
        <w:t>tlak na správce jednotlivých univerzitních fondů jednat s péčí řádného hospodáře, přičemž bude mít řídící orgán detailní přehled nejen o činnosti jednotlivých univerzitních fondů, ale z pozice podílníka též o hospodaření jednotlivých investičních cílů. Exit v krátkém investičním horizontu zajistí přísun zhodnocených zdrojů k reinvestování.</w:t>
      </w:r>
      <w:r w:rsidR="00011070">
        <w:t xml:space="preserve"> </w:t>
      </w:r>
      <w:r w:rsidRPr="00DF6E0B">
        <w:t xml:space="preserve">Perspektivní projekty budou sdružovány v univerzitních fondech (které mohou mít různou právní formu), do nichž bude potřebnou likviditu dodávat fond fondů zřízený MPO financovaný z ESIF fondů. </w:t>
      </w:r>
    </w:p>
    <w:p w:rsidR="002C41C1" w:rsidRPr="00DF6E0B" w:rsidRDefault="002C41C1" w:rsidP="002454F8"/>
    <w:p w:rsidR="002C41C1" w:rsidRPr="00DF6E0B" w:rsidRDefault="002C41C1" w:rsidP="002454F8">
      <w:r w:rsidRPr="00DF6E0B">
        <w:t>Zamýšlená struktura přepokládá podílnictví univerzit prostřednictvím nepeněžních vkladů do základního kapitálu v podobě duševního vlastnictví</w:t>
      </w:r>
      <w:r>
        <w:t>.</w:t>
      </w:r>
      <w:r w:rsidRPr="00DF6E0B">
        <w:t xml:space="preserve"> Takto bude respektován regulatorní požadavek na zapojení národních zdrojů do finančních nástrojů.</w:t>
      </w:r>
    </w:p>
    <w:p w:rsidR="002C41C1" w:rsidRDefault="002C41C1" w:rsidP="00261EC0"/>
    <w:p w:rsidR="002C41C1" w:rsidRDefault="002C41C1" w:rsidP="00261EC0"/>
    <w:tbl>
      <w:tblPr>
        <w:tblW w:w="5522" w:type="dxa"/>
        <w:jc w:val="center"/>
        <w:tblCellMar>
          <w:left w:w="70" w:type="dxa"/>
          <w:right w:w="70" w:type="dxa"/>
        </w:tblCellMar>
        <w:tblLook w:val="00A0" w:firstRow="1" w:lastRow="0" w:firstColumn="1" w:lastColumn="0" w:noHBand="0" w:noVBand="0"/>
      </w:tblPr>
      <w:tblGrid>
        <w:gridCol w:w="960"/>
        <w:gridCol w:w="698"/>
        <w:gridCol w:w="4140"/>
      </w:tblGrid>
      <w:tr w:rsidR="002C41C1" w:rsidRPr="00661000" w:rsidTr="00261EC0">
        <w:trPr>
          <w:trHeight w:val="402"/>
          <w:jc w:val="center"/>
        </w:trPr>
        <w:tc>
          <w:tcPr>
            <w:tcW w:w="960" w:type="dxa"/>
            <w:tcBorders>
              <w:top w:val="nil"/>
              <w:left w:val="nil"/>
              <w:bottom w:val="single" w:sz="4" w:space="0" w:color="auto"/>
              <w:right w:val="nil"/>
            </w:tcBorders>
            <w:noWrap/>
            <w:vAlign w:val="bottom"/>
          </w:tcPr>
          <w:p w:rsidR="002C41C1" w:rsidRPr="00C31247" w:rsidRDefault="002C41C1" w:rsidP="00EB27E7">
            <w:pPr>
              <w:keepNext/>
              <w:jc w:val="left"/>
              <w:rPr>
                <w:rFonts w:ascii="Times New Roman" w:hAnsi="Times New Roman"/>
                <w:sz w:val="20"/>
              </w:rPr>
            </w:pPr>
          </w:p>
        </w:tc>
        <w:tc>
          <w:tcPr>
            <w:tcW w:w="422" w:type="dxa"/>
            <w:tcBorders>
              <w:top w:val="nil"/>
              <w:left w:val="nil"/>
              <w:bottom w:val="single" w:sz="4" w:space="0" w:color="auto"/>
              <w:right w:val="nil"/>
            </w:tcBorders>
            <w:noWrap/>
            <w:vAlign w:val="bottom"/>
          </w:tcPr>
          <w:p w:rsidR="002C41C1" w:rsidRPr="00C31247" w:rsidRDefault="002C41C1" w:rsidP="00EB27E7">
            <w:pPr>
              <w:keepNext/>
              <w:jc w:val="left"/>
              <w:rPr>
                <w:rFonts w:ascii="Times New Roman" w:hAnsi="Times New Roman"/>
                <w:sz w:val="20"/>
              </w:rPr>
            </w:pPr>
          </w:p>
        </w:tc>
        <w:tc>
          <w:tcPr>
            <w:tcW w:w="4140" w:type="dxa"/>
            <w:tcBorders>
              <w:top w:val="single" w:sz="4" w:space="0" w:color="auto"/>
              <w:left w:val="single" w:sz="4" w:space="0" w:color="auto"/>
              <w:bottom w:val="single" w:sz="4" w:space="0" w:color="auto"/>
              <w:right w:val="single" w:sz="4" w:space="0" w:color="000000"/>
            </w:tcBorders>
            <w:shd w:val="clear" w:color="auto" w:fill="D6E3BC"/>
            <w:vAlign w:val="center"/>
          </w:tcPr>
          <w:p w:rsidR="002C41C1" w:rsidRPr="00C31247" w:rsidRDefault="0072403F" w:rsidP="0072403F">
            <w:pPr>
              <w:keepNext/>
              <w:jc w:val="center"/>
              <w:rPr>
                <w:b/>
                <w:bCs/>
                <w:color w:val="000000"/>
                <w:szCs w:val="22"/>
              </w:rPr>
            </w:pPr>
            <w:r>
              <w:rPr>
                <w:b/>
                <w:bCs/>
                <w:color w:val="000000"/>
                <w:szCs w:val="22"/>
              </w:rPr>
              <w:t>Pre-seed f</w:t>
            </w:r>
            <w:r w:rsidR="002C41C1">
              <w:rPr>
                <w:b/>
                <w:bCs/>
                <w:color w:val="000000"/>
                <w:szCs w:val="22"/>
              </w:rPr>
              <w:t xml:space="preserve">ond MPO a univerzitní fondy </w:t>
            </w:r>
          </w:p>
        </w:tc>
      </w:tr>
      <w:tr w:rsidR="002C41C1" w:rsidRPr="00661000" w:rsidTr="00261EC0">
        <w:trPr>
          <w:trHeight w:val="402"/>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B6DDE8"/>
            <w:noWrap/>
            <w:textDirection w:val="btLr"/>
            <w:vAlign w:val="center"/>
          </w:tcPr>
          <w:p w:rsidR="002C41C1" w:rsidRPr="00661000" w:rsidRDefault="0072403F" w:rsidP="00EB27E7">
            <w:pPr>
              <w:keepNext/>
              <w:jc w:val="center"/>
              <w:rPr>
                <w:b/>
                <w:bCs/>
                <w:color w:val="000000"/>
                <w:szCs w:val="22"/>
              </w:rPr>
            </w:pPr>
            <w:r>
              <w:rPr>
                <w:b/>
                <w:bCs/>
                <w:color w:val="000000"/>
                <w:szCs w:val="22"/>
              </w:rPr>
              <w:t>Přidaná hodnota</w:t>
            </w:r>
          </w:p>
        </w:tc>
        <w:tc>
          <w:tcPr>
            <w:tcW w:w="422" w:type="dxa"/>
            <w:vMerge w:val="restart"/>
            <w:tcBorders>
              <w:top w:val="single" w:sz="4" w:space="0" w:color="auto"/>
              <w:left w:val="single" w:sz="4" w:space="0" w:color="auto"/>
              <w:bottom w:val="single" w:sz="4" w:space="0" w:color="auto"/>
              <w:right w:val="nil"/>
            </w:tcBorders>
            <w:shd w:val="clear" w:color="auto" w:fill="B6DDE8"/>
            <w:noWrap/>
            <w:textDirection w:val="btLr"/>
            <w:vAlign w:val="center"/>
          </w:tcPr>
          <w:p w:rsidR="0072403F" w:rsidRDefault="0072403F" w:rsidP="0072403F">
            <w:pPr>
              <w:keepNext/>
              <w:jc w:val="center"/>
              <w:rPr>
                <w:b/>
                <w:bCs/>
                <w:color w:val="000000"/>
                <w:szCs w:val="22"/>
              </w:rPr>
            </w:pPr>
            <w:r>
              <w:rPr>
                <w:b/>
                <w:bCs/>
                <w:color w:val="000000"/>
                <w:szCs w:val="22"/>
              </w:rPr>
              <w:t xml:space="preserve">Konečný </w:t>
            </w:r>
          </w:p>
          <w:p w:rsidR="002C41C1" w:rsidRPr="00661000" w:rsidRDefault="0072403F" w:rsidP="0072403F">
            <w:pPr>
              <w:keepNext/>
              <w:jc w:val="center"/>
              <w:rPr>
                <w:b/>
                <w:bCs/>
                <w:color w:val="000000"/>
                <w:szCs w:val="22"/>
              </w:rPr>
            </w:pPr>
            <w:r>
              <w:rPr>
                <w:b/>
                <w:bCs/>
                <w:color w:val="000000"/>
                <w:szCs w:val="22"/>
              </w:rPr>
              <w:t>p</w:t>
            </w:r>
            <w:r w:rsidR="002C41C1" w:rsidRPr="00661000">
              <w:rPr>
                <w:b/>
                <w:bCs/>
                <w:color w:val="000000"/>
                <w:szCs w:val="22"/>
              </w:rPr>
              <w:t>říjemce</w:t>
            </w:r>
          </w:p>
        </w:tc>
        <w:tc>
          <w:tcPr>
            <w:tcW w:w="4140" w:type="dxa"/>
            <w:tcBorders>
              <w:top w:val="single" w:sz="4" w:space="0" w:color="auto"/>
              <w:left w:val="single" w:sz="4" w:space="0" w:color="auto"/>
              <w:bottom w:val="nil"/>
              <w:right w:val="single" w:sz="4" w:space="0" w:color="000000"/>
            </w:tcBorders>
            <w:shd w:val="clear" w:color="auto" w:fill="B6DDE8"/>
            <w:vAlign w:val="center"/>
          </w:tcPr>
          <w:p w:rsidR="002C41C1" w:rsidRPr="00C31247" w:rsidRDefault="002C41C1" w:rsidP="00EB27E7">
            <w:pPr>
              <w:keepNext/>
              <w:jc w:val="center"/>
              <w:rPr>
                <w:color w:val="000000"/>
                <w:szCs w:val="22"/>
              </w:rPr>
            </w:pPr>
            <w:r w:rsidRPr="00C31247">
              <w:rPr>
                <w:color w:val="000000"/>
                <w:szCs w:val="22"/>
              </w:rPr>
              <w:t>Přístup k nevratnému financování</w:t>
            </w:r>
          </w:p>
        </w:tc>
      </w:tr>
      <w:tr w:rsidR="002C41C1" w:rsidRPr="00661000" w:rsidTr="00261EC0">
        <w:trPr>
          <w:trHeight w:val="402"/>
          <w:jc w:val="center"/>
        </w:trPr>
        <w:tc>
          <w:tcPr>
            <w:tcW w:w="960" w:type="dxa"/>
            <w:vMerge/>
            <w:tcBorders>
              <w:top w:val="single" w:sz="4" w:space="0" w:color="auto"/>
              <w:left w:val="single" w:sz="4" w:space="0" w:color="auto"/>
              <w:bottom w:val="single" w:sz="4" w:space="0" w:color="auto"/>
              <w:right w:val="single" w:sz="4" w:space="0" w:color="auto"/>
            </w:tcBorders>
            <w:shd w:val="clear" w:color="auto" w:fill="B6DDE8"/>
            <w:vAlign w:val="center"/>
          </w:tcPr>
          <w:p w:rsidR="002C41C1" w:rsidRPr="00661000" w:rsidRDefault="002C41C1" w:rsidP="00EB27E7">
            <w:pPr>
              <w:keepNext/>
              <w:jc w:val="left"/>
              <w:rPr>
                <w:b/>
                <w:bCs/>
                <w:color w:val="000000"/>
                <w:szCs w:val="22"/>
              </w:rPr>
            </w:pPr>
          </w:p>
        </w:tc>
        <w:tc>
          <w:tcPr>
            <w:tcW w:w="422" w:type="dxa"/>
            <w:vMerge/>
            <w:tcBorders>
              <w:top w:val="single" w:sz="4" w:space="0" w:color="auto"/>
              <w:left w:val="single" w:sz="4" w:space="0" w:color="auto"/>
              <w:bottom w:val="single" w:sz="4" w:space="0" w:color="auto"/>
              <w:right w:val="nil"/>
            </w:tcBorders>
            <w:shd w:val="clear" w:color="auto" w:fill="B6DDE8"/>
            <w:vAlign w:val="center"/>
          </w:tcPr>
          <w:p w:rsidR="002C41C1" w:rsidRPr="00661000" w:rsidRDefault="002C41C1" w:rsidP="00EB27E7">
            <w:pPr>
              <w:keepNext/>
              <w:jc w:val="left"/>
              <w:rPr>
                <w:b/>
                <w:bCs/>
                <w:color w:val="000000"/>
                <w:szCs w:val="22"/>
              </w:rPr>
            </w:pPr>
          </w:p>
        </w:tc>
        <w:tc>
          <w:tcPr>
            <w:tcW w:w="4140" w:type="dxa"/>
            <w:tcBorders>
              <w:top w:val="nil"/>
              <w:left w:val="single" w:sz="4" w:space="0" w:color="auto"/>
              <w:bottom w:val="nil"/>
              <w:right w:val="single" w:sz="4" w:space="0" w:color="000000"/>
            </w:tcBorders>
            <w:shd w:val="clear" w:color="auto" w:fill="B6DDE8"/>
            <w:vAlign w:val="center"/>
          </w:tcPr>
          <w:p w:rsidR="002C41C1" w:rsidRPr="00C31247" w:rsidRDefault="002C41C1" w:rsidP="00EB27E7">
            <w:pPr>
              <w:keepNext/>
              <w:jc w:val="center"/>
              <w:rPr>
                <w:color w:val="000000"/>
                <w:szCs w:val="22"/>
              </w:rPr>
            </w:pPr>
            <w:r w:rsidRPr="00C31247">
              <w:rPr>
                <w:color w:val="000000"/>
                <w:szCs w:val="22"/>
              </w:rPr>
              <w:t>Sdílení rizika</w:t>
            </w:r>
          </w:p>
        </w:tc>
      </w:tr>
      <w:tr w:rsidR="002C41C1" w:rsidRPr="00661000" w:rsidTr="00261EC0">
        <w:trPr>
          <w:trHeight w:val="402"/>
          <w:jc w:val="center"/>
        </w:trPr>
        <w:tc>
          <w:tcPr>
            <w:tcW w:w="960" w:type="dxa"/>
            <w:vMerge/>
            <w:tcBorders>
              <w:top w:val="single" w:sz="4" w:space="0" w:color="auto"/>
              <w:left w:val="single" w:sz="4" w:space="0" w:color="auto"/>
              <w:bottom w:val="single" w:sz="4" w:space="0" w:color="auto"/>
              <w:right w:val="single" w:sz="4" w:space="0" w:color="auto"/>
            </w:tcBorders>
            <w:shd w:val="clear" w:color="auto" w:fill="B6DDE8"/>
            <w:vAlign w:val="center"/>
          </w:tcPr>
          <w:p w:rsidR="002C41C1" w:rsidRPr="00661000" w:rsidRDefault="002C41C1" w:rsidP="00EB27E7">
            <w:pPr>
              <w:keepNext/>
              <w:jc w:val="left"/>
              <w:rPr>
                <w:b/>
                <w:bCs/>
                <w:color w:val="000000"/>
                <w:szCs w:val="22"/>
              </w:rPr>
            </w:pPr>
          </w:p>
        </w:tc>
        <w:tc>
          <w:tcPr>
            <w:tcW w:w="422" w:type="dxa"/>
            <w:vMerge/>
            <w:tcBorders>
              <w:top w:val="single" w:sz="4" w:space="0" w:color="auto"/>
              <w:left w:val="single" w:sz="4" w:space="0" w:color="auto"/>
              <w:bottom w:val="single" w:sz="4" w:space="0" w:color="auto"/>
              <w:right w:val="nil"/>
            </w:tcBorders>
            <w:shd w:val="clear" w:color="auto" w:fill="B6DDE8"/>
            <w:vAlign w:val="center"/>
          </w:tcPr>
          <w:p w:rsidR="002C41C1" w:rsidRPr="00661000" w:rsidRDefault="002C41C1" w:rsidP="00EB27E7">
            <w:pPr>
              <w:keepNext/>
              <w:jc w:val="left"/>
              <w:rPr>
                <w:b/>
                <w:bCs/>
                <w:color w:val="000000"/>
                <w:szCs w:val="22"/>
              </w:rPr>
            </w:pPr>
          </w:p>
        </w:tc>
        <w:tc>
          <w:tcPr>
            <w:tcW w:w="4140" w:type="dxa"/>
            <w:tcBorders>
              <w:top w:val="nil"/>
              <w:left w:val="single" w:sz="4" w:space="0" w:color="auto"/>
              <w:bottom w:val="nil"/>
              <w:right w:val="single" w:sz="4" w:space="0" w:color="000000"/>
            </w:tcBorders>
            <w:shd w:val="clear" w:color="auto" w:fill="B6DDE8"/>
            <w:noWrap/>
            <w:vAlign w:val="center"/>
          </w:tcPr>
          <w:p w:rsidR="002C41C1" w:rsidRPr="00C31247" w:rsidRDefault="002C41C1" w:rsidP="00EB27E7">
            <w:pPr>
              <w:keepNext/>
              <w:jc w:val="center"/>
              <w:rPr>
                <w:color w:val="000000"/>
                <w:szCs w:val="22"/>
              </w:rPr>
            </w:pPr>
            <w:r>
              <w:rPr>
                <w:color w:val="000000"/>
                <w:szCs w:val="22"/>
              </w:rPr>
              <w:t>Platba v předstihu</w:t>
            </w:r>
          </w:p>
        </w:tc>
      </w:tr>
      <w:tr w:rsidR="002C41C1" w:rsidRPr="00661000" w:rsidTr="00261EC0">
        <w:trPr>
          <w:trHeight w:val="402"/>
          <w:jc w:val="center"/>
        </w:trPr>
        <w:tc>
          <w:tcPr>
            <w:tcW w:w="960" w:type="dxa"/>
            <w:vMerge/>
            <w:tcBorders>
              <w:top w:val="single" w:sz="4" w:space="0" w:color="auto"/>
              <w:left w:val="single" w:sz="4" w:space="0" w:color="auto"/>
              <w:bottom w:val="single" w:sz="4" w:space="0" w:color="auto"/>
              <w:right w:val="single" w:sz="4" w:space="0" w:color="auto"/>
            </w:tcBorders>
            <w:shd w:val="clear" w:color="auto" w:fill="B6DDE8"/>
            <w:vAlign w:val="center"/>
          </w:tcPr>
          <w:p w:rsidR="002C41C1" w:rsidRPr="00661000" w:rsidRDefault="002C41C1" w:rsidP="00EB27E7">
            <w:pPr>
              <w:keepNext/>
              <w:jc w:val="left"/>
              <w:rPr>
                <w:b/>
                <w:bCs/>
                <w:color w:val="000000"/>
                <w:szCs w:val="22"/>
              </w:rPr>
            </w:pPr>
          </w:p>
        </w:tc>
        <w:tc>
          <w:tcPr>
            <w:tcW w:w="422" w:type="dxa"/>
            <w:vMerge/>
            <w:tcBorders>
              <w:top w:val="single" w:sz="4" w:space="0" w:color="auto"/>
              <w:left w:val="single" w:sz="4" w:space="0" w:color="auto"/>
              <w:bottom w:val="single" w:sz="4" w:space="0" w:color="auto"/>
              <w:right w:val="nil"/>
            </w:tcBorders>
            <w:shd w:val="clear" w:color="auto" w:fill="B6DDE8"/>
            <w:vAlign w:val="center"/>
          </w:tcPr>
          <w:p w:rsidR="002C41C1" w:rsidRPr="00661000" w:rsidRDefault="002C41C1" w:rsidP="00EB27E7">
            <w:pPr>
              <w:keepNext/>
              <w:jc w:val="left"/>
              <w:rPr>
                <w:b/>
                <w:bCs/>
                <w:color w:val="000000"/>
                <w:szCs w:val="22"/>
              </w:rPr>
            </w:pPr>
          </w:p>
        </w:tc>
        <w:tc>
          <w:tcPr>
            <w:tcW w:w="4140" w:type="dxa"/>
            <w:tcBorders>
              <w:top w:val="nil"/>
              <w:left w:val="single" w:sz="4" w:space="0" w:color="auto"/>
              <w:bottom w:val="nil"/>
              <w:right w:val="single" w:sz="4" w:space="0" w:color="000000"/>
            </w:tcBorders>
            <w:shd w:val="clear" w:color="auto" w:fill="B6DDE8"/>
            <w:noWrap/>
            <w:vAlign w:val="bottom"/>
          </w:tcPr>
          <w:p w:rsidR="002C41C1" w:rsidRPr="00C31247" w:rsidRDefault="002C41C1" w:rsidP="00EB27E7">
            <w:pPr>
              <w:keepNext/>
              <w:jc w:val="center"/>
              <w:rPr>
                <w:color w:val="000000"/>
                <w:szCs w:val="22"/>
              </w:rPr>
            </w:pPr>
            <w:r w:rsidRPr="00C31247">
              <w:rPr>
                <w:color w:val="000000"/>
                <w:szCs w:val="22"/>
              </w:rPr>
              <w:t>Expertíza</w:t>
            </w:r>
          </w:p>
        </w:tc>
      </w:tr>
      <w:tr w:rsidR="002C41C1" w:rsidRPr="00661000" w:rsidTr="00261EC0">
        <w:trPr>
          <w:trHeight w:val="402"/>
          <w:jc w:val="center"/>
        </w:trPr>
        <w:tc>
          <w:tcPr>
            <w:tcW w:w="960" w:type="dxa"/>
            <w:vMerge/>
            <w:tcBorders>
              <w:top w:val="single" w:sz="4" w:space="0" w:color="auto"/>
              <w:left w:val="single" w:sz="4" w:space="0" w:color="auto"/>
              <w:bottom w:val="single" w:sz="4" w:space="0" w:color="auto"/>
              <w:right w:val="single" w:sz="4" w:space="0" w:color="auto"/>
            </w:tcBorders>
            <w:shd w:val="clear" w:color="auto" w:fill="B6DDE8"/>
            <w:vAlign w:val="center"/>
          </w:tcPr>
          <w:p w:rsidR="002C41C1" w:rsidRPr="00661000" w:rsidRDefault="002C41C1" w:rsidP="00EB27E7">
            <w:pPr>
              <w:keepNext/>
              <w:jc w:val="left"/>
              <w:rPr>
                <w:b/>
                <w:bCs/>
                <w:color w:val="000000"/>
                <w:szCs w:val="22"/>
              </w:rPr>
            </w:pPr>
          </w:p>
        </w:tc>
        <w:tc>
          <w:tcPr>
            <w:tcW w:w="422" w:type="dxa"/>
            <w:vMerge w:val="restart"/>
            <w:tcBorders>
              <w:top w:val="nil"/>
              <w:left w:val="single" w:sz="4" w:space="0" w:color="auto"/>
              <w:bottom w:val="single" w:sz="4" w:space="0" w:color="auto"/>
              <w:right w:val="nil"/>
            </w:tcBorders>
            <w:shd w:val="clear" w:color="auto" w:fill="B6DDE8"/>
            <w:noWrap/>
            <w:textDirection w:val="btLr"/>
            <w:vAlign w:val="center"/>
          </w:tcPr>
          <w:p w:rsidR="002C41C1" w:rsidRPr="00661000" w:rsidRDefault="002C41C1" w:rsidP="00EB27E7">
            <w:pPr>
              <w:keepNext/>
              <w:jc w:val="center"/>
              <w:rPr>
                <w:b/>
                <w:bCs/>
                <w:color w:val="000000"/>
                <w:szCs w:val="22"/>
              </w:rPr>
            </w:pPr>
            <w:r w:rsidRPr="00661000">
              <w:rPr>
                <w:b/>
                <w:bCs/>
                <w:color w:val="000000"/>
                <w:szCs w:val="22"/>
              </w:rPr>
              <w:t>ŘO</w:t>
            </w:r>
          </w:p>
        </w:tc>
        <w:tc>
          <w:tcPr>
            <w:tcW w:w="4140" w:type="dxa"/>
            <w:tcBorders>
              <w:top w:val="nil"/>
              <w:left w:val="single" w:sz="4" w:space="0" w:color="auto"/>
              <w:bottom w:val="nil"/>
              <w:right w:val="single" w:sz="4" w:space="0" w:color="000000"/>
            </w:tcBorders>
            <w:shd w:val="clear" w:color="auto" w:fill="B6DDE8"/>
            <w:vAlign w:val="center"/>
          </w:tcPr>
          <w:p w:rsidR="002C41C1" w:rsidRPr="00C31247" w:rsidRDefault="0072403F" w:rsidP="0072403F">
            <w:pPr>
              <w:keepNext/>
              <w:jc w:val="center"/>
              <w:rPr>
                <w:color w:val="000000"/>
                <w:szCs w:val="22"/>
              </w:rPr>
            </w:pPr>
            <w:r>
              <w:rPr>
                <w:color w:val="000000"/>
                <w:szCs w:val="22"/>
              </w:rPr>
              <w:t xml:space="preserve">Návratný </w:t>
            </w:r>
            <w:r w:rsidR="002C41C1" w:rsidRPr="00C31247">
              <w:rPr>
                <w:color w:val="000000"/>
                <w:szCs w:val="22"/>
              </w:rPr>
              <w:t>potenciál</w:t>
            </w:r>
          </w:p>
        </w:tc>
      </w:tr>
      <w:tr w:rsidR="002C41C1" w:rsidRPr="00661000" w:rsidTr="00261EC0">
        <w:trPr>
          <w:trHeight w:val="402"/>
          <w:jc w:val="center"/>
        </w:trPr>
        <w:tc>
          <w:tcPr>
            <w:tcW w:w="960" w:type="dxa"/>
            <w:vMerge/>
            <w:tcBorders>
              <w:top w:val="single" w:sz="4" w:space="0" w:color="auto"/>
              <w:left w:val="single" w:sz="4" w:space="0" w:color="auto"/>
              <w:bottom w:val="single" w:sz="4" w:space="0" w:color="auto"/>
              <w:right w:val="single" w:sz="4" w:space="0" w:color="auto"/>
            </w:tcBorders>
            <w:shd w:val="clear" w:color="auto" w:fill="B6DDE8"/>
            <w:vAlign w:val="center"/>
          </w:tcPr>
          <w:p w:rsidR="002C41C1" w:rsidRPr="00661000" w:rsidRDefault="002C41C1" w:rsidP="00EB27E7">
            <w:pPr>
              <w:keepNext/>
              <w:jc w:val="left"/>
              <w:rPr>
                <w:b/>
                <w:bCs/>
                <w:color w:val="000000"/>
                <w:szCs w:val="22"/>
              </w:rPr>
            </w:pPr>
          </w:p>
        </w:tc>
        <w:tc>
          <w:tcPr>
            <w:tcW w:w="422" w:type="dxa"/>
            <w:vMerge/>
            <w:tcBorders>
              <w:top w:val="nil"/>
              <w:left w:val="single" w:sz="4" w:space="0" w:color="auto"/>
              <w:bottom w:val="single" w:sz="4" w:space="0" w:color="auto"/>
              <w:right w:val="nil"/>
            </w:tcBorders>
            <w:shd w:val="clear" w:color="auto" w:fill="B6DDE8"/>
            <w:vAlign w:val="center"/>
          </w:tcPr>
          <w:p w:rsidR="002C41C1" w:rsidRPr="00661000" w:rsidRDefault="002C41C1" w:rsidP="00EB27E7">
            <w:pPr>
              <w:keepNext/>
              <w:jc w:val="left"/>
              <w:rPr>
                <w:b/>
                <w:bCs/>
                <w:color w:val="000000"/>
                <w:szCs w:val="22"/>
              </w:rPr>
            </w:pPr>
          </w:p>
        </w:tc>
        <w:tc>
          <w:tcPr>
            <w:tcW w:w="4140" w:type="dxa"/>
            <w:tcBorders>
              <w:top w:val="nil"/>
              <w:left w:val="single" w:sz="4" w:space="0" w:color="auto"/>
              <w:bottom w:val="single" w:sz="4" w:space="0" w:color="auto"/>
              <w:right w:val="single" w:sz="4" w:space="0" w:color="000000"/>
            </w:tcBorders>
            <w:shd w:val="clear" w:color="auto" w:fill="B6DDE8"/>
            <w:noWrap/>
            <w:vAlign w:val="bottom"/>
          </w:tcPr>
          <w:p w:rsidR="002C41C1" w:rsidRPr="00C31247" w:rsidRDefault="002C41C1" w:rsidP="00EB27E7">
            <w:pPr>
              <w:keepNext/>
              <w:jc w:val="center"/>
              <w:rPr>
                <w:color w:val="000000"/>
                <w:szCs w:val="22"/>
              </w:rPr>
            </w:pPr>
            <w:r w:rsidRPr="00C31247">
              <w:rPr>
                <w:color w:val="000000"/>
                <w:szCs w:val="22"/>
              </w:rPr>
              <w:t>Kontrola přidělování prostředků</w:t>
            </w:r>
          </w:p>
        </w:tc>
      </w:tr>
    </w:tbl>
    <w:p w:rsidR="002C41C1" w:rsidRDefault="002C41C1" w:rsidP="00261EC0">
      <w:pPr>
        <w:pStyle w:val="Vtneslovannadpis"/>
      </w:pPr>
    </w:p>
    <w:p w:rsidR="002C41C1" w:rsidRDefault="002C41C1" w:rsidP="00DC6459">
      <w:pPr>
        <w:pStyle w:val="Vtneslovannadpis"/>
      </w:pPr>
      <w:r>
        <w:t>Shrnutí podporovaných oblastí v rámci PO 1, SC 1.1 a 1.2</w:t>
      </w:r>
    </w:p>
    <w:p w:rsidR="002C41C1" w:rsidRPr="00DF6E0B" w:rsidRDefault="002C41C1" w:rsidP="00DC6459">
      <w:r w:rsidRPr="00DF6E0B">
        <w:rPr>
          <w:b/>
        </w:rPr>
        <w:t>Ve VaV se obecně předpokládá nižší nasazení finančních nástrojů z důvodu nižšího cash flow a vyššího rizika projektů.</w:t>
      </w:r>
      <w:r w:rsidR="00011070">
        <w:rPr>
          <w:b/>
        </w:rPr>
        <w:t xml:space="preserve"> </w:t>
      </w:r>
      <w:r w:rsidRPr="00DF6E0B">
        <w:t>ŘO uvažuje maximální podíl finančních nástrojů na alokaci PO 1 na úrovni 5 %. V</w:t>
      </w:r>
      <w:r w:rsidRPr="00D144BB">
        <w:t> </w:t>
      </w:r>
      <w:r w:rsidRPr="00DF6E0B">
        <w:t>souladu s</w:t>
      </w:r>
      <w:r w:rsidRPr="00D144BB">
        <w:t> </w:t>
      </w:r>
      <w:r w:rsidRPr="00DF6E0B">
        <w:t>tím a vzhledem k</w:t>
      </w:r>
      <w:r w:rsidRPr="00D144BB">
        <w:t> </w:t>
      </w:r>
      <w:r w:rsidRPr="00DF6E0B">
        <w:t>nulovým zkušenostem ŘO s</w:t>
      </w:r>
      <w:r w:rsidRPr="00D144BB">
        <w:t> </w:t>
      </w:r>
      <w:r w:rsidRPr="00DF6E0B">
        <w:t>implementací finančních nástrojů v</w:t>
      </w:r>
      <w:r w:rsidRPr="00D144BB">
        <w:t> </w:t>
      </w:r>
      <w:r w:rsidRPr="00DF6E0B">
        <w:t>této prioritní ose doporučujeme realizaci FN nejprve v</w:t>
      </w:r>
      <w:r w:rsidRPr="00D144BB">
        <w:t> </w:t>
      </w:r>
      <w:r w:rsidRPr="00DF6E0B">
        <w:t>rámci pilotního projektu v</w:t>
      </w:r>
      <w:r w:rsidRPr="00D144BB">
        <w:t> </w:t>
      </w:r>
      <w:r w:rsidRPr="00DF6E0B">
        <w:t>aktivitě Proof-of-concept/Pre-seed.</w:t>
      </w:r>
      <w:r w:rsidR="00011070">
        <w:t xml:space="preserve"> </w:t>
      </w:r>
      <w:r w:rsidRPr="00DF6E0B">
        <w:t>Tato aktivita vykazuje největší potenciál aktivizace komercionalizace výsledků VaV a je přímo navázána na finanční nástroje rizikového kapitálu navržené v</w:t>
      </w:r>
      <w:r w:rsidRPr="00D144BB">
        <w:t> </w:t>
      </w:r>
      <w:r w:rsidRPr="00DF6E0B">
        <w:t>SC 2.1.Další identifikovanou oblastí vhodnou pro využití finančních nástrojů, je podpora podnikového výzkumu, který je nyní podporován výhradně dotačně.</w:t>
      </w:r>
      <w:r w:rsidR="00011070">
        <w:t xml:space="preserve"> </w:t>
      </w:r>
      <w:r w:rsidRPr="00DF6E0B">
        <w:t>Do budoucna je záhodno připravovat podniky na dobu, kdy nebude dostatek evropských zdrojů na dotační podporu jako dosud, zvláště pro tržně návratné aktivity.</w:t>
      </w:r>
    </w:p>
    <w:p w:rsidR="002C41C1" w:rsidRPr="00055E54" w:rsidRDefault="002C41C1" w:rsidP="00DC6459">
      <w:pPr>
        <w:rPr>
          <w:color w:val="FF0000"/>
        </w:rPr>
      </w:pPr>
    </w:p>
    <w:p w:rsidR="002C41C1" w:rsidRPr="00BF7B3E" w:rsidRDefault="002C41C1" w:rsidP="00DC6459">
      <w:r w:rsidRPr="00BF7B3E">
        <w:t>V textu výše jsme zdůrazňovali nutnost vybudovat mechanismus, který bude navazovat na podporu všeobecného bádání a výzkumu. Následníkem navrhovaného pre-seed fondu bude fond zaměřený na early stage investice zřízený rovněž v gesci MPO, mající právní formu akciové společnosti s proměnlivým základním kapitálem, který by zřizoval tematické podfondy, v nichž by se shromažďovaly projekty podle příslušnosti k odvětví. Tento fond bude přirozeným následníkem a exitovým partnerem pre-seed fondu. Koncentrací projektů v rámci jednotlivých oborů bude dosaženo kritické masy a vznikne stabilní pipeline projektů, která tyto projekty významně zviditelní v očích institucionálních nadnárodních investorů.</w:t>
      </w:r>
    </w:p>
    <w:p w:rsidR="002C41C1" w:rsidRDefault="002C41C1" w:rsidP="00F74B06"/>
    <w:p w:rsidR="002C41C1" w:rsidRPr="00DF6E0B" w:rsidRDefault="002C41C1" w:rsidP="00DF6E0B">
      <w:pPr>
        <w:pStyle w:val="Nadpis3"/>
      </w:pPr>
      <w:bookmarkStart w:id="27" w:name="_Toc413854340"/>
      <w:r w:rsidRPr="00DF6E0B">
        <w:t xml:space="preserve">Specifický cíl 2.1 </w:t>
      </w:r>
      <w:r w:rsidRPr="0086149D">
        <w:t>–</w:t>
      </w:r>
      <w:r w:rsidRPr="00DF6E0B">
        <w:t xml:space="preserve"> Zvýšit konkurenceschopnost začínajících a rozvojových MSP</w:t>
      </w:r>
      <w:bookmarkEnd w:id="27"/>
    </w:p>
    <w:p w:rsidR="002C41C1" w:rsidRPr="00F74B06" w:rsidRDefault="002C41C1" w:rsidP="00F74B06">
      <w:pPr>
        <w:pStyle w:val="Neslovannadpisy"/>
      </w:pPr>
      <w:r>
        <w:t>Podporované aktivity:</w:t>
      </w:r>
    </w:p>
    <w:p w:rsidR="002C41C1" w:rsidRDefault="002C41C1" w:rsidP="00F74B06">
      <w:pPr>
        <w:pStyle w:val="Odstavecseseznamem"/>
        <w:numPr>
          <w:ilvl w:val="0"/>
          <w:numId w:val="8"/>
        </w:numPr>
      </w:pPr>
      <w:r>
        <w:t>Realizace podnikatelských záměrů začínajících podniků (do 3 let) a rozvojových podniků prostřednictvím vhodných finančních nástrojů a dotací MSP zejména pro mikropodniky</w:t>
      </w:r>
    </w:p>
    <w:p w:rsidR="002C41C1" w:rsidRDefault="002C41C1" w:rsidP="00F74B06">
      <w:pPr>
        <w:pStyle w:val="Odstavecseseznamem"/>
        <w:numPr>
          <w:ilvl w:val="0"/>
          <w:numId w:val="8"/>
        </w:numPr>
      </w:pPr>
      <w:r>
        <w:t>Poskytování poradenských služeb a služeb pro začínající podniky na celém území ČR s výjimkou území hl. města Prahy (např. prostřednictvím podnikatelských inkubátorů)</w:t>
      </w:r>
    </w:p>
    <w:p w:rsidR="002C41C1" w:rsidRDefault="002C41C1" w:rsidP="0059147B"/>
    <w:p w:rsidR="002C41C1" w:rsidRDefault="002C41C1" w:rsidP="001E77F4">
      <w:pPr>
        <w:pStyle w:val="Neslovannadpisy"/>
      </w:pPr>
      <w:r>
        <w:t>Cílová skupina konečných příjemců:</w:t>
      </w:r>
    </w:p>
    <w:p w:rsidR="002C41C1" w:rsidRDefault="002C41C1" w:rsidP="001E77F4">
      <w:r>
        <w:t>Podnikatelské subjekty (malé a střední podniky) ve výrobě a službách, provozovatelé inovační infrastruktury jako jsou podnikatelské inkubátory, vědeckotechnické parky a inovační centra (pouze pro aktivity poskytování poradenských služeb a služeb pro začínající podniky); v rámci tohoto specifického cíle budou příjemci podpory nezemědělští podnikatelé s výstupem projektu mimo položky obsažené v dodatku Smlouvy (o EU), zároveň budou podporovány projekty zemědělských podnikatelů zaměřené na podnikatelské poradenství (nikoliv poradenství do zemědělské činnosti).</w:t>
      </w:r>
    </w:p>
    <w:p w:rsidR="002C41C1" w:rsidRDefault="002C41C1" w:rsidP="001E77F4"/>
    <w:p w:rsidR="002C41C1" w:rsidRDefault="002C41C1" w:rsidP="001E77F4">
      <w:pPr>
        <w:pStyle w:val="Neslovannadpisy"/>
      </w:pPr>
      <w:r>
        <w:t>Cílové území:</w:t>
      </w:r>
    </w:p>
    <w:p w:rsidR="002C41C1" w:rsidRDefault="002C41C1" w:rsidP="001E77F4">
      <w:r w:rsidRPr="001E77F4">
        <w:t>Území České republiky, mimo území hl. města Prahy.</w:t>
      </w:r>
    </w:p>
    <w:p w:rsidR="002C41C1" w:rsidRDefault="002C41C1" w:rsidP="001E77F4"/>
    <w:p w:rsidR="002C41C1" w:rsidRDefault="002C41C1">
      <w:pPr>
        <w:pStyle w:val="Vtneslovannadpis"/>
      </w:pPr>
      <w:r>
        <w:t>Tržní analýza –rozvojové MSP a úvěrové financování</w:t>
      </w:r>
      <w:bookmarkStart w:id="28" w:name="RANGE!F22"/>
      <w:bookmarkStart w:id="29" w:name="RANGE!G22"/>
      <w:bookmarkStart w:id="30" w:name="RANGE!H22"/>
      <w:bookmarkStart w:id="31" w:name="RANGE!I22"/>
      <w:bookmarkStart w:id="32" w:name="RANGE!J22"/>
      <w:bookmarkStart w:id="33" w:name="RANGE!K22"/>
      <w:bookmarkStart w:id="34" w:name="RANGE!L22"/>
      <w:bookmarkStart w:id="35" w:name="RANGE!M22"/>
      <w:bookmarkStart w:id="36" w:name="RANGE!N22"/>
      <w:bookmarkStart w:id="37" w:name="RANGE!F23"/>
      <w:bookmarkStart w:id="38" w:name="RANGE!H23"/>
      <w:bookmarkStart w:id="39" w:name="RANGE!I23"/>
      <w:bookmarkStart w:id="40" w:name="RANGE!J23"/>
      <w:bookmarkStart w:id="41" w:name="RANGE!K23"/>
      <w:bookmarkStart w:id="42" w:name="RANGE!L23"/>
      <w:bookmarkStart w:id="43" w:name="RANGE!M23"/>
      <w:bookmarkStart w:id="44" w:name="RANGE!N23"/>
      <w:bookmarkStart w:id="45" w:name="RANGE!F24"/>
      <w:bookmarkStart w:id="46" w:name="RANGE!H24"/>
      <w:bookmarkStart w:id="47" w:name="RANGE!I24"/>
      <w:bookmarkStart w:id="48" w:name="RANGE!J24"/>
      <w:bookmarkStart w:id="49" w:name="RANGE!K24"/>
      <w:bookmarkStart w:id="50" w:name="RANGE!L24"/>
      <w:bookmarkStart w:id="51" w:name="RANGE!M24"/>
      <w:bookmarkStart w:id="52" w:name="RANGE!N24"/>
      <w:bookmarkStart w:id="53" w:name="RANGE!F25"/>
      <w:bookmarkStart w:id="54" w:name="RANGE!H25"/>
      <w:bookmarkStart w:id="55" w:name="RANGE!I25"/>
      <w:bookmarkStart w:id="56" w:name="RANGE!J25"/>
      <w:bookmarkStart w:id="57" w:name="RANGE!K25"/>
      <w:bookmarkStart w:id="58" w:name="RANGE!L25"/>
      <w:bookmarkStart w:id="59" w:name="RANGE!M25"/>
      <w:bookmarkStart w:id="60" w:name="RANGE!N25"/>
      <w:bookmarkStart w:id="61" w:name="RANGE!F26"/>
      <w:bookmarkStart w:id="62" w:name="RANGE!G26"/>
      <w:bookmarkStart w:id="63" w:name="RANGE!H26"/>
      <w:bookmarkStart w:id="64" w:name="RANGE!I26"/>
      <w:bookmarkStart w:id="65" w:name="RANGE!J26"/>
      <w:bookmarkStart w:id="66" w:name="RANGE!K26"/>
      <w:bookmarkStart w:id="67" w:name="RANGE!L26"/>
      <w:bookmarkStart w:id="68" w:name="RANGE!M26"/>
      <w:bookmarkStart w:id="69" w:name="RANGE!N26"/>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2C41C1" w:rsidRDefault="002C41C1" w:rsidP="000C77DB">
      <w:r>
        <w:t xml:space="preserve">Počet malých a středních podnikatelů se v ČR dlouhodobě pohybuje kolem 1 mil. </w:t>
      </w:r>
      <w:r w:rsidRPr="00DF6E0B">
        <w:rPr>
          <w:b/>
        </w:rPr>
        <w:t>Jejich investiční aktivita dosáhla v</w:t>
      </w:r>
      <w:r w:rsidRPr="00D144BB">
        <w:rPr>
          <w:b/>
        </w:rPr>
        <w:t> </w:t>
      </w:r>
      <w:r w:rsidRPr="00DF6E0B">
        <w:rPr>
          <w:b/>
        </w:rPr>
        <w:t>roce 2013 hodnoty 321 mld. Kč</w:t>
      </w:r>
      <w:r>
        <w:t xml:space="preserve"> a výrazně meziročně poklesla již ve druhém roce v řadě. S těmito výsledky korespondují i data OECD k podnikatelským úvěrům MSP. </w:t>
      </w:r>
      <w:r w:rsidRPr="00DF6E0B">
        <w:rPr>
          <w:b/>
        </w:rPr>
        <w:t>V</w:t>
      </w:r>
      <w:r w:rsidRPr="00D144BB">
        <w:rPr>
          <w:b/>
        </w:rPr>
        <w:t> </w:t>
      </w:r>
      <w:r w:rsidRPr="00DF6E0B">
        <w:rPr>
          <w:b/>
        </w:rPr>
        <w:t>roce 2013 poklesly úvěry českým MSP ze 129 mld. Kč na 87 mld. Kč.</w:t>
      </w:r>
      <w:r>
        <w:t xml:space="preserve"> Tyto propady jsou úzce provázány s recesí v ČR v roce 2013. Od roku 2014 vykazuje ČR nízký růst a pomalou obnovu hospodářské aktivity, je zde tedy předpoklad postupného růstu objemu na straně investic i úvěrů MSP. Negativní dopady hospodářských otřesů po roce 2007 jsou nicméně z vývoje podnikatelských úvěrů jasně patrné.</w:t>
      </w:r>
    </w:p>
    <w:p w:rsidR="002C41C1" w:rsidRDefault="002C41C1" w:rsidP="00DF6E0B">
      <w:pPr>
        <w:pStyle w:val="Titulek"/>
        <w:keepNext/>
        <w:jc w:val="right"/>
      </w:pPr>
    </w:p>
    <w:p w:rsidR="002C41C1" w:rsidRDefault="002C41C1" w:rsidP="00DF6E0B">
      <w:pPr>
        <w:pStyle w:val="Titulek"/>
        <w:keepNext/>
        <w:jc w:val="right"/>
      </w:pPr>
      <w:r>
        <w:t>Graf 5: Vývoj investic MSP (Zdroj: OECD 2014)</w:t>
      </w:r>
    </w:p>
    <w:p w:rsidR="002C41C1" w:rsidRDefault="005F2B40" w:rsidP="000C77DB">
      <w:r>
        <w:rPr>
          <w:noProof/>
        </w:rPr>
        <w:drawing>
          <wp:inline distT="0" distB="0" distL="0" distR="0" wp14:anchorId="513958D8" wp14:editId="20122944">
            <wp:extent cx="2361565" cy="2115185"/>
            <wp:effectExtent l="0" t="0" r="0" b="0"/>
            <wp:docPr id="11" name="Graf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Arial" w:hAnsi="Arial" w:cs="Arial"/>
          <w:noProof/>
          <w:sz w:val="18"/>
          <w:szCs w:val="18"/>
        </w:rPr>
        <w:drawing>
          <wp:inline distT="0" distB="0" distL="0" distR="0" wp14:anchorId="73C5E486" wp14:editId="09DCEC2F">
            <wp:extent cx="2647950" cy="1932305"/>
            <wp:effectExtent l="0" t="0" r="0" b="0"/>
            <wp:docPr id="7"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950" cy="1932305"/>
                    </a:xfrm>
                    <a:prstGeom prst="rect">
                      <a:avLst/>
                    </a:prstGeom>
                    <a:noFill/>
                    <a:ln>
                      <a:noFill/>
                    </a:ln>
                  </pic:spPr>
                </pic:pic>
              </a:graphicData>
            </a:graphic>
          </wp:inline>
        </w:drawing>
      </w:r>
    </w:p>
    <w:p w:rsidR="002C41C1" w:rsidRDefault="002C41C1" w:rsidP="00DF6E0B">
      <w:pPr>
        <w:pStyle w:val="Titulek"/>
      </w:pPr>
      <w:r>
        <w:t xml:space="preserve">Graf 6: Vývoj investic MSP </w:t>
      </w:r>
    </w:p>
    <w:p w:rsidR="002C41C1" w:rsidRDefault="002C41C1" w:rsidP="00DF6E0B">
      <w:pPr>
        <w:pStyle w:val="Titulek"/>
      </w:pPr>
      <w:r>
        <w:t>Zdroj: Zpráva o vývoji MSP 2013, MPO</w:t>
      </w:r>
    </w:p>
    <w:p w:rsidR="002C41C1" w:rsidRDefault="002C41C1" w:rsidP="00D222C7"/>
    <w:p w:rsidR="002C41C1" w:rsidRDefault="002C41C1" w:rsidP="00D222C7">
      <w:r w:rsidRPr="00EA08CF">
        <w:rPr>
          <w:b/>
        </w:rPr>
        <w:t>V dotazníkovém šetření</w:t>
      </w:r>
      <w:r>
        <w:rPr>
          <w:b/>
        </w:rPr>
        <w:t xml:space="preserve"> k ex ante vyhodnocení </w:t>
      </w:r>
      <w:r w:rsidRPr="00A32863">
        <w:rPr>
          <w:b/>
        </w:rPr>
        <w:t>55 % dotazovaných malých a středních podniků</w:t>
      </w:r>
      <w:r w:rsidR="00E27D33">
        <w:rPr>
          <w:b/>
        </w:rPr>
        <w:t xml:space="preserve"> </w:t>
      </w:r>
      <w:r w:rsidRPr="00A32863">
        <w:rPr>
          <w:b/>
        </w:rPr>
        <w:t>uvádí, že dostupnost bankovního úvěrového financování je bezproblémová</w:t>
      </w:r>
      <w:r w:rsidRPr="00EA08CF">
        <w:rPr>
          <w:b/>
        </w:rPr>
        <w:t>, nebo dobrá</w:t>
      </w:r>
      <w:r>
        <w:t>, byť spojená s vícekolovým jednáním a administrativními nároky.</w:t>
      </w:r>
      <w:r w:rsidR="006A4A73">
        <w:t xml:space="preserve"> Celkem </w:t>
      </w:r>
      <w:r w:rsidRPr="00EA08CF">
        <w:rPr>
          <w:b/>
        </w:rPr>
        <w:t>41 % respondentů</w:t>
      </w:r>
      <w:r w:rsidR="00011070">
        <w:rPr>
          <w:b/>
        </w:rPr>
        <w:t xml:space="preserve"> </w:t>
      </w:r>
      <w:r w:rsidRPr="0001651A">
        <w:rPr>
          <w:b/>
        </w:rPr>
        <w:t>se</w:t>
      </w:r>
      <w:r w:rsidRPr="00EA08CF">
        <w:rPr>
          <w:b/>
        </w:rPr>
        <w:t xml:space="preserve"> nesetkalo při hledání externího financování s žádnými komplikacemi</w:t>
      </w:r>
      <w:r>
        <w:t xml:space="preserve">. Nespokojení dotazovaní se setkali s </w:t>
      </w:r>
      <w:r w:rsidR="006A4A73">
        <w:t>problémy</w:t>
      </w:r>
      <w:r>
        <w:t xml:space="preserve"> způsobenými jinými faktory, než dostupností kapitálu jako takového. </w:t>
      </w:r>
    </w:p>
    <w:p w:rsidR="002C41C1" w:rsidRDefault="002C41C1" w:rsidP="00D222C7">
      <w:pPr>
        <w:rPr>
          <w:b/>
        </w:rPr>
      </w:pPr>
    </w:p>
    <w:p w:rsidR="002C41C1" w:rsidRDefault="002C41C1" w:rsidP="00D222C7">
      <w:r w:rsidRPr="00DF6E0B">
        <w:t>S</w:t>
      </w:r>
      <w:r w:rsidRPr="00D144BB">
        <w:t> </w:t>
      </w:r>
      <w:r w:rsidRPr="00DF6E0B">
        <w:t>těmito závěry korespondují i starší nezávislé analýzy</w:t>
      </w:r>
      <w:r>
        <w:t>, které dokládají relativně dobrý přístup MSP ke kapitálu</w:t>
      </w:r>
      <w:r w:rsidRPr="00DF6E0B">
        <w:t>.</w:t>
      </w:r>
      <w:r w:rsidR="00011070">
        <w:t xml:space="preserve"> </w:t>
      </w:r>
      <w:r w:rsidRPr="000D691E">
        <w:rPr>
          <w:b/>
        </w:rPr>
        <w:t>Z analýzy Evropské komise vyplývá neuspokojená investiční potřeba životaschopných projektů mezi lety 2009 -2011 v rozmezí 124 – 871 mil. €</w:t>
      </w:r>
      <w:r>
        <w:t xml:space="preserve">. Evropská komise dochází k závěru, že </w:t>
      </w:r>
      <w:r w:rsidRPr="000D691E">
        <w:rPr>
          <w:b/>
        </w:rPr>
        <w:t>podíl finančně životaschopných MSP v České republice, které nezískaly potřebné financování, byl v období 2009-2011 5,1 %</w:t>
      </w:r>
      <w:r w:rsidRPr="00D8097B">
        <w:rPr>
          <w:vertAlign w:val="superscript"/>
        </w:rPr>
        <w:footnoteReference w:id="9"/>
      </w:r>
      <w:r>
        <w:t>.</w:t>
      </w:r>
      <w:r w:rsidRPr="00B84186">
        <w:rPr>
          <w:b/>
        </w:rPr>
        <w:t>Analýza Evropského investičního fondu</w:t>
      </w:r>
      <w:r w:rsidRPr="009410E2">
        <w:rPr>
          <w:rStyle w:val="Znakapoznpodarou"/>
        </w:rPr>
        <w:footnoteReference w:id="10"/>
      </w:r>
      <w:r w:rsidRPr="00B84186">
        <w:rPr>
          <w:b/>
        </w:rPr>
        <w:t xml:space="preserve">  z roku 2007 uvádí, že o komerční úvěr žádalo 60 % českých MSP, přičemž uspěly dvě třetiny z nich.</w:t>
      </w:r>
      <w:r>
        <w:t xml:space="preserve"> Nejčastějšími důvody nedokončení úvěrovacího procesu byly dle vyjádření žadatelů přílišné informační požadavky bank, složitá administrace úvěru a příliš dlouhá doba trvání vyřízení. V evropském průměru se dluhově financuje více než 50</w:t>
      </w:r>
      <w:r w:rsidR="00E27D33">
        <w:t xml:space="preserve"> </w:t>
      </w:r>
      <w:r>
        <w:t>% MSP.</w:t>
      </w:r>
    </w:p>
    <w:p w:rsidR="002C41C1" w:rsidRDefault="002C41C1" w:rsidP="00D222C7"/>
    <w:p w:rsidR="002C41C1" w:rsidRDefault="002C41C1" w:rsidP="00DF6E0B">
      <w:pPr>
        <w:pStyle w:val="Vtneslovannadpis"/>
      </w:pPr>
      <w:r>
        <w:t>Financování začínajících podniků – rizikový kapitál</w:t>
      </w:r>
    </w:p>
    <w:p w:rsidR="002C41C1" w:rsidRDefault="002C41C1" w:rsidP="00BC082C">
      <w:pPr>
        <w:pStyle w:val="Neslovannadpisy"/>
      </w:pPr>
      <w:r>
        <w:t>Nová podnikatelská aktivita</w:t>
      </w:r>
    </w:p>
    <w:p w:rsidR="002C41C1" w:rsidRDefault="002C41C1" w:rsidP="00E54F18">
      <w:r>
        <w:t xml:space="preserve">Do nové podnikatelské aktivity (kroky k založení, či existující mladší 42 měsíců) je dle šetření </w:t>
      </w:r>
      <w:r w:rsidRPr="00DF6E0B">
        <w:rPr>
          <w:b/>
        </w:rPr>
        <w:t>GEM 2013</w:t>
      </w:r>
      <w:r>
        <w:t xml:space="preserve"> v ČR zapojeno 7,33 % dospělé populace ve věku 18–64 let, což odpovídá 513.000 osob. </w:t>
      </w:r>
      <w:r w:rsidRPr="00DF6E0B">
        <w:rPr>
          <w:b/>
        </w:rPr>
        <w:t>Z toho lze 27,5 % označit za inovativně</w:t>
      </w:r>
      <w:r w:rsidR="00011070">
        <w:rPr>
          <w:b/>
        </w:rPr>
        <w:t xml:space="preserve"> </w:t>
      </w:r>
      <w:r w:rsidRPr="00DF6E0B">
        <w:rPr>
          <w:b/>
        </w:rPr>
        <w:t>orientované, což představuje určitý pokles oproti roku 2011. 7,8 % nových podnikatelů je aktivních v</w:t>
      </w:r>
      <w:r w:rsidRPr="00D144BB">
        <w:rPr>
          <w:b/>
        </w:rPr>
        <w:t> </w:t>
      </w:r>
      <w:r w:rsidRPr="00DF6E0B">
        <w:rPr>
          <w:b/>
        </w:rPr>
        <w:t>sektoru, který je středně nebo velmi technologicky náročný.</w:t>
      </w:r>
      <w:r w:rsidR="00011070">
        <w:rPr>
          <w:b/>
        </w:rPr>
        <w:t xml:space="preserve"> </w:t>
      </w:r>
      <w:r>
        <w:t>V porovnání s rokem 2011 nová podnikatelská aktivita mírně poklesla o 0,31 %, v porovnání s rokem 2006 o 0,52 %. Z</w:t>
      </w:r>
      <w:r w:rsidR="006A4A73">
        <w:t> počtu obyvatelstva zapojeného</w:t>
      </w:r>
      <w:r>
        <w:t xml:space="preserve"> do nové podnikatelské aktivity v ČR představují lidé mladší 35 let více než 50 % s tím, že jde většinou o vysokoškoláky, kteří jsou díky technologické a jazykové zdatnosti schopni přinášet inovativní projekty s vyšší přidanou hodnotou. To samé platí i pro studenty. U této skupiny předpokládáme nejotevřenější postoj k finančním nástrojům.</w:t>
      </w:r>
    </w:p>
    <w:p w:rsidR="002C41C1" w:rsidRDefault="002C41C1" w:rsidP="00E54F18"/>
    <w:p w:rsidR="002C41C1" w:rsidRDefault="002C41C1" w:rsidP="00E54F18">
      <w:r>
        <w:t>Inovující podnikatelé byli v šetření GEM (Global Enterpreneurship Monitor) dále tázáni, jaké formy podpory pro rozvoj inovačních</w:t>
      </w:r>
      <w:r w:rsidR="00011070">
        <w:t xml:space="preserve"> </w:t>
      </w:r>
      <w:r>
        <w:t>aktivit by v budoucnu využili. Nejvíce, 65 % (resp. 59 % u užšího souboru), odpovědělo,</w:t>
      </w:r>
      <w:r w:rsidR="00011070">
        <w:t xml:space="preserve"> </w:t>
      </w:r>
      <w:r>
        <w:t xml:space="preserve">že by využilo tréninky či školení. Na druhém a třetím místě se umístila dotace </w:t>
      </w:r>
      <w:r>
        <w:lastRenderedPageBreak/>
        <w:t>pro realizaci</w:t>
      </w:r>
      <w:r w:rsidR="00011070">
        <w:t xml:space="preserve"> </w:t>
      </w:r>
      <w:r>
        <w:t>inovací (54 % v obou souborech) a individuální poradenství (53 %, resp. 50 %). S</w:t>
      </w:r>
      <w:r w:rsidR="00011070">
        <w:t> </w:t>
      </w:r>
      <w:r>
        <w:t>určitým</w:t>
      </w:r>
      <w:r w:rsidR="00011070">
        <w:t xml:space="preserve"> </w:t>
      </w:r>
      <w:r>
        <w:t>odstupem se jako čtvrté a páté v pořadí objevila záruka státu pro lehčí přístup k úvěru (44 %,resp. 48 %) a zvýhodněný úvěr na realizaci inovací (42 % v obou souborech). Jako méně</w:t>
      </w:r>
      <w:r w:rsidR="00011070">
        <w:t xml:space="preserve"> </w:t>
      </w:r>
      <w:r>
        <w:t>časté formy podpory, o které by podnikatelé měli zájem, byly zmíněny dotace pro spolupráci</w:t>
      </w:r>
      <w:r w:rsidR="00011070">
        <w:t xml:space="preserve"> </w:t>
      </w:r>
      <w:r>
        <w:t>s výzkumnou sférou (31 %, resp. 23 %) a principiální zájem o kapitálový vstup státu</w:t>
      </w:r>
      <w:r w:rsidR="00011070">
        <w:t xml:space="preserve"> </w:t>
      </w:r>
      <w:r>
        <w:t>pro fina</w:t>
      </w:r>
      <w:r w:rsidR="006A4A73">
        <w:t>ncování expanze (24 %, resp. 23 </w:t>
      </w:r>
      <w:r>
        <w:t>%).</w:t>
      </w:r>
      <w:r w:rsidRPr="00D668B8">
        <w:rPr>
          <w:b/>
        </w:rPr>
        <w:t xml:space="preserve">GEM </w:t>
      </w:r>
      <w:r>
        <w:rPr>
          <w:b/>
        </w:rPr>
        <w:t xml:space="preserve">tedy </w:t>
      </w:r>
      <w:r w:rsidRPr="00D668B8">
        <w:rPr>
          <w:b/>
        </w:rPr>
        <w:t xml:space="preserve">na základě své extrapolace dovozuje spodní počet </w:t>
      </w:r>
      <w:r>
        <w:rPr>
          <w:b/>
        </w:rPr>
        <w:t xml:space="preserve">nových </w:t>
      </w:r>
      <w:r w:rsidRPr="00D668B8">
        <w:rPr>
          <w:b/>
        </w:rPr>
        <w:t>inovujících podnikatelů</w:t>
      </w:r>
      <w:r>
        <w:rPr>
          <w:b/>
        </w:rPr>
        <w:t>v technologicky náročných oborech</w:t>
      </w:r>
      <w:r w:rsidRPr="00D668B8">
        <w:rPr>
          <w:b/>
        </w:rPr>
        <w:t xml:space="preserve"> s</w:t>
      </w:r>
      <w:r>
        <w:rPr>
          <w:b/>
        </w:rPr>
        <w:t xml:space="preserve"> potenciálním</w:t>
      </w:r>
      <w:r w:rsidRPr="00D668B8">
        <w:rPr>
          <w:b/>
        </w:rPr>
        <w:t xml:space="preserve"> zájmem o kapitálový vstup na </w:t>
      </w:r>
      <w:r>
        <w:rPr>
          <w:b/>
        </w:rPr>
        <w:t>9200</w:t>
      </w:r>
      <w:r w:rsidR="006A4A73">
        <w:rPr>
          <w:b/>
        </w:rPr>
        <w:t xml:space="preserve"> jednotlivců</w:t>
      </w:r>
      <w:r w:rsidRPr="00D668B8">
        <w:rPr>
          <w:b/>
        </w:rPr>
        <w:t>.</w:t>
      </w:r>
    </w:p>
    <w:p w:rsidR="002C41C1" w:rsidRDefault="005F2B40" w:rsidP="00945823">
      <w:pPr>
        <w:keepNext/>
        <w:spacing w:after="120"/>
        <w:jc w:val="center"/>
      </w:pPr>
      <w:r>
        <w:rPr>
          <w:noProof/>
        </w:rPr>
        <w:drawing>
          <wp:inline distT="0" distB="0" distL="0" distR="0" wp14:anchorId="7B5D7228" wp14:editId="4AF15361">
            <wp:extent cx="2178685" cy="1630045"/>
            <wp:effectExtent l="0" t="0" r="0" b="8255"/>
            <wp:docPr id="6"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8685" cy="1630045"/>
                    </a:xfrm>
                    <a:prstGeom prst="rect">
                      <a:avLst/>
                    </a:prstGeom>
                    <a:noFill/>
                    <a:ln>
                      <a:noFill/>
                    </a:ln>
                  </pic:spPr>
                </pic:pic>
              </a:graphicData>
            </a:graphic>
          </wp:inline>
        </w:drawing>
      </w:r>
    </w:p>
    <w:p w:rsidR="002C41C1" w:rsidRDefault="002C41C1" w:rsidP="00945823">
      <w:pPr>
        <w:pStyle w:val="Titulek"/>
        <w:jc w:val="center"/>
      </w:pPr>
      <w:r>
        <w:t>Graf 7 - Struktura účastníků šetření dle fáze rozvoje</w:t>
      </w:r>
    </w:p>
    <w:p w:rsidR="002C41C1" w:rsidRPr="00004922" w:rsidRDefault="002C41C1" w:rsidP="00945823">
      <w:pPr>
        <w:pStyle w:val="Titulek"/>
        <w:jc w:val="center"/>
      </w:pPr>
      <w:r w:rsidRPr="00004922">
        <w:t xml:space="preserve">Zdroj: Dotazníkové šetření Ex ante </w:t>
      </w:r>
      <w:r w:rsidR="0084453C">
        <w:t>OP PIK</w:t>
      </w:r>
    </w:p>
    <w:p w:rsidR="002C41C1" w:rsidRDefault="002C41C1" w:rsidP="00945823"/>
    <w:p w:rsidR="002C41C1" w:rsidRDefault="002C41C1" w:rsidP="00945823">
      <w:r>
        <w:t>V rámci druhého dotazníkového šetření k této studii byl rozeslán dotazník zaměřený na early-stage firmy, které jsou v kontaktu s podnikatelskými inkubátory a akcelerátory, centry pro transfer technologií apod. V rámci došlých odpovědí většina dotazovaných firem (70 %) vznikla rozvojem podnikatelského plánu jednotlivce, avšak druhou nejpočetnější kategorií (16 %) je vznik spin-offem z univerzitního či jiného veřejně financovaného projektu. Tato skutečnost nás upevňuje v přesvědčení, že podporu v rámci SC 1.2 a 2.1 je nutné vnímat komplexně, jelikož pouze koordinovanou podporou je možné docílit vytvoření stabilní „pipeline“, která by pomohla projektům dostat se z fáze myšlenky či záměru až do fáze ukotveného podniku připraveného na later</w:t>
      </w:r>
      <w:r w:rsidR="00011070">
        <w:t xml:space="preserve"> </w:t>
      </w:r>
      <w:r>
        <w:t>stage investici.</w:t>
      </w:r>
    </w:p>
    <w:p w:rsidR="002C41C1" w:rsidRDefault="002C41C1" w:rsidP="00BC082C">
      <w:pPr>
        <w:pStyle w:val="Neslovannadpisy"/>
      </w:pPr>
    </w:p>
    <w:p w:rsidR="002C41C1" w:rsidRDefault="002C41C1" w:rsidP="00BC082C">
      <w:pPr>
        <w:pStyle w:val="Neslovannadpisy"/>
      </w:pPr>
      <w:r w:rsidRPr="00E67F3E">
        <w:t xml:space="preserve">Fondy </w:t>
      </w:r>
      <w:r>
        <w:t xml:space="preserve">a investoři Venture Capital (VC) a </w:t>
      </w:r>
      <w:r w:rsidRPr="00E67F3E">
        <w:t>Private</w:t>
      </w:r>
      <w:r w:rsidR="00011070">
        <w:t xml:space="preserve"> </w:t>
      </w:r>
      <w:r w:rsidRPr="00E67F3E">
        <w:t>Equity</w:t>
      </w:r>
      <w:r>
        <w:t xml:space="preserve"> (PE)</w:t>
      </w:r>
    </w:p>
    <w:p w:rsidR="002C41C1" w:rsidRDefault="002C41C1" w:rsidP="00AA113A">
      <w:r>
        <w:t>Na rozdíl od úvěrového financování rozvoje etablovaných firem s podnikatelskou historií (cca přes 3 roky existence) je role bank v oblasti rizikového kapitálu a financování Early-stage firem malá a věnují se jí dnes</w:t>
      </w:r>
      <w:r w:rsidR="00011070">
        <w:t xml:space="preserve"> </w:t>
      </w:r>
      <w:r>
        <w:t xml:space="preserve">pouze okrajově. Hlavními poskytovateli externího financování na tržním principu jsou zde </w:t>
      </w:r>
      <w:r w:rsidRPr="00DF6E0B">
        <w:rPr>
          <w:b/>
        </w:rPr>
        <w:t>investiční</w:t>
      </w:r>
      <w:r w:rsidR="00011070">
        <w:rPr>
          <w:b/>
        </w:rPr>
        <w:t xml:space="preserve"> </w:t>
      </w:r>
      <w:r w:rsidRPr="00DF6E0B">
        <w:rPr>
          <w:b/>
        </w:rPr>
        <w:t>fondy Private Equity (PE)</w:t>
      </w:r>
    </w:p>
    <w:p w:rsidR="002C41C1" w:rsidRDefault="002C41C1" w:rsidP="00AE634D"/>
    <w:p w:rsidR="002C41C1" w:rsidRDefault="002C41C1" w:rsidP="00AE634D">
      <w:r>
        <w:t xml:space="preserve">Celkové hodnoty </w:t>
      </w:r>
      <w:r w:rsidRPr="00492C7A">
        <w:rPr>
          <w:b/>
        </w:rPr>
        <w:t>PE investic v České republice</w:t>
      </w:r>
      <w:r>
        <w:t xml:space="preserve"> se v letech 2007-2012 pohybovaly se značnými meziročními výkyvy v rozmezí 106 mil. € až 1 358 mil. €, což odpovídalo 0,069 % až 0,955 % podílu na HDP. Podíl množství investic rizikového kapitálu na celkových investicích PE v ČR činí v průměru  </w:t>
      </w:r>
      <w:r w:rsidRPr="00AE634D">
        <w:rPr>
          <w:b/>
        </w:rPr>
        <w:t>5,7</w:t>
      </w:r>
      <w:r>
        <w:rPr>
          <w:b/>
        </w:rPr>
        <w:t> </w:t>
      </w:r>
      <w:r w:rsidRPr="00AE634D">
        <w:rPr>
          <w:b/>
        </w:rPr>
        <w:t>% za roky 2007-2012</w:t>
      </w:r>
      <w:r>
        <w:t>.</w:t>
      </w:r>
    </w:p>
    <w:p w:rsidR="002C41C1" w:rsidRDefault="002C41C1" w:rsidP="00AE634D"/>
    <w:tbl>
      <w:tblPr>
        <w:tblW w:w="9322" w:type="dxa"/>
        <w:tblBorders>
          <w:bottom w:val="single" w:sz="4" w:space="0" w:color="72C7E7"/>
          <w:insideH w:val="single" w:sz="4" w:space="0" w:color="72C7E7"/>
        </w:tblBorders>
        <w:tblCellMar>
          <w:left w:w="0" w:type="dxa"/>
          <w:right w:w="0" w:type="dxa"/>
        </w:tblCellMar>
        <w:tblLook w:val="00A0" w:firstRow="1" w:lastRow="0" w:firstColumn="1" w:lastColumn="0" w:noHBand="0" w:noVBand="0"/>
      </w:tblPr>
      <w:tblGrid>
        <w:gridCol w:w="2109"/>
        <w:gridCol w:w="1433"/>
        <w:gridCol w:w="1021"/>
        <w:gridCol w:w="1421"/>
        <w:gridCol w:w="1021"/>
        <w:gridCol w:w="1421"/>
        <w:gridCol w:w="1008"/>
      </w:tblGrid>
      <w:tr w:rsidR="002C41C1" w:rsidRPr="00661000" w:rsidTr="00661000">
        <w:trPr>
          <w:trHeight w:val="20"/>
        </w:trPr>
        <w:tc>
          <w:tcPr>
            <w:tcW w:w="2093" w:type="dxa"/>
            <w:shd w:val="clear" w:color="auto" w:fill="72C7E7"/>
            <w:noWrap/>
            <w:vAlign w:val="center"/>
          </w:tcPr>
          <w:p w:rsidR="002C41C1" w:rsidRPr="00661000" w:rsidRDefault="002C41C1" w:rsidP="00661000">
            <w:pPr>
              <w:keepNext/>
              <w:jc w:val="center"/>
              <w:rPr>
                <w:b/>
                <w:color w:val="FFFFFF"/>
                <w:sz w:val="18"/>
                <w:szCs w:val="18"/>
              </w:rPr>
            </w:pPr>
            <w:r w:rsidRPr="00661000">
              <w:rPr>
                <w:b/>
                <w:color w:val="FFFFFF"/>
                <w:sz w:val="18"/>
                <w:szCs w:val="18"/>
              </w:rPr>
              <w:lastRenderedPageBreak/>
              <w:t>Fáze privateequity investic</w:t>
            </w:r>
          </w:p>
        </w:tc>
        <w:tc>
          <w:tcPr>
            <w:tcW w:w="1417" w:type="dxa"/>
            <w:shd w:val="clear" w:color="auto" w:fill="72C7E7"/>
            <w:noWrap/>
            <w:vAlign w:val="center"/>
          </w:tcPr>
          <w:p w:rsidR="002C41C1" w:rsidRPr="00661000" w:rsidRDefault="002C41C1" w:rsidP="00661000">
            <w:pPr>
              <w:keepNext/>
              <w:jc w:val="center"/>
              <w:rPr>
                <w:b/>
                <w:color w:val="FFFFFF"/>
                <w:sz w:val="18"/>
                <w:szCs w:val="18"/>
              </w:rPr>
            </w:pPr>
            <w:r w:rsidRPr="00661000">
              <w:rPr>
                <w:b/>
                <w:color w:val="FFFFFF"/>
                <w:sz w:val="18"/>
                <w:szCs w:val="18"/>
              </w:rPr>
              <w:t>Celkem ČR</w:t>
            </w:r>
          </w:p>
          <w:p w:rsidR="002C41C1" w:rsidRPr="00661000" w:rsidRDefault="002C41C1" w:rsidP="00661000">
            <w:pPr>
              <w:keepNext/>
              <w:jc w:val="center"/>
              <w:rPr>
                <w:b/>
                <w:color w:val="FFFFFF"/>
                <w:sz w:val="18"/>
                <w:szCs w:val="18"/>
              </w:rPr>
            </w:pPr>
            <w:r w:rsidRPr="00661000">
              <w:rPr>
                <w:b/>
                <w:color w:val="FFFFFF"/>
                <w:sz w:val="18"/>
                <w:szCs w:val="18"/>
              </w:rPr>
              <w:t>v tis. €</w:t>
            </w:r>
          </w:p>
        </w:tc>
        <w:tc>
          <w:tcPr>
            <w:tcW w:w="1005" w:type="dxa"/>
            <w:shd w:val="clear" w:color="auto" w:fill="72C7E7"/>
            <w:noWrap/>
            <w:vAlign w:val="center"/>
          </w:tcPr>
          <w:p w:rsidR="002C41C1" w:rsidRPr="00661000" w:rsidRDefault="002C41C1" w:rsidP="00661000">
            <w:pPr>
              <w:keepNext/>
              <w:jc w:val="center"/>
              <w:rPr>
                <w:b/>
                <w:color w:val="FFFFFF"/>
                <w:sz w:val="18"/>
                <w:szCs w:val="18"/>
              </w:rPr>
            </w:pPr>
            <w:r w:rsidRPr="00661000">
              <w:rPr>
                <w:b/>
                <w:color w:val="FFFFFF"/>
                <w:sz w:val="18"/>
                <w:szCs w:val="18"/>
              </w:rPr>
              <w:t>Podíl v %</w:t>
            </w:r>
          </w:p>
        </w:tc>
        <w:tc>
          <w:tcPr>
            <w:tcW w:w="1405" w:type="dxa"/>
            <w:shd w:val="clear" w:color="auto" w:fill="72C7E7"/>
            <w:noWrap/>
            <w:vAlign w:val="center"/>
          </w:tcPr>
          <w:p w:rsidR="002C41C1" w:rsidRPr="00661000" w:rsidRDefault="002C41C1" w:rsidP="00661000">
            <w:pPr>
              <w:keepNext/>
              <w:jc w:val="center"/>
              <w:rPr>
                <w:b/>
                <w:color w:val="FFFFFF"/>
                <w:sz w:val="18"/>
                <w:szCs w:val="18"/>
              </w:rPr>
            </w:pPr>
            <w:r w:rsidRPr="00661000">
              <w:rPr>
                <w:b/>
                <w:color w:val="FFFFFF"/>
                <w:sz w:val="18"/>
                <w:szCs w:val="18"/>
              </w:rPr>
              <w:t>Celkem SVE</w:t>
            </w:r>
          </w:p>
          <w:p w:rsidR="002C41C1" w:rsidRPr="00661000" w:rsidRDefault="002C41C1" w:rsidP="00661000">
            <w:pPr>
              <w:keepNext/>
              <w:jc w:val="center"/>
              <w:rPr>
                <w:b/>
                <w:color w:val="FFFFFF"/>
                <w:sz w:val="18"/>
                <w:szCs w:val="18"/>
              </w:rPr>
            </w:pPr>
            <w:r w:rsidRPr="00661000">
              <w:rPr>
                <w:b/>
                <w:color w:val="FFFFFF"/>
                <w:sz w:val="18"/>
                <w:szCs w:val="18"/>
              </w:rPr>
              <w:t>v tis.€</w:t>
            </w:r>
          </w:p>
        </w:tc>
        <w:tc>
          <w:tcPr>
            <w:tcW w:w="1005" w:type="dxa"/>
            <w:shd w:val="clear" w:color="auto" w:fill="72C7E7"/>
            <w:noWrap/>
            <w:vAlign w:val="center"/>
          </w:tcPr>
          <w:p w:rsidR="002C41C1" w:rsidRPr="00661000" w:rsidRDefault="002C41C1" w:rsidP="00661000">
            <w:pPr>
              <w:keepNext/>
              <w:jc w:val="center"/>
              <w:rPr>
                <w:b/>
                <w:color w:val="FFFFFF"/>
                <w:sz w:val="18"/>
                <w:szCs w:val="18"/>
              </w:rPr>
            </w:pPr>
            <w:r w:rsidRPr="00661000">
              <w:rPr>
                <w:b/>
                <w:color w:val="FFFFFF"/>
                <w:sz w:val="18"/>
                <w:szCs w:val="18"/>
              </w:rPr>
              <w:t>Podíl v %</w:t>
            </w:r>
          </w:p>
        </w:tc>
        <w:tc>
          <w:tcPr>
            <w:tcW w:w="1405" w:type="dxa"/>
            <w:shd w:val="clear" w:color="auto" w:fill="72C7E7"/>
            <w:noWrap/>
            <w:vAlign w:val="center"/>
          </w:tcPr>
          <w:p w:rsidR="002C41C1" w:rsidRPr="00661000" w:rsidRDefault="002C41C1" w:rsidP="00661000">
            <w:pPr>
              <w:keepNext/>
              <w:jc w:val="center"/>
              <w:rPr>
                <w:b/>
                <w:color w:val="FFFFFF"/>
                <w:sz w:val="18"/>
                <w:szCs w:val="18"/>
              </w:rPr>
            </w:pPr>
            <w:r w:rsidRPr="00661000">
              <w:rPr>
                <w:b/>
                <w:color w:val="FFFFFF"/>
                <w:sz w:val="18"/>
                <w:szCs w:val="18"/>
              </w:rPr>
              <w:t>Celkem Evropa v tis.€</w:t>
            </w:r>
          </w:p>
        </w:tc>
        <w:tc>
          <w:tcPr>
            <w:tcW w:w="992" w:type="dxa"/>
            <w:shd w:val="clear" w:color="auto" w:fill="72C7E7"/>
            <w:noWrap/>
            <w:vAlign w:val="center"/>
          </w:tcPr>
          <w:p w:rsidR="002C41C1" w:rsidRPr="00661000" w:rsidRDefault="002C41C1" w:rsidP="00661000">
            <w:pPr>
              <w:keepNext/>
              <w:jc w:val="center"/>
              <w:rPr>
                <w:b/>
                <w:color w:val="FFFFFF"/>
                <w:sz w:val="18"/>
                <w:szCs w:val="18"/>
              </w:rPr>
            </w:pPr>
            <w:r w:rsidRPr="00661000">
              <w:rPr>
                <w:b/>
                <w:color w:val="FFFFFF"/>
                <w:sz w:val="18"/>
                <w:szCs w:val="18"/>
              </w:rPr>
              <w:t>Podíl v %</w:t>
            </w:r>
          </w:p>
        </w:tc>
      </w:tr>
      <w:tr w:rsidR="002C41C1" w:rsidRPr="00661000" w:rsidTr="00661000">
        <w:trPr>
          <w:trHeight w:val="20"/>
        </w:trPr>
        <w:tc>
          <w:tcPr>
            <w:tcW w:w="2093" w:type="dxa"/>
            <w:shd w:val="clear" w:color="auto" w:fill="FFFFFF"/>
            <w:noWrap/>
          </w:tcPr>
          <w:p w:rsidR="002C41C1" w:rsidRPr="00661000" w:rsidRDefault="002C41C1" w:rsidP="00661000">
            <w:pPr>
              <w:keepNext/>
              <w:rPr>
                <w:sz w:val="18"/>
                <w:szCs w:val="18"/>
              </w:rPr>
            </w:pPr>
            <w:r w:rsidRPr="00661000">
              <w:rPr>
                <w:sz w:val="18"/>
                <w:szCs w:val="18"/>
              </w:rPr>
              <w:t>Seed</w:t>
            </w:r>
          </w:p>
        </w:tc>
        <w:tc>
          <w:tcPr>
            <w:tcW w:w="1417" w:type="dxa"/>
            <w:shd w:val="clear" w:color="auto" w:fill="FFFFFF"/>
            <w:noWrap/>
            <w:vAlign w:val="center"/>
          </w:tcPr>
          <w:p w:rsidR="002C41C1" w:rsidRPr="00661000" w:rsidRDefault="002C41C1" w:rsidP="00661000">
            <w:pPr>
              <w:keepNext/>
              <w:jc w:val="right"/>
              <w:rPr>
                <w:sz w:val="18"/>
                <w:szCs w:val="18"/>
              </w:rPr>
            </w:pPr>
            <w:r w:rsidRPr="00661000">
              <w:rPr>
                <w:sz w:val="18"/>
                <w:szCs w:val="18"/>
              </w:rPr>
              <w:t>0</w:t>
            </w:r>
          </w:p>
        </w:tc>
        <w:tc>
          <w:tcPr>
            <w:tcW w:w="1005" w:type="dxa"/>
            <w:shd w:val="clear" w:color="auto" w:fill="FFFFFF"/>
            <w:noWrap/>
            <w:vAlign w:val="center"/>
          </w:tcPr>
          <w:p w:rsidR="002C41C1" w:rsidRPr="00661000" w:rsidRDefault="002C41C1" w:rsidP="00661000">
            <w:pPr>
              <w:keepNext/>
              <w:jc w:val="right"/>
              <w:rPr>
                <w:sz w:val="18"/>
                <w:szCs w:val="18"/>
              </w:rPr>
            </w:pPr>
            <w:r w:rsidRPr="00661000">
              <w:rPr>
                <w:sz w:val="18"/>
                <w:szCs w:val="18"/>
              </w:rPr>
              <w:t>0,00%</w:t>
            </w:r>
          </w:p>
        </w:tc>
        <w:tc>
          <w:tcPr>
            <w:tcW w:w="1405" w:type="dxa"/>
            <w:shd w:val="clear" w:color="auto" w:fill="FFFFFF"/>
            <w:noWrap/>
            <w:vAlign w:val="center"/>
          </w:tcPr>
          <w:p w:rsidR="002C41C1" w:rsidRPr="00661000" w:rsidRDefault="002C41C1" w:rsidP="00661000">
            <w:pPr>
              <w:keepNext/>
              <w:jc w:val="right"/>
              <w:rPr>
                <w:sz w:val="18"/>
                <w:szCs w:val="18"/>
              </w:rPr>
            </w:pPr>
            <w:r w:rsidRPr="00661000">
              <w:rPr>
                <w:sz w:val="18"/>
                <w:szCs w:val="18"/>
              </w:rPr>
              <w:t>22 005</w:t>
            </w:r>
          </w:p>
        </w:tc>
        <w:tc>
          <w:tcPr>
            <w:tcW w:w="1005" w:type="dxa"/>
            <w:shd w:val="clear" w:color="auto" w:fill="FFFFFF"/>
            <w:noWrap/>
            <w:vAlign w:val="center"/>
          </w:tcPr>
          <w:p w:rsidR="002C41C1" w:rsidRPr="00661000" w:rsidRDefault="002C41C1" w:rsidP="00661000">
            <w:pPr>
              <w:keepNext/>
              <w:jc w:val="right"/>
              <w:rPr>
                <w:sz w:val="18"/>
                <w:szCs w:val="18"/>
              </w:rPr>
            </w:pPr>
            <w:r w:rsidRPr="00661000">
              <w:rPr>
                <w:sz w:val="18"/>
                <w:szCs w:val="18"/>
              </w:rPr>
              <w:t>0,50%</w:t>
            </w:r>
          </w:p>
        </w:tc>
        <w:tc>
          <w:tcPr>
            <w:tcW w:w="1405" w:type="dxa"/>
            <w:shd w:val="clear" w:color="auto" w:fill="FFFFFF"/>
            <w:noWrap/>
            <w:vAlign w:val="center"/>
          </w:tcPr>
          <w:p w:rsidR="002C41C1" w:rsidRPr="00661000" w:rsidRDefault="002C41C1" w:rsidP="00661000">
            <w:pPr>
              <w:keepNext/>
              <w:jc w:val="right"/>
              <w:rPr>
                <w:sz w:val="18"/>
                <w:szCs w:val="18"/>
              </w:rPr>
            </w:pPr>
            <w:r w:rsidRPr="00661000">
              <w:rPr>
                <w:sz w:val="18"/>
                <w:szCs w:val="18"/>
              </w:rPr>
              <w:t>1 030 201</w:t>
            </w:r>
          </w:p>
        </w:tc>
        <w:tc>
          <w:tcPr>
            <w:tcW w:w="992" w:type="dxa"/>
            <w:shd w:val="clear" w:color="auto" w:fill="FFFFFF"/>
            <w:noWrap/>
            <w:vAlign w:val="center"/>
          </w:tcPr>
          <w:p w:rsidR="002C41C1" w:rsidRPr="00661000" w:rsidRDefault="002C41C1" w:rsidP="00661000">
            <w:pPr>
              <w:keepNext/>
              <w:jc w:val="right"/>
              <w:rPr>
                <w:sz w:val="18"/>
                <w:szCs w:val="18"/>
              </w:rPr>
            </w:pPr>
            <w:r w:rsidRPr="00661000">
              <w:rPr>
                <w:sz w:val="18"/>
                <w:szCs w:val="18"/>
              </w:rPr>
              <w:t>0,40%</w:t>
            </w:r>
          </w:p>
        </w:tc>
      </w:tr>
      <w:tr w:rsidR="002C41C1" w:rsidRPr="00661000" w:rsidTr="00661000">
        <w:trPr>
          <w:trHeight w:val="20"/>
        </w:trPr>
        <w:tc>
          <w:tcPr>
            <w:tcW w:w="2093" w:type="dxa"/>
            <w:shd w:val="clear" w:color="auto" w:fill="FFFFFF"/>
            <w:noWrap/>
          </w:tcPr>
          <w:p w:rsidR="002C41C1" w:rsidRPr="00661000" w:rsidRDefault="002C41C1" w:rsidP="00661000">
            <w:pPr>
              <w:keepNext/>
              <w:rPr>
                <w:sz w:val="18"/>
                <w:szCs w:val="18"/>
              </w:rPr>
            </w:pPr>
            <w:r w:rsidRPr="00661000">
              <w:rPr>
                <w:sz w:val="18"/>
                <w:szCs w:val="18"/>
              </w:rPr>
              <w:t>Start-up</w:t>
            </w:r>
          </w:p>
        </w:tc>
        <w:tc>
          <w:tcPr>
            <w:tcW w:w="1417" w:type="dxa"/>
            <w:shd w:val="clear" w:color="auto" w:fill="FFFFFF"/>
            <w:noWrap/>
            <w:vAlign w:val="center"/>
          </w:tcPr>
          <w:p w:rsidR="002C41C1" w:rsidRPr="00661000" w:rsidRDefault="002C41C1" w:rsidP="00661000">
            <w:pPr>
              <w:keepNext/>
              <w:jc w:val="right"/>
              <w:rPr>
                <w:sz w:val="18"/>
                <w:szCs w:val="18"/>
              </w:rPr>
            </w:pPr>
            <w:r w:rsidRPr="00661000">
              <w:rPr>
                <w:sz w:val="18"/>
                <w:szCs w:val="18"/>
              </w:rPr>
              <w:t>16 760</w:t>
            </w:r>
          </w:p>
        </w:tc>
        <w:tc>
          <w:tcPr>
            <w:tcW w:w="1005" w:type="dxa"/>
            <w:shd w:val="clear" w:color="auto" w:fill="FFFFFF"/>
            <w:noWrap/>
            <w:vAlign w:val="center"/>
          </w:tcPr>
          <w:p w:rsidR="002C41C1" w:rsidRPr="00661000" w:rsidRDefault="002C41C1" w:rsidP="00661000">
            <w:pPr>
              <w:keepNext/>
              <w:jc w:val="right"/>
              <w:rPr>
                <w:sz w:val="18"/>
                <w:szCs w:val="18"/>
              </w:rPr>
            </w:pPr>
            <w:r w:rsidRPr="00661000">
              <w:rPr>
                <w:sz w:val="18"/>
                <w:szCs w:val="18"/>
              </w:rPr>
              <w:t>1,35%</w:t>
            </w:r>
          </w:p>
        </w:tc>
        <w:tc>
          <w:tcPr>
            <w:tcW w:w="1405" w:type="dxa"/>
            <w:shd w:val="clear" w:color="auto" w:fill="FFFFFF"/>
            <w:noWrap/>
            <w:vAlign w:val="center"/>
          </w:tcPr>
          <w:p w:rsidR="002C41C1" w:rsidRPr="00661000" w:rsidRDefault="002C41C1" w:rsidP="00661000">
            <w:pPr>
              <w:keepNext/>
              <w:jc w:val="right"/>
              <w:rPr>
                <w:sz w:val="18"/>
                <w:szCs w:val="18"/>
              </w:rPr>
            </w:pPr>
            <w:r w:rsidRPr="00661000">
              <w:rPr>
                <w:sz w:val="18"/>
                <w:szCs w:val="18"/>
              </w:rPr>
              <w:t>265 796</w:t>
            </w:r>
          </w:p>
        </w:tc>
        <w:tc>
          <w:tcPr>
            <w:tcW w:w="1005" w:type="dxa"/>
            <w:shd w:val="clear" w:color="auto" w:fill="FFFFFF"/>
            <w:noWrap/>
            <w:vAlign w:val="center"/>
          </w:tcPr>
          <w:p w:rsidR="002C41C1" w:rsidRPr="00661000" w:rsidRDefault="002C41C1" w:rsidP="00661000">
            <w:pPr>
              <w:keepNext/>
              <w:jc w:val="right"/>
              <w:rPr>
                <w:sz w:val="18"/>
                <w:szCs w:val="18"/>
              </w:rPr>
            </w:pPr>
            <w:r w:rsidRPr="00661000">
              <w:rPr>
                <w:sz w:val="18"/>
                <w:szCs w:val="18"/>
              </w:rPr>
              <w:t>5,57%</w:t>
            </w:r>
          </w:p>
        </w:tc>
        <w:tc>
          <w:tcPr>
            <w:tcW w:w="1405" w:type="dxa"/>
            <w:shd w:val="clear" w:color="auto" w:fill="FFFFFF"/>
            <w:noWrap/>
            <w:vAlign w:val="center"/>
          </w:tcPr>
          <w:p w:rsidR="002C41C1" w:rsidRPr="00661000" w:rsidRDefault="002C41C1" w:rsidP="00661000">
            <w:pPr>
              <w:keepNext/>
              <w:jc w:val="right"/>
              <w:rPr>
                <w:sz w:val="18"/>
                <w:szCs w:val="18"/>
              </w:rPr>
            </w:pPr>
            <w:r w:rsidRPr="00661000">
              <w:rPr>
                <w:sz w:val="18"/>
                <w:szCs w:val="18"/>
              </w:rPr>
              <w:t>12 089 052</w:t>
            </w:r>
          </w:p>
        </w:tc>
        <w:tc>
          <w:tcPr>
            <w:tcW w:w="992" w:type="dxa"/>
            <w:shd w:val="clear" w:color="auto" w:fill="FFFFFF"/>
            <w:noWrap/>
            <w:vAlign w:val="center"/>
          </w:tcPr>
          <w:p w:rsidR="002C41C1" w:rsidRPr="00661000" w:rsidRDefault="002C41C1" w:rsidP="00661000">
            <w:pPr>
              <w:keepNext/>
              <w:jc w:val="right"/>
              <w:rPr>
                <w:sz w:val="18"/>
                <w:szCs w:val="18"/>
              </w:rPr>
            </w:pPr>
            <w:r w:rsidRPr="00661000">
              <w:rPr>
                <w:sz w:val="18"/>
                <w:szCs w:val="18"/>
              </w:rPr>
              <w:t>4,83%</w:t>
            </w:r>
          </w:p>
        </w:tc>
      </w:tr>
      <w:tr w:rsidR="002C41C1" w:rsidRPr="00661000" w:rsidTr="00661000">
        <w:trPr>
          <w:trHeight w:val="20"/>
        </w:trPr>
        <w:tc>
          <w:tcPr>
            <w:tcW w:w="2093" w:type="dxa"/>
            <w:shd w:val="clear" w:color="auto" w:fill="FFFFFF"/>
            <w:noWrap/>
          </w:tcPr>
          <w:p w:rsidR="002C41C1" w:rsidRPr="00661000" w:rsidRDefault="002C41C1" w:rsidP="00661000">
            <w:pPr>
              <w:keepNext/>
              <w:rPr>
                <w:sz w:val="18"/>
                <w:szCs w:val="18"/>
              </w:rPr>
            </w:pPr>
            <w:r w:rsidRPr="00661000">
              <w:rPr>
                <w:sz w:val="18"/>
                <w:szCs w:val="18"/>
              </w:rPr>
              <w:t>Subtotal Early stage</w:t>
            </w:r>
          </w:p>
        </w:tc>
        <w:tc>
          <w:tcPr>
            <w:tcW w:w="1417" w:type="dxa"/>
            <w:shd w:val="clear" w:color="auto" w:fill="FFFFFF"/>
            <w:noWrap/>
            <w:vAlign w:val="center"/>
          </w:tcPr>
          <w:p w:rsidR="002C41C1" w:rsidRPr="00661000" w:rsidRDefault="002C41C1" w:rsidP="00661000">
            <w:pPr>
              <w:keepNext/>
              <w:jc w:val="right"/>
              <w:rPr>
                <w:sz w:val="18"/>
                <w:szCs w:val="18"/>
              </w:rPr>
            </w:pPr>
            <w:r w:rsidRPr="00661000">
              <w:rPr>
                <w:sz w:val="18"/>
                <w:szCs w:val="18"/>
              </w:rPr>
              <w:t>16 760</w:t>
            </w:r>
          </w:p>
        </w:tc>
        <w:tc>
          <w:tcPr>
            <w:tcW w:w="1005" w:type="dxa"/>
            <w:shd w:val="clear" w:color="auto" w:fill="FFFFFF"/>
            <w:noWrap/>
            <w:vAlign w:val="center"/>
          </w:tcPr>
          <w:p w:rsidR="002C41C1" w:rsidRPr="00661000" w:rsidRDefault="002C41C1" w:rsidP="00661000">
            <w:pPr>
              <w:keepNext/>
              <w:jc w:val="right"/>
              <w:rPr>
                <w:sz w:val="18"/>
                <w:szCs w:val="18"/>
              </w:rPr>
            </w:pPr>
            <w:r w:rsidRPr="00661000">
              <w:rPr>
                <w:sz w:val="18"/>
                <w:szCs w:val="18"/>
              </w:rPr>
              <w:t>1,35%</w:t>
            </w:r>
          </w:p>
        </w:tc>
        <w:tc>
          <w:tcPr>
            <w:tcW w:w="1405" w:type="dxa"/>
            <w:shd w:val="clear" w:color="auto" w:fill="FFFFFF"/>
            <w:noWrap/>
            <w:vAlign w:val="center"/>
          </w:tcPr>
          <w:p w:rsidR="002C41C1" w:rsidRPr="00661000" w:rsidRDefault="002C41C1" w:rsidP="00661000">
            <w:pPr>
              <w:keepNext/>
              <w:jc w:val="right"/>
              <w:rPr>
                <w:sz w:val="18"/>
                <w:szCs w:val="18"/>
              </w:rPr>
            </w:pPr>
            <w:r w:rsidRPr="00661000">
              <w:rPr>
                <w:sz w:val="18"/>
                <w:szCs w:val="18"/>
              </w:rPr>
              <w:t>287 800</w:t>
            </w:r>
          </w:p>
        </w:tc>
        <w:tc>
          <w:tcPr>
            <w:tcW w:w="1005" w:type="dxa"/>
            <w:shd w:val="clear" w:color="auto" w:fill="FFFFFF"/>
            <w:noWrap/>
            <w:vAlign w:val="center"/>
          </w:tcPr>
          <w:p w:rsidR="002C41C1" w:rsidRPr="00661000" w:rsidRDefault="002C41C1" w:rsidP="00661000">
            <w:pPr>
              <w:keepNext/>
              <w:jc w:val="right"/>
              <w:rPr>
                <w:sz w:val="18"/>
                <w:szCs w:val="18"/>
              </w:rPr>
            </w:pPr>
            <w:r w:rsidRPr="00661000">
              <w:rPr>
                <w:sz w:val="18"/>
                <w:szCs w:val="18"/>
              </w:rPr>
              <w:t>6,07%</w:t>
            </w:r>
          </w:p>
        </w:tc>
        <w:tc>
          <w:tcPr>
            <w:tcW w:w="1405" w:type="dxa"/>
            <w:shd w:val="clear" w:color="auto" w:fill="FFFFFF"/>
            <w:noWrap/>
            <w:vAlign w:val="center"/>
          </w:tcPr>
          <w:p w:rsidR="002C41C1" w:rsidRPr="00661000" w:rsidRDefault="002C41C1" w:rsidP="00661000">
            <w:pPr>
              <w:keepNext/>
              <w:jc w:val="right"/>
              <w:rPr>
                <w:sz w:val="18"/>
                <w:szCs w:val="18"/>
              </w:rPr>
            </w:pPr>
            <w:r w:rsidRPr="00661000">
              <w:rPr>
                <w:sz w:val="18"/>
                <w:szCs w:val="18"/>
              </w:rPr>
              <w:t>13 119 252</w:t>
            </w:r>
          </w:p>
        </w:tc>
        <w:tc>
          <w:tcPr>
            <w:tcW w:w="992" w:type="dxa"/>
            <w:shd w:val="clear" w:color="auto" w:fill="FFFFFF"/>
            <w:noWrap/>
            <w:vAlign w:val="center"/>
          </w:tcPr>
          <w:p w:rsidR="002C41C1" w:rsidRPr="00661000" w:rsidRDefault="002C41C1" w:rsidP="00661000">
            <w:pPr>
              <w:keepNext/>
              <w:jc w:val="right"/>
              <w:rPr>
                <w:sz w:val="18"/>
                <w:szCs w:val="18"/>
              </w:rPr>
            </w:pPr>
            <w:r w:rsidRPr="00661000">
              <w:rPr>
                <w:sz w:val="18"/>
                <w:szCs w:val="18"/>
              </w:rPr>
              <w:t>5,23%</w:t>
            </w:r>
          </w:p>
        </w:tc>
      </w:tr>
      <w:tr w:rsidR="002C41C1" w:rsidRPr="00661000" w:rsidTr="00661000">
        <w:trPr>
          <w:trHeight w:val="20"/>
        </w:trPr>
        <w:tc>
          <w:tcPr>
            <w:tcW w:w="2093" w:type="dxa"/>
            <w:shd w:val="clear" w:color="auto" w:fill="FFFFFF"/>
            <w:noWrap/>
          </w:tcPr>
          <w:p w:rsidR="002C41C1" w:rsidRPr="00661000" w:rsidRDefault="002C41C1" w:rsidP="00661000">
            <w:pPr>
              <w:keepNext/>
              <w:rPr>
                <w:sz w:val="18"/>
                <w:szCs w:val="18"/>
              </w:rPr>
            </w:pPr>
            <w:r w:rsidRPr="00661000">
              <w:rPr>
                <w:sz w:val="18"/>
                <w:szCs w:val="18"/>
              </w:rPr>
              <w:t>Laterstage venture</w:t>
            </w:r>
          </w:p>
        </w:tc>
        <w:tc>
          <w:tcPr>
            <w:tcW w:w="1417" w:type="dxa"/>
            <w:shd w:val="clear" w:color="auto" w:fill="FFFFFF"/>
            <w:noWrap/>
            <w:vAlign w:val="center"/>
          </w:tcPr>
          <w:p w:rsidR="002C41C1" w:rsidRPr="00661000" w:rsidRDefault="002C41C1" w:rsidP="00661000">
            <w:pPr>
              <w:keepNext/>
              <w:jc w:val="right"/>
              <w:rPr>
                <w:sz w:val="18"/>
                <w:szCs w:val="18"/>
              </w:rPr>
            </w:pPr>
            <w:r w:rsidRPr="00661000">
              <w:rPr>
                <w:sz w:val="18"/>
                <w:szCs w:val="18"/>
              </w:rPr>
              <w:t>86 305</w:t>
            </w:r>
          </w:p>
        </w:tc>
        <w:tc>
          <w:tcPr>
            <w:tcW w:w="1005" w:type="dxa"/>
            <w:shd w:val="clear" w:color="auto" w:fill="FFFFFF"/>
            <w:noWrap/>
            <w:vAlign w:val="center"/>
          </w:tcPr>
          <w:p w:rsidR="002C41C1" w:rsidRPr="00661000" w:rsidRDefault="002C41C1" w:rsidP="00661000">
            <w:pPr>
              <w:keepNext/>
              <w:jc w:val="right"/>
              <w:rPr>
                <w:sz w:val="18"/>
                <w:szCs w:val="18"/>
              </w:rPr>
            </w:pPr>
            <w:r w:rsidRPr="00661000">
              <w:rPr>
                <w:sz w:val="18"/>
                <w:szCs w:val="18"/>
              </w:rPr>
              <w:t>4,36%</w:t>
            </w:r>
          </w:p>
        </w:tc>
        <w:tc>
          <w:tcPr>
            <w:tcW w:w="1405" w:type="dxa"/>
            <w:shd w:val="clear" w:color="auto" w:fill="FFFFFF"/>
            <w:noWrap/>
            <w:vAlign w:val="center"/>
          </w:tcPr>
          <w:p w:rsidR="002C41C1" w:rsidRPr="00661000" w:rsidRDefault="002C41C1" w:rsidP="00661000">
            <w:pPr>
              <w:keepNext/>
              <w:jc w:val="right"/>
              <w:rPr>
                <w:sz w:val="18"/>
                <w:szCs w:val="18"/>
              </w:rPr>
            </w:pPr>
            <w:r w:rsidRPr="00661000">
              <w:rPr>
                <w:sz w:val="18"/>
                <w:szCs w:val="18"/>
              </w:rPr>
              <w:t>439 566</w:t>
            </w:r>
          </w:p>
        </w:tc>
        <w:tc>
          <w:tcPr>
            <w:tcW w:w="1005" w:type="dxa"/>
            <w:shd w:val="clear" w:color="auto" w:fill="FFFFFF"/>
            <w:noWrap/>
            <w:vAlign w:val="center"/>
          </w:tcPr>
          <w:p w:rsidR="002C41C1" w:rsidRPr="00661000" w:rsidRDefault="002C41C1" w:rsidP="00661000">
            <w:pPr>
              <w:keepNext/>
              <w:jc w:val="right"/>
              <w:rPr>
                <w:sz w:val="18"/>
                <w:szCs w:val="18"/>
              </w:rPr>
            </w:pPr>
            <w:r w:rsidRPr="00661000">
              <w:rPr>
                <w:sz w:val="18"/>
                <w:szCs w:val="18"/>
              </w:rPr>
              <w:t>4,89%</w:t>
            </w:r>
          </w:p>
        </w:tc>
        <w:tc>
          <w:tcPr>
            <w:tcW w:w="1405" w:type="dxa"/>
            <w:shd w:val="clear" w:color="auto" w:fill="FFFFFF"/>
            <w:noWrap/>
            <w:vAlign w:val="center"/>
          </w:tcPr>
          <w:p w:rsidR="002C41C1" w:rsidRPr="00661000" w:rsidRDefault="002C41C1" w:rsidP="00661000">
            <w:pPr>
              <w:keepNext/>
              <w:jc w:val="right"/>
              <w:rPr>
                <w:sz w:val="18"/>
                <w:szCs w:val="18"/>
              </w:rPr>
            </w:pPr>
            <w:r w:rsidRPr="00661000">
              <w:rPr>
                <w:sz w:val="18"/>
                <w:szCs w:val="18"/>
              </w:rPr>
              <w:t>13 564 725</w:t>
            </w:r>
          </w:p>
        </w:tc>
        <w:tc>
          <w:tcPr>
            <w:tcW w:w="992" w:type="dxa"/>
            <w:shd w:val="clear" w:color="auto" w:fill="FFFFFF"/>
            <w:noWrap/>
            <w:vAlign w:val="center"/>
          </w:tcPr>
          <w:p w:rsidR="002C41C1" w:rsidRPr="00661000" w:rsidRDefault="002C41C1" w:rsidP="00661000">
            <w:pPr>
              <w:keepNext/>
              <w:jc w:val="right"/>
              <w:rPr>
                <w:sz w:val="18"/>
                <w:szCs w:val="18"/>
              </w:rPr>
            </w:pPr>
            <w:r w:rsidRPr="00661000">
              <w:rPr>
                <w:sz w:val="18"/>
                <w:szCs w:val="18"/>
              </w:rPr>
              <w:t>5,08%</w:t>
            </w:r>
          </w:p>
        </w:tc>
      </w:tr>
      <w:tr w:rsidR="002C41C1" w:rsidRPr="00661000" w:rsidTr="00661000">
        <w:trPr>
          <w:trHeight w:val="20"/>
        </w:trPr>
        <w:tc>
          <w:tcPr>
            <w:tcW w:w="2093" w:type="dxa"/>
            <w:shd w:val="clear" w:color="auto" w:fill="FFFFFF"/>
            <w:noWrap/>
          </w:tcPr>
          <w:p w:rsidR="002C41C1" w:rsidRPr="00661000" w:rsidRDefault="002C41C1" w:rsidP="00661000">
            <w:pPr>
              <w:keepNext/>
              <w:rPr>
                <w:sz w:val="18"/>
                <w:szCs w:val="18"/>
              </w:rPr>
            </w:pPr>
            <w:r w:rsidRPr="00661000">
              <w:rPr>
                <w:sz w:val="18"/>
                <w:szCs w:val="18"/>
              </w:rPr>
              <w:t>Celkem VC</w:t>
            </w:r>
          </w:p>
        </w:tc>
        <w:tc>
          <w:tcPr>
            <w:tcW w:w="1417" w:type="dxa"/>
            <w:shd w:val="clear" w:color="auto" w:fill="FFFFFF"/>
            <w:noWrap/>
            <w:vAlign w:val="center"/>
          </w:tcPr>
          <w:p w:rsidR="002C41C1" w:rsidRPr="00661000" w:rsidRDefault="002C41C1" w:rsidP="00661000">
            <w:pPr>
              <w:keepNext/>
              <w:jc w:val="right"/>
              <w:rPr>
                <w:sz w:val="18"/>
                <w:szCs w:val="18"/>
              </w:rPr>
            </w:pPr>
            <w:r w:rsidRPr="00661000">
              <w:rPr>
                <w:sz w:val="18"/>
                <w:szCs w:val="18"/>
              </w:rPr>
              <w:t>103 065</w:t>
            </w:r>
          </w:p>
        </w:tc>
        <w:tc>
          <w:tcPr>
            <w:tcW w:w="1005" w:type="dxa"/>
            <w:shd w:val="clear" w:color="auto" w:fill="FFFFFF"/>
            <w:noWrap/>
            <w:vAlign w:val="center"/>
          </w:tcPr>
          <w:p w:rsidR="002C41C1" w:rsidRPr="00661000" w:rsidRDefault="002C41C1" w:rsidP="00661000">
            <w:pPr>
              <w:keepNext/>
              <w:jc w:val="right"/>
              <w:rPr>
                <w:sz w:val="18"/>
                <w:szCs w:val="18"/>
              </w:rPr>
            </w:pPr>
            <w:r w:rsidRPr="00661000">
              <w:rPr>
                <w:sz w:val="18"/>
                <w:szCs w:val="18"/>
              </w:rPr>
              <w:t>5,71%</w:t>
            </w:r>
          </w:p>
        </w:tc>
        <w:tc>
          <w:tcPr>
            <w:tcW w:w="1405" w:type="dxa"/>
            <w:shd w:val="clear" w:color="auto" w:fill="FFFFFF"/>
            <w:noWrap/>
            <w:vAlign w:val="center"/>
          </w:tcPr>
          <w:p w:rsidR="002C41C1" w:rsidRPr="00661000" w:rsidRDefault="002C41C1" w:rsidP="00661000">
            <w:pPr>
              <w:keepNext/>
              <w:jc w:val="right"/>
              <w:rPr>
                <w:sz w:val="18"/>
                <w:szCs w:val="18"/>
              </w:rPr>
            </w:pPr>
            <w:r w:rsidRPr="00661000">
              <w:rPr>
                <w:sz w:val="18"/>
                <w:szCs w:val="18"/>
              </w:rPr>
              <w:t>708 634</w:t>
            </w:r>
          </w:p>
        </w:tc>
        <w:tc>
          <w:tcPr>
            <w:tcW w:w="1005" w:type="dxa"/>
            <w:shd w:val="clear" w:color="auto" w:fill="FFFFFF"/>
            <w:noWrap/>
            <w:vAlign w:val="center"/>
          </w:tcPr>
          <w:p w:rsidR="002C41C1" w:rsidRPr="00661000" w:rsidRDefault="002C41C1" w:rsidP="00661000">
            <w:pPr>
              <w:keepNext/>
              <w:jc w:val="right"/>
              <w:rPr>
                <w:sz w:val="18"/>
                <w:szCs w:val="18"/>
              </w:rPr>
            </w:pPr>
            <w:r w:rsidRPr="00661000">
              <w:rPr>
                <w:sz w:val="18"/>
                <w:szCs w:val="18"/>
              </w:rPr>
              <w:t>10,39%</w:t>
            </w:r>
          </w:p>
        </w:tc>
        <w:tc>
          <w:tcPr>
            <w:tcW w:w="1405" w:type="dxa"/>
            <w:shd w:val="clear" w:color="auto" w:fill="FFFFFF"/>
            <w:noWrap/>
            <w:vAlign w:val="center"/>
          </w:tcPr>
          <w:p w:rsidR="002C41C1" w:rsidRPr="00661000" w:rsidRDefault="002C41C1" w:rsidP="00661000">
            <w:pPr>
              <w:keepNext/>
              <w:jc w:val="right"/>
              <w:rPr>
                <w:sz w:val="18"/>
                <w:szCs w:val="18"/>
              </w:rPr>
            </w:pPr>
            <w:r w:rsidRPr="00661000">
              <w:rPr>
                <w:sz w:val="18"/>
                <w:szCs w:val="18"/>
              </w:rPr>
              <w:t>26 683 977</w:t>
            </w:r>
          </w:p>
        </w:tc>
        <w:tc>
          <w:tcPr>
            <w:tcW w:w="992" w:type="dxa"/>
            <w:shd w:val="clear" w:color="auto" w:fill="FFFFFF"/>
            <w:noWrap/>
            <w:vAlign w:val="center"/>
          </w:tcPr>
          <w:p w:rsidR="002C41C1" w:rsidRPr="00661000" w:rsidRDefault="002C41C1" w:rsidP="00661000">
            <w:pPr>
              <w:keepNext/>
              <w:jc w:val="right"/>
              <w:rPr>
                <w:sz w:val="18"/>
                <w:szCs w:val="18"/>
              </w:rPr>
            </w:pPr>
            <w:r w:rsidRPr="00661000">
              <w:rPr>
                <w:sz w:val="18"/>
                <w:szCs w:val="18"/>
              </w:rPr>
              <w:t>10,31%</w:t>
            </w:r>
          </w:p>
        </w:tc>
      </w:tr>
      <w:tr w:rsidR="002C41C1" w:rsidRPr="00661000" w:rsidTr="00661000">
        <w:trPr>
          <w:trHeight w:val="20"/>
        </w:trPr>
        <w:tc>
          <w:tcPr>
            <w:tcW w:w="2093" w:type="dxa"/>
            <w:shd w:val="clear" w:color="auto" w:fill="FFFFFF"/>
            <w:noWrap/>
          </w:tcPr>
          <w:p w:rsidR="002C41C1" w:rsidRPr="00661000" w:rsidRDefault="002C41C1" w:rsidP="00661000">
            <w:pPr>
              <w:keepNext/>
              <w:rPr>
                <w:sz w:val="18"/>
                <w:szCs w:val="18"/>
              </w:rPr>
            </w:pPr>
            <w:r w:rsidRPr="00661000">
              <w:rPr>
                <w:sz w:val="18"/>
                <w:szCs w:val="18"/>
              </w:rPr>
              <w:t>Growth</w:t>
            </w:r>
          </w:p>
        </w:tc>
        <w:tc>
          <w:tcPr>
            <w:tcW w:w="1417" w:type="dxa"/>
            <w:shd w:val="clear" w:color="auto" w:fill="FFFFFF"/>
            <w:noWrap/>
            <w:vAlign w:val="center"/>
          </w:tcPr>
          <w:p w:rsidR="002C41C1" w:rsidRPr="00661000" w:rsidRDefault="002C41C1" w:rsidP="00661000">
            <w:pPr>
              <w:keepNext/>
              <w:jc w:val="right"/>
              <w:rPr>
                <w:sz w:val="18"/>
                <w:szCs w:val="18"/>
              </w:rPr>
            </w:pPr>
            <w:r w:rsidRPr="00661000">
              <w:rPr>
                <w:sz w:val="18"/>
                <w:szCs w:val="18"/>
              </w:rPr>
              <w:t>507 801</w:t>
            </w:r>
          </w:p>
        </w:tc>
        <w:tc>
          <w:tcPr>
            <w:tcW w:w="1005" w:type="dxa"/>
            <w:shd w:val="clear" w:color="auto" w:fill="FFFFFF"/>
            <w:noWrap/>
            <w:vAlign w:val="center"/>
          </w:tcPr>
          <w:p w:rsidR="002C41C1" w:rsidRPr="00661000" w:rsidRDefault="002C41C1" w:rsidP="00661000">
            <w:pPr>
              <w:keepNext/>
              <w:jc w:val="right"/>
              <w:rPr>
                <w:sz w:val="18"/>
                <w:szCs w:val="18"/>
              </w:rPr>
            </w:pPr>
            <w:r w:rsidRPr="00661000">
              <w:rPr>
                <w:sz w:val="18"/>
                <w:szCs w:val="18"/>
              </w:rPr>
              <w:t>25,91%</w:t>
            </w:r>
          </w:p>
        </w:tc>
        <w:tc>
          <w:tcPr>
            <w:tcW w:w="1405" w:type="dxa"/>
            <w:shd w:val="clear" w:color="auto" w:fill="FFFFFF"/>
            <w:noWrap/>
            <w:vAlign w:val="center"/>
          </w:tcPr>
          <w:p w:rsidR="002C41C1" w:rsidRPr="00661000" w:rsidRDefault="002C41C1" w:rsidP="00661000">
            <w:pPr>
              <w:keepNext/>
              <w:jc w:val="right"/>
              <w:rPr>
                <w:sz w:val="18"/>
                <w:szCs w:val="18"/>
              </w:rPr>
            </w:pPr>
            <w:r w:rsidRPr="00661000">
              <w:rPr>
                <w:sz w:val="18"/>
                <w:szCs w:val="18"/>
              </w:rPr>
              <w:t>2 364 639</w:t>
            </w:r>
          </w:p>
        </w:tc>
        <w:tc>
          <w:tcPr>
            <w:tcW w:w="1005" w:type="dxa"/>
            <w:shd w:val="clear" w:color="auto" w:fill="FFFFFF"/>
            <w:noWrap/>
            <w:vAlign w:val="center"/>
          </w:tcPr>
          <w:p w:rsidR="002C41C1" w:rsidRPr="00661000" w:rsidRDefault="002C41C1" w:rsidP="00661000">
            <w:pPr>
              <w:keepNext/>
              <w:jc w:val="right"/>
              <w:rPr>
                <w:sz w:val="18"/>
                <w:szCs w:val="18"/>
              </w:rPr>
            </w:pPr>
            <w:r w:rsidRPr="00661000">
              <w:rPr>
                <w:sz w:val="18"/>
                <w:szCs w:val="18"/>
              </w:rPr>
              <w:t>30,37%</w:t>
            </w:r>
          </w:p>
        </w:tc>
        <w:tc>
          <w:tcPr>
            <w:tcW w:w="1405" w:type="dxa"/>
            <w:shd w:val="clear" w:color="auto" w:fill="FFFFFF"/>
            <w:noWrap/>
            <w:vAlign w:val="center"/>
          </w:tcPr>
          <w:p w:rsidR="002C41C1" w:rsidRPr="00661000" w:rsidRDefault="002C41C1" w:rsidP="00661000">
            <w:pPr>
              <w:keepNext/>
              <w:jc w:val="right"/>
              <w:rPr>
                <w:sz w:val="18"/>
                <w:szCs w:val="18"/>
              </w:rPr>
            </w:pPr>
            <w:r w:rsidRPr="00661000">
              <w:rPr>
                <w:sz w:val="18"/>
                <w:szCs w:val="18"/>
              </w:rPr>
              <w:t>31 406 288</w:t>
            </w:r>
          </w:p>
        </w:tc>
        <w:tc>
          <w:tcPr>
            <w:tcW w:w="992" w:type="dxa"/>
            <w:shd w:val="clear" w:color="auto" w:fill="FFFFFF"/>
            <w:noWrap/>
            <w:vAlign w:val="center"/>
          </w:tcPr>
          <w:p w:rsidR="002C41C1" w:rsidRPr="00661000" w:rsidRDefault="002C41C1" w:rsidP="00661000">
            <w:pPr>
              <w:keepNext/>
              <w:jc w:val="right"/>
              <w:rPr>
                <w:sz w:val="18"/>
                <w:szCs w:val="18"/>
              </w:rPr>
            </w:pPr>
            <w:r w:rsidRPr="00661000">
              <w:rPr>
                <w:sz w:val="18"/>
                <w:szCs w:val="18"/>
              </w:rPr>
              <w:t>12,80%</w:t>
            </w:r>
          </w:p>
        </w:tc>
      </w:tr>
      <w:tr w:rsidR="002C41C1" w:rsidRPr="00661000" w:rsidTr="00661000">
        <w:trPr>
          <w:trHeight w:val="20"/>
        </w:trPr>
        <w:tc>
          <w:tcPr>
            <w:tcW w:w="2093" w:type="dxa"/>
            <w:shd w:val="clear" w:color="auto" w:fill="FFFFFF"/>
            <w:noWrap/>
          </w:tcPr>
          <w:p w:rsidR="002C41C1" w:rsidRPr="00661000" w:rsidRDefault="002C41C1" w:rsidP="00661000">
            <w:pPr>
              <w:keepNext/>
              <w:rPr>
                <w:sz w:val="18"/>
                <w:szCs w:val="18"/>
              </w:rPr>
            </w:pPr>
            <w:r w:rsidRPr="00661000">
              <w:rPr>
                <w:sz w:val="18"/>
                <w:szCs w:val="18"/>
              </w:rPr>
              <w:t>Rescue/Turnaround</w:t>
            </w:r>
          </w:p>
        </w:tc>
        <w:tc>
          <w:tcPr>
            <w:tcW w:w="1417" w:type="dxa"/>
            <w:shd w:val="clear" w:color="auto" w:fill="FFFFFF"/>
            <w:noWrap/>
            <w:vAlign w:val="center"/>
          </w:tcPr>
          <w:p w:rsidR="002C41C1" w:rsidRPr="00661000" w:rsidRDefault="002C41C1" w:rsidP="00661000">
            <w:pPr>
              <w:keepNext/>
              <w:jc w:val="right"/>
              <w:rPr>
                <w:sz w:val="18"/>
                <w:szCs w:val="18"/>
              </w:rPr>
            </w:pPr>
            <w:r w:rsidRPr="00661000">
              <w:rPr>
                <w:sz w:val="18"/>
                <w:szCs w:val="18"/>
              </w:rPr>
              <w:t>475</w:t>
            </w:r>
          </w:p>
        </w:tc>
        <w:tc>
          <w:tcPr>
            <w:tcW w:w="1005" w:type="dxa"/>
            <w:shd w:val="clear" w:color="auto" w:fill="FFFFFF"/>
            <w:noWrap/>
            <w:vAlign w:val="center"/>
          </w:tcPr>
          <w:p w:rsidR="002C41C1" w:rsidRPr="00661000" w:rsidRDefault="002C41C1" w:rsidP="00661000">
            <w:pPr>
              <w:keepNext/>
              <w:jc w:val="right"/>
              <w:rPr>
                <w:sz w:val="18"/>
                <w:szCs w:val="18"/>
              </w:rPr>
            </w:pPr>
            <w:r w:rsidRPr="00661000">
              <w:rPr>
                <w:sz w:val="18"/>
                <w:szCs w:val="18"/>
              </w:rPr>
              <w:t>0,01%</w:t>
            </w:r>
          </w:p>
        </w:tc>
        <w:tc>
          <w:tcPr>
            <w:tcW w:w="1405" w:type="dxa"/>
            <w:shd w:val="clear" w:color="auto" w:fill="FFFFFF"/>
            <w:noWrap/>
            <w:vAlign w:val="center"/>
          </w:tcPr>
          <w:p w:rsidR="002C41C1" w:rsidRPr="00661000" w:rsidRDefault="002C41C1" w:rsidP="00661000">
            <w:pPr>
              <w:keepNext/>
              <w:jc w:val="right"/>
              <w:rPr>
                <w:sz w:val="18"/>
                <w:szCs w:val="18"/>
              </w:rPr>
            </w:pPr>
            <w:r w:rsidRPr="00661000">
              <w:rPr>
                <w:sz w:val="18"/>
                <w:szCs w:val="18"/>
              </w:rPr>
              <w:t>18 295</w:t>
            </w:r>
          </w:p>
        </w:tc>
        <w:tc>
          <w:tcPr>
            <w:tcW w:w="1005" w:type="dxa"/>
            <w:shd w:val="clear" w:color="auto" w:fill="FFFFFF"/>
            <w:noWrap/>
            <w:vAlign w:val="center"/>
          </w:tcPr>
          <w:p w:rsidR="002C41C1" w:rsidRPr="00661000" w:rsidRDefault="002C41C1" w:rsidP="00661000">
            <w:pPr>
              <w:keepNext/>
              <w:jc w:val="right"/>
              <w:rPr>
                <w:sz w:val="18"/>
                <w:szCs w:val="18"/>
              </w:rPr>
            </w:pPr>
            <w:r w:rsidRPr="00661000">
              <w:rPr>
                <w:sz w:val="18"/>
                <w:szCs w:val="18"/>
              </w:rPr>
              <w:t>0,28%</w:t>
            </w:r>
          </w:p>
        </w:tc>
        <w:tc>
          <w:tcPr>
            <w:tcW w:w="1405" w:type="dxa"/>
            <w:shd w:val="clear" w:color="auto" w:fill="FFFFFF"/>
            <w:noWrap/>
            <w:vAlign w:val="center"/>
          </w:tcPr>
          <w:p w:rsidR="002C41C1" w:rsidRPr="00661000" w:rsidRDefault="002C41C1" w:rsidP="00661000">
            <w:pPr>
              <w:keepNext/>
              <w:jc w:val="right"/>
              <w:rPr>
                <w:sz w:val="18"/>
                <w:szCs w:val="18"/>
              </w:rPr>
            </w:pPr>
            <w:r w:rsidRPr="00661000">
              <w:rPr>
                <w:sz w:val="18"/>
                <w:szCs w:val="18"/>
              </w:rPr>
              <w:t>2 799 031</w:t>
            </w:r>
          </w:p>
        </w:tc>
        <w:tc>
          <w:tcPr>
            <w:tcW w:w="992" w:type="dxa"/>
            <w:shd w:val="clear" w:color="auto" w:fill="FFFFFF"/>
            <w:noWrap/>
            <w:vAlign w:val="center"/>
          </w:tcPr>
          <w:p w:rsidR="002C41C1" w:rsidRPr="00661000" w:rsidRDefault="002C41C1" w:rsidP="00661000">
            <w:pPr>
              <w:keepNext/>
              <w:jc w:val="right"/>
              <w:rPr>
                <w:sz w:val="18"/>
                <w:szCs w:val="18"/>
              </w:rPr>
            </w:pPr>
            <w:r w:rsidRPr="00661000">
              <w:rPr>
                <w:sz w:val="18"/>
                <w:szCs w:val="18"/>
              </w:rPr>
              <w:t>1,22%</w:t>
            </w:r>
          </w:p>
        </w:tc>
      </w:tr>
      <w:tr w:rsidR="002C41C1" w:rsidRPr="00661000" w:rsidTr="00661000">
        <w:trPr>
          <w:trHeight w:val="20"/>
        </w:trPr>
        <w:tc>
          <w:tcPr>
            <w:tcW w:w="2093" w:type="dxa"/>
            <w:shd w:val="clear" w:color="auto" w:fill="FFFFFF"/>
            <w:noWrap/>
          </w:tcPr>
          <w:p w:rsidR="002C41C1" w:rsidRPr="00661000" w:rsidRDefault="002C41C1" w:rsidP="00661000">
            <w:pPr>
              <w:keepNext/>
              <w:rPr>
                <w:sz w:val="18"/>
                <w:szCs w:val="18"/>
              </w:rPr>
            </w:pPr>
            <w:r w:rsidRPr="00661000">
              <w:rPr>
                <w:sz w:val="18"/>
                <w:szCs w:val="18"/>
              </w:rPr>
              <w:t>Replacementcapital</w:t>
            </w:r>
          </w:p>
        </w:tc>
        <w:tc>
          <w:tcPr>
            <w:tcW w:w="1417" w:type="dxa"/>
            <w:shd w:val="clear" w:color="auto" w:fill="FFFFFF"/>
            <w:noWrap/>
            <w:vAlign w:val="center"/>
          </w:tcPr>
          <w:p w:rsidR="002C41C1" w:rsidRPr="00661000" w:rsidRDefault="002C41C1" w:rsidP="00661000">
            <w:pPr>
              <w:keepNext/>
              <w:jc w:val="right"/>
              <w:rPr>
                <w:sz w:val="18"/>
                <w:szCs w:val="18"/>
              </w:rPr>
            </w:pPr>
            <w:r w:rsidRPr="00661000">
              <w:rPr>
                <w:sz w:val="18"/>
                <w:szCs w:val="18"/>
              </w:rPr>
              <w:t>289 965</w:t>
            </w:r>
          </w:p>
        </w:tc>
        <w:tc>
          <w:tcPr>
            <w:tcW w:w="1005" w:type="dxa"/>
            <w:shd w:val="clear" w:color="auto" w:fill="FFFFFF"/>
            <w:noWrap/>
            <w:vAlign w:val="center"/>
          </w:tcPr>
          <w:p w:rsidR="002C41C1" w:rsidRPr="00661000" w:rsidRDefault="002C41C1" w:rsidP="00661000">
            <w:pPr>
              <w:keepNext/>
              <w:jc w:val="right"/>
              <w:rPr>
                <w:sz w:val="18"/>
                <w:szCs w:val="18"/>
              </w:rPr>
            </w:pPr>
            <w:r w:rsidRPr="00661000">
              <w:rPr>
                <w:sz w:val="18"/>
                <w:szCs w:val="18"/>
              </w:rPr>
              <w:t>7,63%</w:t>
            </w:r>
          </w:p>
        </w:tc>
        <w:tc>
          <w:tcPr>
            <w:tcW w:w="1405" w:type="dxa"/>
            <w:shd w:val="clear" w:color="auto" w:fill="FFFFFF"/>
            <w:noWrap/>
            <w:vAlign w:val="center"/>
          </w:tcPr>
          <w:p w:rsidR="002C41C1" w:rsidRPr="00661000" w:rsidRDefault="002C41C1" w:rsidP="00661000">
            <w:pPr>
              <w:keepNext/>
              <w:jc w:val="right"/>
              <w:rPr>
                <w:sz w:val="18"/>
                <w:szCs w:val="18"/>
              </w:rPr>
            </w:pPr>
            <w:r w:rsidRPr="00661000">
              <w:rPr>
                <w:sz w:val="18"/>
                <w:szCs w:val="18"/>
              </w:rPr>
              <w:t>517 134</w:t>
            </w:r>
          </w:p>
        </w:tc>
        <w:tc>
          <w:tcPr>
            <w:tcW w:w="1005" w:type="dxa"/>
            <w:shd w:val="clear" w:color="auto" w:fill="FFFFFF"/>
            <w:noWrap/>
            <w:vAlign w:val="center"/>
          </w:tcPr>
          <w:p w:rsidR="002C41C1" w:rsidRPr="00661000" w:rsidRDefault="002C41C1" w:rsidP="00661000">
            <w:pPr>
              <w:keepNext/>
              <w:jc w:val="right"/>
              <w:rPr>
                <w:sz w:val="18"/>
                <w:szCs w:val="18"/>
              </w:rPr>
            </w:pPr>
            <w:r w:rsidRPr="00661000">
              <w:rPr>
                <w:sz w:val="18"/>
                <w:szCs w:val="18"/>
              </w:rPr>
              <w:t>4,41%</w:t>
            </w:r>
          </w:p>
        </w:tc>
        <w:tc>
          <w:tcPr>
            <w:tcW w:w="1405" w:type="dxa"/>
            <w:shd w:val="clear" w:color="auto" w:fill="FFFFFF"/>
            <w:noWrap/>
            <w:vAlign w:val="center"/>
          </w:tcPr>
          <w:p w:rsidR="002C41C1" w:rsidRPr="00661000" w:rsidRDefault="002C41C1" w:rsidP="00661000">
            <w:pPr>
              <w:keepNext/>
              <w:jc w:val="right"/>
              <w:rPr>
                <w:sz w:val="18"/>
                <w:szCs w:val="18"/>
              </w:rPr>
            </w:pPr>
            <w:r w:rsidRPr="00661000">
              <w:rPr>
                <w:sz w:val="18"/>
                <w:szCs w:val="18"/>
              </w:rPr>
              <w:t>9 329 771</w:t>
            </w:r>
          </w:p>
        </w:tc>
        <w:tc>
          <w:tcPr>
            <w:tcW w:w="992" w:type="dxa"/>
            <w:shd w:val="clear" w:color="auto" w:fill="FFFFFF"/>
            <w:noWrap/>
            <w:vAlign w:val="center"/>
          </w:tcPr>
          <w:p w:rsidR="002C41C1" w:rsidRPr="00661000" w:rsidRDefault="002C41C1" w:rsidP="00661000">
            <w:pPr>
              <w:keepNext/>
              <w:jc w:val="right"/>
              <w:rPr>
                <w:sz w:val="18"/>
                <w:szCs w:val="18"/>
              </w:rPr>
            </w:pPr>
            <w:r w:rsidRPr="00661000">
              <w:rPr>
                <w:sz w:val="18"/>
                <w:szCs w:val="18"/>
              </w:rPr>
              <w:t>3,88%</w:t>
            </w:r>
          </w:p>
        </w:tc>
      </w:tr>
      <w:tr w:rsidR="002C41C1" w:rsidRPr="00661000" w:rsidTr="00661000">
        <w:trPr>
          <w:trHeight w:val="20"/>
        </w:trPr>
        <w:tc>
          <w:tcPr>
            <w:tcW w:w="2093" w:type="dxa"/>
            <w:shd w:val="clear" w:color="auto" w:fill="FFFFFF"/>
            <w:noWrap/>
          </w:tcPr>
          <w:p w:rsidR="002C41C1" w:rsidRPr="00661000" w:rsidRDefault="002C41C1" w:rsidP="00661000">
            <w:pPr>
              <w:keepNext/>
              <w:rPr>
                <w:sz w:val="18"/>
                <w:szCs w:val="18"/>
              </w:rPr>
            </w:pPr>
            <w:r w:rsidRPr="00661000">
              <w:rPr>
                <w:sz w:val="18"/>
                <w:szCs w:val="18"/>
              </w:rPr>
              <w:t>Buyout</w:t>
            </w:r>
          </w:p>
        </w:tc>
        <w:tc>
          <w:tcPr>
            <w:tcW w:w="1417" w:type="dxa"/>
            <w:shd w:val="clear" w:color="auto" w:fill="FFFFFF"/>
            <w:noWrap/>
            <w:vAlign w:val="center"/>
          </w:tcPr>
          <w:p w:rsidR="002C41C1" w:rsidRPr="00661000" w:rsidRDefault="002C41C1" w:rsidP="00661000">
            <w:pPr>
              <w:keepNext/>
              <w:jc w:val="right"/>
              <w:rPr>
                <w:sz w:val="18"/>
                <w:szCs w:val="18"/>
              </w:rPr>
            </w:pPr>
            <w:r w:rsidRPr="00661000">
              <w:rPr>
                <w:sz w:val="18"/>
                <w:szCs w:val="18"/>
              </w:rPr>
              <w:t>1 539 369</w:t>
            </w:r>
          </w:p>
        </w:tc>
        <w:tc>
          <w:tcPr>
            <w:tcW w:w="1005" w:type="dxa"/>
            <w:shd w:val="clear" w:color="auto" w:fill="FFFFFF"/>
            <w:noWrap/>
            <w:vAlign w:val="center"/>
          </w:tcPr>
          <w:p w:rsidR="002C41C1" w:rsidRPr="00661000" w:rsidRDefault="002C41C1" w:rsidP="00661000">
            <w:pPr>
              <w:keepNext/>
              <w:jc w:val="right"/>
              <w:rPr>
                <w:sz w:val="18"/>
                <w:szCs w:val="18"/>
              </w:rPr>
            </w:pPr>
            <w:r w:rsidRPr="00661000">
              <w:rPr>
                <w:sz w:val="18"/>
                <w:szCs w:val="18"/>
              </w:rPr>
              <w:t>60,75%</w:t>
            </w:r>
          </w:p>
        </w:tc>
        <w:tc>
          <w:tcPr>
            <w:tcW w:w="1405" w:type="dxa"/>
            <w:shd w:val="clear" w:color="auto" w:fill="FFFFFF"/>
            <w:noWrap/>
            <w:vAlign w:val="center"/>
          </w:tcPr>
          <w:p w:rsidR="002C41C1" w:rsidRPr="00661000" w:rsidRDefault="002C41C1" w:rsidP="00661000">
            <w:pPr>
              <w:keepNext/>
              <w:jc w:val="right"/>
              <w:rPr>
                <w:sz w:val="18"/>
                <w:szCs w:val="18"/>
              </w:rPr>
            </w:pPr>
            <w:r w:rsidRPr="00661000">
              <w:rPr>
                <w:sz w:val="18"/>
                <w:szCs w:val="18"/>
              </w:rPr>
              <w:t>6 698 770</w:t>
            </w:r>
          </w:p>
        </w:tc>
        <w:tc>
          <w:tcPr>
            <w:tcW w:w="1005" w:type="dxa"/>
            <w:shd w:val="clear" w:color="auto" w:fill="FFFFFF"/>
            <w:noWrap/>
            <w:vAlign w:val="center"/>
          </w:tcPr>
          <w:p w:rsidR="002C41C1" w:rsidRPr="00661000" w:rsidRDefault="002C41C1" w:rsidP="00661000">
            <w:pPr>
              <w:keepNext/>
              <w:jc w:val="right"/>
              <w:rPr>
                <w:sz w:val="18"/>
                <w:szCs w:val="18"/>
              </w:rPr>
            </w:pPr>
            <w:r w:rsidRPr="00661000">
              <w:rPr>
                <w:sz w:val="18"/>
                <w:szCs w:val="18"/>
              </w:rPr>
              <w:t>54,55%</w:t>
            </w:r>
          </w:p>
        </w:tc>
        <w:tc>
          <w:tcPr>
            <w:tcW w:w="1405" w:type="dxa"/>
            <w:shd w:val="clear" w:color="auto" w:fill="FFFFFF"/>
            <w:noWrap/>
            <w:vAlign w:val="center"/>
          </w:tcPr>
          <w:p w:rsidR="002C41C1" w:rsidRPr="00661000" w:rsidRDefault="002C41C1" w:rsidP="00661000">
            <w:pPr>
              <w:keepNext/>
              <w:jc w:val="right"/>
              <w:rPr>
                <w:sz w:val="18"/>
                <w:szCs w:val="18"/>
              </w:rPr>
            </w:pPr>
            <w:r w:rsidRPr="00661000">
              <w:rPr>
                <w:sz w:val="18"/>
                <w:szCs w:val="18"/>
              </w:rPr>
              <w:t>200 544 333</w:t>
            </w:r>
          </w:p>
        </w:tc>
        <w:tc>
          <w:tcPr>
            <w:tcW w:w="992" w:type="dxa"/>
            <w:shd w:val="clear" w:color="auto" w:fill="FFFFFF"/>
            <w:noWrap/>
            <w:vAlign w:val="center"/>
          </w:tcPr>
          <w:p w:rsidR="002C41C1" w:rsidRPr="00661000" w:rsidRDefault="002C41C1" w:rsidP="00661000">
            <w:pPr>
              <w:keepNext/>
              <w:jc w:val="right"/>
              <w:rPr>
                <w:sz w:val="18"/>
                <w:szCs w:val="18"/>
              </w:rPr>
            </w:pPr>
            <w:r w:rsidRPr="00661000">
              <w:rPr>
                <w:sz w:val="18"/>
                <w:szCs w:val="18"/>
              </w:rPr>
              <w:t>71,79%</w:t>
            </w:r>
          </w:p>
        </w:tc>
      </w:tr>
      <w:tr w:rsidR="002C41C1" w:rsidRPr="00661000" w:rsidTr="00661000">
        <w:trPr>
          <w:trHeight w:val="20"/>
        </w:trPr>
        <w:tc>
          <w:tcPr>
            <w:tcW w:w="2093" w:type="dxa"/>
            <w:shd w:val="clear" w:color="auto" w:fill="92D050"/>
            <w:noWrap/>
          </w:tcPr>
          <w:p w:rsidR="002C41C1" w:rsidRPr="00661000" w:rsidRDefault="002C41C1" w:rsidP="00661000">
            <w:pPr>
              <w:keepNext/>
              <w:rPr>
                <w:b/>
                <w:sz w:val="18"/>
                <w:szCs w:val="18"/>
              </w:rPr>
            </w:pPr>
            <w:r w:rsidRPr="00661000">
              <w:rPr>
                <w:b/>
                <w:sz w:val="18"/>
                <w:szCs w:val="18"/>
              </w:rPr>
              <w:t>Celkem</w:t>
            </w:r>
          </w:p>
        </w:tc>
        <w:tc>
          <w:tcPr>
            <w:tcW w:w="1417" w:type="dxa"/>
            <w:shd w:val="clear" w:color="auto" w:fill="92D050"/>
            <w:noWrap/>
            <w:vAlign w:val="center"/>
          </w:tcPr>
          <w:p w:rsidR="002C41C1" w:rsidRPr="00661000" w:rsidRDefault="002C41C1" w:rsidP="00661000">
            <w:pPr>
              <w:keepNext/>
              <w:jc w:val="right"/>
              <w:rPr>
                <w:b/>
                <w:sz w:val="18"/>
                <w:szCs w:val="18"/>
              </w:rPr>
            </w:pPr>
            <w:r w:rsidRPr="00661000">
              <w:rPr>
                <w:b/>
                <w:sz w:val="18"/>
                <w:szCs w:val="18"/>
              </w:rPr>
              <w:t>2 445 367</w:t>
            </w:r>
          </w:p>
        </w:tc>
        <w:tc>
          <w:tcPr>
            <w:tcW w:w="1005" w:type="dxa"/>
            <w:shd w:val="clear" w:color="auto" w:fill="92D050"/>
            <w:noWrap/>
            <w:vAlign w:val="center"/>
          </w:tcPr>
          <w:p w:rsidR="002C41C1" w:rsidRPr="00661000" w:rsidRDefault="002C41C1" w:rsidP="00661000">
            <w:pPr>
              <w:keepNext/>
              <w:jc w:val="right"/>
              <w:rPr>
                <w:b/>
                <w:sz w:val="18"/>
                <w:szCs w:val="18"/>
              </w:rPr>
            </w:pPr>
            <w:r w:rsidRPr="00661000">
              <w:rPr>
                <w:b/>
                <w:sz w:val="18"/>
                <w:szCs w:val="18"/>
              </w:rPr>
              <w:t>100,00%</w:t>
            </w:r>
          </w:p>
        </w:tc>
        <w:tc>
          <w:tcPr>
            <w:tcW w:w="1405" w:type="dxa"/>
            <w:shd w:val="clear" w:color="auto" w:fill="92D050"/>
            <w:noWrap/>
            <w:vAlign w:val="center"/>
          </w:tcPr>
          <w:p w:rsidR="002C41C1" w:rsidRPr="00661000" w:rsidRDefault="002C41C1" w:rsidP="00661000">
            <w:pPr>
              <w:keepNext/>
              <w:jc w:val="right"/>
              <w:rPr>
                <w:b/>
                <w:sz w:val="18"/>
                <w:szCs w:val="18"/>
              </w:rPr>
            </w:pPr>
            <w:r w:rsidRPr="00661000">
              <w:rPr>
                <w:b/>
                <w:sz w:val="18"/>
                <w:szCs w:val="18"/>
              </w:rPr>
              <w:t>10 312 164</w:t>
            </w:r>
          </w:p>
        </w:tc>
        <w:tc>
          <w:tcPr>
            <w:tcW w:w="1005" w:type="dxa"/>
            <w:shd w:val="clear" w:color="auto" w:fill="92D050"/>
            <w:noWrap/>
            <w:vAlign w:val="center"/>
          </w:tcPr>
          <w:p w:rsidR="002C41C1" w:rsidRPr="00661000" w:rsidRDefault="002C41C1" w:rsidP="00661000">
            <w:pPr>
              <w:keepNext/>
              <w:jc w:val="right"/>
              <w:rPr>
                <w:b/>
                <w:sz w:val="18"/>
                <w:szCs w:val="18"/>
              </w:rPr>
            </w:pPr>
            <w:r w:rsidRPr="00661000">
              <w:rPr>
                <w:b/>
                <w:sz w:val="18"/>
                <w:szCs w:val="18"/>
              </w:rPr>
              <w:t>100,00%</w:t>
            </w:r>
          </w:p>
        </w:tc>
        <w:tc>
          <w:tcPr>
            <w:tcW w:w="1405" w:type="dxa"/>
            <w:shd w:val="clear" w:color="auto" w:fill="92D050"/>
            <w:noWrap/>
            <w:vAlign w:val="center"/>
          </w:tcPr>
          <w:p w:rsidR="002C41C1" w:rsidRPr="00661000" w:rsidRDefault="002C41C1" w:rsidP="00661000">
            <w:pPr>
              <w:keepNext/>
              <w:jc w:val="right"/>
              <w:rPr>
                <w:b/>
                <w:sz w:val="18"/>
                <w:szCs w:val="18"/>
              </w:rPr>
            </w:pPr>
            <w:r w:rsidRPr="00661000">
              <w:rPr>
                <w:b/>
                <w:sz w:val="18"/>
                <w:szCs w:val="18"/>
              </w:rPr>
              <w:t>270 763 400</w:t>
            </w:r>
          </w:p>
        </w:tc>
        <w:tc>
          <w:tcPr>
            <w:tcW w:w="992" w:type="dxa"/>
            <w:shd w:val="clear" w:color="auto" w:fill="92D050"/>
            <w:noWrap/>
            <w:vAlign w:val="center"/>
          </w:tcPr>
          <w:p w:rsidR="002C41C1" w:rsidRPr="00661000" w:rsidRDefault="002C41C1" w:rsidP="00661000">
            <w:pPr>
              <w:keepNext/>
              <w:jc w:val="right"/>
              <w:rPr>
                <w:b/>
                <w:sz w:val="18"/>
                <w:szCs w:val="18"/>
              </w:rPr>
            </w:pPr>
            <w:r w:rsidRPr="00661000">
              <w:rPr>
                <w:b/>
                <w:sz w:val="18"/>
                <w:szCs w:val="18"/>
              </w:rPr>
              <w:t>100,00%</w:t>
            </w:r>
          </w:p>
        </w:tc>
      </w:tr>
    </w:tbl>
    <w:p w:rsidR="002C41C1" w:rsidRDefault="002C41C1" w:rsidP="00DF6E0B">
      <w:pPr>
        <w:pStyle w:val="Titulek"/>
      </w:pPr>
      <w:r w:rsidRPr="007B3F79">
        <w:t xml:space="preserve">Tabulka </w:t>
      </w:r>
      <w:fldSimple w:instr=" SEQ Tabulka \* ARABIC ">
        <w:r>
          <w:rPr>
            <w:noProof/>
          </w:rPr>
          <w:t>3</w:t>
        </w:r>
      </w:fldSimple>
      <w:r w:rsidRPr="007B3F79">
        <w:t>:</w:t>
      </w:r>
      <w:r>
        <w:t>PE</w:t>
      </w:r>
      <w:r w:rsidRPr="007B3F79">
        <w:t xml:space="preserve"> investice podle jednotlivých segmentů, v tisících </w:t>
      </w:r>
      <w:r>
        <w:t>€</w:t>
      </w:r>
      <w:r w:rsidRPr="007B3F79">
        <w:t>, součty 2007- 2012</w:t>
      </w:r>
    </w:p>
    <w:p w:rsidR="002C41C1" w:rsidRDefault="002C41C1" w:rsidP="00DF6E0B">
      <w:pPr>
        <w:pStyle w:val="Titulek"/>
        <w:rPr>
          <w:b w:val="0"/>
          <w:color w:val="000000"/>
        </w:rPr>
      </w:pPr>
      <w:r>
        <w:t>Z</w:t>
      </w:r>
      <w:r w:rsidRPr="007B3F79">
        <w:t>droj: EVCA, interpretováno MPO</w:t>
      </w:r>
    </w:p>
    <w:p w:rsidR="002C41C1" w:rsidRDefault="002C41C1" w:rsidP="00AE634D"/>
    <w:p w:rsidR="002C41C1" w:rsidRPr="00DF6E0B" w:rsidRDefault="002C41C1" w:rsidP="00FF70E4">
      <w:r w:rsidRPr="00DF6E0B">
        <w:rPr>
          <w:b/>
        </w:rPr>
        <w:t>V letech 2007-2012 získalo v ČR investici 19 podniků ve fázi later</w:t>
      </w:r>
      <w:r w:rsidR="00011070">
        <w:rPr>
          <w:b/>
        </w:rPr>
        <w:t xml:space="preserve"> </w:t>
      </w:r>
      <w:r w:rsidRPr="00DF6E0B">
        <w:rPr>
          <w:b/>
        </w:rPr>
        <w:t>stage a 8 start-up podniků v celkové výši 103 mil. €, což představuje v průměru vysokých 3,8 mil. € na jednu investici.</w:t>
      </w:r>
      <w:r w:rsidRPr="00DF6E0B">
        <w:t xml:space="preserve"> V průměru je minimální očekávaná velikost obchodu členů CVCA 6,5 mil. €, přičemž většina deklaruje 3-5 mil. €. Fondy zaměřené výhradně na pozdější fáze private</w:t>
      </w:r>
      <w:r w:rsidR="00011070">
        <w:t xml:space="preserve"> </w:t>
      </w:r>
      <w:r w:rsidRPr="00DF6E0B">
        <w:t xml:space="preserve">equity ovšem investují minimálně např. 20 mil. €. </w:t>
      </w:r>
    </w:p>
    <w:p w:rsidR="002C41C1" w:rsidRDefault="002C41C1" w:rsidP="00492C7A">
      <w:r w:rsidRPr="00DF6E0B">
        <w:rPr>
          <w:b/>
        </w:rPr>
        <w:t xml:space="preserve">Mimo statistiky operují business angels a </w:t>
      </w:r>
      <w:r w:rsidR="0072403F">
        <w:rPr>
          <w:b/>
        </w:rPr>
        <w:t>family offices</w:t>
      </w:r>
      <w:r w:rsidRPr="00DF6E0B">
        <w:t xml:space="preserve">, které </w:t>
      </w:r>
      <w:r>
        <w:t xml:space="preserve">zasahují </w:t>
      </w:r>
      <w:r w:rsidR="0072403F">
        <w:t>zejména do fází e</w:t>
      </w:r>
      <w:r>
        <w:t>arly stage.</w:t>
      </w:r>
    </w:p>
    <w:p w:rsidR="002C41C1" w:rsidRDefault="002C41C1" w:rsidP="00FF70E4"/>
    <w:p w:rsidR="002C41C1" w:rsidRDefault="002C41C1" w:rsidP="008175FD">
      <w:pPr>
        <w:rPr>
          <w:rFonts w:cs="Calibri"/>
          <w:szCs w:val="24"/>
        </w:rPr>
      </w:pPr>
      <w:r w:rsidRPr="0057020D">
        <w:t>Český PE/VC trh se vyznačuje nestabilním vývojem, který je způsoben především nízkým celkovým obratem a počtem transakcí</w:t>
      </w:r>
      <w:r>
        <w:t>.</w:t>
      </w:r>
      <w:r w:rsidR="00011070">
        <w:t xml:space="preserve"> </w:t>
      </w:r>
      <w:r>
        <w:t>N</w:t>
      </w:r>
      <w:r w:rsidRPr="0057020D">
        <w:t xml:space="preserve">a území České republiky se za rok realizuje asi jen </w:t>
      </w:r>
      <w:r>
        <w:t>10-</w:t>
      </w:r>
      <w:r w:rsidRPr="0057020D">
        <w:t>20 investic. Od roku 1997 existuje v České republice asociace sdružující private</w:t>
      </w:r>
      <w:r w:rsidR="00011070">
        <w:t xml:space="preserve"> </w:t>
      </w:r>
      <w:r w:rsidRPr="0057020D">
        <w:t>equity a venture capital investory – Czech Venture Capital and Private</w:t>
      </w:r>
      <w:r w:rsidR="00011070">
        <w:t xml:space="preserve"> </w:t>
      </w:r>
      <w:r w:rsidRPr="0057020D">
        <w:t>Equity</w:t>
      </w:r>
      <w:r w:rsidR="00011070">
        <w:t xml:space="preserve"> </w:t>
      </w:r>
      <w:r w:rsidRPr="0057020D">
        <w:t>Association (CVCA). Asociace je členem EVCA a zaměřuje se mimo jiné na statistické sledování vývoje na českém trhu PE/VC.</w:t>
      </w:r>
      <w:r>
        <w:t>Podíl</w:t>
      </w:r>
      <w:r w:rsidR="00011070">
        <w:t xml:space="preserve"> </w:t>
      </w:r>
      <w:r w:rsidRPr="0057020D">
        <w:t>0,955% PE investic na HDP v roce 2009 byl spíše výjimečný, jde o odchylku od dlouhodobého trendu způsobenou megabuyout transakcí CVC Capital</w:t>
      </w:r>
      <w:r w:rsidR="00011070">
        <w:t xml:space="preserve"> </w:t>
      </w:r>
      <w:r w:rsidRPr="0057020D">
        <w:t>Partners, která představovala více než 50 % z celkové hodnoty PE investic v roce 2009.</w:t>
      </w:r>
      <w:r w:rsidR="0072403F">
        <w:t xml:space="preserve"> </w:t>
      </w:r>
      <w:r w:rsidRPr="00D02B3C">
        <w:rPr>
          <w:rFonts w:cs="Calibri"/>
          <w:b/>
          <w:szCs w:val="24"/>
        </w:rPr>
        <w:t>Drtivá většina investic v ČR je zaměřena na pozdější segmenty buyout</w:t>
      </w:r>
      <w:r w:rsidR="0072403F">
        <w:rPr>
          <w:rFonts w:cs="Calibri"/>
          <w:b/>
          <w:szCs w:val="24"/>
        </w:rPr>
        <w:t xml:space="preserve"> a growth</w:t>
      </w:r>
      <w:r w:rsidRPr="0057020D">
        <w:rPr>
          <w:rFonts w:cs="Calibri"/>
          <w:szCs w:val="24"/>
        </w:rPr>
        <w:t xml:space="preserve">, </w:t>
      </w:r>
      <w:r w:rsidRPr="008175FD">
        <w:rPr>
          <w:rFonts w:cs="Calibri"/>
          <w:b/>
          <w:szCs w:val="24"/>
        </w:rPr>
        <w:t>rizikový kapitál představuje jen malou část investic</w:t>
      </w:r>
      <w:r>
        <w:rPr>
          <w:rFonts w:cs="Calibri"/>
          <w:szCs w:val="24"/>
        </w:rPr>
        <w:t>.</w:t>
      </w:r>
    </w:p>
    <w:p w:rsidR="002C41C1" w:rsidRPr="0057020D" w:rsidRDefault="002C41C1" w:rsidP="00492C7A"/>
    <w:p w:rsidR="002C41C1" w:rsidRPr="0057020D" w:rsidRDefault="002C41C1" w:rsidP="00492C7A">
      <w:r w:rsidRPr="0057020D">
        <w:t>V roce 2007-2012 se celková hodnota private</w:t>
      </w:r>
      <w:r w:rsidR="00011070">
        <w:t xml:space="preserve"> </w:t>
      </w:r>
      <w:r w:rsidRPr="0057020D">
        <w:t>equity investic v České republice podílela na HDP v průměru 0,280 %, zatímco evropský průměr činil 0,349 %, jak vyplývá z</w:t>
      </w:r>
      <w:r>
        <w:t> </w:t>
      </w:r>
      <w:r w:rsidRPr="0057020D">
        <w:t>grafu</w:t>
      </w:r>
      <w:r>
        <w:t>č.</w:t>
      </w:r>
      <w:fldSimple w:instr=" SEQ Graf \* ARABIC ">
        <w:r>
          <w:rPr>
            <w:noProof/>
          </w:rPr>
          <w:t>5</w:t>
        </w:r>
      </w:fldSimple>
      <w:r w:rsidRPr="0057020D">
        <w:t>. Kladná odchylka roku 2009 v České republice je způsobena zmiňovaným megabuyoutem CVC Capital</w:t>
      </w:r>
      <w:r w:rsidR="00011070">
        <w:t xml:space="preserve"> </w:t>
      </w:r>
      <w:r w:rsidRPr="0057020D">
        <w:t>Partners.</w:t>
      </w:r>
    </w:p>
    <w:p w:rsidR="002C41C1" w:rsidRPr="008E6992" w:rsidRDefault="005F2B40" w:rsidP="00492C7A">
      <w:pPr>
        <w:pStyle w:val="Textpspvku"/>
        <w:keepNext/>
        <w:jc w:val="center"/>
      </w:pPr>
      <w:r>
        <w:rPr>
          <w:rFonts w:cs="Calibri"/>
          <w:noProof/>
          <w:sz w:val="24"/>
          <w:szCs w:val="22"/>
          <w:lang w:eastAsia="cs-CZ"/>
        </w:rPr>
        <w:drawing>
          <wp:inline distT="0" distB="0" distL="0" distR="0" wp14:anchorId="27188AD4" wp14:editId="7392B1A4">
            <wp:extent cx="4373245" cy="2106930"/>
            <wp:effectExtent l="0" t="0" r="8255" b="7620"/>
            <wp:docPr id="1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3245" cy="2106930"/>
                    </a:xfrm>
                    <a:prstGeom prst="rect">
                      <a:avLst/>
                    </a:prstGeom>
                    <a:noFill/>
                    <a:ln>
                      <a:noFill/>
                    </a:ln>
                  </pic:spPr>
                </pic:pic>
              </a:graphicData>
            </a:graphic>
          </wp:inline>
        </w:drawing>
      </w:r>
    </w:p>
    <w:p w:rsidR="002C41C1" w:rsidRDefault="002C41C1" w:rsidP="00492C7A">
      <w:pPr>
        <w:pStyle w:val="Titulek"/>
      </w:pPr>
      <w:r w:rsidRPr="008E6992">
        <w:t xml:space="preserve">Graf </w:t>
      </w:r>
      <w:r>
        <w:t>8:</w:t>
      </w:r>
      <w:r w:rsidRPr="008E6992">
        <w:t xml:space="preserve"> PE investice (EUR) jako % HDP (běžné ceny, EUR) v Evr</w:t>
      </w:r>
      <w:r w:rsidRPr="00076233">
        <w:t>o</w:t>
      </w:r>
      <w:r w:rsidRPr="008E6992">
        <w:t>pě</w:t>
      </w:r>
      <w:r>
        <w:rPr>
          <w:rStyle w:val="Znakapoznpodarou"/>
          <w:rFonts w:cs="Arial"/>
          <w:b w:val="0"/>
        </w:rPr>
        <w:footnoteReference w:id="11"/>
      </w:r>
      <w:r w:rsidRPr="008E6992">
        <w:t xml:space="preserve"> a České republice</w:t>
      </w:r>
    </w:p>
    <w:p w:rsidR="002C41C1" w:rsidRPr="008E6992" w:rsidRDefault="002C41C1" w:rsidP="00492C7A">
      <w:pPr>
        <w:pStyle w:val="Titulek"/>
      </w:pPr>
      <w:r>
        <w:t>Z</w:t>
      </w:r>
      <w:r w:rsidRPr="008E6992">
        <w:t>droj: EVCA, EUROSTAT</w:t>
      </w:r>
    </w:p>
    <w:p w:rsidR="002C41C1" w:rsidRPr="0057020D" w:rsidRDefault="002C41C1" w:rsidP="00492C7A"/>
    <w:p w:rsidR="002C41C1" w:rsidRDefault="002C41C1" w:rsidP="00492C7A">
      <w:r w:rsidRPr="00AF4747">
        <w:rPr>
          <w:b/>
        </w:rPr>
        <w:lastRenderedPageBreak/>
        <w:t>Podíl množství investic rizikového kapitálu na celkových investicích PE v ČR činí v průměru jen 5,7 % za roky 2007-2012, což je hluboko pod evropskou úrovní 10,3 %</w:t>
      </w:r>
      <w:r>
        <w:t>.</w:t>
      </w:r>
      <w:r w:rsidRPr="00273228">
        <w:rPr>
          <w:b/>
        </w:rPr>
        <w:t>V roce 2013 došlo k dalšímu poklesu celkových venture investic z 5,2 mil. EUR na 2,8 mil EUR.</w:t>
      </w:r>
      <w:r>
        <w:t xml:space="preserve"> Údaje za poslední rok potvrzují značnou nestabilitu trendu investic na českého trhu, když v rámci meziročního prop</w:t>
      </w:r>
      <w:r w:rsidR="00011070">
        <w:t>adu o 2,4 mil. EUR posílily ran</w:t>
      </w:r>
      <w:r>
        <w:t>é fáze seed a start-up a naopak značně oslabily investice later</w:t>
      </w:r>
      <w:r w:rsidR="00011070">
        <w:t xml:space="preserve"> </w:t>
      </w:r>
      <w:r>
        <w:t>stage.</w:t>
      </w:r>
    </w:p>
    <w:p w:rsidR="002C41C1" w:rsidRDefault="002C41C1" w:rsidP="00492C7A"/>
    <w:p w:rsidR="002C41C1" w:rsidRDefault="002C41C1" w:rsidP="00974F99">
      <w:pPr>
        <w:rPr>
          <w:rFonts w:cs="Calibri"/>
          <w:szCs w:val="24"/>
        </w:rPr>
      </w:pPr>
      <w:r>
        <w:t>Z dlouhodobého vývoje</w:t>
      </w:r>
      <w:r w:rsidR="00011070">
        <w:t xml:space="preserve"> </w:t>
      </w:r>
      <w:r>
        <w:t xml:space="preserve">každopádně </w:t>
      </w:r>
      <w:r w:rsidRPr="002D3016">
        <w:t>vyplývá</w:t>
      </w:r>
      <w:r w:rsidRPr="002D3016">
        <w:rPr>
          <w:rFonts w:cs="Calibri"/>
          <w:szCs w:val="24"/>
        </w:rPr>
        <w:t>,</w:t>
      </w:r>
      <w:r w:rsidRPr="00513334">
        <w:rPr>
          <w:rFonts w:cs="Calibri"/>
          <w:szCs w:val="24"/>
        </w:rPr>
        <w:t xml:space="preserve"> že </w:t>
      </w:r>
      <w:r w:rsidRPr="00EA4FE9">
        <w:rPr>
          <w:rFonts w:cs="Calibri"/>
          <w:b/>
          <w:szCs w:val="24"/>
        </w:rPr>
        <w:t>v České republice chybí především investice v raných fázích</w:t>
      </w:r>
      <w:r w:rsidRPr="00513334">
        <w:rPr>
          <w:rFonts w:cs="Calibri"/>
          <w:szCs w:val="24"/>
        </w:rPr>
        <w:t xml:space="preserve"> (early stage). </w:t>
      </w:r>
      <w:r w:rsidRPr="007E2558">
        <w:rPr>
          <w:rFonts w:cs="Calibri"/>
          <w:b/>
          <w:szCs w:val="24"/>
        </w:rPr>
        <w:t>V letech 2007-2012 nedošlo v ČR k</w:t>
      </w:r>
      <w:r>
        <w:rPr>
          <w:rFonts w:cs="Calibri"/>
          <w:b/>
          <w:szCs w:val="24"/>
        </w:rPr>
        <w:t> </w:t>
      </w:r>
      <w:r w:rsidRPr="007E2558">
        <w:rPr>
          <w:rFonts w:cs="Calibri"/>
          <w:b/>
          <w:szCs w:val="24"/>
        </w:rPr>
        <w:t>žádné</w:t>
      </w:r>
      <w:r>
        <w:rPr>
          <w:rFonts w:cs="Calibri"/>
          <w:b/>
          <w:szCs w:val="24"/>
        </w:rPr>
        <w:t xml:space="preserve"> oficiálně vykázané</w:t>
      </w:r>
      <w:r w:rsidRPr="007E2558">
        <w:rPr>
          <w:rFonts w:cs="Calibri"/>
          <w:b/>
          <w:szCs w:val="24"/>
        </w:rPr>
        <w:t xml:space="preserve"> investici seed kapitálu</w:t>
      </w:r>
      <w:r w:rsidRPr="00513334">
        <w:rPr>
          <w:rFonts w:cs="Calibri"/>
          <w:szCs w:val="24"/>
        </w:rPr>
        <w:t xml:space="preserve"> v porovn</w:t>
      </w:r>
      <w:r>
        <w:rPr>
          <w:rFonts w:cs="Calibri"/>
          <w:szCs w:val="24"/>
        </w:rPr>
        <w:t>ání s 67 podniky zainvestovanými</w:t>
      </w:r>
      <w:r w:rsidRPr="00513334">
        <w:rPr>
          <w:rFonts w:cs="Calibri"/>
          <w:szCs w:val="24"/>
        </w:rPr>
        <w:t xml:space="preserve"> celkově v regionu střední a východní Evropy</w:t>
      </w:r>
      <w:r w:rsidRPr="00513334">
        <w:rPr>
          <w:rFonts w:cs="Calibri"/>
          <w:szCs w:val="24"/>
          <w:vertAlign w:val="superscript"/>
        </w:rPr>
        <w:footnoteReference w:id="12"/>
      </w:r>
      <w:r w:rsidRPr="00513334">
        <w:rPr>
          <w:rFonts w:cs="Calibri"/>
          <w:szCs w:val="24"/>
        </w:rPr>
        <w:t>. Jakkoliv seed kapitál jako nejrizikovější segment s nejnižší průměrnou výší investice zaujímá logicky nejmenší podíl na trzích private</w:t>
      </w:r>
      <w:r w:rsidR="00011070">
        <w:rPr>
          <w:rFonts w:cs="Calibri"/>
          <w:szCs w:val="24"/>
        </w:rPr>
        <w:t xml:space="preserve"> </w:t>
      </w:r>
      <w:r w:rsidRPr="00513334">
        <w:rPr>
          <w:rFonts w:cs="Calibri"/>
          <w:szCs w:val="24"/>
        </w:rPr>
        <w:t xml:space="preserve">equity po celém světě, v České republice </w:t>
      </w:r>
      <w:r>
        <w:rPr>
          <w:rFonts w:cs="Calibri"/>
          <w:szCs w:val="24"/>
        </w:rPr>
        <w:t>investiční aktivita v tomto segmentu</w:t>
      </w:r>
      <w:r w:rsidR="0072403F">
        <w:rPr>
          <w:rFonts w:cs="Calibri"/>
          <w:szCs w:val="24"/>
        </w:rPr>
        <w:t xml:space="preserve"> prakticky chybí</w:t>
      </w:r>
      <w:r>
        <w:rPr>
          <w:rFonts w:cs="Calibri"/>
          <w:szCs w:val="24"/>
        </w:rPr>
        <w:t>.</w:t>
      </w:r>
    </w:p>
    <w:p w:rsidR="002C41C1" w:rsidRDefault="002C41C1" w:rsidP="00974F99">
      <w:pPr>
        <w:rPr>
          <w:rFonts w:cs="Calibri"/>
          <w:szCs w:val="24"/>
        </w:rPr>
      </w:pPr>
    </w:p>
    <w:p w:rsidR="002C41C1" w:rsidRDefault="002C41C1" w:rsidP="00974F99">
      <w:pPr>
        <w:rPr>
          <w:rFonts w:cs="Calibri"/>
          <w:szCs w:val="24"/>
        </w:rPr>
      </w:pPr>
      <w:r>
        <w:rPr>
          <w:rFonts w:cs="Calibri"/>
          <w:szCs w:val="24"/>
        </w:rPr>
        <w:t xml:space="preserve">Nutno podotknout, že na investicích ve fázi seed se tradičně velkou měrou podílejí také tzv. </w:t>
      </w:r>
      <w:r w:rsidRPr="00974F99">
        <w:rPr>
          <w:rFonts w:cs="Calibri"/>
          <w:b/>
          <w:szCs w:val="24"/>
        </w:rPr>
        <w:t>business angels</w:t>
      </w:r>
      <w:r>
        <w:rPr>
          <w:rFonts w:cs="Calibri"/>
          <w:szCs w:val="24"/>
        </w:rPr>
        <w:t>, kteří nejsou podchyceni v žádné zastřešující organizaci, ani statistikách.</w:t>
      </w:r>
      <w:r w:rsidR="00011070">
        <w:rPr>
          <w:rFonts w:cs="Calibri"/>
          <w:szCs w:val="24"/>
        </w:rPr>
        <w:t xml:space="preserve"> </w:t>
      </w:r>
      <w:r>
        <w:rPr>
          <w:rFonts w:cs="Calibri"/>
          <w:szCs w:val="24"/>
        </w:rPr>
        <w:t xml:space="preserve">Oproti nedávné minulosti se počet aktivních business angels v České republice přeci jen zvyšuje. </w:t>
      </w:r>
      <w:r w:rsidRPr="002D3016">
        <w:rPr>
          <w:rFonts w:cs="Calibri"/>
          <w:b/>
          <w:szCs w:val="24"/>
        </w:rPr>
        <w:t>Ve výzkumu EBAN (European Business Angel Network) se Česká republika nachází na jednom z posledních míst v Evropě,</w:t>
      </w:r>
      <w:r w:rsidR="00011070">
        <w:rPr>
          <w:rFonts w:cs="Calibri"/>
          <w:b/>
          <w:szCs w:val="24"/>
        </w:rPr>
        <w:t xml:space="preserve"> </w:t>
      </w:r>
      <w:r w:rsidRPr="002D3016">
        <w:rPr>
          <w:rFonts w:cs="Calibri"/>
          <w:b/>
          <w:szCs w:val="24"/>
        </w:rPr>
        <w:t>dotazování expertů v průzkumu GEM 2013 nicméně naznačuje znatelné zlepšení oproti</w:t>
      </w:r>
      <w:r w:rsidR="00011070">
        <w:rPr>
          <w:rFonts w:cs="Calibri"/>
          <w:b/>
          <w:szCs w:val="24"/>
        </w:rPr>
        <w:t xml:space="preserve"> </w:t>
      </w:r>
      <w:r>
        <w:rPr>
          <w:rFonts w:cs="Calibri"/>
          <w:b/>
          <w:szCs w:val="24"/>
        </w:rPr>
        <w:t>dřívější</w:t>
      </w:r>
      <w:r w:rsidR="00011070">
        <w:rPr>
          <w:rFonts w:cs="Calibri"/>
          <w:b/>
          <w:szCs w:val="24"/>
        </w:rPr>
        <w:t xml:space="preserve"> </w:t>
      </w:r>
      <w:r w:rsidRPr="002D3016">
        <w:rPr>
          <w:rFonts w:cs="Calibri"/>
          <w:b/>
          <w:szCs w:val="24"/>
        </w:rPr>
        <w:t>úrovni</w:t>
      </w:r>
      <w:r w:rsidRPr="00974F99">
        <w:rPr>
          <w:rFonts w:cs="Calibri"/>
          <w:szCs w:val="24"/>
        </w:rPr>
        <w:t>. Jedním</w:t>
      </w:r>
      <w:r w:rsidR="00011070">
        <w:rPr>
          <w:rFonts w:cs="Calibri"/>
          <w:szCs w:val="24"/>
        </w:rPr>
        <w:t xml:space="preserve"> </w:t>
      </w:r>
      <w:r w:rsidRPr="00974F99">
        <w:rPr>
          <w:rFonts w:cs="Calibri"/>
          <w:szCs w:val="24"/>
        </w:rPr>
        <w:t>z důvodů může být</w:t>
      </w:r>
      <w:r w:rsidR="006A4A73">
        <w:rPr>
          <w:rFonts w:cs="Calibri"/>
          <w:szCs w:val="24"/>
        </w:rPr>
        <w:t>, že narůstá</w:t>
      </w:r>
      <w:r w:rsidRPr="00974F99">
        <w:rPr>
          <w:rFonts w:cs="Calibri"/>
          <w:szCs w:val="24"/>
        </w:rPr>
        <w:t xml:space="preserve"> řada podnikatelů a bývalých vrcholových manažerů, kteří se posouvají</w:t>
      </w:r>
      <w:r w:rsidR="00011070">
        <w:rPr>
          <w:rFonts w:cs="Calibri"/>
          <w:szCs w:val="24"/>
        </w:rPr>
        <w:t xml:space="preserve"> </w:t>
      </w:r>
      <w:r w:rsidRPr="00974F99">
        <w:rPr>
          <w:rFonts w:cs="Calibri"/>
          <w:szCs w:val="24"/>
        </w:rPr>
        <w:t>v kariéře do úrovně, kde mají prostředky a čas se andělským financováním zabývat.</w:t>
      </w:r>
      <w:r>
        <w:rPr>
          <w:rFonts w:cs="Calibri"/>
          <w:szCs w:val="24"/>
        </w:rPr>
        <w:t xml:space="preserve"> V porovnání s dalšími evropskými zeměmi je však tato aktivita stále slabá a navíc netransparentní.</w:t>
      </w:r>
    </w:p>
    <w:p w:rsidR="002C41C1" w:rsidRDefault="002C41C1" w:rsidP="00974F99">
      <w:pPr>
        <w:rPr>
          <w:rFonts w:cs="Calibri"/>
          <w:szCs w:val="24"/>
        </w:rPr>
      </w:pPr>
    </w:p>
    <w:p w:rsidR="002C41C1" w:rsidRDefault="002C41C1" w:rsidP="00353930">
      <w:pPr>
        <w:rPr>
          <w:rFonts w:cs="Calibri"/>
          <w:szCs w:val="24"/>
        </w:rPr>
      </w:pPr>
      <w:r>
        <w:rPr>
          <w:rFonts w:cs="Calibri"/>
          <w:szCs w:val="24"/>
        </w:rPr>
        <w:t>Podle průzkumu GEM 2013 p</w:t>
      </w:r>
      <w:r w:rsidRPr="00353930">
        <w:rPr>
          <w:rFonts w:cs="Calibri"/>
          <w:szCs w:val="24"/>
        </w:rPr>
        <w:t>oměrně velká část populace (8 %) v posledních třech letech finančně podpořila</w:t>
      </w:r>
      <w:r w:rsidR="00011070">
        <w:rPr>
          <w:rFonts w:cs="Calibri"/>
          <w:szCs w:val="24"/>
        </w:rPr>
        <w:t xml:space="preserve"> </w:t>
      </w:r>
      <w:r w:rsidRPr="00353930">
        <w:rPr>
          <w:rFonts w:cs="Calibri"/>
          <w:szCs w:val="24"/>
        </w:rPr>
        <w:t>rozjezd podnikání někoho jiného. Dominantně se nicméně jedná o menší částky do100.000 Kč, které jsou většinou poskytnuty příbuzným, přátelům či kolegům.</w:t>
      </w:r>
      <w:r>
        <w:rPr>
          <w:rFonts w:cs="Calibri"/>
          <w:szCs w:val="24"/>
        </w:rPr>
        <w:t xml:space="preserve"> Pro sledovanou oblast nových inovativních MSP je tedy tento zdroj spíše zanedbatelný.</w:t>
      </w:r>
    </w:p>
    <w:p w:rsidR="002C41C1" w:rsidRPr="0057020D" w:rsidRDefault="002C41C1" w:rsidP="00492C7A">
      <w:pPr>
        <w:rPr>
          <w:rFonts w:cs="Calibri"/>
          <w:szCs w:val="24"/>
        </w:rPr>
      </w:pPr>
    </w:p>
    <w:p w:rsidR="002C41C1" w:rsidRDefault="002C41C1" w:rsidP="00B21DA0">
      <w:pPr>
        <w:rPr>
          <w:rFonts w:cs="Calibri"/>
          <w:szCs w:val="24"/>
        </w:rPr>
      </w:pPr>
      <w:r w:rsidRPr="00716AD5">
        <w:rPr>
          <w:rFonts w:cs="Calibri"/>
          <w:b/>
          <w:szCs w:val="24"/>
        </w:rPr>
        <w:t>Analogicky malý je v ČR i</w:t>
      </w:r>
      <w:r w:rsidR="00011070">
        <w:rPr>
          <w:rFonts w:cs="Calibri"/>
          <w:b/>
          <w:szCs w:val="24"/>
        </w:rPr>
        <w:t xml:space="preserve"> </w:t>
      </w:r>
      <w:r w:rsidRPr="00492C7A">
        <w:rPr>
          <w:rFonts w:cs="Calibri"/>
          <w:b/>
          <w:szCs w:val="24"/>
        </w:rPr>
        <w:t>zájem o fázi start-up</w:t>
      </w:r>
      <w:r w:rsidRPr="0057020D">
        <w:rPr>
          <w:rFonts w:cs="Calibri"/>
          <w:szCs w:val="24"/>
        </w:rPr>
        <w:t>. V České republice sice začalo v předchozích několika letech působit několik málo fondů rizikového kapitálu zaměřených speciálně na menší a riz</w:t>
      </w:r>
      <w:r>
        <w:rPr>
          <w:rFonts w:cs="Calibri"/>
          <w:szCs w:val="24"/>
        </w:rPr>
        <w:t>ikovější projekty start-up fáze</w:t>
      </w:r>
      <w:r w:rsidRPr="0057020D">
        <w:rPr>
          <w:rFonts w:cs="Calibri"/>
          <w:szCs w:val="24"/>
        </w:rPr>
        <w:t>, nicméně v kontextu regionu SVE jsou tyto aktivity velmi skromné a neodpovídají poměrně silnému postavení České republiky v pozdějších fázíc</w:t>
      </w:r>
      <w:r>
        <w:rPr>
          <w:rFonts w:cs="Calibri"/>
          <w:szCs w:val="24"/>
        </w:rPr>
        <w:t>h private</w:t>
      </w:r>
      <w:r w:rsidR="00011070">
        <w:rPr>
          <w:rFonts w:cs="Calibri"/>
          <w:szCs w:val="24"/>
        </w:rPr>
        <w:t xml:space="preserve"> </w:t>
      </w:r>
      <w:r>
        <w:rPr>
          <w:rFonts w:cs="Calibri"/>
          <w:szCs w:val="24"/>
        </w:rPr>
        <w:t>equity.</w:t>
      </w:r>
      <w:r w:rsidR="00011070">
        <w:rPr>
          <w:rFonts w:cs="Calibri"/>
          <w:szCs w:val="24"/>
        </w:rPr>
        <w:t xml:space="preserve"> </w:t>
      </w:r>
      <w:r>
        <w:rPr>
          <w:rFonts w:cs="Calibri"/>
          <w:szCs w:val="24"/>
        </w:rPr>
        <w:t>Také průzkum GEM 2013 indikuje dle hodnocení oslovených expertů od roku 2011 jistý posun k lepšímu</w:t>
      </w:r>
      <w:r w:rsidRPr="0057020D">
        <w:rPr>
          <w:rFonts w:cs="Calibri"/>
          <w:szCs w:val="24"/>
        </w:rPr>
        <w:t>, nicméně</w:t>
      </w:r>
      <w:r w:rsidR="00011070">
        <w:rPr>
          <w:rFonts w:cs="Calibri"/>
          <w:szCs w:val="24"/>
        </w:rPr>
        <w:t xml:space="preserve"> </w:t>
      </w:r>
      <w:r>
        <w:rPr>
          <w:rFonts w:cs="Calibri"/>
          <w:szCs w:val="24"/>
        </w:rPr>
        <w:t>dostupnost rizikového kapitálu je zde stále hodnocena jako</w:t>
      </w:r>
      <w:r w:rsidR="00011070">
        <w:rPr>
          <w:rFonts w:cs="Calibri"/>
          <w:szCs w:val="24"/>
        </w:rPr>
        <w:t xml:space="preserve"> </w:t>
      </w:r>
      <w:r>
        <w:rPr>
          <w:rFonts w:cs="Calibri"/>
          <w:szCs w:val="24"/>
        </w:rPr>
        <w:t>spíše nedostatečná.</w:t>
      </w:r>
      <w:r w:rsidR="00011070">
        <w:rPr>
          <w:rFonts w:cs="Calibri"/>
          <w:szCs w:val="24"/>
        </w:rPr>
        <w:t xml:space="preserve"> </w:t>
      </w:r>
      <w:r w:rsidRPr="00DF6E0B">
        <w:rPr>
          <w:rFonts w:cs="Calibri"/>
          <w:szCs w:val="24"/>
        </w:rPr>
        <w:t>Vzhledem k tomu, trh private</w:t>
      </w:r>
      <w:r w:rsidR="00011070">
        <w:rPr>
          <w:rFonts w:cs="Calibri"/>
          <w:szCs w:val="24"/>
        </w:rPr>
        <w:t xml:space="preserve"> </w:t>
      </w:r>
      <w:r w:rsidRPr="00DF6E0B">
        <w:rPr>
          <w:rFonts w:cs="Calibri"/>
          <w:szCs w:val="24"/>
        </w:rPr>
        <w:t>equity v České republice je obecně stále poměrně silný v rámci regionu SVE, ukazuje to na nezájem investorů o tento konkrétní segment.</w:t>
      </w:r>
    </w:p>
    <w:p w:rsidR="002C41C1" w:rsidRDefault="002C41C1" w:rsidP="00B21DA0">
      <w:pPr>
        <w:rPr>
          <w:rFonts w:cs="Calibri"/>
          <w:szCs w:val="24"/>
        </w:rPr>
      </w:pPr>
    </w:p>
    <w:p w:rsidR="002C41C1" w:rsidRPr="0007393D" w:rsidRDefault="002C41C1" w:rsidP="00EF28C3">
      <w:r>
        <w:t>Vážné škody na trhu PE způsobila finanční krize v roce 2009. Indikátory investic, fundraisingu a exitů se propadly o dvě třetiny oproti hodnotám let 2006-2008. Ještě výraznější byl tento propad v regionu SVE, kde pokračuje nevyrovnaný vývoj i v posledních letech. V roce 2013 se fundr</w:t>
      </w:r>
      <w:r w:rsidRPr="00DF6E0B">
        <w:t>aising v</w:t>
      </w:r>
      <w:r w:rsidRPr="00D144BB">
        <w:t> </w:t>
      </w:r>
      <w:r w:rsidRPr="00DF6E0B">
        <w:t>SVE propadl meziročně o 37 %, na rozdíl</w:t>
      </w:r>
      <w:r w:rsidR="00011070">
        <w:t xml:space="preserve"> </w:t>
      </w:r>
      <w:r w:rsidRPr="00DF6E0B">
        <w:t>od</w:t>
      </w:r>
      <w:r w:rsidRPr="00D144BB">
        <w:t> </w:t>
      </w:r>
      <w:r w:rsidRPr="00DF6E0B">
        <w:t>pozitivního</w:t>
      </w:r>
      <w:r w:rsidR="00011070">
        <w:t xml:space="preserve"> </w:t>
      </w:r>
      <w:r w:rsidRPr="00DF6E0B">
        <w:t>vývoje v</w:t>
      </w:r>
      <w:r w:rsidRPr="00D144BB">
        <w:t> </w:t>
      </w:r>
      <w:r w:rsidRPr="00DF6E0B">
        <w:t>EU 15. Podíl SVE se tak propadl na pouhé 1 % fundraisingu v</w:t>
      </w:r>
      <w:r w:rsidRPr="00D144BB">
        <w:t> </w:t>
      </w:r>
      <w:r w:rsidRPr="00DF6E0B">
        <w:t>Evropě.</w:t>
      </w:r>
    </w:p>
    <w:p w:rsidR="002C41C1" w:rsidRPr="00DF6E0B" w:rsidRDefault="002C41C1" w:rsidP="00EF28C3"/>
    <w:p w:rsidR="002C41C1" w:rsidRDefault="002C41C1" w:rsidP="00266F8F">
      <w:pPr>
        <w:rPr>
          <w:rFonts w:cs="Calibri"/>
          <w:szCs w:val="24"/>
        </w:rPr>
      </w:pPr>
      <w:r w:rsidRPr="00DF6E0B">
        <w:t>V</w:t>
      </w:r>
      <w:r w:rsidRPr="00D144BB">
        <w:t> </w:t>
      </w:r>
      <w:r w:rsidRPr="00DF6E0B">
        <w:t>kontrastu s</w:t>
      </w:r>
      <w:r w:rsidRPr="00D144BB">
        <w:t> </w:t>
      </w:r>
      <w:r w:rsidRPr="00DF6E0B">
        <w:t>tím se fundraising v samotném venture kapitálu v</w:t>
      </w:r>
      <w:r w:rsidRPr="00D144BB">
        <w:t> </w:t>
      </w:r>
      <w:r w:rsidRPr="00DF6E0B">
        <w:t>SVE v</w:t>
      </w:r>
      <w:r w:rsidRPr="00D144BB">
        <w:t> </w:t>
      </w:r>
      <w:r w:rsidRPr="00DF6E0B">
        <w:t>posledním období drží na relativně vysoké úrovni. Největší podíl (48 % v</w:t>
      </w:r>
      <w:r w:rsidRPr="00D144BB">
        <w:t> </w:t>
      </w:r>
      <w:r w:rsidRPr="00DF6E0B">
        <w:t>roce 2013) na něm mají ale vládní agentury, počítaje v</w:t>
      </w:r>
      <w:r w:rsidRPr="00D144BB">
        <w:t> </w:t>
      </w:r>
      <w:r w:rsidRPr="00DF6E0B">
        <w:t>to i EBRD a EIF, které se během posledních let staly hlavními poskytovateli kapitálu.</w:t>
      </w:r>
      <w:r w:rsidR="00011070">
        <w:t xml:space="preserve"> </w:t>
      </w:r>
      <w:r w:rsidRPr="00DF6E0B">
        <w:t>V roce 2012 získalo investici celkem 123 firem v celkové výši 103 mil. EUR. Z těchto podniků bylo 74 % v rané fázi rozvoje. V</w:t>
      </w:r>
      <w:r w:rsidRPr="00DF6E0B">
        <w:rPr>
          <w:rFonts w:cs="Calibri"/>
          <w:szCs w:val="24"/>
        </w:rPr>
        <w:t xml:space="preserve"> letech 2007-2012 vzrostl podíl start-up kapitálu v SVE na celkovém private</w:t>
      </w:r>
      <w:r w:rsidR="00011070">
        <w:rPr>
          <w:rFonts w:cs="Calibri"/>
          <w:szCs w:val="24"/>
        </w:rPr>
        <w:t xml:space="preserve"> </w:t>
      </w:r>
      <w:r w:rsidRPr="00DF6E0B">
        <w:rPr>
          <w:rFonts w:cs="Calibri"/>
          <w:szCs w:val="24"/>
        </w:rPr>
        <w:t>equity v procentním vyjádření (5,57 %) dokonce nad celoevropskou hodnotu 4,83 %. V České republice je to velmi skromných 1,35 %.</w:t>
      </w:r>
    </w:p>
    <w:p w:rsidR="002C41C1" w:rsidRDefault="002C41C1" w:rsidP="00266F8F"/>
    <w:p w:rsidR="002C41C1" w:rsidRDefault="002C41C1" w:rsidP="00EF28C3">
      <w:r w:rsidRPr="0057020D">
        <w:t xml:space="preserve">Tato čísla je nutné spojovat </w:t>
      </w:r>
      <w:r>
        <w:t xml:space="preserve">právě </w:t>
      </w:r>
      <w:r w:rsidRPr="0057020D">
        <w:t xml:space="preserve">s vysokým fundraisingem veřejného sektoru, který se zaměřuje logicky především na pomoc začínajícím podnikatelům. Stát/region se obvykle snaží pomocí vlastní koinvestice (na úrovni fondu nebo projektu) získat soukromého investora rizikového kapitálu pro začínající malý nebo střední podnik (MSP), a to např. prostřednictvím podílových fondů JEREMIE v Polsku, Maďarsku, na Slovensku nebo v Bulharsku. Většina z podpořených projektů by měla být životaschopná, neboť jsou typicky zainvestované minimálně z 30 % ze soukromých zdrojů. </w:t>
      </w:r>
    </w:p>
    <w:p w:rsidR="002C41C1" w:rsidRDefault="002C41C1" w:rsidP="00EF28C3"/>
    <w:p w:rsidR="002C41C1" w:rsidRDefault="002C41C1" w:rsidP="00EF28C3">
      <w:r w:rsidRPr="00D02B3C">
        <w:rPr>
          <w:b/>
        </w:rPr>
        <w:t>V České republice naopak není funkční podpora veřejného sektoru na trhu rizikového kapitálu,</w:t>
      </w:r>
      <w:r>
        <w:rPr>
          <w:b/>
        </w:rPr>
        <w:t xml:space="preserve"> i to může být jeden z</w:t>
      </w:r>
      <w:r w:rsidR="00011070">
        <w:rPr>
          <w:b/>
        </w:rPr>
        <w:t> </w:t>
      </w:r>
      <w:r>
        <w:rPr>
          <w:b/>
        </w:rPr>
        <w:t xml:space="preserve">důvodů, </w:t>
      </w:r>
      <w:r w:rsidR="006A4A73">
        <w:rPr>
          <w:b/>
        </w:rPr>
        <w:t>proč</w:t>
      </w:r>
      <w:r w:rsidRPr="00D02B3C">
        <w:rPr>
          <w:b/>
        </w:rPr>
        <w:t xml:space="preserve"> Česká republika dosud nezachytila vlnu rozvoje rizikového kapitálu v SVE po roce 2009</w:t>
      </w:r>
      <w:r w:rsidRPr="0057020D">
        <w:t>.</w:t>
      </w:r>
    </w:p>
    <w:p w:rsidR="002C41C1" w:rsidRDefault="002C41C1" w:rsidP="00B21DA0"/>
    <w:p w:rsidR="002C41C1" w:rsidRDefault="002C41C1" w:rsidP="0044158E">
      <w:pPr>
        <w:pStyle w:val="Vtneslovannadpis"/>
        <w:rPr>
          <w:lang w:eastAsia="en-US"/>
        </w:rPr>
      </w:pPr>
      <w:r>
        <w:rPr>
          <w:lang w:eastAsia="en-US"/>
        </w:rPr>
        <w:t>Dosavadní podpora a analýza veřejných zdrojů financování</w:t>
      </w:r>
    </w:p>
    <w:p w:rsidR="002C41C1" w:rsidRDefault="002C41C1" w:rsidP="0044158E">
      <w:pPr>
        <w:pStyle w:val="Neslovannadpisy"/>
      </w:pPr>
      <w:r w:rsidRPr="001F221B">
        <w:t>Dluhové nástroje OP PI (2007 – 2013)</w:t>
      </w:r>
    </w:p>
    <w:p w:rsidR="002C41C1" w:rsidRDefault="002C41C1" w:rsidP="0044158E">
      <w:r>
        <w:t xml:space="preserve">Zamýšlené finanční nástroje v oblasti úvěrů a záruk jsou </w:t>
      </w:r>
      <w:r w:rsidRPr="00674307">
        <w:rPr>
          <w:b/>
        </w:rPr>
        <w:t>přímými pokračovateli Operačního programu Podnikání a inovace (OPPI)s celkovou alokací zdrojů včetně povinného spolufinancování z národních zdrojů téměř 3,7 mld. €</w:t>
      </w:r>
      <w:r>
        <w:t xml:space="preserve">. Objem certifikovaných prostředků přesáhl 87% </w:t>
      </w:r>
      <w:r w:rsidR="005057AD">
        <w:t>celkové alokace věnované OP 2.1</w:t>
      </w:r>
      <w:r>
        <w:t xml:space="preserve">. Hlavním cílem zůstává podpora podnikatelů využitím finančních nástrojů. V programovém období 2007 – 2013 byly v rámci zpřístupnění financování MSP ve sledovaném vymezení SC 2.1 </w:t>
      </w:r>
      <w:r w:rsidR="0084453C">
        <w:t>OP PIK</w:t>
      </w:r>
      <w:r>
        <w:t xml:space="preserve"> pod správou MPO nabízeny následující formy podpory:</w:t>
      </w:r>
    </w:p>
    <w:p w:rsidR="002C41C1" w:rsidRDefault="002C41C1" w:rsidP="0044158E"/>
    <w:p w:rsidR="002C41C1" w:rsidRDefault="002C41C1" w:rsidP="0044158E">
      <w:r w:rsidRPr="00674307">
        <w:rPr>
          <w:b/>
        </w:rPr>
        <w:t>Start</w:t>
      </w:r>
      <w:r>
        <w:t xml:space="preserve"> – Bezúročné úvěry pro začínající podnikatele a navrátilce na trh. V roce 2013 již nebyla poskytnuta žádná záruka, </w:t>
      </w:r>
      <w:r w:rsidRPr="007F5B4B">
        <w:rPr>
          <w:b/>
        </w:rPr>
        <w:t>za programové období ovšem bylo přijato 103 žádostí o záruky v objemu podpory 1,82 mil. € objemu záruk 4,6 mil. €. Kladně bylo vyřízeno 85 žádostí o celkové výši podpory 1,43 mil. € a objemu záruk 3,69 mil. €.</w:t>
      </w:r>
      <w:r>
        <w:t xml:space="preserve"> V letech 2007 – 2008 byly poskytnuty bezúročné úvěry v úhrnné výši 2,27 mi</w:t>
      </w:r>
      <w:r w:rsidR="0072403F">
        <w:t>l. €</w:t>
      </w:r>
      <w:r>
        <w:t>.</w:t>
      </w:r>
    </w:p>
    <w:p w:rsidR="002C41C1" w:rsidRDefault="002C41C1" w:rsidP="0044158E"/>
    <w:p w:rsidR="002C41C1" w:rsidRDefault="002C41C1" w:rsidP="0044158E">
      <w:r w:rsidRPr="00674307">
        <w:rPr>
          <w:b/>
        </w:rPr>
        <w:t>Záruka</w:t>
      </w:r>
      <w:r>
        <w:t xml:space="preserve"> – Podpora formou záruk za úvěry MSP u komerčních bank (dva programy, pro malé, a pro začínající podnikatele, s cca 75% vyčerpaných prostředků jednoznačně nejpopulárnější z programů). </w:t>
      </w:r>
      <w:r w:rsidRPr="007F5B4B">
        <w:rPr>
          <w:b/>
        </w:rPr>
        <w:t>V roce 2013 bylo poskytnuto 3,2 mld. Kč záruk k úvěrům v úhrnné výši 4,6 mld. Kč</w:t>
      </w:r>
      <w:r>
        <w:t>. Celkové náklady projektů podpořených za celé programové období činí více než 20 mld. Kč.</w:t>
      </w:r>
    </w:p>
    <w:p w:rsidR="002C41C1" w:rsidRPr="00674307" w:rsidRDefault="002C41C1" w:rsidP="0044158E">
      <w:pPr>
        <w:rPr>
          <w:b/>
        </w:rPr>
      </w:pPr>
    </w:p>
    <w:p w:rsidR="002C41C1" w:rsidRDefault="002C41C1" w:rsidP="0044158E">
      <w:r w:rsidRPr="00674307">
        <w:rPr>
          <w:b/>
        </w:rPr>
        <w:t>Progres</w:t>
      </w:r>
      <w:r>
        <w:t xml:space="preserve"> – Podřízené úvěrové instrumenty byly nabízeny pouze v rámci jedné výzvy. Další výzvy nebyly vyhlašovány z důvodu námitek komise, že zprostředkovatel ČMZRB nebyla vybrána ve výběrovém řízení. V roce 2013 bylo uzavřeno pouze 6 s</w:t>
      </w:r>
      <w:r w:rsidR="0072403F">
        <w:t>mluv v celkové výši 92 mil. Kč.</w:t>
      </w:r>
      <w:r>
        <w:t>, za celé období však byly podpořeny projekty o celkových nákladech téměř 9 mld. Kč.</w:t>
      </w:r>
    </w:p>
    <w:p w:rsidR="002C41C1" w:rsidRDefault="002C41C1" w:rsidP="0044158E"/>
    <w:p w:rsidR="002C41C1" w:rsidRDefault="002C41C1" w:rsidP="0044158E">
      <w:pPr>
        <w:pStyle w:val="Neslovannadpisy"/>
      </w:pPr>
      <w:r>
        <w:t xml:space="preserve">Další </w:t>
      </w:r>
      <w:r w:rsidR="0072403F">
        <w:t xml:space="preserve">významné </w:t>
      </w:r>
      <w:r>
        <w:t>veřejné zdroje financování</w:t>
      </w:r>
    </w:p>
    <w:p w:rsidR="002C41C1" w:rsidRDefault="002C41C1" w:rsidP="0044158E">
      <w:r>
        <w:rPr>
          <w:b/>
        </w:rPr>
        <w:t xml:space="preserve">Národní program ZÁRUKA – </w:t>
      </w:r>
      <w:r>
        <w:t>Program realizuje MPO ve spolupráci s ČMZRB.</w:t>
      </w:r>
      <w:r w:rsidR="0072403F">
        <w:t xml:space="preserve"> </w:t>
      </w:r>
      <w:r>
        <w:t>Jedná se o z</w:t>
      </w:r>
      <w:r w:rsidRPr="007F5B4B">
        <w:t>áruky pro malé podnikatele a podnikatele postižené povodní v</w:t>
      </w:r>
      <w:r w:rsidRPr="004B76CB">
        <w:t> </w:t>
      </w:r>
      <w:r w:rsidRPr="007F5B4B">
        <w:t xml:space="preserve">roce 2013. </w:t>
      </w:r>
      <w:r>
        <w:t xml:space="preserve">Podpora národním programem záruk probíhala po celé minulé programovací období. Za poslední fázi mezi roky </w:t>
      </w:r>
      <w:r w:rsidRPr="007F5B4B">
        <w:rPr>
          <w:b/>
        </w:rPr>
        <w:t>2012-2014byly přijaty žádosti o 4755 záruk o objemu téměř 10 mld</w:t>
      </w:r>
      <w:r>
        <w:rPr>
          <w:b/>
        </w:rPr>
        <w:t xml:space="preserve"> a </w:t>
      </w:r>
      <w:r w:rsidRPr="007F5B4B">
        <w:rPr>
          <w:b/>
        </w:rPr>
        <w:t>uzavřen</w:t>
      </w:r>
      <w:r>
        <w:rPr>
          <w:b/>
        </w:rPr>
        <w:t>y</w:t>
      </w:r>
      <w:r w:rsidRPr="007F5B4B">
        <w:rPr>
          <w:b/>
        </w:rPr>
        <w:t xml:space="preserve"> smlouvy </w:t>
      </w:r>
      <w:r>
        <w:rPr>
          <w:b/>
        </w:rPr>
        <w:t>na záruky v objemu</w:t>
      </w:r>
      <w:r w:rsidRPr="007F5B4B">
        <w:rPr>
          <w:b/>
        </w:rPr>
        <w:t xml:space="preserve"> 8</w:t>
      </w:r>
      <w:r>
        <w:rPr>
          <w:b/>
        </w:rPr>
        <w:t>,6 mld.</w:t>
      </w:r>
      <w:r w:rsidRPr="007F5B4B">
        <w:rPr>
          <w:b/>
        </w:rPr>
        <w:t xml:space="preserve"> Kč</w:t>
      </w:r>
      <w:r>
        <w:t>.</w:t>
      </w:r>
    </w:p>
    <w:p w:rsidR="002C41C1" w:rsidRDefault="002C41C1" w:rsidP="0044158E"/>
    <w:p w:rsidR="002C41C1" w:rsidRDefault="002C41C1" w:rsidP="0044158E">
      <w:pPr>
        <w:pStyle w:val="Titulek"/>
        <w:keepNext/>
      </w:pPr>
    </w:p>
    <w:tbl>
      <w:tblPr>
        <w:tblW w:w="8662" w:type="dxa"/>
        <w:tblLayout w:type="fixed"/>
        <w:tblLook w:val="00A0" w:firstRow="1" w:lastRow="0" w:firstColumn="1" w:lastColumn="0" w:noHBand="0" w:noVBand="0"/>
      </w:tblPr>
      <w:tblGrid>
        <w:gridCol w:w="2683"/>
        <w:gridCol w:w="1058"/>
        <w:gridCol w:w="669"/>
        <w:gridCol w:w="708"/>
        <w:gridCol w:w="709"/>
        <w:gridCol w:w="709"/>
        <w:gridCol w:w="709"/>
        <w:gridCol w:w="708"/>
        <w:gridCol w:w="709"/>
      </w:tblGrid>
      <w:tr w:rsidR="002C41C1" w:rsidRPr="00147B43" w:rsidTr="0007393D">
        <w:trPr>
          <w:trHeight w:val="315"/>
        </w:trPr>
        <w:tc>
          <w:tcPr>
            <w:tcW w:w="2683" w:type="dxa"/>
          </w:tcPr>
          <w:p w:rsidR="002C41C1" w:rsidRPr="00147B43" w:rsidRDefault="002C41C1" w:rsidP="0007393D">
            <w:pPr>
              <w:overflowPunct/>
              <w:autoSpaceDE/>
              <w:autoSpaceDN/>
              <w:adjustRightInd/>
              <w:jc w:val="left"/>
              <w:textAlignment w:val="auto"/>
              <w:rPr>
                <w:rFonts w:ascii="Arial" w:hAnsi="Arial" w:cs="Arial"/>
                <w:b/>
                <w:bCs/>
                <w:color w:val="000000"/>
                <w:sz w:val="18"/>
                <w:szCs w:val="18"/>
              </w:rPr>
            </w:pPr>
            <w:r w:rsidRPr="00147B43">
              <w:rPr>
                <w:rFonts w:ascii="Arial" w:hAnsi="Arial" w:cs="Arial"/>
                <w:b/>
                <w:bCs/>
                <w:iCs/>
                <w:color w:val="000000"/>
                <w:sz w:val="18"/>
                <w:szCs w:val="18"/>
                <w:lang w:val="en-GB"/>
              </w:rPr>
              <w:t>Indikátor</w:t>
            </w:r>
          </w:p>
        </w:tc>
        <w:tc>
          <w:tcPr>
            <w:tcW w:w="1058" w:type="dxa"/>
          </w:tcPr>
          <w:p w:rsidR="002C41C1" w:rsidRPr="00147B43" w:rsidRDefault="002C41C1" w:rsidP="0007393D">
            <w:pPr>
              <w:overflowPunct/>
              <w:autoSpaceDE/>
              <w:autoSpaceDN/>
              <w:adjustRightInd/>
              <w:jc w:val="left"/>
              <w:textAlignment w:val="auto"/>
              <w:rPr>
                <w:rFonts w:ascii="Arial" w:hAnsi="Arial" w:cs="Arial"/>
                <w:b/>
                <w:bCs/>
                <w:color w:val="000000"/>
                <w:sz w:val="18"/>
                <w:szCs w:val="18"/>
              </w:rPr>
            </w:pPr>
            <w:r w:rsidRPr="00147B43">
              <w:rPr>
                <w:rFonts w:ascii="Arial" w:hAnsi="Arial" w:cs="Arial"/>
                <w:b/>
                <w:bCs/>
                <w:iCs/>
                <w:color w:val="000000"/>
                <w:sz w:val="18"/>
                <w:szCs w:val="18"/>
                <w:lang w:val="en-GB"/>
              </w:rPr>
              <w:t>Jednotka</w:t>
            </w:r>
          </w:p>
        </w:tc>
        <w:tc>
          <w:tcPr>
            <w:tcW w:w="669" w:type="dxa"/>
          </w:tcPr>
          <w:p w:rsidR="002C41C1" w:rsidRPr="00147B43" w:rsidRDefault="002C41C1" w:rsidP="0007393D">
            <w:pPr>
              <w:overflowPunct/>
              <w:autoSpaceDE/>
              <w:autoSpaceDN/>
              <w:adjustRightInd/>
              <w:jc w:val="right"/>
              <w:textAlignment w:val="auto"/>
              <w:rPr>
                <w:rFonts w:ascii="Arial" w:hAnsi="Arial" w:cs="Arial"/>
                <w:b/>
                <w:bCs/>
                <w:color w:val="000000"/>
                <w:sz w:val="18"/>
                <w:szCs w:val="18"/>
              </w:rPr>
            </w:pPr>
            <w:r w:rsidRPr="00147B43">
              <w:rPr>
                <w:rFonts w:ascii="Arial" w:hAnsi="Arial" w:cs="Arial"/>
                <w:b/>
                <w:bCs/>
                <w:iCs/>
                <w:color w:val="000000"/>
                <w:sz w:val="18"/>
                <w:szCs w:val="18"/>
                <w:lang w:val="en-GB"/>
              </w:rPr>
              <w:t>2007</w:t>
            </w:r>
          </w:p>
        </w:tc>
        <w:tc>
          <w:tcPr>
            <w:tcW w:w="708" w:type="dxa"/>
          </w:tcPr>
          <w:p w:rsidR="002C41C1" w:rsidRPr="00147B43" w:rsidRDefault="002C41C1" w:rsidP="0007393D">
            <w:pPr>
              <w:overflowPunct/>
              <w:autoSpaceDE/>
              <w:autoSpaceDN/>
              <w:adjustRightInd/>
              <w:jc w:val="right"/>
              <w:textAlignment w:val="auto"/>
              <w:rPr>
                <w:rFonts w:ascii="Arial" w:hAnsi="Arial" w:cs="Arial"/>
                <w:b/>
                <w:bCs/>
                <w:color w:val="000000"/>
                <w:sz w:val="18"/>
                <w:szCs w:val="18"/>
              </w:rPr>
            </w:pPr>
            <w:r w:rsidRPr="00147B43">
              <w:rPr>
                <w:rFonts w:ascii="Arial" w:hAnsi="Arial" w:cs="Arial"/>
                <w:b/>
                <w:bCs/>
                <w:iCs/>
                <w:color w:val="000000"/>
                <w:sz w:val="18"/>
                <w:szCs w:val="18"/>
                <w:lang w:val="en-GB"/>
              </w:rPr>
              <w:t>2008</w:t>
            </w:r>
          </w:p>
        </w:tc>
        <w:tc>
          <w:tcPr>
            <w:tcW w:w="709" w:type="dxa"/>
          </w:tcPr>
          <w:p w:rsidR="002C41C1" w:rsidRPr="00147B43" w:rsidRDefault="002C41C1" w:rsidP="0007393D">
            <w:pPr>
              <w:overflowPunct/>
              <w:autoSpaceDE/>
              <w:autoSpaceDN/>
              <w:adjustRightInd/>
              <w:jc w:val="right"/>
              <w:textAlignment w:val="auto"/>
              <w:rPr>
                <w:rFonts w:ascii="Arial" w:hAnsi="Arial" w:cs="Arial"/>
                <w:b/>
                <w:bCs/>
                <w:color w:val="000000"/>
                <w:sz w:val="18"/>
                <w:szCs w:val="18"/>
              </w:rPr>
            </w:pPr>
            <w:r w:rsidRPr="00147B43">
              <w:rPr>
                <w:rFonts w:ascii="Arial" w:hAnsi="Arial" w:cs="Arial"/>
                <w:b/>
                <w:bCs/>
                <w:iCs/>
                <w:color w:val="000000"/>
                <w:sz w:val="18"/>
                <w:szCs w:val="18"/>
                <w:lang w:val="en-GB"/>
              </w:rPr>
              <w:t>2009</w:t>
            </w:r>
          </w:p>
        </w:tc>
        <w:tc>
          <w:tcPr>
            <w:tcW w:w="709" w:type="dxa"/>
          </w:tcPr>
          <w:p w:rsidR="002C41C1" w:rsidRPr="00147B43" w:rsidRDefault="002C41C1" w:rsidP="0007393D">
            <w:pPr>
              <w:overflowPunct/>
              <w:autoSpaceDE/>
              <w:autoSpaceDN/>
              <w:adjustRightInd/>
              <w:jc w:val="right"/>
              <w:textAlignment w:val="auto"/>
              <w:rPr>
                <w:rFonts w:ascii="Arial" w:hAnsi="Arial" w:cs="Arial"/>
                <w:b/>
                <w:bCs/>
                <w:color w:val="000000"/>
                <w:sz w:val="18"/>
                <w:szCs w:val="18"/>
              </w:rPr>
            </w:pPr>
            <w:r w:rsidRPr="00147B43">
              <w:rPr>
                <w:rFonts w:ascii="Arial" w:hAnsi="Arial" w:cs="Arial"/>
                <w:b/>
                <w:bCs/>
                <w:iCs/>
                <w:color w:val="000000"/>
                <w:sz w:val="18"/>
                <w:szCs w:val="18"/>
                <w:lang w:val="en-GB"/>
              </w:rPr>
              <w:t>2010</w:t>
            </w:r>
          </w:p>
        </w:tc>
        <w:tc>
          <w:tcPr>
            <w:tcW w:w="709" w:type="dxa"/>
          </w:tcPr>
          <w:p w:rsidR="002C41C1" w:rsidRPr="00147B43" w:rsidRDefault="002C41C1" w:rsidP="0007393D">
            <w:pPr>
              <w:overflowPunct/>
              <w:autoSpaceDE/>
              <w:autoSpaceDN/>
              <w:adjustRightInd/>
              <w:jc w:val="right"/>
              <w:textAlignment w:val="auto"/>
              <w:rPr>
                <w:rFonts w:ascii="Arial" w:hAnsi="Arial" w:cs="Arial"/>
                <w:b/>
                <w:bCs/>
                <w:color w:val="000000"/>
                <w:sz w:val="18"/>
                <w:szCs w:val="18"/>
              </w:rPr>
            </w:pPr>
            <w:r w:rsidRPr="00147B43">
              <w:rPr>
                <w:rFonts w:ascii="Arial" w:hAnsi="Arial" w:cs="Arial"/>
                <w:b/>
                <w:bCs/>
                <w:iCs/>
                <w:color w:val="000000"/>
                <w:sz w:val="18"/>
                <w:szCs w:val="18"/>
                <w:lang w:val="en-GB"/>
              </w:rPr>
              <w:t>2011</w:t>
            </w:r>
          </w:p>
        </w:tc>
        <w:tc>
          <w:tcPr>
            <w:tcW w:w="708" w:type="dxa"/>
          </w:tcPr>
          <w:p w:rsidR="002C41C1" w:rsidRPr="00147B43" w:rsidRDefault="002C41C1" w:rsidP="0007393D">
            <w:pPr>
              <w:overflowPunct/>
              <w:autoSpaceDE/>
              <w:autoSpaceDN/>
              <w:adjustRightInd/>
              <w:jc w:val="right"/>
              <w:textAlignment w:val="auto"/>
              <w:rPr>
                <w:rFonts w:ascii="Arial" w:hAnsi="Arial" w:cs="Arial"/>
                <w:b/>
                <w:bCs/>
                <w:color w:val="000000"/>
                <w:sz w:val="18"/>
                <w:szCs w:val="18"/>
              </w:rPr>
            </w:pPr>
            <w:r w:rsidRPr="00147B43">
              <w:rPr>
                <w:rFonts w:ascii="Arial" w:hAnsi="Arial" w:cs="Arial"/>
                <w:b/>
                <w:bCs/>
                <w:iCs/>
                <w:color w:val="000000"/>
                <w:sz w:val="18"/>
                <w:szCs w:val="18"/>
                <w:lang w:val="en-GB"/>
              </w:rPr>
              <w:t>2012</w:t>
            </w:r>
          </w:p>
        </w:tc>
        <w:tc>
          <w:tcPr>
            <w:tcW w:w="709" w:type="dxa"/>
          </w:tcPr>
          <w:p w:rsidR="002C41C1" w:rsidRPr="00147B43" w:rsidRDefault="002C41C1" w:rsidP="0007393D">
            <w:pPr>
              <w:overflowPunct/>
              <w:autoSpaceDE/>
              <w:autoSpaceDN/>
              <w:adjustRightInd/>
              <w:jc w:val="right"/>
              <w:textAlignment w:val="auto"/>
              <w:rPr>
                <w:rFonts w:ascii="Arial" w:hAnsi="Arial" w:cs="Arial"/>
                <w:b/>
                <w:bCs/>
                <w:color w:val="000000"/>
                <w:sz w:val="18"/>
                <w:szCs w:val="18"/>
              </w:rPr>
            </w:pPr>
            <w:r w:rsidRPr="00147B43">
              <w:rPr>
                <w:rFonts w:ascii="Arial" w:hAnsi="Arial" w:cs="Arial"/>
                <w:b/>
                <w:bCs/>
                <w:iCs/>
                <w:color w:val="000000"/>
                <w:sz w:val="18"/>
                <w:szCs w:val="18"/>
                <w:lang w:val="en-GB"/>
              </w:rPr>
              <w:t>2013</w:t>
            </w:r>
          </w:p>
        </w:tc>
      </w:tr>
      <w:tr w:rsidR="002C41C1" w:rsidRPr="00147B43" w:rsidTr="0007393D">
        <w:trPr>
          <w:trHeight w:val="300"/>
        </w:trPr>
        <w:tc>
          <w:tcPr>
            <w:tcW w:w="2683" w:type="dxa"/>
          </w:tcPr>
          <w:p w:rsidR="002C41C1" w:rsidRPr="00147B43" w:rsidRDefault="002C41C1" w:rsidP="0007393D">
            <w:pPr>
              <w:overflowPunct/>
              <w:autoSpaceDE/>
              <w:autoSpaceDN/>
              <w:adjustRightInd/>
              <w:jc w:val="left"/>
              <w:textAlignment w:val="auto"/>
              <w:rPr>
                <w:rFonts w:ascii="Arial" w:hAnsi="Arial" w:cs="Arial"/>
                <w:b/>
                <w:bCs/>
                <w:color w:val="000000"/>
                <w:sz w:val="18"/>
                <w:szCs w:val="18"/>
              </w:rPr>
            </w:pPr>
            <w:r w:rsidRPr="00147B43">
              <w:rPr>
                <w:rFonts w:ascii="Arial" w:hAnsi="Arial" w:cs="Arial"/>
                <w:b/>
                <w:bCs/>
                <w:iCs/>
                <w:color w:val="000000"/>
                <w:sz w:val="18"/>
                <w:szCs w:val="18"/>
                <w:lang w:val="en-GB"/>
              </w:rPr>
              <w:t>Vydanézáruky</w:t>
            </w:r>
          </w:p>
        </w:tc>
        <w:tc>
          <w:tcPr>
            <w:tcW w:w="1058" w:type="dxa"/>
          </w:tcPr>
          <w:p w:rsidR="002C41C1" w:rsidRPr="00147B43" w:rsidRDefault="002C41C1" w:rsidP="0007393D">
            <w:pPr>
              <w:overflowPunct/>
              <w:autoSpaceDE/>
              <w:autoSpaceDN/>
              <w:adjustRightInd/>
              <w:jc w:val="left"/>
              <w:textAlignment w:val="auto"/>
              <w:rPr>
                <w:rFonts w:ascii="Arial" w:hAnsi="Arial" w:cs="Arial"/>
                <w:color w:val="000000"/>
                <w:sz w:val="18"/>
                <w:szCs w:val="18"/>
              </w:rPr>
            </w:pPr>
            <w:r>
              <w:rPr>
                <w:rFonts w:ascii="Arial" w:hAnsi="Arial" w:cs="Arial"/>
                <w:iCs/>
                <w:color w:val="000000"/>
                <w:sz w:val="18"/>
                <w:szCs w:val="18"/>
                <w:lang w:val="en-GB"/>
              </w:rPr>
              <w:t>Počet</w:t>
            </w:r>
          </w:p>
        </w:tc>
        <w:tc>
          <w:tcPr>
            <w:tcW w:w="669" w:type="dxa"/>
          </w:tcPr>
          <w:p w:rsidR="002C41C1" w:rsidRPr="00147B43" w:rsidRDefault="002C41C1" w:rsidP="0007393D">
            <w:pPr>
              <w:overflowPunct/>
              <w:autoSpaceDE/>
              <w:autoSpaceDN/>
              <w:adjustRightInd/>
              <w:jc w:val="right"/>
              <w:textAlignment w:val="auto"/>
              <w:rPr>
                <w:rFonts w:ascii="Arial" w:hAnsi="Arial" w:cs="Arial"/>
                <w:color w:val="000000"/>
                <w:sz w:val="18"/>
                <w:szCs w:val="18"/>
              </w:rPr>
            </w:pPr>
            <w:r w:rsidRPr="00147B43">
              <w:rPr>
                <w:rFonts w:ascii="Arial" w:hAnsi="Arial" w:cs="Arial"/>
                <w:iCs/>
                <w:color w:val="000000"/>
                <w:sz w:val="18"/>
                <w:szCs w:val="18"/>
                <w:lang w:val="en-GB"/>
              </w:rPr>
              <w:t>482</w:t>
            </w:r>
          </w:p>
        </w:tc>
        <w:tc>
          <w:tcPr>
            <w:tcW w:w="708" w:type="dxa"/>
          </w:tcPr>
          <w:p w:rsidR="002C41C1" w:rsidRPr="00147B43" w:rsidRDefault="002C41C1" w:rsidP="0007393D">
            <w:pPr>
              <w:overflowPunct/>
              <w:autoSpaceDE/>
              <w:autoSpaceDN/>
              <w:adjustRightInd/>
              <w:jc w:val="right"/>
              <w:textAlignment w:val="auto"/>
              <w:rPr>
                <w:rFonts w:ascii="Arial" w:hAnsi="Arial" w:cs="Arial"/>
                <w:color w:val="000000"/>
                <w:sz w:val="18"/>
                <w:szCs w:val="18"/>
              </w:rPr>
            </w:pPr>
            <w:r w:rsidRPr="00147B43">
              <w:rPr>
                <w:rFonts w:ascii="Arial" w:hAnsi="Arial" w:cs="Arial"/>
                <w:iCs/>
                <w:color w:val="000000"/>
                <w:sz w:val="18"/>
                <w:szCs w:val="18"/>
                <w:lang w:val="en-GB"/>
              </w:rPr>
              <w:t>1 043</w:t>
            </w:r>
          </w:p>
        </w:tc>
        <w:tc>
          <w:tcPr>
            <w:tcW w:w="709" w:type="dxa"/>
          </w:tcPr>
          <w:p w:rsidR="002C41C1" w:rsidRPr="00147B43" w:rsidRDefault="002C41C1" w:rsidP="0007393D">
            <w:pPr>
              <w:overflowPunct/>
              <w:autoSpaceDE/>
              <w:autoSpaceDN/>
              <w:adjustRightInd/>
              <w:jc w:val="right"/>
              <w:textAlignment w:val="auto"/>
              <w:rPr>
                <w:rFonts w:ascii="Arial" w:hAnsi="Arial" w:cs="Arial"/>
                <w:color w:val="000000"/>
                <w:sz w:val="18"/>
                <w:szCs w:val="18"/>
              </w:rPr>
            </w:pPr>
            <w:r w:rsidRPr="00147B43">
              <w:rPr>
                <w:rFonts w:ascii="Arial" w:hAnsi="Arial" w:cs="Arial"/>
                <w:iCs/>
                <w:color w:val="000000"/>
                <w:sz w:val="18"/>
                <w:szCs w:val="18"/>
                <w:lang w:val="en-GB"/>
              </w:rPr>
              <w:t>878</w:t>
            </w:r>
          </w:p>
        </w:tc>
        <w:tc>
          <w:tcPr>
            <w:tcW w:w="709" w:type="dxa"/>
          </w:tcPr>
          <w:p w:rsidR="002C41C1" w:rsidRPr="00147B43" w:rsidRDefault="002C41C1" w:rsidP="0007393D">
            <w:pPr>
              <w:overflowPunct/>
              <w:autoSpaceDE/>
              <w:autoSpaceDN/>
              <w:adjustRightInd/>
              <w:jc w:val="right"/>
              <w:textAlignment w:val="auto"/>
              <w:rPr>
                <w:rFonts w:ascii="Arial" w:hAnsi="Arial" w:cs="Arial"/>
                <w:color w:val="000000"/>
                <w:sz w:val="18"/>
                <w:szCs w:val="18"/>
              </w:rPr>
            </w:pPr>
            <w:r w:rsidRPr="00147B43">
              <w:rPr>
                <w:rFonts w:ascii="Arial" w:hAnsi="Arial" w:cs="Arial"/>
                <w:iCs/>
                <w:color w:val="000000"/>
                <w:sz w:val="18"/>
                <w:szCs w:val="18"/>
                <w:lang w:val="en-GB"/>
              </w:rPr>
              <w:t>1 224</w:t>
            </w:r>
          </w:p>
        </w:tc>
        <w:tc>
          <w:tcPr>
            <w:tcW w:w="709" w:type="dxa"/>
          </w:tcPr>
          <w:p w:rsidR="002C41C1" w:rsidRPr="00147B43" w:rsidRDefault="002C41C1" w:rsidP="0007393D">
            <w:pPr>
              <w:overflowPunct/>
              <w:autoSpaceDE/>
              <w:autoSpaceDN/>
              <w:adjustRightInd/>
              <w:jc w:val="right"/>
              <w:textAlignment w:val="auto"/>
              <w:rPr>
                <w:rFonts w:ascii="Arial" w:hAnsi="Arial" w:cs="Arial"/>
                <w:color w:val="000000"/>
                <w:sz w:val="18"/>
                <w:szCs w:val="18"/>
              </w:rPr>
            </w:pPr>
            <w:r w:rsidRPr="00147B43">
              <w:rPr>
                <w:rFonts w:ascii="Arial" w:hAnsi="Arial" w:cs="Arial"/>
                <w:iCs/>
                <w:color w:val="000000"/>
                <w:sz w:val="18"/>
                <w:szCs w:val="18"/>
                <w:lang w:val="en-GB"/>
              </w:rPr>
              <w:t>111</w:t>
            </w:r>
          </w:p>
        </w:tc>
        <w:tc>
          <w:tcPr>
            <w:tcW w:w="708" w:type="dxa"/>
          </w:tcPr>
          <w:p w:rsidR="002C41C1" w:rsidRPr="00147B43" w:rsidRDefault="002C41C1" w:rsidP="0007393D">
            <w:pPr>
              <w:overflowPunct/>
              <w:autoSpaceDE/>
              <w:autoSpaceDN/>
              <w:adjustRightInd/>
              <w:jc w:val="right"/>
              <w:textAlignment w:val="auto"/>
              <w:rPr>
                <w:rFonts w:ascii="Arial" w:hAnsi="Arial" w:cs="Arial"/>
                <w:color w:val="000000"/>
                <w:sz w:val="18"/>
                <w:szCs w:val="18"/>
              </w:rPr>
            </w:pPr>
            <w:r w:rsidRPr="00147B43">
              <w:rPr>
                <w:rFonts w:ascii="Arial" w:hAnsi="Arial" w:cs="Arial"/>
                <w:iCs/>
                <w:color w:val="000000"/>
                <w:sz w:val="18"/>
                <w:szCs w:val="18"/>
                <w:lang w:val="en-GB"/>
              </w:rPr>
              <w:t>697</w:t>
            </w:r>
          </w:p>
        </w:tc>
        <w:tc>
          <w:tcPr>
            <w:tcW w:w="709" w:type="dxa"/>
          </w:tcPr>
          <w:p w:rsidR="002C41C1" w:rsidRPr="00147B43" w:rsidRDefault="002C41C1" w:rsidP="0007393D">
            <w:pPr>
              <w:overflowPunct/>
              <w:autoSpaceDE/>
              <w:autoSpaceDN/>
              <w:adjustRightInd/>
              <w:jc w:val="right"/>
              <w:textAlignment w:val="auto"/>
              <w:rPr>
                <w:rFonts w:ascii="Arial" w:hAnsi="Arial" w:cs="Arial"/>
                <w:color w:val="000000"/>
                <w:sz w:val="18"/>
                <w:szCs w:val="18"/>
              </w:rPr>
            </w:pPr>
            <w:r w:rsidRPr="00147B43">
              <w:rPr>
                <w:rFonts w:ascii="Arial" w:hAnsi="Arial" w:cs="Arial"/>
                <w:iCs/>
                <w:color w:val="000000"/>
                <w:sz w:val="18"/>
                <w:szCs w:val="18"/>
                <w:lang w:val="en-GB"/>
              </w:rPr>
              <w:t>1 544</w:t>
            </w:r>
          </w:p>
        </w:tc>
      </w:tr>
      <w:tr w:rsidR="002C41C1" w:rsidRPr="00147B43" w:rsidTr="0007393D">
        <w:trPr>
          <w:trHeight w:val="300"/>
        </w:trPr>
        <w:tc>
          <w:tcPr>
            <w:tcW w:w="2683" w:type="dxa"/>
          </w:tcPr>
          <w:p w:rsidR="002C41C1" w:rsidRPr="00147B43" w:rsidRDefault="002C41C1" w:rsidP="0007393D">
            <w:pPr>
              <w:overflowPunct/>
              <w:autoSpaceDE/>
              <w:autoSpaceDN/>
              <w:adjustRightInd/>
              <w:jc w:val="left"/>
              <w:textAlignment w:val="auto"/>
              <w:rPr>
                <w:rFonts w:ascii="Arial" w:hAnsi="Arial" w:cs="Arial"/>
                <w:b/>
                <w:bCs/>
                <w:color w:val="000000"/>
                <w:sz w:val="18"/>
                <w:szCs w:val="18"/>
              </w:rPr>
            </w:pPr>
            <w:r w:rsidRPr="00147B43">
              <w:rPr>
                <w:rFonts w:ascii="Arial" w:hAnsi="Arial" w:cs="Arial"/>
                <w:b/>
                <w:bCs/>
                <w:iCs/>
                <w:color w:val="000000"/>
                <w:sz w:val="18"/>
                <w:szCs w:val="18"/>
                <w:lang w:val="en-GB"/>
              </w:rPr>
              <w:t>Vydanézáruky</w:t>
            </w:r>
          </w:p>
        </w:tc>
        <w:tc>
          <w:tcPr>
            <w:tcW w:w="1058" w:type="dxa"/>
          </w:tcPr>
          <w:p w:rsidR="002C41C1" w:rsidRPr="00147B43" w:rsidRDefault="002C41C1" w:rsidP="0007393D">
            <w:pPr>
              <w:overflowPunct/>
              <w:autoSpaceDE/>
              <w:autoSpaceDN/>
              <w:adjustRightInd/>
              <w:jc w:val="left"/>
              <w:textAlignment w:val="auto"/>
              <w:rPr>
                <w:rFonts w:ascii="Arial" w:hAnsi="Arial" w:cs="Arial"/>
                <w:color w:val="000000"/>
                <w:sz w:val="18"/>
                <w:szCs w:val="18"/>
              </w:rPr>
            </w:pPr>
            <w:r>
              <w:rPr>
                <w:rFonts w:ascii="Arial" w:hAnsi="Arial" w:cs="Arial"/>
                <w:iCs/>
                <w:color w:val="000000"/>
                <w:sz w:val="18"/>
                <w:szCs w:val="18"/>
                <w:lang w:val="en-GB"/>
              </w:rPr>
              <w:t>Mil. Kč</w:t>
            </w:r>
          </w:p>
        </w:tc>
        <w:tc>
          <w:tcPr>
            <w:tcW w:w="669" w:type="dxa"/>
          </w:tcPr>
          <w:p w:rsidR="002C41C1" w:rsidRPr="00147B43" w:rsidRDefault="002C41C1" w:rsidP="0007393D">
            <w:pPr>
              <w:overflowPunct/>
              <w:autoSpaceDE/>
              <w:autoSpaceDN/>
              <w:adjustRightInd/>
              <w:jc w:val="right"/>
              <w:textAlignment w:val="auto"/>
              <w:rPr>
                <w:rFonts w:ascii="Arial" w:hAnsi="Arial" w:cs="Arial"/>
                <w:color w:val="000000"/>
                <w:sz w:val="18"/>
                <w:szCs w:val="18"/>
              </w:rPr>
            </w:pPr>
            <w:r w:rsidRPr="00147B43">
              <w:rPr>
                <w:rFonts w:ascii="Arial" w:hAnsi="Arial" w:cs="Arial"/>
                <w:iCs/>
                <w:color w:val="000000"/>
                <w:sz w:val="18"/>
                <w:szCs w:val="18"/>
                <w:lang w:val="en-GB"/>
              </w:rPr>
              <w:t>1 925</w:t>
            </w:r>
          </w:p>
        </w:tc>
        <w:tc>
          <w:tcPr>
            <w:tcW w:w="708" w:type="dxa"/>
          </w:tcPr>
          <w:p w:rsidR="002C41C1" w:rsidRPr="00147B43" w:rsidRDefault="002C41C1" w:rsidP="0007393D">
            <w:pPr>
              <w:overflowPunct/>
              <w:autoSpaceDE/>
              <w:autoSpaceDN/>
              <w:adjustRightInd/>
              <w:jc w:val="right"/>
              <w:textAlignment w:val="auto"/>
              <w:rPr>
                <w:rFonts w:ascii="Arial" w:hAnsi="Arial" w:cs="Arial"/>
                <w:color w:val="000000"/>
                <w:sz w:val="18"/>
                <w:szCs w:val="18"/>
              </w:rPr>
            </w:pPr>
            <w:r w:rsidRPr="00147B43">
              <w:rPr>
                <w:rFonts w:ascii="Arial" w:hAnsi="Arial" w:cs="Arial"/>
                <w:iCs/>
                <w:color w:val="000000"/>
                <w:sz w:val="18"/>
                <w:szCs w:val="18"/>
                <w:lang w:val="en-GB"/>
              </w:rPr>
              <w:t>3 529</w:t>
            </w:r>
          </w:p>
        </w:tc>
        <w:tc>
          <w:tcPr>
            <w:tcW w:w="709" w:type="dxa"/>
          </w:tcPr>
          <w:p w:rsidR="002C41C1" w:rsidRPr="00147B43" w:rsidRDefault="002C41C1" w:rsidP="0007393D">
            <w:pPr>
              <w:overflowPunct/>
              <w:autoSpaceDE/>
              <w:autoSpaceDN/>
              <w:adjustRightInd/>
              <w:jc w:val="right"/>
              <w:textAlignment w:val="auto"/>
              <w:rPr>
                <w:rFonts w:ascii="Arial" w:hAnsi="Arial" w:cs="Arial"/>
                <w:color w:val="000000"/>
                <w:sz w:val="18"/>
                <w:szCs w:val="18"/>
              </w:rPr>
            </w:pPr>
            <w:r w:rsidRPr="00147B43">
              <w:rPr>
                <w:rFonts w:ascii="Arial" w:hAnsi="Arial" w:cs="Arial"/>
                <w:iCs/>
                <w:color w:val="000000"/>
                <w:sz w:val="18"/>
                <w:szCs w:val="18"/>
                <w:lang w:val="en-GB"/>
              </w:rPr>
              <w:t>6 369</w:t>
            </w:r>
          </w:p>
        </w:tc>
        <w:tc>
          <w:tcPr>
            <w:tcW w:w="709" w:type="dxa"/>
          </w:tcPr>
          <w:p w:rsidR="002C41C1" w:rsidRPr="00147B43" w:rsidRDefault="002C41C1" w:rsidP="0007393D">
            <w:pPr>
              <w:overflowPunct/>
              <w:autoSpaceDE/>
              <w:autoSpaceDN/>
              <w:adjustRightInd/>
              <w:jc w:val="right"/>
              <w:textAlignment w:val="auto"/>
              <w:rPr>
                <w:rFonts w:ascii="Arial" w:hAnsi="Arial" w:cs="Arial"/>
                <w:color w:val="000000"/>
                <w:sz w:val="18"/>
                <w:szCs w:val="18"/>
              </w:rPr>
            </w:pPr>
            <w:r w:rsidRPr="00147B43">
              <w:rPr>
                <w:rFonts w:ascii="Arial" w:hAnsi="Arial" w:cs="Arial"/>
                <w:iCs/>
                <w:color w:val="000000"/>
                <w:sz w:val="18"/>
                <w:szCs w:val="18"/>
                <w:lang w:val="en-GB"/>
              </w:rPr>
              <w:t>6 593</w:t>
            </w:r>
          </w:p>
        </w:tc>
        <w:tc>
          <w:tcPr>
            <w:tcW w:w="709" w:type="dxa"/>
          </w:tcPr>
          <w:p w:rsidR="002C41C1" w:rsidRPr="00147B43" w:rsidRDefault="002C41C1" w:rsidP="0007393D">
            <w:pPr>
              <w:overflowPunct/>
              <w:autoSpaceDE/>
              <w:autoSpaceDN/>
              <w:adjustRightInd/>
              <w:jc w:val="right"/>
              <w:textAlignment w:val="auto"/>
              <w:rPr>
                <w:rFonts w:ascii="Arial" w:hAnsi="Arial" w:cs="Arial"/>
                <w:color w:val="000000"/>
                <w:sz w:val="18"/>
                <w:szCs w:val="18"/>
              </w:rPr>
            </w:pPr>
            <w:r w:rsidRPr="00147B43">
              <w:rPr>
                <w:rFonts w:ascii="Arial" w:hAnsi="Arial" w:cs="Arial"/>
                <w:iCs/>
                <w:color w:val="000000"/>
                <w:sz w:val="18"/>
                <w:szCs w:val="18"/>
                <w:lang w:val="en-GB"/>
              </w:rPr>
              <w:t>472</w:t>
            </w:r>
          </w:p>
        </w:tc>
        <w:tc>
          <w:tcPr>
            <w:tcW w:w="708" w:type="dxa"/>
          </w:tcPr>
          <w:p w:rsidR="002C41C1" w:rsidRPr="00147B43" w:rsidRDefault="002C41C1" w:rsidP="0007393D">
            <w:pPr>
              <w:overflowPunct/>
              <w:autoSpaceDE/>
              <w:autoSpaceDN/>
              <w:adjustRightInd/>
              <w:jc w:val="right"/>
              <w:textAlignment w:val="auto"/>
              <w:rPr>
                <w:rFonts w:ascii="Arial" w:hAnsi="Arial" w:cs="Arial"/>
                <w:color w:val="000000"/>
                <w:sz w:val="18"/>
                <w:szCs w:val="18"/>
              </w:rPr>
            </w:pPr>
            <w:r w:rsidRPr="00147B43">
              <w:rPr>
                <w:rFonts w:ascii="Arial" w:hAnsi="Arial" w:cs="Arial"/>
                <w:iCs/>
                <w:color w:val="000000"/>
                <w:sz w:val="18"/>
                <w:szCs w:val="18"/>
                <w:lang w:val="en-GB"/>
              </w:rPr>
              <w:t>1 534</w:t>
            </w:r>
          </w:p>
        </w:tc>
        <w:tc>
          <w:tcPr>
            <w:tcW w:w="709" w:type="dxa"/>
          </w:tcPr>
          <w:p w:rsidR="002C41C1" w:rsidRPr="00147B43" w:rsidRDefault="002C41C1" w:rsidP="0007393D">
            <w:pPr>
              <w:overflowPunct/>
              <w:autoSpaceDE/>
              <w:autoSpaceDN/>
              <w:adjustRightInd/>
              <w:jc w:val="right"/>
              <w:textAlignment w:val="auto"/>
              <w:rPr>
                <w:rFonts w:ascii="Arial" w:hAnsi="Arial" w:cs="Arial"/>
                <w:color w:val="000000"/>
                <w:sz w:val="18"/>
                <w:szCs w:val="18"/>
              </w:rPr>
            </w:pPr>
            <w:r w:rsidRPr="00147B43">
              <w:rPr>
                <w:rFonts w:ascii="Arial" w:hAnsi="Arial" w:cs="Arial"/>
                <w:iCs/>
                <w:color w:val="000000"/>
                <w:sz w:val="18"/>
                <w:szCs w:val="18"/>
                <w:lang w:val="en-GB"/>
              </w:rPr>
              <w:t>3 243</w:t>
            </w:r>
          </w:p>
        </w:tc>
      </w:tr>
      <w:tr w:rsidR="002C41C1" w:rsidRPr="00147B43" w:rsidTr="0007393D">
        <w:trPr>
          <w:trHeight w:val="300"/>
        </w:trPr>
        <w:tc>
          <w:tcPr>
            <w:tcW w:w="2683" w:type="dxa"/>
          </w:tcPr>
          <w:p w:rsidR="002C41C1" w:rsidRPr="00147B43" w:rsidRDefault="002C41C1" w:rsidP="0007393D">
            <w:pPr>
              <w:overflowPunct/>
              <w:autoSpaceDE/>
              <w:autoSpaceDN/>
              <w:adjustRightInd/>
              <w:jc w:val="left"/>
              <w:textAlignment w:val="auto"/>
              <w:rPr>
                <w:rFonts w:ascii="Arial" w:hAnsi="Arial" w:cs="Arial"/>
                <w:b/>
                <w:bCs/>
                <w:color w:val="000000"/>
                <w:sz w:val="18"/>
                <w:szCs w:val="18"/>
              </w:rPr>
            </w:pPr>
            <w:r w:rsidRPr="00147B43">
              <w:rPr>
                <w:rFonts w:ascii="Arial" w:hAnsi="Arial" w:cs="Arial"/>
                <w:b/>
                <w:bCs/>
                <w:iCs/>
                <w:color w:val="000000"/>
                <w:sz w:val="18"/>
                <w:szCs w:val="18"/>
                <w:lang w:val="en-GB"/>
              </w:rPr>
              <w:t>Garantovanéúvěry</w:t>
            </w:r>
          </w:p>
        </w:tc>
        <w:tc>
          <w:tcPr>
            <w:tcW w:w="1058" w:type="dxa"/>
          </w:tcPr>
          <w:p w:rsidR="002C41C1" w:rsidRPr="00147B43" w:rsidRDefault="002C41C1" w:rsidP="0007393D">
            <w:pPr>
              <w:overflowPunct/>
              <w:autoSpaceDE/>
              <w:autoSpaceDN/>
              <w:adjustRightInd/>
              <w:jc w:val="left"/>
              <w:textAlignment w:val="auto"/>
              <w:rPr>
                <w:rFonts w:ascii="Arial" w:hAnsi="Arial" w:cs="Arial"/>
                <w:color w:val="000000"/>
                <w:sz w:val="18"/>
                <w:szCs w:val="18"/>
              </w:rPr>
            </w:pPr>
            <w:r>
              <w:rPr>
                <w:rFonts w:ascii="Arial" w:hAnsi="Arial" w:cs="Arial"/>
                <w:iCs/>
                <w:color w:val="000000"/>
                <w:sz w:val="18"/>
                <w:szCs w:val="18"/>
                <w:lang w:val="en-GB"/>
              </w:rPr>
              <w:t>Mil. Kč</w:t>
            </w:r>
          </w:p>
        </w:tc>
        <w:tc>
          <w:tcPr>
            <w:tcW w:w="669" w:type="dxa"/>
          </w:tcPr>
          <w:p w:rsidR="002C41C1" w:rsidRPr="00147B43" w:rsidRDefault="002C41C1" w:rsidP="0007393D">
            <w:pPr>
              <w:overflowPunct/>
              <w:autoSpaceDE/>
              <w:autoSpaceDN/>
              <w:adjustRightInd/>
              <w:jc w:val="right"/>
              <w:textAlignment w:val="auto"/>
              <w:rPr>
                <w:rFonts w:ascii="Arial" w:hAnsi="Arial" w:cs="Arial"/>
                <w:color w:val="000000"/>
                <w:sz w:val="18"/>
                <w:szCs w:val="18"/>
              </w:rPr>
            </w:pPr>
            <w:r w:rsidRPr="00147B43">
              <w:rPr>
                <w:rFonts w:ascii="Arial" w:hAnsi="Arial" w:cs="Arial"/>
                <w:iCs/>
                <w:color w:val="000000"/>
                <w:sz w:val="18"/>
                <w:szCs w:val="18"/>
                <w:lang w:val="en-GB"/>
              </w:rPr>
              <w:t>2 959</w:t>
            </w:r>
          </w:p>
        </w:tc>
        <w:tc>
          <w:tcPr>
            <w:tcW w:w="708" w:type="dxa"/>
          </w:tcPr>
          <w:p w:rsidR="002C41C1" w:rsidRPr="00147B43" w:rsidRDefault="002C41C1" w:rsidP="0007393D">
            <w:pPr>
              <w:overflowPunct/>
              <w:autoSpaceDE/>
              <w:autoSpaceDN/>
              <w:adjustRightInd/>
              <w:jc w:val="right"/>
              <w:textAlignment w:val="auto"/>
              <w:rPr>
                <w:rFonts w:ascii="Arial" w:hAnsi="Arial" w:cs="Arial"/>
                <w:color w:val="000000"/>
                <w:sz w:val="18"/>
                <w:szCs w:val="18"/>
              </w:rPr>
            </w:pPr>
            <w:r w:rsidRPr="00147B43">
              <w:rPr>
                <w:rFonts w:ascii="Arial" w:hAnsi="Arial" w:cs="Arial"/>
                <w:iCs/>
                <w:color w:val="000000"/>
                <w:sz w:val="18"/>
                <w:szCs w:val="18"/>
                <w:lang w:val="en-GB"/>
              </w:rPr>
              <w:t>5 094</w:t>
            </w:r>
          </w:p>
        </w:tc>
        <w:tc>
          <w:tcPr>
            <w:tcW w:w="709" w:type="dxa"/>
          </w:tcPr>
          <w:p w:rsidR="002C41C1" w:rsidRPr="00147B43" w:rsidRDefault="002C41C1" w:rsidP="0007393D">
            <w:pPr>
              <w:overflowPunct/>
              <w:autoSpaceDE/>
              <w:autoSpaceDN/>
              <w:adjustRightInd/>
              <w:jc w:val="right"/>
              <w:textAlignment w:val="auto"/>
              <w:rPr>
                <w:rFonts w:ascii="Arial" w:hAnsi="Arial" w:cs="Arial"/>
                <w:color w:val="000000"/>
                <w:sz w:val="18"/>
                <w:szCs w:val="18"/>
              </w:rPr>
            </w:pPr>
            <w:r w:rsidRPr="00147B43">
              <w:rPr>
                <w:rFonts w:ascii="Arial" w:hAnsi="Arial" w:cs="Arial"/>
                <w:iCs/>
                <w:color w:val="000000"/>
                <w:sz w:val="18"/>
                <w:szCs w:val="18"/>
                <w:lang w:val="en-GB"/>
              </w:rPr>
              <w:t>9 550</w:t>
            </w:r>
          </w:p>
        </w:tc>
        <w:tc>
          <w:tcPr>
            <w:tcW w:w="709" w:type="dxa"/>
          </w:tcPr>
          <w:p w:rsidR="002C41C1" w:rsidRPr="00147B43" w:rsidRDefault="002C41C1" w:rsidP="0007393D">
            <w:pPr>
              <w:overflowPunct/>
              <w:autoSpaceDE/>
              <w:autoSpaceDN/>
              <w:adjustRightInd/>
              <w:jc w:val="right"/>
              <w:textAlignment w:val="auto"/>
              <w:rPr>
                <w:rFonts w:ascii="Arial" w:hAnsi="Arial" w:cs="Arial"/>
                <w:color w:val="000000"/>
                <w:sz w:val="18"/>
                <w:szCs w:val="18"/>
              </w:rPr>
            </w:pPr>
            <w:r w:rsidRPr="00147B43">
              <w:rPr>
                <w:rFonts w:ascii="Arial" w:hAnsi="Arial" w:cs="Arial"/>
                <w:iCs/>
                <w:color w:val="000000"/>
                <w:sz w:val="18"/>
                <w:szCs w:val="18"/>
                <w:lang w:val="en-GB"/>
              </w:rPr>
              <w:t>10 070</w:t>
            </w:r>
          </w:p>
        </w:tc>
        <w:tc>
          <w:tcPr>
            <w:tcW w:w="709" w:type="dxa"/>
          </w:tcPr>
          <w:p w:rsidR="002C41C1" w:rsidRPr="00147B43" w:rsidRDefault="002C41C1" w:rsidP="0007393D">
            <w:pPr>
              <w:overflowPunct/>
              <w:autoSpaceDE/>
              <w:autoSpaceDN/>
              <w:adjustRightInd/>
              <w:jc w:val="right"/>
              <w:textAlignment w:val="auto"/>
              <w:rPr>
                <w:rFonts w:ascii="Arial" w:hAnsi="Arial" w:cs="Arial"/>
                <w:color w:val="000000"/>
                <w:sz w:val="18"/>
                <w:szCs w:val="18"/>
              </w:rPr>
            </w:pPr>
            <w:r w:rsidRPr="00147B43">
              <w:rPr>
                <w:rFonts w:ascii="Arial" w:hAnsi="Arial" w:cs="Arial"/>
                <w:iCs/>
                <w:color w:val="000000"/>
                <w:sz w:val="18"/>
                <w:szCs w:val="18"/>
                <w:lang w:val="en-GB"/>
              </w:rPr>
              <w:t>630</w:t>
            </w:r>
          </w:p>
        </w:tc>
        <w:tc>
          <w:tcPr>
            <w:tcW w:w="708" w:type="dxa"/>
          </w:tcPr>
          <w:p w:rsidR="002C41C1" w:rsidRPr="00147B43" w:rsidRDefault="002C41C1" w:rsidP="0007393D">
            <w:pPr>
              <w:overflowPunct/>
              <w:autoSpaceDE/>
              <w:autoSpaceDN/>
              <w:adjustRightInd/>
              <w:jc w:val="right"/>
              <w:textAlignment w:val="auto"/>
              <w:rPr>
                <w:rFonts w:ascii="Arial" w:hAnsi="Arial" w:cs="Arial"/>
                <w:color w:val="000000"/>
                <w:sz w:val="18"/>
                <w:szCs w:val="18"/>
              </w:rPr>
            </w:pPr>
            <w:r w:rsidRPr="00147B43">
              <w:rPr>
                <w:rFonts w:ascii="Arial" w:hAnsi="Arial" w:cs="Arial"/>
                <w:iCs/>
                <w:color w:val="000000"/>
                <w:sz w:val="18"/>
                <w:szCs w:val="18"/>
                <w:lang w:val="en-GB"/>
              </w:rPr>
              <w:t>2 215</w:t>
            </w:r>
          </w:p>
        </w:tc>
        <w:tc>
          <w:tcPr>
            <w:tcW w:w="709" w:type="dxa"/>
          </w:tcPr>
          <w:p w:rsidR="002C41C1" w:rsidRPr="00147B43" w:rsidRDefault="002C41C1" w:rsidP="0007393D">
            <w:pPr>
              <w:overflowPunct/>
              <w:autoSpaceDE/>
              <w:autoSpaceDN/>
              <w:adjustRightInd/>
              <w:jc w:val="right"/>
              <w:textAlignment w:val="auto"/>
              <w:rPr>
                <w:rFonts w:ascii="Arial" w:hAnsi="Arial" w:cs="Arial"/>
                <w:color w:val="000000"/>
                <w:sz w:val="18"/>
                <w:szCs w:val="18"/>
              </w:rPr>
            </w:pPr>
            <w:r w:rsidRPr="00147B43">
              <w:rPr>
                <w:rFonts w:ascii="Arial" w:hAnsi="Arial" w:cs="Arial"/>
                <w:iCs/>
                <w:color w:val="000000"/>
                <w:sz w:val="18"/>
                <w:szCs w:val="18"/>
                <w:lang w:val="en-GB"/>
              </w:rPr>
              <w:t>4 603</w:t>
            </w:r>
          </w:p>
        </w:tc>
      </w:tr>
      <w:tr w:rsidR="002C41C1" w:rsidRPr="00147B43" w:rsidTr="0007393D">
        <w:trPr>
          <w:trHeight w:val="315"/>
        </w:trPr>
        <w:tc>
          <w:tcPr>
            <w:tcW w:w="2683" w:type="dxa"/>
          </w:tcPr>
          <w:p w:rsidR="002C41C1" w:rsidRPr="00147B43" w:rsidRDefault="002C41C1" w:rsidP="0007393D">
            <w:pPr>
              <w:overflowPunct/>
              <w:autoSpaceDE/>
              <w:autoSpaceDN/>
              <w:adjustRightInd/>
              <w:jc w:val="left"/>
              <w:textAlignment w:val="auto"/>
              <w:rPr>
                <w:rFonts w:ascii="Arial" w:hAnsi="Arial" w:cs="Arial"/>
                <w:b/>
                <w:bCs/>
                <w:color w:val="000000"/>
                <w:sz w:val="18"/>
                <w:szCs w:val="18"/>
              </w:rPr>
            </w:pPr>
            <w:r w:rsidRPr="00147B43">
              <w:rPr>
                <w:rFonts w:ascii="Arial" w:hAnsi="Arial" w:cs="Arial"/>
                <w:b/>
                <w:bCs/>
                <w:iCs/>
                <w:color w:val="000000"/>
                <w:sz w:val="18"/>
                <w:szCs w:val="18"/>
                <w:lang w:val="en-GB"/>
              </w:rPr>
              <w:t>% garantovanéjistiny</w:t>
            </w:r>
          </w:p>
        </w:tc>
        <w:tc>
          <w:tcPr>
            <w:tcW w:w="1058" w:type="dxa"/>
          </w:tcPr>
          <w:p w:rsidR="002C41C1" w:rsidRPr="00147B43" w:rsidRDefault="002C41C1" w:rsidP="0007393D">
            <w:pPr>
              <w:overflowPunct/>
              <w:autoSpaceDE/>
              <w:autoSpaceDN/>
              <w:adjustRightInd/>
              <w:jc w:val="left"/>
              <w:textAlignment w:val="auto"/>
              <w:rPr>
                <w:rFonts w:ascii="Arial" w:hAnsi="Arial" w:cs="Arial"/>
                <w:color w:val="000000"/>
                <w:sz w:val="18"/>
                <w:szCs w:val="18"/>
              </w:rPr>
            </w:pPr>
            <w:r w:rsidRPr="00147B43">
              <w:rPr>
                <w:rFonts w:ascii="Arial" w:hAnsi="Arial" w:cs="Arial"/>
                <w:iCs/>
                <w:color w:val="000000"/>
                <w:sz w:val="18"/>
                <w:szCs w:val="18"/>
                <w:lang w:val="en-GB"/>
              </w:rPr>
              <w:t>%</w:t>
            </w:r>
          </w:p>
        </w:tc>
        <w:tc>
          <w:tcPr>
            <w:tcW w:w="669" w:type="dxa"/>
          </w:tcPr>
          <w:p w:rsidR="002C41C1" w:rsidRPr="00147B43" w:rsidRDefault="002C41C1" w:rsidP="0007393D">
            <w:pPr>
              <w:overflowPunct/>
              <w:autoSpaceDE/>
              <w:autoSpaceDN/>
              <w:adjustRightInd/>
              <w:jc w:val="right"/>
              <w:textAlignment w:val="auto"/>
              <w:rPr>
                <w:rFonts w:ascii="Arial" w:hAnsi="Arial" w:cs="Arial"/>
                <w:color w:val="000000"/>
                <w:sz w:val="18"/>
                <w:szCs w:val="18"/>
              </w:rPr>
            </w:pPr>
            <w:r w:rsidRPr="00147B43">
              <w:rPr>
                <w:rFonts w:ascii="Arial" w:hAnsi="Arial" w:cs="Arial"/>
                <w:iCs/>
                <w:color w:val="000000"/>
                <w:sz w:val="18"/>
                <w:szCs w:val="18"/>
                <w:lang w:val="en-GB"/>
              </w:rPr>
              <w:t>65</w:t>
            </w:r>
          </w:p>
        </w:tc>
        <w:tc>
          <w:tcPr>
            <w:tcW w:w="708" w:type="dxa"/>
          </w:tcPr>
          <w:p w:rsidR="002C41C1" w:rsidRPr="00147B43" w:rsidRDefault="002C41C1" w:rsidP="0007393D">
            <w:pPr>
              <w:overflowPunct/>
              <w:autoSpaceDE/>
              <w:autoSpaceDN/>
              <w:adjustRightInd/>
              <w:jc w:val="right"/>
              <w:textAlignment w:val="auto"/>
              <w:rPr>
                <w:rFonts w:ascii="Arial" w:hAnsi="Arial" w:cs="Arial"/>
                <w:color w:val="000000"/>
                <w:sz w:val="18"/>
                <w:szCs w:val="18"/>
              </w:rPr>
            </w:pPr>
            <w:r w:rsidRPr="00147B43">
              <w:rPr>
                <w:rFonts w:ascii="Arial" w:hAnsi="Arial" w:cs="Arial"/>
                <w:iCs/>
                <w:color w:val="000000"/>
                <w:sz w:val="18"/>
                <w:szCs w:val="18"/>
                <w:lang w:val="en-GB"/>
              </w:rPr>
              <w:t>69</w:t>
            </w:r>
          </w:p>
        </w:tc>
        <w:tc>
          <w:tcPr>
            <w:tcW w:w="709" w:type="dxa"/>
          </w:tcPr>
          <w:p w:rsidR="002C41C1" w:rsidRPr="00147B43" w:rsidRDefault="002C41C1" w:rsidP="0007393D">
            <w:pPr>
              <w:overflowPunct/>
              <w:autoSpaceDE/>
              <w:autoSpaceDN/>
              <w:adjustRightInd/>
              <w:jc w:val="right"/>
              <w:textAlignment w:val="auto"/>
              <w:rPr>
                <w:rFonts w:ascii="Arial" w:hAnsi="Arial" w:cs="Arial"/>
                <w:color w:val="000000"/>
                <w:sz w:val="18"/>
                <w:szCs w:val="18"/>
              </w:rPr>
            </w:pPr>
            <w:r w:rsidRPr="00147B43">
              <w:rPr>
                <w:rFonts w:ascii="Arial" w:hAnsi="Arial" w:cs="Arial"/>
                <w:iCs/>
                <w:color w:val="000000"/>
                <w:sz w:val="18"/>
                <w:szCs w:val="18"/>
                <w:lang w:val="en-GB"/>
              </w:rPr>
              <w:t>67</w:t>
            </w:r>
          </w:p>
        </w:tc>
        <w:tc>
          <w:tcPr>
            <w:tcW w:w="709" w:type="dxa"/>
          </w:tcPr>
          <w:p w:rsidR="002C41C1" w:rsidRPr="00147B43" w:rsidRDefault="002C41C1" w:rsidP="0007393D">
            <w:pPr>
              <w:overflowPunct/>
              <w:autoSpaceDE/>
              <w:autoSpaceDN/>
              <w:adjustRightInd/>
              <w:jc w:val="right"/>
              <w:textAlignment w:val="auto"/>
              <w:rPr>
                <w:rFonts w:ascii="Arial" w:hAnsi="Arial" w:cs="Arial"/>
                <w:color w:val="000000"/>
                <w:sz w:val="18"/>
                <w:szCs w:val="18"/>
              </w:rPr>
            </w:pPr>
            <w:r w:rsidRPr="00147B43">
              <w:rPr>
                <w:rFonts w:ascii="Arial" w:hAnsi="Arial" w:cs="Arial"/>
                <w:iCs/>
                <w:color w:val="000000"/>
                <w:sz w:val="18"/>
                <w:szCs w:val="18"/>
                <w:lang w:val="en-GB"/>
              </w:rPr>
              <w:t>65</w:t>
            </w:r>
          </w:p>
        </w:tc>
        <w:tc>
          <w:tcPr>
            <w:tcW w:w="709" w:type="dxa"/>
          </w:tcPr>
          <w:p w:rsidR="002C41C1" w:rsidRPr="00147B43" w:rsidRDefault="002C41C1" w:rsidP="0007393D">
            <w:pPr>
              <w:overflowPunct/>
              <w:autoSpaceDE/>
              <w:autoSpaceDN/>
              <w:adjustRightInd/>
              <w:jc w:val="right"/>
              <w:textAlignment w:val="auto"/>
              <w:rPr>
                <w:rFonts w:ascii="Arial" w:hAnsi="Arial" w:cs="Arial"/>
                <w:color w:val="000000"/>
                <w:sz w:val="18"/>
                <w:szCs w:val="18"/>
              </w:rPr>
            </w:pPr>
            <w:r w:rsidRPr="00147B43">
              <w:rPr>
                <w:rFonts w:ascii="Arial" w:hAnsi="Arial" w:cs="Arial"/>
                <w:iCs/>
                <w:color w:val="000000"/>
                <w:sz w:val="18"/>
                <w:szCs w:val="18"/>
                <w:lang w:val="en-GB"/>
              </w:rPr>
              <w:t>75</w:t>
            </w:r>
          </w:p>
        </w:tc>
        <w:tc>
          <w:tcPr>
            <w:tcW w:w="708" w:type="dxa"/>
          </w:tcPr>
          <w:p w:rsidR="002C41C1" w:rsidRPr="00147B43" w:rsidRDefault="002C41C1" w:rsidP="0007393D">
            <w:pPr>
              <w:overflowPunct/>
              <w:autoSpaceDE/>
              <w:autoSpaceDN/>
              <w:adjustRightInd/>
              <w:jc w:val="right"/>
              <w:textAlignment w:val="auto"/>
              <w:rPr>
                <w:rFonts w:ascii="Arial" w:hAnsi="Arial" w:cs="Arial"/>
                <w:color w:val="000000"/>
                <w:sz w:val="18"/>
                <w:szCs w:val="18"/>
              </w:rPr>
            </w:pPr>
            <w:r w:rsidRPr="00147B43">
              <w:rPr>
                <w:rFonts w:ascii="Arial" w:hAnsi="Arial" w:cs="Arial"/>
                <w:iCs/>
                <w:color w:val="000000"/>
                <w:sz w:val="18"/>
                <w:szCs w:val="18"/>
                <w:lang w:val="en-GB"/>
              </w:rPr>
              <w:t>69</w:t>
            </w:r>
          </w:p>
        </w:tc>
        <w:tc>
          <w:tcPr>
            <w:tcW w:w="709" w:type="dxa"/>
          </w:tcPr>
          <w:p w:rsidR="002C41C1" w:rsidRPr="00147B43" w:rsidRDefault="002C41C1" w:rsidP="0007393D">
            <w:pPr>
              <w:overflowPunct/>
              <w:autoSpaceDE/>
              <w:autoSpaceDN/>
              <w:adjustRightInd/>
              <w:jc w:val="right"/>
              <w:textAlignment w:val="auto"/>
              <w:rPr>
                <w:rFonts w:ascii="Arial" w:hAnsi="Arial" w:cs="Arial"/>
                <w:color w:val="000000"/>
                <w:sz w:val="18"/>
                <w:szCs w:val="18"/>
              </w:rPr>
            </w:pPr>
            <w:r w:rsidRPr="00147B43">
              <w:rPr>
                <w:rFonts w:ascii="Arial" w:hAnsi="Arial" w:cs="Arial"/>
                <w:iCs/>
                <w:color w:val="000000"/>
                <w:sz w:val="18"/>
                <w:szCs w:val="18"/>
                <w:lang w:val="en-GB"/>
              </w:rPr>
              <w:t>70</w:t>
            </w:r>
          </w:p>
        </w:tc>
      </w:tr>
    </w:tbl>
    <w:p w:rsidR="002C41C1" w:rsidRDefault="002C41C1" w:rsidP="0044158E">
      <w:pPr>
        <w:pStyle w:val="Titulek"/>
        <w:keepNext/>
      </w:pPr>
      <w:r>
        <w:lastRenderedPageBreak/>
        <w:t xml:space="preserve">Tabulka </w:t>
      </w:r>
      <w:fldSimple w:instr=" SEQ Tabulka \* ARABIC ">
        <w:r>
          <w:rPr>
            <w:noProof/>
          </w:rPr>
          <w:t>4</w:t>
        </w:r>
      </w:fldSimple>
      <w:r>
        <w:t>: Národní záruky v letech 2007-2013 (Zdroj: OECD, MPO)</w:t>
      </w:r>
    </w:p>
    <w:p w:rsidR="002C41C1" w:rsidRPr="007F5B4B" w:rsidRDefault="002C41C1" w:rsidP="0044158E"/>
    <w:p w:rsidR="002C41C1" w:rsidRDefault="002C41C1" w:rsidP="0044158E">
      <w:r w:rsidRPr="00B0299B">
        <w:rPr>
          <w:b/>
        </w:rPr>
        <w:t>Inostart</w:t>
      </w:r>
      <w:r>
        <w:t xml:space="preserve"> – MPO ve spolupráci s ČMZRB a Českou spořitelnou realizuje od roku 2012 finanční nástroj na podporu inovativních podnikatelských záměrů program INOSTART ze zdrojů Programu švýcarsko-české spolupráce. Cílem programu INOSTART je podpora projektů začínajících inovativních MSP (do 3 let) z celé České republiky. Česká spořitelna vysoutěžená v rámci programu jako finanční zprostředkovatel zajišťuje odborné poradenské služby a poskytování zvýhodněných úvěrů zaručených ČMZRB. Podpora probíhá ve formě</w:t>
      </w:r>
      <w:r w:rsidR="005057AD">
        <w:t xml:space="preserve"> </w:t>
      </w:r>
      <w:r>
        <w:t>záruky za 60 % jistiny úvěru v rozmezí 0,5 – 15 mil. Kč a</w:t>
      </w:r>
      <w:r w:rsidR="005057AD">
        <w:t xml:space="preserve"> </w:t>
      </w:r>
      <w:r>
        <w:t>částečně dotovaných nákladů na poradenské služby.</w:t>
      </w:r>
      <w:r w:rsidR="005057AD">
        <w:t xml:space="preserve"> </w:t>
      </w:r>
      <w:r>
        <w:t>Celková alokace činí 10 mil. CHF (cca 250 mil. Kč) Po spuštění v roce 2012 a rozjezdu v roce 2013 v Olomouckém a Moravskoslezském kraji (MSK a OK), kde byly poskytnuty první dva úvěr</w:t>
      </w:r>
      <w:r w:rsidRPr="00DF6E0B">
        <w:t>y v souhrnné výši 8 mil. Kč, byla působnost programu rozšířena na celou ČR kvůli nedostatečné absorpční kapacitě.  Velký zájem žadatelů v</w:t>
      </w:r>
      <w:r w:rsidRPr="00D144BB">
        <w:t> </w:t>
      </w:r>
      <w:r w:rsidRPr="00DF6E0B">
        <w:t>OK a MSK většinou ztroskotal na požadavku inovativnosti.</w:t>
      </w:r>
      <w:r w:rsidR="005057AD">
        <w:t xml:space="preserve"> </w:t>
      </w:r>
      <w:r w:rsidRPr="00DF6E0B">
        <w:rPr>
          <w:b/>
        </w:rPr>
        <w:t xml:space="preserve">K 31.12. 2014 byly poskytnuty záruky v celkové výši 52mil. Kč za úvěry ve výši </w:t>
      </w:r>
      <w:r w:rsidRPr="00D144BB">
        <w:rPr>
          <w:b/>
        </w:rPr>
        <w:t> </w:t>
      </w:r>
      <w:r w:rsidRPr="00DF6E0B">
        <w:rPr>
          <w:b/>
        </w:rPr>
        <w:t>87mil. Kč</w:t>
      </w:r>
      <w:r w:rsidRPr="00DF6E0B">
        <w:t>(podáno 39 žádostí, podepsáno 16 úvěrových smluv, dalších 8 schválených žádostí v</w:t>
      </w:r>
      <w:r w:rsidRPr="00D144BB">
        <w:t> </w:t>
      </w:r>
      <w:r w:rsidRPr="00DF6E0B">
        <w:t>jednání) Program potrvá</w:t>
      </w:r>
      <w:r w:rsidRPr="00A24C20">
        <w:t xml:space="preserve"> do roku 2016.</w:t>
      </w:r>
    </w:p>
    <w:p w:rsidR="002C41C1" w:rsidRDefault="002C41C1" w:rsidP="0044158E"/>
    <w:p w:rsidR="002C41C1" w:rsidRDefault="002C41C1" w:rsidP="0044158E"/>
    <w:p w:rsidR="002C41C1" w:rsidRDefault="002C41C1" w:rsidP="0044158E">
      <w:r w:rsidRPr="00B0299B">
        <w:rPr>
          <w:b/>
        </w:rPr>
        <w:t>OP PK</w:t>
      </w:r>
      <w:r>
        <w:t xml:space="preserve"> - V Praze byla MSP nabízena podpora skrze program OP PK, prioritní osu 3, oblast podpory 3.3 Rozvoj malých a středních podniků – návrh podpory pro Rozvoj inovačních firem v počátečních obdobích jejich životního cyklu. Částečně navazuje na analyzovanou oblast, nicméně s nevhodným geografickým zaměřením (</w:t>
      </w:r>
      <w:r w:rsidR="0084453C">
        <w:t>OP PIK</w:t>
      </w:r>
      <w:r>
        <w:t xml:space="preserve"> nebylo způsobilé podporovat projekty na území hl. města Praha). Alokace ve výši 469 mil. Kč byla nedostačující, objem žádostí činil 1 753 mi. Kč. Vyhověno bylo 145 ze 483 žádostí.</w:t>
      </w:r>
    </w:p>
    <w:p w:rsidR="002C41C1" w:rsidRDefault="002C41C1" w:rsidP="0044158E"/>
    <w:p w:rsidR="002C41C1" w:rsidRDefault="002C41C1" w:rsidP="0044158E">
      <w:r w:rsidRPr="00B0299B">
        <w:rPr>
          <w:b/>
        </w:rPr>
        <w:t>COSME</w:t>
      </w:r>
      <w:r>
        <w:t xml:space="preserve"> (Programme</w:t>
      </w:r>
      <w:r w:rsidR="005057AD">
        <w:t xml:space="preserve"> </w:t>
      </w:r>
      <w:r>
        <w:t>for</w:t>
      </w:r>
      <w:r w:rsidR="005057AD">
        <w:t xml:space="preserve"> </w:t>
      </w:r>
      <w:r>
        <w:t>the</w:t>
      </w:r>
      <w:r w:rsidR="005057AD">
        <w:t xml:space="preserve"> </w:t>
      </w:r>
      <w:r>
        <w:t>Competitiveness</w:t>
      </w:r>
      <w:r w:rsidR="005057AD">
        <w:t xml:space="preserve"> </w:t>
      </w:r>
      <w:r>
        <w:t>of</w:t>
      </w:r>
      <w:r w:rsidR="005057AD">
        <w:t xml:space="preserve"> </w:t>
      </w:r>
      <w:r>
        <w:t>Enterprises and small and medium-sized</w:t>
      </w:r>
      <w:r w:rsidR="005057AD">
        <w:t xml:space="preserve"> </w:t>
      </w:r>
      <w:r>
        <w:t xml:space="preserve">enterprises) – Program pro konkurenceschopnost podniků a malých a středních podniků byl schválen v roce 2013 jako přímý nástupce programu Konkurenceschopnost a inovace CIP 2007 – 2013 a v období 2014 – 2020 nabízí k vyčerpání 2,3 mld. €, které mohou být čerpány na usnadnění financování MSP. </w:t>
      </w:r>
    </w:p>
    <w:p w:rsidR="002C41C1" w:rsidRDefault="002C41C1" w:rsidP="0044158E"/>
    <w:p w:rsidR="002C41C1" w:rsidRDefault="002C41C1" w:rsidP="0044158E">
      <w:r>
        <w:t>Výs</w:t>
      </w:r>
      <w:r w:rsidRPr="00DF6E0B">
        <w:t xml:space="preserve">ledkem společné iniciativy Evropské komise, Evropské investiční banky a Evropského investičního fondu je </w:t>
      </w:r>
      <w:r w:rsidRPr="00DF6E0B">
        <w:rPr>
          <w:b/>
        </w:rPr>
        <w:t>fond Jeremie</w:t>
      </w:r>
      <w:r w:rsidRPr="00DF6E0B">
        <w:t>, který usnadňuje přístup mikrofirem a malých a středních podniků v regionech EU k financování. Rámec Jeremie by měl být využíván skrz holdingový fond, kvalifikovanou instituci na národní úrovni. Tento holdingový fond by následně mohl vypisovat výzvy všem finančním subjektům (seed, ventrure, micro). Holdingový fond by tak vybíral finanční zprostředkovatele celkové alokace.</w:t>
      </w:r>
      <w:r>
        <w:t xml:space="preserve"> V rámci této iniciativy vznikly fondy pro finanční nástroje ve velké části zemí EU.</w:t>
      </w:r>
    </w:p>
    <w:p w:rsidR="002C41C1" w:rsidRDefault="002C41C1" w:rsidP="0044158E"/>
    <w:p w:rsidR="002C41C1" w:rsidRDefault="002C41C1" w:rsidP="0044158E">
      <w:r w:rsidRPr="00DF6E0B">
        <w:rPr>
          <w:b/>
        </w:rPr>
        <w:t>Pre-seed fond MŠMT</w:t>
      </w:r>
      <w:r w:rsidRPr="00DF6E0B">
        <w:t xml:space="preserve"> byl zřízen za účelem poskytování grantů na výzkumné a vývojové aktivity zaměřené na dovedení výsledků výzkumu do komercializovatelné podoby. Funguje ve fázi proof-of-concept a navazující fáze komercializace. Programem není možno financovat vyvíjení samotné technologie. Byť okrajově, pre-seed fond poskytuje financování podnikům v cílové fázi životního cyklu, a snaží se chovat podobně jako fond rizikového kapitálu. </w:t>
      </w:r>
    </w:p>
    <w:p w:rsidR="002C41C1" w:rsidRDefault="002C41C1" w:rsidP="0044158E"/>
    <w:p w:rsidR="002C41C1" w:rsidRDefault="002C41C1" w:rsidP="0044158E">
      <w:r w:rsidRPr="00381A20">
        <w:rPr>
          <w:b/>
        </w:rPr>
        <w:t>Seed fond (MPO)</w:t>
      </w:r>
      <w:r>
        <w:t xml:space="preserve"> koncipovaný jako fond pro seed</w:t>
      </w:r>
      <w:r w:rsidR="006A4A73">
        <w:t>, startup</w:t>
      </w:r>
      <w:r>
        <w:t xml:space="preserve"> a </w:t>
      </w:r>
      <w:r w:rsidR="006A4A73">
        <w:t xml:space="preserve">later stage </w:t>
      </w:r>
      <w:r>
        <w:t>venture investice byl připravován v minulém období v rámci OPPI MPO. Během realizace výběrových řízení došlo ke správním průtahům v rámci řízení na ÚOHS. MPO od realizace záměru upustilo z důvodu nedostatku času na konci programovacího období.</w:t>
      </w:r>
    </w:p>
    <w:p w:rsidR="002C41C1" w:rsidRDefault="002C41C1" w:rsidP="0044158E"/>
    <w:p w:rsidR="002C41C1" w:rsidRDefault="002C41C1" w:rsidP="0044158E">
      <w:r w:rsidRPr="00F15B24">
        <w:rPr>
          <w:b/>
        </w:rPr>
        <w:t>CzechEkoSystem</w:t>
      </w:r>
      <w:r>
        <w:t xml:space="preserve"> – 80% dotace úhrady nákladů na poradenství a koučink při zajišťování startovního a rozvojového kapitálu s alokací v rozmezí 0,2 – 2,5 mil. Kč na jeden projekt. Celková alokace přesahuje 167 mil. Kč.</w:t>
      </w:r>
    </w:p>
    <w:p w:rsidR="002C41C1" w:rsidRDefault="002C41C1" w:rsidP="0044158E"/>
    <w:p w:rsidR="002C41C1" w:rsidRDefault="002C41C1" w:rsidP="00723858"/>
    <w:p w:rsidR="002C41C1" w:rsidRDefault="002C41C1">
      <w:pPr>
        <w:pStyle w:val="Vtneslovannadpis"/>
      </w:pPr>
      <w:r>
        <w:lastRenderedPageBreak/>
        <w:t>Vyčíslení potenciální absorpční kapacity</w:t>
      </w:r>
    </w:p>
    <w:p w:rsidR="002C41C1" w:rsidRDefault="002C41C1" w:rsidP="0004113A">
      <w:pPr>
        <w:pStyle w:val="Neslovannadpisy"/>
      </w:pPr>
      <w:r>
        <w:t>Dotazníková šetření</w:t>
      </w:r>
    </w:p>
    <w:p w:rsidR="002C41C1" w:rsidRDefault="002C41C1" w:rsidP="0004113A">
      <w:r>
        <w:t xml:space="preserve">V rámci dotazníkového šetření k této studii </w:t>
      </w:r>
      <w:r w:rsidRPr="00DF6E0B">
        <w:rPr>
          <w:b/>
        </w:rPr>
        <w:t>968 dotazovaných MSP vyčíslilo své investiční potřeby identifikované v průběhu posledních tří let na více než 17,9 mld. Kč.</w:t>
      </w:r>
      <w:r>
        <w:t xml:space="preserve"> Za účelem pokrytí těchto výdajů žádaly o externí financování ve výši téměř 11,9 mld. Kč, což odpovídá 67 % objemu investic. Skutečně dosažené externí financování dosáhlo téměř 10 mld. Kč, což indikuje, že </w:t>
      </w:r>
      <w:r w:rsidRPr="007E52EE">
        <w:rPr>
          <w:b/>
        </w:rPr>
        <w:t>dotazované subjekty byly v zajišťování externího financování úspěšné</w:t>
      </w:r>
      <w:r>
        <w:t xml:space="preserve"> </w:t>
      </w:r>
      <w:r w:rsidRPr="004A570D">
        <w:rPr>
          <w:b/>
        </w:rPr>
        <w:t>(téměř 84 %)</w:t>
      </w:r>
      <w:r>
        <w:t>.</w:t>
      </w:r>
    </w:p>
    <w:p w:rsidR="002C41C1" w:rsidRDefault="002C41C1" w:rsidP="0004113A"/>
    <w:p w:rsidR="002C41C1" w:rsidRDefault="002C41C1" w:rsidP="0004113A"/>
    <w:p w:rsidR="002C41C1" w:rsidRDefault="005F2B40" w:rsidP="0004113A">
      <w:r>
        <w:rPr>
          <w:noProof/>
        </w:rPr>
        <w:drawing>
          <wp:inline distT="0" distB="0" distL="0" distR="0" wp14:anchorId="5DB5DD7B" wp14:editId="24FEB018">
            <wp:extent cx="4237990" cy="2719070"/>
            <wp:effectExtent l="0" t="0" r="0" b="5080"/>
            <wp:docPr id="15"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7990" cy="2719070"/>
                    </a:xfrm>
                    <a:prstGeom prst="rect">
                      <a:avLst/>
                    </a:prstGeom>
                    <a:noFill/>
                    <a:ln>
                      <a:noFill/>
                    </a:ln>
                  </pic:spPr>
                </pic:pic>
              </a:graphicData>
            </a:graphic>
          </wp:inline>
        </w:drawing>
      </w:r>
    </w:p>
    <w:p w:rsidR="002C41C1" w:rsidRDefault="002C41C1" w:rsidP="0004113A"/>
    <w:p w:rsidR="002C41C1" w:rsidRDefault="005057AD" w:rsidP="0004113A">
      <w:pPr>
        <w:pStyle w:val="Titulek"/>
      </w:pPr>
      <w:r>
        <w:t>Graf 9: Investice start</w:t>
      </w:r>
      <w:r w:rsidR="002C41C1">
        <w:t>upů a jejich spolufinancování</w:t>
      </w:r>
    </w:p>
    <w:p w:rsidR="002C41C1" w:rsidRDefault="002C41C1">
      <w:pPr>
        <w:pStyle w:val="Titulek"/>
      </w:pPr>
      <w:r>
        <w:t xml:space="preserve">Zdroj: Dotazník pro startupy ex ante FN </w:t>
      </w:r>
      <w:r w:rsidR="0084453C">
        <w:t>OP PIK</w:t>
      </w:r>
    </w:p>
    <w:p w:rsidR="002C41C1" w:rsidRPr="009B1D9D" w:rsidRDefault="002C41C1" w:rsidP="00DF6E0B"/>
    <w:p w:rsidR="002C41C1" w:rsidRDefault="002C41C1" w:rsidP="0004113A">
      <w:pPr>
        <w:rPr>
          <w:lang w:eastAsia="en-US"/>
        </w:rPr>
      </w:pPr>
      <w:r>
        <w:rPr>
          <w:lang w:eastAsia="en-US"/>
        </w:rPr>
        <w:t>Z investiční historie dotazovanýc</w:t>
      </w:r>
      <w:r w:rsidR="005057AD">
        <w:rPr>
          <w:lang w:eastAsia="en-US"/>
        </w:rPr>
        <w:t>h start</w:t>
      </w:r>
      <w:r w:rsidRPr="00DF6E0B">
        <w:rPr>
          <w:lang w:eastAsia="en-US"/>
        </w:rPr>
        <w:t>upů</w:t>
      </w:r>
      <w:r w:rsidR="005057AD">
        <w:rPr>
          <w:lang w:eastAsia="en-US"/>
        </w:rPr>
        <w:t xml:space="preserve"> </w:t>
      </w:r>
      <w:r w:rsidRPr="00DF6E0B">
        <w:rPr>
          <w:lang w:eastAsia="en-US"/>
        </w:rPr>
        <w:t>(graf č. 9) vyplývá poměr mezi požadovanými a získanými zdroji spolufinancování 377,5 ku185 mil. Kč.51 % požadovaných zdrojů tedy nebylo uspokojeno, což v</w:t>
      </w:r>
      <w:r w:rsidRPr="00D144BB">
        <w:rPr>
          <w:lang w:eastAsia="en-US"/>
        </w:rPr>
        <w:t> </w:t>
      </w:r>
      <w:r w:rsidRPr="00DF6E0B">
        <w:rPr>
          <w:lang w:eastAsia="en-US"/>
        </w:rPr>
        <w:t>podmínkách rizikového kapitálu není zdaleka vysoké číslo. Je však nutné brát v</w:t>
      </w:r>
      <w:r w:rsidRPr="00D144BB">
        <w:rPr>
          <w:lang w:eastAsia="en-US"/>
        </w:rPr>
        <w:t> </w:t>
      </w:r>
      <w:r w:rsidRPr="00DF6E0B">
        <w:rPr>
          <w:lang w:eastAsia="en-US"/>
        </w:rPr>
        <w:t>úvahu, že vzhledem ke způsobu distribuce tvoří dotazovaný segment z</w:t>
      </w:r>
      <w:r w:rsidRPr="00D144BB">
        <w:rPr>
          <w:lang w:eastAsia="en-US"/>
        </w:rPr>
        <w:t> </w:t>
      </w:r>
      <w:r w:rsidRPr="00DF6E0B">
        <w:rPr>
          <w:lang w:eastAsia="en-US"/>
        </w:rPr>
        <w:t>většiny již poměrně kvalitně etablované early</w:t>
      </w:r>
      <w:r w:rsidR="005057AD">
        <w:rPr>
          <w:lang w:eastAsia="en-US"/>
        </w:rPr>
        <w:t xml:space="preserve"> </w:t>
      </w:r>
      <w:r w:rsidRPr="00DF6E0B">
        <w:rPr>
          <w:lang w:eastAsia="en-US"/>
        </w:rPr>
        <w:t>stage společnosti, které byly schopny svým podnikatelským plánem zaujmout (účastníci inkubátorů a akcelerátorů). Od neuspokojené poptávky lze tedy odvozovat určitou míru tržního selhání.</w:t>
      </w:r>
    </w:p>
    <w:p w:rsidR="002C41C1" w:rsidRPr="00FB2CAD" w:rsidRDefault="002C41C1" w:rsidP="0004113A">
      <w:pPr>
        <w:rPr>
          <w:lang w:eastAsia="en-US"/>
        </w:rPr>
      </w:pPr>
    </w:p>
    <w:p w:rsidR="002C41C1" w:rsidRDefault="002C41C1" w:rsidP="0004113A">
      <w:r>
        <w:t xml:space="preserve">Z dotazovaných subjektů hodnotí dostupnost financování jako špatnou či pouze dobrou 48 %, resp. 28 </w:t>
      </w:r>
      <w:r w:rsidRPr="00DF6E0B">
        <w:t xml:space="preserve">%. Nejčastěji je kritizována informační bariéra a rigidita bank. Téměř přesná polovina dotazovaných (49 %) však byla ve snahách získat finanční prostředky v minulosti úspěšná. </w:t>
      </w:r>
      <w:r w:rsidRPr="00DF6E0B">
        <w:rPr>
          <w:b/>
        </w:rPr>
        <w:t>O kapitálový vstup by mělo zájem 16 % dotazovaných.</w:t>
      </w:r>
      <w:r w:rsidRPr="00DF6E0B">
        <w:t xml:space="preserve"> Z</w:t>
      </w:r>
      <w:r>
        <w:t xml:space="preserve"> odpovědí vyplývalo, </w:t>
      </w:r>
      <w:r w:rsidRPr="00DF6E0B">
        <w:t>že</w:t>
      </w:r>
      <w:r>
        <w:t xml:space="preserve"> výrazná část nezájmu plyne z neochoty</w:t>
      </w:r>
      <w:r w:rsidRPr="00DF6E0B">
        <w:t xml:space="preserve"> vzdát</w:t>
      </w:r>
      <w:r>
        <w:t xml:space="preserve"> se</w:t>
      </w:r>
      <w:r w:rsidRPr="00DF6E0B">
        <w:t xml:space="preserve"> části svých rozhodovacích práv</w:t>
      </w:r>
      <w:r>
        <w:t xml:space="preserve"> i vlastnického podílu</w:t>
      </w:r>
      <w:r w:rsidRPr="00DF6E0B">
        <w:t xml:space="preserve"> ve prospěch nov</w:t>
      </w:r>
      <w:r>
        <w:t>ého investora. Částka respondenty poptávaného financování v 84 % případů nepřesahuje 5 mil. Kč, což je do značné míry způsobeno dominantní rolí firem a podnikatelů zaměřených na služby v oblasti ICT (44 %), která je z pohledu investic do dlouhodobého majetku nenáročná. Máme za to, že průměrná velikost požadované investice a tedy i absorpční kapacita průběžně poroste jako přirozený důsledek úspěšné podpory projektů ve fázi proof-of-concept, ve které v současnosti častěji končí kapitálově náročné projekty.</w:t>
      </w:r>
    </w:p>
    <w:p w:rsidR="002C41C1" w:rsidRDefault="002C41C1" w:rsidP="00FB06C0"/>
    <w:p w:rsidR="002C41C1" w:rsidRPr="00DF6E0B" w:rsidRDefault="002C41C1">
      <w:pPr>
        <w:pStyle w:val="Neslovannadpisy"/>
      </w:pPr>
      <w:r>
        <w:t>Vyčíslení</w:t>
      </w:r>
      <w:r w:rsidRPr="00DF6E0B">
        <w:t xml:space="preserve"> absorpční kapacity </w:t>
      </w:r>
    </w:p>
    <w:p w:rsidR="002C41C1" w:rsidRDefault="002C41C1" w:rsidP="00B21DA0">
      <w:r>
        <w:lastRenderedPageBreak/>
        <w:t xml:space="preserve">Na základě výsledků dotazníku, zde zjištěné poptávce po úvěrech a extrapolaci na základě agregátních dat investiční a úvěrové aktivity MSP v minulých letech podle ČSÚ, MPO a OECD)byla namodelována odhadovaná </w:t>
      </w:r>
      <w:r w:rsidRPr="00DF6E0B">
        <w:rPr>
          <w:b/>
        </w:rPr>
        <w:t xml:space="preserve">poptávka po podnikatelských úvěrech </w:t>
      </w:r>
      <w:r>
        <w:rPr>
          <w:b/>
        </w:rPr>
        <w:t xml:space="preserve">rozvíjejících se MSP </w:t>
      </w:r>
      <w:r w:rsidRPr="00DF6E0B">
        <w:rPr>
          <w:b/>
        </w:rPr>
        <w:t>v</w:t>
      </w:r>
      <w:r w:rsidRPr="004B76CB">
        <w:rPr>
          <w:b/>
        </w:rPr>
        <w:t> </w:t>
      </w:r>
      <w:r w:rsidRPr="00DF6E0B">
        <w:rPr>
          <w:b/>
        </w:rPr>
        <w:t>příštích letech na 661</w:t>
      </w:r>
      <w:r>
        <w:rPr>
          <w:b/>
        </w:rPr>
        <w:t> </w:t>
      </w:r>
      <w:r w:rsidRPr="00DF6E0B">
        <w:rPr>
          <w:b/>
        </w:rPr>
        <w:t>mld.</w:t>
      </w:r>
      <w:r>
        <w:rPr>
          <w:b/>
        </w:rPr>
        <w:t> </w:t>
      </w:r>
      <w:r w:rsidRPr="00DF6E0B">
        <w:rPr>
          <w:b/>
        </w:rPr>
        <w:t>Kč</w:t>
      </w:r>
      <w:r>
        <w:t>.</w:t>
      </w:r>
      <w:r w:rsidR="005057AD">
        <w:t xml:space="preserve"> </w:t>
      </w:r>
      <w:r>
        <w:t>Výsledky vycházejí z konzervativní projekce 350 mld. investic MSP ročně a relativně nižšího sklonu k úvěrům (na úrovni roku 2013).</w:t>
      </w:r>
    </w:p>
    <w:p w:rsidR="002C41C1" w:rsidRDefault="002C41C1" w:rsidP="00B21DA0"/>
    <w:p w:rsidR="002C41C1" w:rsidRDefault="002C41C1" w:rsidP="00B21DA0">
      <w:r>
        <w:t>Při kvantifikaci tržního selhání (neuspokojené poptávky životaschopných projektů) je vycházeno z analýz</w:t>
      </w:r>
      <w:r w:rsidR="005057AD">
        <w:t>y</w:t>
      </w:r>
      <w:r>
        <w:t xml:space="preserve"> EIB pro roky 2009-2011 (minimální hodnota) a z neuspokojené poptávky po externím financování v dotazníku (maximální hodnota). </w:t>
      </w:r>
      <w:r w:rsidRPr="00DF6E0B">
        <w:rPr>
          <w:b/>
        </w:rPr>
        <w:t>Tržní selhání v</w:t>
      </w:r>
      <w:r w:rsidRPr="004B76CB">
        <w:rPr>
          <w:b/>
        </w:rPr>
        <w:t> </w:t>
      </w:r>
      <w:r w:rsidRPr="00DF6E0B">
        <w:rPr>
          <w:b/>
        </w:rPr>
        <w:t>oblasti dluhového financování rozvoje MSP vhodné k</w:t>
      </w:r>
      <w:r w:rsidRPr="004B76CB">
        <w:rPr>
          <w:b/>
        </w:rPr>
        <w:t> </w:t>
      </w:r>
      <w:r w:rsidRPr="00DF6E0B">
        <w:rPr>
          <w:b/>
        </w:rPr>
        <w:t xml:space="preserve">intervenci finančním nástrojem </w:t>
      </w:r>
      <w:r w:rsidR="0084453C">
        <w:rPr>
          <w:b/>
        </w:rPr>
        <w:t>OP PIK</w:t>
      </w:r>
      <w:r w:rsidRPr="00DF6E0B">
        <w:rPr>
          <w:b/>
        </w:rPr>
        <w:t xml:space="preserve"> kvantifikujeme v</w:t>
      </w:r>
      <w:r w:rsidRPr="004B76CB">
        <w:rPr>
          <w:b/>
        </w:rPr>
        <w:t> </w:t>
      </w:r>
      <w:r w:rsidRPr="00DF6E0B">
        <w:rPr>
          <w:b/>
        </w:rPr>
        <w:t>intervalu 34-106 mld. Kč.</w:t>
      </w:r>
    </w:p>
    <w:p w:rsidR="002C41C1" w:rsidRDefault="002C41C1" w:rsidP="00B21DA0"/>
    <w:tbl>
      <w:tblPr>
        <w:tblStyle w:val="Mkatabulky"/>
        <w:tblW w:w="8680" w:type="dxa"/>
        <w:tblLook w:val="00A0" w:firstRow="1" w:lastRow="0" w:firstColumn="1" w:lastColumn="0" w:noHBand="0" w:noVBand="0"/>
      </w:tblPr>
      <w:tblGrid>
        <w:gridCol w:w="2160"/>
        <w:gridCol w:w="1500"/>
        <w:gridCol w:w="2120"/>
        <w:gridCol w:w="1480"/>
        <w:gridCol w:w="1420"/>
      </w:tblGrid>
      <w:tr w:rsidR="002C41C1" w:rsidRPr="00F71905" w:rsidTr="008D55D2">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160" w:type="dxa"/>
            <w:noWrap/>
          </w:tcPr>
          <w:p w:rsidR="002C41C1" w:rsidRPr="00CF7099" w:rsidRDefault="002C41C1" w:rsidP="00CF7099">
            <w:pPr>
              <w:overflowPunct/>
              <w:autoSpaceDE/>
              <w:autoSpaceDN/>
              <w:adjustRightInd/>
              <w:jc w:val="center"/>
              <w:textAlignment w:val="auto"/>
              <w:rPr>
                <w:rFonts w:cs="Calibri"/>
                <w:b w:val="0"/>
                <w:bCs/>
                <w:szCs w:val="22"/>
              </w:rPr>
            </w:pPr>
            <w:r w:rsidRPr="00CF7099">
              <w:rPr>
                <w:rFonts w:cs="Calibri"/>
                <w:bCs/>
                <w:szCs w:val="22"/>
              </w:rPr>
              <w:t> Mil. Kč</w:t>
            </w:r>
          </w:p>
        </w:tc>
        <w:tc>
          <w:tcPr>
            <w:tcW w:w="1500" w:type="dxa"/>
          </w:tcPr>
          <w:p w:rsidR="002C41C1" w:rsidRPr="00CF7099" w:rsidRDefault="002C41C1" w:rsidP="00CF7099">
            <w:pPr>
              <w:overflowPunct/>
              <w:autoSpaceDE/>
              <w:autoSpaceDN/>
              <w:adjustRightInd/>
              <w:jc w:val="center"/>
              <w:textAlignment w:val="auto"/>
              <w:cnfStyle w:val="100000000000" w:firstRow="1" w:lastRow="0" w:firstColumn="0" w:lastColumn="0" w:oddVBand="0" w:evenVBand="0" w:oddHBand="0" w:evenHBand="0" w:firstRowFirstColumn="0" w:firstRowLastColumn="0" w:lastRowFirstColumn="0" w:lastRowLastColumn="0"/>
              <w:rPr>
                <w:rFonts w:cs="Calibri"/>
                <w:b w:val="0"/>
                <w:bCs/>
                <w:szCs w:val="22"/>
              </w:rPr>
            </w:pPr>
            <w:r w:rsidRPr="00CF7099">
              <w:rPr>
                <w:rFonts w:cs="Calibri"/>
                <w:bCs/>
                <w:szCs w:val="22"/>
              </w:rPr>
              <w:t>Soubor z dotazníku (968)</w:t>
            </w:r>
          </w:p>
        </w:tc>
        <w:tc>
          <w:tcPr>
            <w:tcW w:w="2120" w:type="dxa"/>
          </w:tcPr>
          <w:p w:rsidR="002C41C1" w:rsidRPr="00CF7099" w:rsidRDefault="002C41C1" w:rsidP="00CF7099">
            <w:pPr>
              <w:overflowPunct/>
              <w:autoSpaceDE/>
              <w:autoSpaceDN/>
              <w:adjustRightInd/>
              <w:jc w:val="center"/>
              <w:textAlignment w:val="auto"/>
              <w:cnfStyle w:val="100000000000" w:firstRow="1" w:lastRow="0" w:firstColumn="0" w:lastColumn="0" w:oddVBand="0" w:evenVBand="0" w:oddHBand="0" w:evenHBand="0" w:firstRowFirstColumn="0" w:firstRowLastColumn="0" w:lastRowFirstColumn="0" w:lastRowLastColumn="0"/>
              <w:rPr>
                <w:rFonts w:cs="Calibri"/>
                <w:b w:val="0"/>
                <w:bCs/>
                <w:szCs w:val="22"/>
              </w:rPr>
            </w:pPr>
            <w:r w:rsidRPr="00CF7099">
              <w:rPr>
                <w:rFonts w:cs="Calibri"/>
                <w:bCs/>
                <w:szCs w:val="22"/>
              </w:rPr>
              <w:t xml:space="preserve">Extrapolace </w:t>
            </w:r>
          </w:p>
          <w:p w:rsidR="002C41C1" w:rsidRPr="00CF7099" w:rsidRDefault="002C41C1" w:rsidP="00CF7099">
            <w:pPr>
              <w:overflowPunct/>
              <w:autoSpaceDE/>
              <w:autoSpaceDN/>
              <w:adjustRightInd/>
              <w:jc w:val="center"/>
              <w:textAlignment w:val="auto"/>
              <w:cnfStyle w:val="100000000000" w:firstRow="1" w:lastRow="0" w:firstColumn="0" w:lastColumn="0" w:oddVBand="0" w:evenVBand="0" w:oddHBand="0" w:evenHBand="0" w:firstRowFirstColumn="0" w:firstRowLastColumn="0" w:lastRowFirstColumn="0" w:lastRowLastColumn="0"/>
              <w:rPr>
                <w:rFonts w:cs="Calibri"/>
                <w:b w:val="0"/>
                <w:bCs/>
                <w:szCs w:val="22"/>
              </w:rPr>
            </w:pPr>
            <w:r w:rsidRPr="00CF7099">
              <w:rPr>
                <w:rFonts w:cs="Calibri"/>
                <w:bCs/>
                <w:szCs w:val="22"/>
              </w:rPr>
              <w:t>(MPO, OECD, 2016-2023)</w:t>
            </w:r>
          </w:p>
        </w:tc>
        <w:tc>
          <w:tcPr>
            <w:tcW w:w="1480" w:type="dxa"/>
          </w:tcPr>
          <w:p w:rsidR="002C41C1" w:rsidRPr="00CF7099" w:rsidRDefault="002C41C1" w:rsidP="00CF7099">
            <w:pPr>
              <w:overflowPunct/>
              <w:autoSpaceDE/>
              <w:autoSpaceDN/>
              <w:adjustRightInd/>
              <w:jc w:val="center"/>
              <w:textAlignment w:val="auto"/>
              <w:cnfStyle w:val="100000000000" w:firstRow="1" w:lastRow="0" w:firstColumn="0" w:lastColumn="0" w:oddVBand="0" w:evenVBand="0" w:oddHBand="0" w:evenHBand="0" w:firstRowFirstColumn="0" w:firstRowLastColumn="0" w:lastRowFirstColumn="0" w:lastRowLastColumn="0"/>
              <w:rPr>
                <w:rFonts w:cs="Calibri"/>
                <w:b w:val="0"/>
                <w:bCs/>
                <w:szCs w:val="22"/>
              </w:rPr>
            </w:pPr>
            <w:r w:rsidRPr="00CF7099">
              <w:rPr>
                <w:rFonts w:cs="Calibri"/>
                <w:bCs/>
                <w:szCs w:val="22"/>
              </w:rPr>
              <w:t xml:space="preserve">Tržní selhání </w:t>
            </w:r>
          </w:p>
          <w:p w:rsidR="002C41C1" w:rsidRPr="00CF7099" w:rsidRDefault="002C41C1" w:rsidP="00CF7099">
            <w:pPr>
              <w:overflowPunct/>
              <w:autoSpaceDE/>
              <w:autoSpaceDN/>
              <w:adjustRightInd/>
              <w:jc w:val="center"/>
              <w:textAlignment w:val="auto"/>
              <w:cnfStyle w:val="100000000000" w:firstRow="1" w:lastRow="0" w:firstColumn="0" w:lastColumn="0" w:oddVBand="0" w:evenVBand="0" w:oddHBand="0" w:evenHBand="0" w:firstRowFirstColumn="0" w:firstRowLastColumn="0" w:lastRowFirstColumn="0" w:lastRowLastColumn="0"/>
              <w:rPr>
                <w:rFonts w:cs="Calibri"/>
                <w:b w:val="0"/>
                <w:bCs/>
                <w:szCs w:val="22"/>
              </w:rPr>
            </w:pPr>
            <w:r w:rsidRPr="00CF7099">
              <w:rPr>
                <w:rFonts w:cs="Calibri"/>
                <w:bCs/>
                <w:szCs w:val="22"/>
              </w:rPr>
              <w:t>(EIB)</w:t>
            </w:r>
          </w:p>
        </w:tc>
        <w:tc>
          <w:tcPr>
            <w:tcW w:w="1420" w:type="dxa"/>
          </w:tcPr>
          <w:p w:rsidR="002C41C1" w:rsidRPr="00CF7099" w:rsidRDefault="002C41C1" w:rsidP="00CF7099">
            <w:pPr>
              <w:overflowPunct/>
              <w:autoSpaceDE/>
              <w:autoSpaceDN/>
              <w:adjustRightInd/>
              <w:jc w:val="center"/>
              <w:textAlignment w:val="auto"/>
              <w:cnfStyle w:val="100000000000" w:firstRow="1" w:lastRow="0" w:firstColumn="0" w:lastColumn="0" w:oddVBand="0" w:evenVBand="0" w:oddHBand="0" w:evenHBand="0" w:firstRowFirstColumn="0" w:firstRowLastColumn="0" w:lastRowFirstColumn="0" w:lastRowLastColumn="0"/>
              <w:rPr>
                <w:rFonts w:cs="Calibri"/>
                <w:b w:val="0"/>
                <w:bCs/>
                <w:szCs w:val="22"/>
              </w:rPr>
            </w:pPr>
            <w:r w:rsidRPr="00CF7099">
              <w:rPr>
                <w:rFonts w:cs="Calibri"/>
                <w:bCs/>
                <w:szCs w:val="22"/>
              </w:rPr>
              <w:t>Tržní selhání (dotazník)</w:t>
            </w:r>
          </w:p>
        </w:tc>
      </w:tr>
      <w:tr w:rsidR="002C41C1" w:rsidRPr="00F71905" w:rsidTr="008D55D2">
        <w:trPr>
          <w:trHeight w:val="315"/>
        </w:trPr>
        <w:tc>
          <w:tcPr>
            <w:cnfStyle w:val="001000000000" w:firstRow="0" w:lastRow="0" w:firstColumn="1" w:lastColumn="0" w:oddVBand="0" w:evenVBand="0" w:oddHBand="0" w:evenHBand="0" w:firstRowFirstColumn="0" w:firstRowLastColumn="0" w:lastRowFirstColumn="0" w:lastRowLastColumn="0"/>
            <w:tcW w:w="2160" w:type="dxa"/>
            <w:noWrap/>
          </w:tcPr>
          <w:p w:rsidR="002C41C1" w:rsidRPr="00CF7099" w:rsidRDefault="002C41C1" w:rsidP="00CF7099">
            <w:pPr>
              <w:overflowPunct/>
              <w:autoSpaceDE/>
              <w:autoSpaceDN/>
              <w:adjustRightInd/>
              <w:jc w:val="center"/>
              <w:textAlignment w:val="auto"/>
              <w:rPr>
                <w:rFonts w:cs="Calibri"/>
                <w:b/>
                <w:bCs/>
                <w:color w:val="000000"/>
                <w:szCs w:val="22"/>
              </w:rPr>
            </w:pPr>
            <w:r w:rsidRPr="00CF7099">
              <w:rPr>
                <w:rFonts w:cs="Calibri"/>
                <w:b/>
                <w:bCs/>
                <w:color w:val="000000"/>
                <w:szCs w:val="22"/>
              </w:rPr>
              <w:t>Plánované investice</w:t>
            </w:r>
          </w:p>
        </w:tc>
        <w:tc>
          <w:tcPr>
            <w:tcW w:w="1500" w:type="dxa"/>
            <w:noWrap/>
          </w:tcPr>
          <w:p w:rsidR="002C41C1" w:rsidRPr="00CF7099" w:rsidRDefault="002C41C1" w:rsidP="00CF7099">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CF7099">
              <w:rPr>
                <w:rFonts w:cs="Calibri"/>
                <w:color w:val="000000"/>
                <w:szCs w:val="22"/>
              </w:rPr>
              <w:t>10 300</w:t>
            </w:r>
          </w:p>
        </w:tc>
        <w:tc>
          <w:tcPr>
            <w:tcW w:w="2120" w:type="dxa"/>
            <w:noWrap/>
          </w:tcPr>
          <w:p w:rsidR="002C41C1" w:rsidRPr="00CF7099" w:rsidRDefault="002C41C1" w:rsidP="00CF7099">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CF7099">
              <w:rPr>
                <w:rFonts w:cs="Calibri"/>
                <w:color w:val="000000"/>
                <w:szCs w:val="22"/>
              </w:rPr>
              <w:t>2 800 000</w:t>
            </w:r>
          </w:p>
        </w:tc>
        <w:tc>
          <w:tcPr>
            <w:tcW w:w="1480" w:type="dxa"/>
            <w:noWrap/>
          </w:tcPr>
          <w:p w:rsidR="002C41C1" w:rsidRPr="00CF7099" w:rsidRDefault="002C41C1" w:rsidP="00CF7099">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CF7099">
              <w:rPr>
                <w:rFonts w:cs="Calibri"/>
                <w:color w:val="000000"/>
                <w:szCs w:val="22"/>
              </w:rPr>
              <w:t>142 800</w:t>
            </w:r>
          </w:p>
        </w:tc>
        <w:tc>
          <w:tcPr>
            <w:tcW w:w="1420" w:type="dxa"/>
            <w:noWrap/>
          </w:tcPr>
          <w:p w:rsidR="002C41C1" w:rsidRPr="00CF7099" w:rsidRDefault="002C41C1" w:rsidP="00CF7099">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CF7099">
              <w:rPr>
                <w:rFonts w:cs="Calibri"/>
                <w:color w:val="000000"/>
                <w:szCs w:val="22"/>
              </w:rPr>
              <w:t>447 059</w:t>
            </w:r>
          </w:p>
        </w:tc>
      </w:tr>
      <w:tr w:rsidR="002C41C1" w:rsidRPr="00F71905" w:rsidTr="008D55D2">
        <w:trPr>
          <w:trHeight w:val="677"/>
        </w:trPr>
        <w:tc>
          <w:tcPr>
            <w:cnfStyle w:val="001000000000" w:firstRow="0" w:lastRow="0" w:firstColumn="1" w:lastColumn="0" w:oddVBand="0" w:evenVBand="0" w:oddHBand="0" w:evenHBand="0" w:firstRowFirstColumn="0" w:firstRowLastColumn="0" w:lastRowFirstColumn="0" w:lastRowLastColumn="0"/>
            <w:tcW w:w="2160" w:type="dxa"/>
          </w:tcPr>
          <w:p w:rsidR="002C41C1" w:rsidRPr="00CF7099" w:rsidRDefault="002C41C1" w:rsidP="00CF7099">
            <w:pPr>
              <w:overflowPunct/>
              <w:autoSpaceDE/>
              <w:autoSpaceDN/>
              <w:adjustRightInd/>
              <w:jc w:val="center"/>
              <w:textAlignment w:val="auto"/>
              <w:rPr>
                <w:rFonts w:cs="Calibri"/>
                <w:b/>
                <w:bCs/>
                <w:color w:val="000000"/>
                <w:szCs w:val="22"/>
              </w:rPr>
            </w:pPr>
            <w:r w:rsidRPr="00CF7099">
              <w:rPr>
                <w:rFonts w:cs="Calibri"/>
                <w:b/>
                <w:bCs/>
                <w:color w:val="000000"/>
                <w:szCs w:val="22"/>
              </w:rPr>
              <w:t>Absorpční kapacita úvěrových/záručních nástrojů</w:t>
            </w:r>
          </w:p>
        </w:tc>
        <w:tc>
          <w:tcPr>
            <w:tcW w:w="1500" w:type="dxa"/>
            <w:noWrap/>
          </w:tcPr>
          <w:p w:rsidR="002C41C1" w:rsidRPr="00CF7099" w:rsidRDefault="002C41C1" w:rsidP="00CF7099">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CF7099">
              <w:rPr>
                <w:rFonts w:cs="Calibri"/>
                <w:color w:val="000000"/>
                <w:szCs w:val="22"/>
              </w:rPr>
              <w:t>2 431</w:t>
            </w:r>
          </w:p>
        </w:tc>
        <w:tc>
          <w:tcPr>
            <w:tcW w:w="2120" w:type="dxa"/>
            <w:noWrap/>
          </w:tcPr>
          <w:p w:rsidR="002C41C1" w:rsidRPr="00CF7099" w:rsidRDefault="002C41C1" w:rsidP="00CF7099">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cs="Calibri"/>
                <w:b/>
                <w:color w:val="000000"/>
                <w:szCs w:val="22"/>
              </w:rPr>
            </w:pPr>
            <w:r w:rsidRPr="00CF7099">
              <w:rPr>
                <w:rFonts w:cs="Calibri"/>
                <w:b/>
                <w:color w:val="000000"/>
                <w:szCs w:val="22"/>
              </w:rPr>
              <w:t>660</w:t>
            </w:r>
            <w:r w:rsidR="00F27678">
              <w:rPr>
                <w:rFonts w:cs="Calibri"/>
                <w:b/>
                <w:color w:val="000000"/>
                <w:szCs w:val="22"/>
              </w:rPr>
              <w:t xml:space="preserve"> </w:t>
            </w:r>
            <w:r w:rsidRPr="00CF7099">
              <w:rPr>
                <w:rFonts w:cs="Calibri"/>
                <w:b/>
                <w:color w:val="000000"/>
                <w:szCs w:val="22"/>
              </w:rPr>
              <w:t>816</w:t>
            </w:r>
          </w:p>
        </w:tc>
        <w:tc>
          <w:tcPr>
            <w:tcW w:w="1480" w:type="dxa"/>
            <w:noWrap/>
          </w:tcPr>
          <w:p w:rsidR="002C41C1" w:rsidRPr="00CF7099" w:rsidRDefault="002C41C1" w:rsidP="00CF7099">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cs="Calibri"/>
                <w:b/>
                <w:bCs/>
                <w:color w:val="000000"/>
                <w:szCs w:val="22"/>
              </w:rPr>
            </w:pPr>
            <w:r w:rsidRPr="00CF7099">
              <w:rPr>
                <w:rFonts w:cs="Calibri"/>
                <w:b/>
                <w:bCs/>
                <w:color w:val="000000"/>
                <w:szCs w:val="22"/>
              </w:rPr>
              <w:t>33 702</w:t>
            </w:r>
          </w:p>
        </w:tc>
        <w:tc>
          <w:tcPr>
            <w:tcW w:w="1420" w:type="dxa"/>
            <w:noWrap/>
          </w:tcPr>
          <w:p w:rsidR="002C41C1" w:rsidRPr="00CF7099" w:rsidRDefault="002C41C1" w:rsidP="00CF7099">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cs="Calibri"/>
                <w:b/>
                <w:bCs/>
                <w:color w:val="000000"/>
                <w:szCs w:val="22"/>
              </w:rPr>
            </w:pPr>
            <w:r w:rsidRPr="00CF7099">
              <w:rPr>
                <w:rFonts w:cs="Calibri"/>
                <w:b/>
                <w:bCs/>
                <w:color w:val="000000"/>
                <w:szCs w:val="22"/>
              </w:rPr>
              <w:t>105 508</w:t>
            </w:r>
          </w:p>
        </w:tc>
      </w:tr>
    </w:tbl>
    <w:p w:rsidR="002C41C1" w:rsidRDefault="002C41C1" w:rsidP="00B21DA0"/>
    <w:p w:rsidR="002C41C1" w:rsidRPr="00DF6E0B" w:rsidRDefault="002C41C1" w:rsidP="00777F5C">
      <w:r w:rsidRPr="00DF6E0B">
        <w:t>V</w:t>
      </w:r>
      <w:r w:rsidRPr="00D144BB">
        <w:t> </w:t>
      </w:r>
      <w:r w:rsidRPr="00DF6E0B">
        <w:t>případě oblasti early stage MSP (fáze seed, start-up) je vycházeno z</w:t>
      </w:r>
      <w:r w:rsidRPr="00D144BB">
        <w:t> </w:t>
      </w:r>
      <w:r w:rsidRPr="00DF6E0B">
        <w:t>indikovaných investic d</w:t>
      </w:r>
      <w:r w:rsidR="005057AD">
        <w:t>otazovaných start</w:t>
      </w:r>
      <w:r w:rsidRPr="00DF6E0B">
        <w:t>upů v</w:t>
      </w:r>
      <w:r w:rsidRPr="00D144BB">
        <w:t> </w:t>
      </w:r>
      <w:r w:rsidRPr="00DF6E0B">
        <w:t>minulém období a zájmu o kapitálové vstupy (střední hodnota ze zjištění GEM a dotazníku).  Extrapolace je provedena na základě údajů GEM o počtu nových inovujících podnikatelů v</w:t>
      </w:r>
      <w:r w:rsidRPr="00D144BB">
        <w:t> </w:t>
      </w:r>
      <w:r w:rsidRPr="00DF6E0B">
        <w:t>technologicky náročnějších odvětvích. Kvůli vyloučení neživotaschopných projektů je v</w:t>
      </w:r>
      <w:r w:rsidRPr="00D144BB">
        <w:t> </w:t>
      </w:r>
      <w:r w:rsidRPr="00DF6E0B">
        <w:t>potaz brána jedna desetina počtu, s projekcí do roku 2023 (index 1,5). Tržní selhání odvozujeme z</w:t>
      </w:r>
      <w:r w:rsidRPr="00D144BB">
        <w:t> </w:t>
      </w:r>
      <w:r w:rsidRPr="00DF6E0B">
        <w:t xml:space="preserve">poměru poptávaného a poskytnutého externího financování udávaného v dotazníku. Na základě těchto předpokladů </w:t>
      </w:r>
      <w:r w:rsidRPr="00DF6E0B">
        <w:rPr>
          <w:b/>
        </w:rPr>
        <w:t>odvozujeme poptávku po kapitálových vstupech</w:t>
      </w:r>
      <w:r w:rsidR="005057AD">
        <w:rPr>
          <w:b/>
        </w:rPr>
        <w:t xml:space="preserve"> </w:t>
      </w:r>
      <w:r w:rsidRPr="00DF6E0B">
        <w:rPr>
          <w:b/>
        </w:rPr>
        <w:t>v</w:t>
      </w:r>
      <w:r w:rsidRPr="00D144BB">
        <w:rPr>
          <w:b/>
        </w:rPr>
        <w:t> </w:t>
      </w:r>
      <w:r w:rsidRPr="00DF6E0B">
        <w:rPr>
          <w:b/>
        </w:rPr>
        <w:t>příštím období v</w:t>
      </w:r>
      <w:r w:rsidRPr="00D144BB">
        <w:rPr>
          <w:b/>
        </w:rPr>
        <w:t> </w:t>
      </w:r>
      <w:r w:rsidRPr="00DF6E0B">
        <w:rPr>
          <w:b/>
        </w:rPr>
        <w:t>minimální úrovni 1,8 mld. Kč, z</w:t>
      </w:r>
      <w:r w:rsidRPr="00D144BB">
        <w:rPr>
          <w:b/>
        </w:rPr>
        <w:t> </w:t>
      </w:r>
      <w:r w:rsidRPr="00DF6E0B">
        <w:rPr>
          <w:b/>
        </w:rPr>
        <w:t xml:space="preserve">toho </w:t>
      </w:r>
      <w:r>
        <w:rPr>
          <w:b/>
        </w:rPr>
        <w:t xml:space="preserve">je </w:t>
      </w:r>
      <w:r w:rsidRPr="00DF6E0B">
        <w:rPr>
          <w:b/>
        </w:rPr>
        <w:t xml:space="preserve">850 mil. Kč </w:t>
      </w:r>
      <w:r>
        <w:rPr>
          <w:b/>
        </w:rPr>
        <w:t>identifikováno jako</w:t>
      </w:r>
      <w:r w:rsidR="005057AD">
        <w:rPr>
          <w:b/>
        </w:rPr>
        <w:t xml:space="preserve"> </w:t>
      </w:r>
      <w:r w:rsidRPr="00DF6E0B">
        <w:rPr>
          <w:b/>
        </w:rPr>
        <w:t>tržní mezera pokrytelná finančním nástrojem.</w:t>
      </w:r>
    </w:p>
    <w:p w:rsidR="002C41C1" w:rsidRPr="00DF6E0B" w:rsidRDefault="002C41C1" w:rsidP="00777F5C"/>
    <w:p w:rsidR="002C41C1" w:rsidRPr="00DF6E0B" w:rsidRDefault="002C41C1" w:rsidP="00777F5C">
      <w:r w:rsidRPr="00DF6E0B">
        <w:t>Absorpční kapacitu může v</w:t>
      </w:r>
      <w:r w:rsidRPr="00D144BB">
        <w:t> </w:t>
      </w:r>
      <w:r w:rsidRPr="00DF6E0B">
        <w:t>příštím období pozitivně ovlivnit jak možný incentivizační efekt samotného finančního nástroje, tak další rozvoj měkké státní podpory v</w:t>
      </w:r>
      <w:r w:rsidRPr="00D144BB">
        <w:t> </w:t>
      </w:r>
      <w:r w:rsidRPr="00DF6E0B">
        <w:t>oblasti poradenství a podnikatelských inkubátorů. Výrazné navýšení absorpční kapacity pro finanční nástroj by znamenala úspěšná implementace nástroje v</w:t>
      </w:r>
      <w:r w:rsidRPr="00D144BB">
        <w:t> </w:t>
      </w:r>
      <w:r w:rsidRPr="00DF6E0B">
        <w:t>SC 1.2 proof-of-concept, které se nicméně může projevit až na konci programovacího období.</w:t>
      </w:r>
    </w:p>
    <w:tbl>
      <w:tblPr>
        <w:tblStyle w:val="Mkatabulky"/>
        <w:tblW w:w="8502" w:type="dxa"/>
        <w:tblLook w:val="00A0" w:firstRow="1" w:lastRow="0" w:firstColumn="1" w:lastColumn="0" w:noHBand="0" w:noVBand="0"/>
      </w:tblPr>
      <w:tblGrid>
        <w:gridCol w:w="1897"/>
        <w:gridCol w:w="2196"/>
        <w:gridCol w:w="2213"/>
        <w:gridCol w:w="2196"/>
      </w:tblGrid>
      <w:tr w:rsidR="002C41C1" w:rsidRPr="00EB2427" w:rsidTr="008D55D2">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97" w:type="dxa"/>
            <w:noWrap/>
          </w:tcPr>
          <w:p w:rsidR="002C41C1" w:rsidRPr="00CF7099" w:rsidRDefault="002C41C1" w:rsidP="00CF7099">
            <w:pPr>
              <w:overflowPunct/>
              <w:autoSpaceDE/>
              <w:autoSpaceDN/>
              <w:adjustRightInd/>
              <w:jc w:val="center"/>
              <w:textAlignment w:val="auto"/>
              <w:rPr>
                <w:b w:val="0"/>
                <w:bCs/>
                <w:szCs w:val="22"/>
              </w:rPr>
            </w:pPr>
            <w:r w:rsidRPr="00CF7099">
              <w:rPr>
                <w:bCs/>
                <w:szCs w:val="22"/>
              </w:rPr>
              <w:t>Mil. Kč</w:t>
            </w:r>
          </w:p>
        </w:tc>
        <w:tc>
          <w:tcPr>
            <w:tcW w:w="2196" w:type="dxa"/>
          </w:tcPr>
          <w:p w:rsidR="002C41C1" w:rsidRPr="00CF7099" w:rsidRDefault="002C41C1" w:rsidP="00CF7099">
            <w:pPr>
              <w:overflowPunct/>
              <w:autoSpaceDE/>
              <w:autoSpaceDN/>
              <w:adjustRightInd/>
              <w:jc w:val="center"/>
              <w:textAlignment w:val="auto"/>
              <w:cnfStyle w:val="100000000000" w:firstRow="1" w:lastRow="0" w:firstColumn="0" w:lastColumn="0" w:oddVBand="0" w:evenVBand="0" w:oddHBand="0" w:evenHBand="0" w:firstRowFirstColumn="0" w:firstRowLastColumn="0" w:lastRowFirstColumn="0" w:lastRowLastColumn="0"/>
              <w:rPr>
                <w:b w:val="0"/>
                <w:bCs/>
                <w:szCs w:val="22"/>
              </w:rPr>
            </w:pPr>
            <w:r w:rsidRPr="00CF7099">
              <w:rPr>
                <w:bCs/>
                <w:szCs w:val="22"/>
              </w:rPr>
              <w:t xml:space="preserve">Soubor z dotazníku </w:t>
            </w:r>
          </w:p>
          <w:p w:rsidR="002C41C1" w:rsidRPr="00CF7099" w:rsidRDefault="002C41C1" w:rsidP="00CF7099">
            <w:pPr>
              <w:overflowPunct/>
              <w:autoSpaceDE/>
              <w:autoSpaceDN/>
              <w:adjustRightInd/>
              <w:jc w:val="center"/>
              <w:textAlignment w:val="auto"/>
              <w:cnfStyle w:val="100000000000" w:firstRow="1" w:lastRow="0" w:firstColumn="0" w:lastColumn="0" w:oddVBand="0" w:evenVBand="0" w:oddHBand="0" w:evenHBand="0" w:firstRowFirstColumn="0" w:firstRowLastColumn="0" w:lastRowFirstColumn="0" w:lastRowLastColumn="0"/>
              <w:rPr>
                <w:b w:val="0"/>
                <w:bCs/>
                <w:szCs w:val="22"/>
              </w:rPr>
            </w:pPr>
            <w:r w:rsidRPr="00CF7099">
              <w:rPr>
                <w:bCs/>
                <w:szCs w:val="22"/>
              </w:rPr>
              <w:t>(55)</w:t>
            </w:r>
          </w:p>
        </w:tc>
        <w:tc>
          <w:tcPr>
            <w:tcW w:w="2213" w:type="dxa"/>
          </w:tcPr>
          <w:p w:rsidR="002C41C1" w:rsidRPr="00CF7099" w:rsidRDefault="002C41C1" w:rsidP="00CF7099">
            <w:pPr>
              <w:overflowPunct/>
              <w:autoSpaceDE/>
              <w:autoSpaceDN/>
              <w:adjustRightInd/>
              <w:jc w:val="center"/>
              <w:textAlignment w:val="auto"/>
              <w:cnfStyle w:val="100000000000" w:firstRow="1" w:lastRow="0" w:firstColumn="0" w:lastColumn="0" w:oddVBand="0" w:evenVBand="0" w:oddHBand="0" w:evenHBand="0" w:firstRowFirstColumn="0" w:firstRowLastColumn="0" w:lastRowFirstColumn="0" w:lastRowLastColumn="0"/>
              <w:rPr>
                <w:b w:val="0"/>
                <w:bCs/>
                <w:szCs w:val="22"/>
              </w:rPr>
            </w:pPr>
            <w:r w:rsidRPr="00CF7099">
              <w:rPr>
                <w:bCs/>
                <w:szCs w:val="22"/>
              </w:rPr>
              <w:t xml:space="preserve">Extrapolace </w:t>
            </w:r>
          </w:p>
          <w:p w:rsidR="002C41C1" w:rsidRPr="00CF7099" w:rsidRDefault="002C41C1" w:rsidP="00CF7099">
            <w:pPr>
              <w:overflowPunct/>
              <w:autoSpaceDE/>
              <w:autoSpaceDN/>
              <w:adjustRightInd/>
              <w:jc w:val="center"/>
              <w:textAlignment w:val="auto"/>
              <w:cnfStyle w:val="100000000000" w:firstRow="1" w:lastRow="0" w:firstColumn="0" w:lastColumn="0" w:oddVBand="0" w:evenVBand="0" w:oddHBand="0" w:evenHBand="0" w:firstRowFirstColumn="0" w:firstRowLastColumn="0" w:lastRowFirstColumn="0" w:lastRowLastColumn="0"/>
              <w:rPr>
                <w:b w:val="0"/>
                <w:bCs/>
                <w:szCs w:val="22"/>
              </w:rPr>
            </w:pPr>
            <w:r w:rsidRPr="00CF7099">
              <w:rPr>
                <w:bCs/>
                <w:szCs w:val="22"/>
              </w:rPr>
              <w:t>(GEM 2013, do roku 2023)</w:t>
            </w:r>
          </w:p>
        </w:tc>
        <w:tc>
          <w:tcPr>
            <w:tcW w:w="2196" w:type="dxa"/>
          </w:tcPr>
          <w:p w:rsidR="002C41C1" w:rsidRPr="00CF7099" w:rsidRDefault="002C41C1" w:rsidP="00CF7099">
            <w:pPr>
              <w:overflowPunct/>
              <w:autoSpaceDE/>
              <w:autoSpaceDN/>
              <w:adjustRightInd/>
              <w:jc w:val="center"/>
              <w:textAlignment w:val="auto"/>
              <w:cnfStyle w:val="100000000000" w:firstRow="1" w:lastRow="0" w:firstColumn="0" w:lastColumn="0" w:oddVBand="0" w:evenVBand="0" w:oddHBand="0" w:evenHBand="0" w:firstRowFirstColumn="0" w:firstRowLastColumn="0" w:lastRowFirstColumn="0" w:lastRowLastColumn="0"/>
              <w:rPr>
                <w:b w:val="0"/>
                <w:bCs/>
                <w:szCs w:val="22"/>
              </w:rPr>
            </w:pPr>
            <w:r w:rsidRPr="00CF7099">
              <w:rPr>
                <w:bCs/>
                <w:szCs w:val="22"/>
              </w:rPr>
              <w:t xml:space="preserve">Tržní selhání </w:t>
            </w:r>
          </w:p>
          <w:p w:rsidR="002C41C1" w:rsidRPr="00CF7099" w:rsidRDefault="002C41C1" w:rsidP="00CF7099">
            <w:pPr>
              <w:overflowPunct/>
              <w:autoSpaceDE/>
              <w:autoSpaceDN/>
              <w:adjustRightInd/>
              <w:jc w:val="center"/>
              <w:textAlignment w:val="auto"/>
              <w:cnfStyle w:val="100000000000" w:firstRow="1" w:lastRow="0" w:firstColumn="0" w:lastColumn="0" w:oddVBand="0" w:evenVBand="0" w:oddHBand="0" w:evenHBand="0" w:firstRowFirstColumn="0" w:firstRowLastColumn="0" w:lastRowFirstColumn="0" w:lastRowLastColumn="0"/>
              <w:rPr>
                <w:b w:val="0"/>
                <w:bCs/>
                <w:szCs w:val="22"/>
              </w:rPr>
            </w:pPr>
            <w:r w:rsidRPr="00CF7099">
              <w:rPr>
                <w:bCs/>
                <w:szCs w:val="22"/>
              </w:rPr>
              <w:t>(dotazník)</w:t>
            </w:r>
          </w:p>
        </w:tc>
      </w:tr>
      <w:tr w:rsidR="002C41C1" w:rsidRPr="00EB2427" w:rsidTr="008D55D2">
        <w:trPr>
          <w:trHeight w:val="225"/>
        </w:trPr>
        <w:tc>
          <w:tcPr>
            <w:cnfStyle w:val="001000000000" w:firstRow="0" w:lastRow="0" w:firstColumn="1" w:lastColumn="0" w:oddVBand="0" w:evenVBand="0" w:oddHBand="0" w:evenHBand="0" w:firstRowFirstColumn="0" w:firstRowLastColumn="0" w:lastRowFirstColumn="0" w:lastRowLastColumn="0"/>
            <w:tcW w:w="1897" w:type="dxa"/>
            <w:noWrap/>
          </w:tcPr>
          <w:p w:rsidR="002C41C1" w:rsidRPr="00CF7099" w:rsidRDefault="002C41C1" w:rsidP="00CF7099">
            <w:pPr>
              <w:overflowPunct/>
              <w:autoSpaceDE/>
              <w:autoSpaceDN/>
              <w:adjustRightInd/>
              <w:jc w:val="center"/>
              <w:textAlignment w:val="auto"/>
              <w:rPr>
                <w:b/>
                <w:bCs/>
                <w:color w:val="000000"/>
                <w:szCs w:val="22"/>
              </w:rPr>
            </w:pPr>
            <w:r w:rsidRPr="00CF7099">
              <w:rPr>
                <w:b/>
                <w:bCs/>
                <w:color w:val="000000"/>
                <w:szCs w:val="22"/>
              </w:rPr>
              <w:t>Investiční poptávka</w:t>
            </w:r>
          </w:p>
        </w:tc>
        <w:tc>
          <w:tcPr>
            <w:tcW w:w="2196" w:type="dxa"/>
            <w:noWrap/>
          </w:tcPr>
          <w:p w:rsidR="002C41C1" w:rsidRPr="00CF7099" w:rsidRDefault="002C41C1" w:rsidP="00CF7099">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color w:val="000000"/>
                <w:szCs w:val="22"/>
              </w:rPr>
            </w:pPr>
            <w:r w:rsidRPr="00CF7099">
              <w:rPr>
                <w:color w:val="000000"/>
                <w:szCs w:val="22"/>
              </w:rPr>
              <w:t>709</w:t>
            </w:r>
          </w:p>
        </w:tc>
        <w:tc>
          <w:tcPr>
            <w:tcW w:w="2213" w:type="dxa"/>
            <w:noWrap/>
          </w:tcPr>
          <w:p w:rsidR="002C41C1" w:rsidRPr="00CF7099" w:rsidRDefault="002C41C1" w:rsidP="00CF7099">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color w:val="000000"/>
                <w:szCs w:val="22"/>
              </w:rPr>
            </w:pPr>
            <w:r w:rsidRPr="00CF7099">
              <w:rPr>
                <w:color w:val="000000"/>
                <w:szCs w:val="22"/>
              </w:rPr>
              <w:t>17 182</w:t>
            </w:r>
          </w:p>
        </w:tc>
        <w:tc>
          <w:tcPr>
            <w:tcW w:w="2196" w:type="dxa"/>
            <w:noWrap/>
          </w:tcPr>
          <w:p w:rsidR="002C41C1" w:rsidRPr="00CF7099" w:rsidRDefault="002C41C1" w:rsidP="00CF7099">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color w:val="000000"/>
                <w:szCs w:val="22"/>
              </w:rPr>
            </w:pPr>
            <w:r w:rsidRPr="00CF7099">
              <w:rPr>
                <w:color w:val="000000"/>
                <w:szCs w:val="22"/>
              </w:rPr>
              <w:t>8 420</w:t>
            </w:r>
          </w:p>
        </w:tc>
      </w:tr>
      <w:tr w:rsidR="002C41C1" w:rsidRPr="00EB2427" w:rsidTr="008D55D2">
        <w:trPr>
          <w:trHeight w:val="225"/>
        </w:trPr>
        <w:tc>
          <w:tcPr>
            <w:cnfStyle w:val="001000000000" w:firstRow="0" w:lastRow="0" w:firstColumn="1" w:lastColumn="0" w:oddVBand="0" w:evenVBand="0" w:oddHBand="0" w:evenHBand="0" w:firstRowFirstColumn="0" w:firstRowLastColumn="0" w:lastRowFirstColumn="0" w:lastRowLastColumn="0"/>
            <w:tcW w:w="1897" w:type="dxa"/>
          </w:tcPr>
          <w:p w:rsidR="002C41C1" w:rsidRPr="00CF7099" w:rsidRDefault="002C41C1" w:rsidP="00CF7099">
            <w:pPr>
              <w:overflowPunct/>
              <w:autoSpaceDE/>
              <w:autoSpaceDN/>
              <w:adjustRightInd/>
              <w:jc w:val="center"/>
              <w:textAlignment w:val="auto"/>
              <w:rPr>
                <w:b/>
                <w:bCs/>
                <w:color w:val="000000"/>
                <w:szCs w:val="22"/>
              </w:rPr>
            </w:pPr>
            <w:r w:rsidRPr="00CF7099">
              <w:rPr>
                <w:b/>
                <w:bCs/>
                <w:color w:val="000000"/>
                <w:szCs w:val="22"/>
              </w:rPr>
              <w:t>Externí financování</w:t>
            </w:r>
          </w:p>
        </w:tc>
        <w:tc>
          <w:tcPr>
            <w:tcW w:w="2196" w:type="dxa"/>
            <w:noWrap/>
          </w:tcPr>
          <w:p w:rsidR="002C41C1" w:rsidRPr="00CF7099" w:rsidRDefault="002C41C1" w:rsidP="00CF7099">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color w:val="000000"/>
                <w:szCs w:val="22"/>
              </w:rPr>
            </w:pPr>
            <w:r w:rsidRPr="00CF7099">
              <w:rPr>
                <w:color w:val="000000"/>
                <w:szCs w:val="22"/>
              </w:rPr>
              <w:t>378</w:t>
            </w:r>
          </w:p>
        </w:tc>
        <w:tc>
          <w:tcPr>
            <w:tcW w:w="2213" w:type="dxa"/>
            <w:noWrap/>
          </w:tcPr>
          <w:p w:rsidR="002C41C1" w:rsidRPr="00CF7099" w:rsidRDefault="002C41C1" w:rsidP="00CF7099">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color w:val="000000"/>
                <w:szCs w:val="22"/>
              </w:rPr>
            </w:pPr>
            <w:r w:rsidRPr="00CF7099">
              <w:rPr>
                <w:color w:val="000000"/>
                <w:szCs w:val="22"/>
              </w:rPr>
              <w:t>9 155</w:t>
            </w:r>
          </w:p>
        </w:tc>
        <w:tc>
          <w:tcPr>
            <w:tcW w:w="2196" w:type="dxa"/>
            <w:noWrap/>
          </w:tcPr>
          <w:p w:rsidR="002C41C1" w:rsidRPr="00CF7099" w:rsidRDefault="002C41C1" w:rsidP="00CF7099">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color w:val="000000"/>
                <w:szCs w:val="22"/>
              </w:rPr>
            </w:pPr>
            <w:r w:rsidRPr="00CF7099">
              <w:rPr>
                <w:color w:val="000000"/>
                <w:szCs w:val="22"/>
              </w:rPr>
              <w:t>4 486</w:t>
            </w:r>
          </w:p>
        </w:tc>
      </w:tr>
      <w:tr w:rsidR="002C41C1" w:rsidRPr="00EB2427" w:rsidTr="008D55D2">
        <w:trPr>
          <w:trHeight w:val="461"/>
        </w:trPr>
        <w:tc>
          <w:tcPr>
            <w:cnfStyle w:val="001000000000" w:firstRow="0" w:lastRow="0" w:firstColumn="1" w:lastColumn="0" w:oddVBand="0" w:evenVBand="0" w:oddHBand="0" w:evenHBand="0" w:firstRowFirstColumn="0" w:firstRowLastColumn="0" w:lastRowFirstColumn="0" w:lastRowLastColumn="0"/>
            <w:tcW w:w="1897" w:type="dxa"/>
          </w:tcPr>
          <w:p w:rsidR="002C41C1" w:rsidRPr="00CF7099" w:rsidRDefault="002C41C1" w:rsidP="00CF7099">
            <w:pPr>
              <w:overflowPunct/>
              <w:autoSpaceDE/>
              <w:autoSpaceDN/>
              <w:adjustRightInd/>
              <w:jc w:val="center"/>
              <w:textAlignment w:val="auto"/>
              <w:rPr>
                <w:b/>
                <w:bCs/>
                <w:color w:val="000000"/>
                <w:szCs w:val="22"/>
              </w:rPr>
            </w:pPr>
            <w:r w:rsidRPr="00CF7099">
              <w:rPr>
                <w:b/>
                <w:bCs/>
                <w:color w:val="000000"/>
                <w:szCs w:val="22"/>
              </w:rPr>
              <w:t>Absorpční kapacita kapitálových vstupů</w:t>
            </w:r>
          </w:p>
        </w:tc>
        <w:tc>
          <w:tcPr>
            <w:tcW w:w="2196" w:type="dxa"/>
            <w:noWrap/>
          </w:tcPr>
          <w:p w:rsidR="002C41C1" w:rsidRPr="00CF7099" w:rsidRDefault="002C41C1" w:rsidP="00CF7099">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color w:val="000000"/>
                <w:szCs w:val="22"/>
              </w:rPr>
            </w:pPr>
            <w:r w:rsidRPr="00CF7099">
              <w:rPr>
                <w:color w:val="000000"/>
                <w:szCs w:val="22"/>
              </w:rPr>
              <w:t>74</w:t>
            </w:r>
          </w:p>
        </w:tc>
        <w:tc>
          <w:tcPr>
            <w:tcW w:w="2213" w:type="dxa"/>
            <w:noWrap/>
          </w:tcPr>
          <w:p w:rsidR="002C41C1" w:rsidRPr="00CF7099" w:rsidRDefault="002C41C1" w:rsidP="00CF7099">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color w:val="000000"/>
                <w:szCs w:val="22"/>
              </w:rPr>
            </w:pPr>
            <w:r w:rsidRPr="00CF7099">
              <w:rPr>
                <w:color w:val="000000"/>
                <w:szCs w:val="22"/>
              </w:rPr>
              <w:t>1 785</w:t>
            </w:r>
          </w:p>
        </w:tc>
        <w:tc>
          <w:tcPr>
            <w:tcW w:w="2196" w:type="dxa"/>
            <w:noWrap/>
          </w:tcPr>
          <w:p w:rsidR="002C41C1" w:rsidRPr="00CF7099" w:rsidRDefault="002C41C1" w:rsidP="00CF7099">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color w:val="000000"/>
                <w:szCs w:val="22"/>
              </w:rPr>
            </w:pPr>
            <w:r w:rsidRPr="00CF7099">
              <w:rPr>
                <w:color w:val="000000"/>
                <w:szCs w:val="22"/>
              </w:rPr>
              <w:t>875</w:t>
            </w:r>
          </w:p>
        </w:tc>
      </w:tr>
    </w:tbl>
    <w:p w:rsidR="002C41C1" w:rsidRPr="00DF6E0B" w:rsidRDefault="002C41C1" w:rsidP="00777F5C">
      <w:pPr>
        <w:rPr>
          <w:highlight w:val="yellow"/>
        </w:rPr>
      </w:pPr>
    </w:p>
    <w:p w:rsidR="002C41C1" w:rsidRDefault="002C41C1" w:rsidP="00A1045A">
      <w:pPr>
        <w:pStyle w:val="Vtneslovannadpis"/>
      </w:pPr>
      <w:r>
        <w:t>Analýza tržních selhání a suboptimální investiční situace</w:t>
      </w:r>
    </w:p>
    <w:p w:rsidR="002C41C1" w:rsidRDefault="002C41C1" w:rsidP="00D92A2B">
      <w:pPr>
        <w:pStyle w:val="Neslovannadpisy"/>
      </w:pPr>
      <w:r>
        <w:t>Financování rozvinutých MSP</w:t>
      </w:r>
    </w:p>
    <w:p w:rsidR="002C41C1" w:rsidRDefault="002C41C1" w:rsidP="00D92A2B">
      <w:r>
        <w:t xml:space="preserve">Schopnost finančního trhu efektivně alokovat zdroje ve prospěch financování malých a středních podniků je obvykle odvozována od celkové výše úvěrů poskytnutých malým a středním podnikům za určité období, jejich počtu, podílu na celkovém počtu MSP, podílu MSP, které žádaly o financování a především odhadovaného podílu malých a středních podniků, které nezískaly potřebné financování, ačkoliv byly schopné předložit životaschopný obchodní plán (odmítnuté, nezískaly financování v plné výši nebo o něj nežádaly) – z něj lze odvodit rozsah pravděpodobných tržních selhání a suboptimálních investičních situací. Evropská komise dochází k závěru, že </w:t>
      </w:r>
      <w:r w:rsidRPr="00024EB3">
        <w:rPr>
          <w:b/>
        </w:rPr>
        <w:t xml:space="preserve">podíl finančně </w:t>
      </w:r>
      <w:r w:rsidRPr="00024EB3">
        <w:rPr>
          <w:b/>
        </w:rPr>
        <w:lastRenderedPageBreak/>
        <w:t>životaschopných MSP v České republice, které nezískaly potřebné financování, byl v období 2009-2011 5,1 %</w:t>
      </w:r>
      <w:r>
        <w:t xml:space="preserve">. V rámci EU byl tento podíl mezi nejnižšími, na opačném pólu se naopak nachází Irsko a Španělsko, kde tento podíl přesáhl 21 %. Nicméně, i těchto </w:t>
      </w:r>
      <w:r w:rsidRPr="00024EB3">
        <w:t>5,1 %</w:t>
      </w:r>
      <w:r w:rsidRPr="00D92A2B">
        <w:rPr>
          <w:b/>
        </w:rPr>
        <w:t xml:space="preserve"> představuje předpokládanou tržní mezeru v rozsahu 124 – 871 mil. EUR </w:t>
      </w:r>
      <w:r w:rsidRPr="00024EB3">
        <w:t>za sledované roky 2009-2011</w:t>
      </w:r>
      <w:r w:rsidRPr="00D92A2B">
        <w:rPr>
          <w:b/>
        </w:rPr>
        <w:t>.</w:t>
      </w:r>
    </w:p>
    <w:p w:rsidR="002C41C1" w:rsidRDefault="002C41C1" w:rsidP="00D92A2B"/>
    <w:p w:rsidR="002C41C1" w:rsidRDefault="002C41C1" w:rsidP="00A25D0A">
      <w:r>
        <w:t xml:space="preserve">I jiné zdroje docházejí k podobným závěrům – v České republice není problémem přístup k financování MSP jako celku. V podmínkách České republiky lze hovořit spíše o suboptimálních investičních situacích než o přímých tržních selháních, neboť např. i podle závěrů OECD není celkově pozice podniků v přístupu k úvěrům v České republice významně ztížena. Suboptimální investiční situace však zakládají faktory ležící často mimo finanční trh – celkové omezení investiční aktivity v České republice spojené především s nebývalým útlumem v sektoru stavebnictví. Útlum investic navazuje na ztížený odbyt na domácím trhu (spotřeba byla hlavní příčinou hospodářského poklesu ČR v roce 2013) i trzích hlavních obchodních partnerů. </w:t>
      </w:r>
      <w:r w:rsidRPr="00D93287">
        <w:t>Malé a střední podniky tedy často své investiční aktivity nerealizují vůbec, nebo je realizují jen v omezeném rozsahu z důvodu nejistoty</w:t>
      </w:r>
      <w:r>
        <w:t xml:space="preserve"> spolehlivosti predikcí budoucích finančních toků, a tedy i základních ekonomických parametrů investice. </w:t>
      </w:r>
      <w:r w:rsidRPr="00267AC6">
        <w:rPr>
          <w:b/>
        </w:rPr>
        <w:t>Problémem tedy v České republice není ztížený přístup k úvěrům MSP jako celku ve smyslu vysokého procenta odmítnutých žadatelů o úvěr, lze předpokládat spíše poměrně značný podíl podniků, které svůj obchodní plán vůbec nepředložily</w:t>
      </w:r>
      <w:r>
        <w:t xml:space="preserve">, a to z důvodů ležících </w:t>
      </w:r>
      <w:r w:rsidR="00F27678">
        <w:t xml:space="preserve">zejména </w:t>
      </w:r>
      <w:r>
        <w:t>mimo finanční trhy.</w:t>
      </w:r>
    </w:p>
    <w:p w:rsidR="002C41C1" w:rsidRDefault="002C41C1" w:rsidP="00A25D0A"/>
    <w:p w:rsidR="002C41C1" w:rsidRDefault="002C41C1" w:rsidP="00A25D0A">
      <w:r>
        <w:t>Zvýhodněné financování prostřednictvím úvěru kombinovaného s nenávratnou formou podpory nebo podřízených úvěrů v případě rizikových inovativních projektů mohou pomoci efektivně zaplnit předpokládanou tržní mezeru z důvodu snížení rizika jak na straně úvěrující instituce, tak především na straně úvěrovaného MSP. Stejně tak záruka za úvěrem může zvýšit přístup k financování firem bez dostatečné kreditní historie a zvýšit tak investiční aktivitu MSP.</w:t>
      </w:r>
    </w:p>
    <w:p w:rsidR="002C41C1" w:rsidRDefault="002C41C1" w:rsidP="00D92A2B"/>
    <w:p w:rsidR="002C41C1" w:rsidRDefault="00F27678" w:rsidP="00D740C1">
      <w:pPr>
        <w:pStyle w:val="Neslovannadpisy"/>
      </w:pPr>
      <w:r>
        <w:t xml:space="preserve">Financování early </w:t>
      </w:r>
      <w:r w:rsidR="002C41C1">
        <w:t>stage</w:t>
      </w:r>
    </w:p>
    <w:p w:rsidR="002C41C1" w:rsidRPr="0007393D" w:rsidRDefault="002C41C1" w:rsidP="009A0183">
      <w:r>
        <w:t>Jak vyplývá z výše popsané analýzy trhu ekvity fina</w:t>
      </w:r>
      <w:r w:rsidRPr="00DF6E0B">
        <w:t>ncování</w:t>
      </w:r>
      <w:r w:rsidR="00F27678">
        <w:t xml:space="preserve"> kapitálovými vstupy</w:t>
      </w:r>
      <w:r w:rsidRPr="00DF6E0B">
        <w:t>, je investiční aktivita v</w:t>
      </w:r>
      <w:r w:rsidRPr="00D144BB">
        <w:t> </w:t>
      </w:r>
      <w:r w:rsidRPr="00DF6E0B">
        <w:t>ČR v</w:t>
      </w:r>
      <w:r w:rsidRPr="00D144BB">
        <w:t> </w:t>
      </w:r>
      <w:r w:rsidRPr="00DF6E0B">
        <w:t>oblasti venture kapitálu velmi malá, a to i v</w:t>
      </w:r>
      <w:r w:rsidRPr="00D144BB">
        <w:t> </w:t>
      </w:r>
      <w:r w:rsidRPr="00DF6E0B">
        <w:t>kontextu regionu Střední a Východní Evropy. V</w:t>
      </w:r>
      <w:r w:rsidRPr="00DF6E0B">
        <w:rPr>
          <w:rFonts w:cs="Calibri"/>
          <w:szCs w:val="24"/>
        </w:rPr>
        <w:t>zhledem k tomu, že trh private</w:t>
      </w:r>
      <w:r w:rsidR="005057AD">
        <w:rPr>
          <w:rFonts w:cs="Calibri"/>
          <w:szCs w:val="24"/>
        </w:rPr>
        <w:t xml:space="preserve"> </w:t>
      </w:r>
      <w:r w:rsidRPr="00DF6E0B">
        <w:rPr>
          <w:rFonts w:cs="Calibri"/>
          <w:szCs w:val="24"/>
        </w:rPr>
        <w:t>equity v ČR je naopak obecně stále poměrně silný, ukazuje to na nezájem investorů o konkrétní segment venture investic. Také z</w:t>
      </w:r>
      <w:r w:rsidRPr="00D144BB">
        <w:rPr>
          <w:rFonts w:cs="Calibri"/>
          <w:szCs w:val="24"/>
        </w:rPr>
        <w:t> </w:t>
      </w:r>
      <w:r w:rsidRPr="00DF6E0B">
        <w:rPr>
          <w:rFonts w:cs="Calibri"/>
          <w:szCs w:val="24"/>
        </w:rPr>
        <w:t>rozhovorů s</w:t>
      </w:r>
      <w:r w:rsidRPr="00D144BB">
        <w:rPr>
          <w:rFonts w:cs="Calibri"/>
          <w:szCs w:val="24"/>
        </w:rPr>
        <w:t> </w:t>
      </w:r>
      <w:r w:rsidRPr="00DF6E0B">
        <w:rPr>
          <w:rFonts w:cs="Calibri"/>
          <w:szCs w:val="24"/>
        </w:rPr>
        <w:t>investory vyplývá, že problémem v</w:t>
      </w:r>
      <w:r w:rsidRPr="00D144BB">
        <w:rPr>
          <w:rFonts w:cs="Calibri"/>
          <w:szCs w:val="24"/>
        </w:rPr>
        <w:t> </w:t>
      </w:r>
      <w:r w:rsidRPr="00DF6E0B">
        <w:rPr>
          <w:rFonts w:cs="Calibri"/>
          <w:szCs w:val="24"/>
        </w:rPr>
        <w:t>oblasti early</w:t>
      </w:r>
      <w:r w:rsidR="00F27678">
        <w:rPr>
          <w:rFonts w:cs="Calibri"/>
          <w:szCs w:val="24"/>
        </w:rPr>
        <w:t xml:space="preserve"> </w:t>
      </w:r>
      <w:r w:rsidRPr="00DF6E0B">
        <w:rPr>
          <w:rFonts w:cs="Calibri"/>
          <w:szCs w:val="24"/>
        </w:rPr>
        <w:t xml:space="preserve">stage rizikového financování není </w:t>
      </w:r>
      <w:r w:rsidR="00F27678">
        <w:rPr>
          <w:rFonts w:cs="Calibri"/>
          <w:szCs w:val="24"/>
        </w:rPr>
        <w:t>ne</w:t>
      </w:r>
      <w:r w:rsidRPr="00DF6E0B">
        <w:rPr>
          <w:rFonts w:cs="Calibri"/>
          <w:szCs w:val="24"/>
        </w:rPr>
        <w:t>dostatek kapitálu jako takového.</w:t>
      </w:r>
    </w:p>
    <w:p w:rsidR="002C41C1" w:rsidRPr="0007393D" w:rsidRDefault="002C41C1" w:rsidP="00A1045A"/>
    <w:p w:rsidR="002C41C1" w:rsidRPr="007F5D7C" w:rsidRDefault="002C41C1" w:rsidP="00A1045A">
      <w:r w:rsidRPr="00DF6E0B">
        <w:t>Mezinárodní srovnání naznačují existenci tržního selhání, které má finanční i nefinanční povahu. MSP narážejí při hledání financování na nedostatek volných soukromých prostředků. Kvůli nedostatečné manažerské zkušenosti a chybějícím poradenským službám nejsou často vlastníci projektů schopni prezentace, která by vzbudila zájem soukromých investorů.</w:t>
      </w:r>
      <w:r w:rsidR="00F27678">
        <w:t xml:space="preserve"> </w:t>
      </w:r>
      <w:r w:rsidRPr="00DF6E0B">
        <w:t>Nabídka poradenských služeb začínajícím podnikatelům se s</w:t>
      </w:r>
      <w:r w:rsidRPr="00D144BB">
        <w:t> </w:t>
      </w:r>
      <w:r w:rsidRPr="00DF6E0B">
        <w:t>aktivitami CzechEkoSystem a CzechAccelerator vládní agentury CzechInvest v</w:t>
      </w:r>
      <w:r w:rsidRPr="00D144BB">
        <w:t> </w:t>
      </w:r>
      <w:r w:rsidRPr="00DF6E0B">
        <w:t>posledním období znatelně zlepšila, další důraz na kultivaci prostředí a podporu podnikatelských inkubátorů je nicméně</w:t>
      </w:r>
      <w:r w:rsidR="00F27678">
        <w:t xml:space="preserve"> </w:t>
      </w:r>
      <w:r w:rsidRPr="00DF6E0B">
        <w:t>nezbytný.</w:t>
      </w:r>
    </w:p>
    <w:p w:rsidR="002C41C1" w:rsidRPr="007F5D7C" w:rsidRDefault="002C41C1" w:rsidP="00A1045A"/>
    <w:p w:rsidR="002C41C1" w:rsidRPr="00DF6E0B" w:rsidRDefault="002C41C1" w:rsidP="00A1045A">
      <w:r w:rsidRPr="00DF6E0B">
        <w:t>V</w:t>
      </w:r>
      <w:r w:rsidRPr="00D144BB">
        <w:t> </w:t>
      </w:r>
      <w:r w:rsidRPr="00DF6E0B">
        <w:t>oblasti rizikového kapitálu spatřujeme jen relativně malé</w:t>
      </w:r>
      <w:r w:rsidR="00F27678">
        <w:t xml:space="preserve"> </w:t>
      </w:r>
      <w:r w:rsidRPr="00DF6E0B">
        <w:t>tržní selh</w:t>
      </w:r>
      <w:r w:rsidR="00F27678">
        <w:t>ání na straně financování start</w:t>
      </w:r>
      <w:r w:rsidRPr="00DF6E0B">
        <w:t>upů v</w:t>
      </w:r>
      <w:r w:rsidRPr="00D144BB">
        <w:t> </w:t>
      </w:r>
      <w:r w:rsidRPr="00DF6E0B">
        <w:t>kapitálově méně náročnějších sektorech ICT a inovativních služeb, kde již dnes působí několik venture</w:t>
      </w:r>
      <w:r w:rsidR="00F27678">
        <w:t xml:space="preserve"> fondů, případně business angels</w:t>
      </w:r>
      <w:r w:rsidRPr="00DF6E0B">
        <w:t xml:space="preserve"> ochotných velmi nadějným projektům kapitál poskytovat. Bariérou je zde stále vysoká averze investorů vůči</w:t>
      </w:r>
      <w:r w:rsidRPr="00D144BB">
        <w:t> </w:t>
      </w:r>
      <w:r w:rsidRPr="00DF6E0B">
        <w:t>riziku, která však vychází i z</w:t>
      </w:r>
      <w:r w:rsidRPr="00D144BB">
        <w:t> </w:t>
      </w:r>
      <w:r w:rsidRPr="00DF6E0B">
        <w:t>nižší kvality a potenciálu mnoha projektů. Relativní dostatek kapitálu na straně investorů tedy hledá obtížně cestu ke zhodnocení.</w:t>
      </w:r>
      <w:r w:rsidR="00F27678">
        <w:t xml:space="preserve"> </w:t>
      </w:r>
      <w:r w:rsidRPr="00DF6E0B">
        <w:t>Státní intervence na straně financování může pomoci především rozředěním rizika díky</w:t>
      </w:r>
      <w:r w:rsidR="00F27678">
        <w:t xml:space="preserve"> </w:t>
      </w:r>
      <w:r w:rsidRPr="00DF6E0B">
        <w:t>preferenčnímu nastavení.</w:t>
      </w:r>
    </w:p>
    <w:p w:rsidR="002C41C1" w:rsidRPr="00DF6E0B" w:rsidRDefault="002C41C1" w:rsidP="00A1045A"/>
    <w:p w:rsidR="002C41C1" w:rsidRDefault="002C41C1" w:rsidP="00A1045A">
      <w:r w:rsidRPr="00DF6E0B">
        <w:t>Hlavní tržní selhání však pozorujeme v</w:t>
      </w:r>
      <w:r w:rsidRPr="00D144BB">
        <w:t> </w:t>
      </w:r>
      <w:r w:rsidRPr="00DF6E0B">
        <w:t>nedostatku podpořených i dostupných projektů v</w:t>
      </w:r>
      <w:r w:rsidRPr="00D144BB">
        <w:t> </w:t>
      </w:r>
      <w:r w:rsidRPr="00DF6E0B">
        <w:t xml:space="preserve">jiných vysoce inovativních oblastech, kde jsou uplatnitelné výsledky veřejného výzkumu. Tato oblast stojí </w:t>
      </w:r>
      <w:r w:rsidRPr="00DF6E0B">
        <w:lastRenderedPageBreak/>
        <w:t>mimo zájem v</w:t>
      </w:r>
      <w:r w:rsidRPr="00D144BB">
        <w:t> </w:t>
      </w:r>
      <w:r w:rsidRPr="00DF6E0B">
        <w:t>ČR aktivních venture fondů kvůli vysokému riziku, investičním nákladům i složitosti specializované problematiky, stejně jako kvůli malému počtu kvalitních univerzitních spin-offů, do kterých by investice mohly jít. Významný díl tržního selhání přikládáme neschopnosti veřejných subjektů podporovat komercializaci záměrů ve výzkumných centrech vzniklých za využití veřejné podpory, vědeckotechnických parcích a při předních univerzitách. Význam tohoto problému se bude s dalšími intervencemi v oblasti seed financování násobit a pro správnou funkci celého systému je nutné jeho vyřešení.</w:t>
      </w:r>
    </w:p>
    <w:p w:rsidR="002C41C1" w:rsidRDefault="002C41C1" w:rsidP="00A1045A"/>
    <w:p w:rsidR="002C41C1" w:rsidRDefault="002C41C1">
      <w:pPr>
        <w:pStyle w:val="Neslovannadpisy"/>
      </w:pPr>
      <w:r>
        <w:t>Dotazníkové šetření</w:t>
      </w:r>
    </w:p>
    <w:p w:rsidR="002C41C1" w:rsidRDefault="002C41C1" w:rsidP="00C500F0">
      <w:r>
        <w:t>K bariérám v příst</w:t>
      </w:r>
      <w:r w:rsidR="00F27678">
        <w:t>upu k financování se vyjadřovali</w:t>
      </w:r>
      <w:r>
        <w:t xml:space="preserve"> také respondenti dotazníkového šetření v této studii. O </w:t>
      </w:r>
      <w:r w:rsidRPr="00DF6E0B">
        <w:rPr>
          <w:b/>
        </w:rPr>
        <w:t>informační bariéře</w:t>
      </w:r>
      <w:r>
        <w:t xml:space="preserve"> v přístupu k bankovnímu financování, nutnosti přílišného zajištění a celkově špatných možnostech úvěrového financování hovořilo 15 % respondentů. </w:t>
      </w:r>
      <w:r w:rsidRPr="00DF6E0B">
        <w:rPr>
          <w:b/>
        </w:rPr>
        <w:t>Mezi nejčastější úskalí procesu získání úvěru patří nedostatečné zajištění, přílišná nákladnost financování a dlouhá doba návratnosti uvažovaného projektu</w:t>
      </w:r>
      <w:r>
        <w:t xml:space="preserve">. Problémem bývá rovněž rizikový profil žadatele a projektu, nejčastěji z důvodu chybějící podnikatelské historie, aktuálního zadlužení a nejistého výsledku uvažovaného projektu. </w:t>
      </w:r>
    </w:p>
    <w:p w:rsidR="002C41C1" w:rsidRDefault="002C41C1" w:rsidP="00C500F0"/>
    <w:p w:rsidR="002C41C1" w:rsidRDefault="002C41C1" w:rsidP="00C500F0">
      <w:r>
        <w:t xml:space="preserve">Nedostatečný ekonomický potenciál projektu byl překážkou poskytnutí úvěru v pěti procentech odmítnutých dotazovaných subjektů. Vzhledem ke komerčnímu, a nikoli společenskému měřítku aplikovanému při posuzování tržní situace v oblastech spadajících do specifického cíle 2.1 však toto nepovažujeme za selhání trhu, ale naopak důkaz jeho správného fungování. </w:t>
      </w:r>
    </w:p>
    <w:p w:rsidR="002C41C1" w:rsidRDefault="002C41C1" w:rsidP="00C500F0"/>
    <w:p w:rsidR="002C41C1" w:rsidRDefault="002C41C1" w:rsidP="00DB7744">
      <w:pPr>
        <w:pStyle w:val="Vtneslovannadpis"/>
      </w:pPr>
      <w:r>
        <w:t>Návrh opatření</w:t>
      </w:r>
    </w:p>
    <w:p w:rsidR="002C41C1" w:rsidRDefault="002C41C1" w:rsidP="00DB7744">
      <w:r>
        <w:t xml:space="preserve">Vzhledem k ziskovému charakteru projektů jednoznačně doporučujeme využití finančních nástrojů. </w:t>
      </w:r>
    </w:p>
    <w:p w:rsidR="002C41C1" w:rsidRDefault="002C41C1" w:rsidP="00DB7744"/>
    <w:p w:rsidR="002C41C1" w:rsidRDefault="002C41C1" w:rsidP="00DB7744">
      <w:r w:rsidRPr="00DB7744">
        <w:rPr>
          <w:b/>
        </w:rPr>
        <w:t>Seed a startup investice</w:t>
      </w:r>
      <w:r>
        <w:t xml:space="preserve"> – Projekt zakládání a rozvoje inovativních MSP kapitálovým nebo kvazikapitálovým vstupem do subjektu žadatele z kategorie MSP, s předpokládaným prodejem podílu v investičním horizontu 3 – 5 let. Možno doplnit dotac</w:t>
      </w:r>
      <w:r w:rsidR="00F27678">
        <w:t xml:space="preserve">í k úhradě nákladů spojených s </w:t>
      </w:r>
      <w:r>
        <w:t xml:space="preserve">poradenstvím při přípravě prodeje podílu. Ideální variantou je investování s koinvestorem ze soukromého sektoru. </w:t>
      </w:r>
      <w:r w:rsidR="00F27678">
        <w:t>S ohledem na nízkou úroveň připravenosti projektů k zainvestování rizikovým kapitálem doporučujeme dále finanční nástroj vhodně kombinovat s poskytováním poradenských služeb, které zatraktivní startupy pro investory a také s podporu poradenství pro projekty již zainvestované z OPPIK. Stejně tak lze velmi doporučit celostátní pokrytí opatření, tedy jak mimopražské regiony, tak hlavní město Prahu. V opačném případě nebude mít finanční nástroj obchodní logiku pro soukromé investory.</w:t>
      </w:r>
    </w:p>
    <w:p w:rsidR="002C41C1" w:rsidRDefault="002C41C1" w:rsidP="00DB7744"/>
    <w:p w:rsidR="002C41C1" w:rsidRDefault="002C41C1" w:rsidP="00DB7744">
      <w:r w:rsidRPr="00DB7744">
        <w:rPr>
          <w:b/>
        </w:rPr>
        <w:t>Investice na rozšíření</w:t>
      </w:r>
      <w:r>
        <w:t xml:space="preserve"> – Kapitálové nebo kvazikapitálový vstup do existujícího MSP s předpokládaným prodejem podílu v investičním horizontu 3 – 5 let. Dotační podpora k úhradě nákladů spojených s prodejem podílu či primárním úpisu akcií. Ideální variantou je investování s koinvestorem ze soukromého sektoru. </w:t>
      </w:r>
    </w:p>
    <w:p w:rsidR="002C41C1" w:rsidRDefault="002C41C1" w:rsidP="00DB7744"/>
    <w:p w:rsidR="002C41C1" w:rsidRDefault="002C41C1" w:rsidP="00DB7744">
      <w:r w:rsidRPr="00DB7744">
        <w:rPr>
          <w:b/>
        </w:rPr>
        <w:t>Úvěry MSP</w:t>
      </w:r>
      <w:r>
        <w:t xml:space="preserve"> – Zvýhodněný úvěr s nižší úrokovou sazbou a delší dobou splatnosti s možností odkladu splátek k financování projektů zakládání a rozvoje MSP. Primárním cílem projektu je investice do technologie, může být spojena s investicí do nemovitého majetku a souvisejícími provozními náklady dle specifikace programu. </w:t>
      </w:r>
    </w:p>
    <w:p w:rsidR="002C41C1" w:rsidRDefault="002C41C1" w:rsidP="00DB7744"/>
    <w:p w:rsidR="002C41C1" w:rsidRDefault="002C41C1" w:rsidP="00DB7744">
      <w:r w:rsidRPr="00DB7744">
        <w:rPr>
          <w:b/>
        </w:rPr>
        <w:t>Portfolio záruka</w:t>
      </w:r>
      <w:r>
        <w:t xml:space="preserve"> – Poskytnutí záruky komerční bance za portfolio úvěrů k financování investic do technologie, která může být spojena i s investicí do nemovitého majetku a souvisejícími provozními náklady. Portfolio bude složeno z projektů, které by za normálních okolností nedosáhly na bankovní financování, např. z důvodu krátké historie firmy či nedostatku zajištění. </w:t>
      </w:r>
    </w:p>
    <w:p w:rsidR="002C41C1" w:rsidRDefault="002C41C1" w:rsidP="00DB7744"/>
    <w:p w:rsidR="002C41C1" w:rsidRDefault="002C41C1" w:rsidP="00DB7744">
      <w:r w:rsidRPr="00DB7744">
        <w:rPr>
          <w:b/>
        </w:rPr>
        <w:t>Individuální záruka</w:t>
      </w:r>
      <w:r>
        <w:t xml:space="preserve"> – Poskytnutí záruky komerční bance za konkrétní úvěry k financování investic do technologie, která může být spojena i s investicí do nemovitého majetku a souvisejícími provozními náklady. Záruka bude poskytována projektům většího rozsahu, které by tržně financování nedosáhly, např. z důvodu krátké historie firmy či nedostatku zajištění.</w:t>
      </w:r>
    </w:p>
    <w:p w:rsidR="002C41C1" w:rsidRDefault="002C41C1" w:rsidP="00B21DA0"/>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67"/>
        <w:gridCol w:w="399"/>
        <w:gridCol w:w="1586"/>
        <w:gridCol w:w="1136"/>
        <w:gridCol w:w="1557"/>
        <w:gridCol w:w="1520"/>
        <w:gridCol w:w="2307"/>
      </w:tblGrid>
      <w:tr w:rsidR="002C41C1" w:rsidRPr="00661000" w:rsidTr="00FE5BCE">
        <w:trPr>
          <w:trHeight w:val="315"/>
        </w:trPr>
        <w:tc>
          <w:tcPr>
            <w:tcW w:w="567" w:type="dxa"/>
            <w:tcBorders>
              <w:top w:val="nil"/>
              <w:left w:val="nil"/>
              <w:bottom w:val="nil"/>
              <w:right w:val="nil"/>
            </w:tcBorders>
            <w:noWrap/>
            <w:vAlign w:val="bottom"/>
          </w:tcPr>
          <w:p w:rsidR="002C41C1" w:rsidRPr="00661000" w:rsidRDefault="002C41C1" w:rsidP="00FE5BCE">
            <w:pPr>
              <w:keepNext/>
              <w:jc w:val="left"/>
              <w:rPr>
                <w:sz w:val="18"/>
                <w:szCs w:val="18"/>
              </w:rPr>
            </w:pPr>
          </w:p>
        </w:tc>
        <w:tc>
          <w:tcPr>
            <w:tcW w:w="399" w:type="dxa"/>
            <w:tcBorders>
              <w:top w:val="nil"/>
              <w:left w:val="nil"/>
              <w:bottom w:val="nil"/>
            </w:tcBorders>
            <w:noWrap/>
            <w:vAlign w:val="bottom"/>
          </w:tcPr>
          <w:p w:rsidR="002C41C1" w:rsidRPr="00661000" w:rsidRDefault="002C41C1" w:rsidP="00FE5BCE">
            <w:pPr>
              <w:keepNext/>
              <w:jc w:val="left"/>
              <w:rPr>
                <w:sz w:val="18"/>
                <w:szCs w:val="18"/>
              </w:rPr>
            </w:pPr>
          </w:p>
        </w:tc>
        <w:tc>
          <w:tcPr>
            <w:tcW w:w="8106" w:type="dxa"/>
            <w:gridSpan w:val="5"/>
            <w:shd w:val="clear" w:color="auto" w:fill="EAF1DD"/>
            <w:noWrap/>
            <w:vAlign w:val="bottom"/>
          </w:tcPr>
          <w:p w:rsidR="002C41C1" w:rsidRPr="00661000" w:rsidRDefault="002C41C1" w:rsidP="00FE5BCE">
            <w:pPr>
              <w:keepNext/>
              <w:jc w:val="center"/>
              <w:rPr>
                <w:b/>
                <w:color w:val="000000"/>
                <w:sz w:val="18"/>
                <w:szCs w:val="18"/>
              </w:rPr>
            </w:pPr>
            <w:r w:rsidRPr="00661000">
              <w:rPr>
                <w:b/>
                <w:color w:val="000000"/>
                <w:sz w:val="18"/>
                <w:szCs w:val="18"/>
              </w:rPr>
              <w:t>Finanční nástroj</w:t>
            </w:r>
          </w:p>
        </w:tc>
      </w:tr>
      <w:tr w:rsidR="002C41C1" w:rsidRPr="00661000" w:rsidTr="00FE5BCE">
        <w:trPr>
          <w:trHeight w:val="300"/>
        </w:trPr>
        <w:tc>
          <w:tcPr>
            <w:tcW w:w="567" w:type="dxa"/>
            <w:tcBorders>
              <w:top w:val="nil"/>
              <w:left w:val="nil"/>
              <w:bottom w:val="nil"/>
              <w:right w:val="nil"/>
            </w:tcBorders>
            <w:noWrap/>
            <w:vAlign w:val="bottom"/>
          </w:tcPr>
          <w:p w:rsidR="002C41C1" w:rsidRPr="00661000" w:rsidRDefault="002C41C1" w:rsidP="00FE5BCE">
            <w:pPr>
              <w:keepNext/>
              <w:jc w:val="left"/>
              <w:rPr>
                <w:color w:val="000000"/>
                <w:sz w:val="18"/>
                <w:szCs w:val="18"/>
              </w:rPr>
            </w:pPr>
            <w:r w:rsidRPr="00661000">
              <w:rPr>
                <w:color w:val="000000"/>
                <w:sz w:val="18"/>
                <w:szCs w:val="18"/>
              </w:rPr>
              <w:t> </w:t>
            </w:r>
          </w:p>
        </w:tc>
        <w:tc>
          <w:tcPr>
            <w:tcW w:w="399" w:type="dxa"/>
            <w:tcBorders>
              <w:top w:val="nil"/>
              <w:left w:val="nil"/>
              <w:bottom w:val="nil"/>
            </w:tcBorders>
            <w:noWrap/>
            <w:vAlign w:val="bottom"/>
          </w:tcPr>
          <w:p w:rsidR="002C41C1" w:rsidRPr="00661000" w:rsidRDefault="002C41C1" w:rsidP="00FE5BCE">
            <w:pPr>
              <w:keepNext/>
              <w:jc w:val="left"/>
              <w:rPr>
                <w:color w:val="000000"/>
                <w:sz w:val="18"/>
                <w:szCs w:val="18"/>
              </w:rPr>
            </w:pPr>
            <w:r w:rsidRPr="00661000">
              <w:rPr>
                <w:color w:val="000000"/>
                <w:sz w:val="18"/>
                <w:szCs w:val="18"/>
              </w:rPr>
              <w:t> </w:t>
            </w:r>
          </w:p>
        </w:tc>
        <w:tc>
          <w:tcPr>
            <w:tcW w:w="2722" w:type="dxa"/>
            <w:gridSpan w:val="2"/>
            <w:shd w:val="clear" w:color="auto" w:fill="EAF1DD"/>
            <w:vAlign w:val="center"/>
          </w:tcPr>
          <w:p w:rsidR="002C41C1" w:rsidRPr="00661000" w:rsidRDefault="002C41C1" w:rsidP="00FE5BCE">
            <w:pPr>
              <w:keepNext/>
              <w:jc w:val="center"/>
              <w:rPr>
                <w:b/>
                <w:bCs/>
                <w:color w:val="000000"/>
                <w:sz w:val="18"/>
                <w:szCs w:val="18"/>
              </w:rPr>
            </w:pPr>
            <w:r w:rsidRPr="00661000">
              <w:rPr>
                <w:b/>
                <w:bCs/>
                <w:color w:val="000000"/>
                <w:sz w:val="18"/>
                <w:szCs w:val="18"/>
              </w:rPr>
              <w:t>Kapitálové vstupy</w:t>
            </w:r>
          </w:p>
        </w:tc>
        <w:tc>
          <w:tcPr>
            <w:tcW w:w="3077" w:type="dxa"/>
            <w:gridSpan w:val="2"/>
            <w:shd w:val="clear" w:color="auto" w:fill="EAF1DD"/>
            <w:vAlign w:val="center"/>
          </w:tcPr>
          <w:p w:rsidR="002C41C1" w:rsidRPr="00661000" w:rsidRDefault="002C41C1" w:rsidP="00FE5BCE">
            <w:pPr>
              <w:keepNext/>
              <w:jc w:val="center"/>
              <w:rPr>
                <w:b/>
                <w:bCs/>
                <w:color w:val="000000"/>
                <w:sz w:val="18"/>
                <w:szCs w:val="18"/>
              </w:rPr>
            </w:pPr>
            <w:r w:rsidRPr="00661000">
              <w:rPr>
                <w:b/>
                <w:bCs/>
                <w:color w:val="000000"/>
                <w:sz w:val="18"/>
                <w:szCs w:val="18"/>
              </w:rPr>
              <w:t>Záruky</w:t>
            </w:r>
          </w:p>
        </w:tc>
        <w:tc>
          <w:tcPr>
            <w:tcW w:w="2307" w:type="dxa"/>
            <w:vMerge w:val="restart"/>
            <w:shd w:val="clear" w:color="auto" w:fill="EAF1DD"/>
            <w:vAlign w:val="center"/>
          </w:tcPr>
          <w:p w:rsidR="002C41C1" w:rsidRPr="00661000" w:rsidRDefault="002C41C1" w:rsidP="00FE5BCE">
            <w:pPr>
              <w:keepNext/>
              <w:jc w:val="center"/>
              <w:rPr>
                <w:b/>
                <w:bCs/>
                <w:color w:val="000000"/>
                <w:sz w:val="18"/>
                <w:szCs w:val="18"/>
              </w:rPr>
            </w:pPr>
            <w:r w:rsidRPr="00661000">
              <w:rPr>
                <w:b/>
                <w:bCs/>
                <w:color w:val="000000"/>
                <w:sz w:val="18"/>
                <w:szCs w:val="18"/>
              </w:rPr>
              <w:t>Úvěry MSP</w:t>
            </w:r>
          </w:p>
        </w:tc>
      </w:tr>
      <w:tr w:rsidR="002C41C1" w:rsidRPr="00661000" w:rsidTr="00FE5BCE">
        <w:trPr>
          <w:trHeight w:val="300"/>
        </w:trPr>
        <w:tc>
          <w:tcPr>
            <w:tcW w:w="567" w:type="dxa"/>
            <w:tcBorders>
              <w:top w:val="nil"/>
              <w:left w:val="nil"/>
              <w:right w:val="nil"/>
            </w:tcBorders>
            <w:noWrap/>
            <w:vAlign w:val="bottom"/>
          </w:tcPr>
          <w:p w:rsidR="002C41C1" w:rsidRPr="00661000" w:rsidRDefault="002C41C1" w:rsidP="00FE5BCE">
            <w:pPr>
              <w:keepNext/>
              <w:jc w:val="left"/>
              <w:rPr>
                <w:color w:val="000000"/>
                <w:sz w:val="18"/>
                <w:szCs w:val="18"/>
              </w:rPr>
            </w:pPr>
            <w:r w:rsidRPr="00661000">
              <w:rPr>
                <w:color w:val="000000"/>
                <w:sz w:val="18"/>
                <w:szCs w:val="18"/>
              </w:rPr>
              <w:t> </w:t>
            </w:r>
          </w:p>
        </w:tc>
        <w:tc>
          <w:tcPr>
            <w:tcW w:w="399" w:type="dxa"/>
            <w:tcBorders>
              <w:top w:val="nil"/>
              <w:left w:val="nil"/>
            </w:tcBorders>
            <w:noWrap/>
            <w:vAlign w:val="bottom"/>
          </w:tcPr>
          <w:p w:rsidR="002C41C1" w:rsidRPr="00661000" w:rsidRDefault="002C41C1" w:rsidP="00FE5BCE">
            <w:pPr>
              <w:keepNext/>
              <w:jc w:val="left"/>
              <w:rPr>
                <w:color w:val="000000"/>
                <w:sz w:val="18"/>
                <w:szCs w:val="18"/>
              </w:rPr>
            </w:pPr>
          </w:p>
        </w:tc>
        <w:tc>
          <w:tcPr>
            <w:tcW w:w="1586" w:type="dxa"/>
            <w:shd w:val="clear" w:color="auto" w:fill="EAF1DD"/>
            <w:vAlign w:val="center"/>
          </w:tcPr>
          <w:p w:rsidR="002C41C1" w:rsidRPr="00661000" w:rsidRDefault="002C41C1" w:rsidP="00FE5BCE">
            <w:pPr>
              <w:keepNext/>
              <w:jc w:val="center"/>
              <w:rPr>
                <w:b/>
                <w:bCs/>
                <w:color w:val="000000"/>
                <w:sz w:val="18"/>
                <w:szCs w:val="18"/>
              </w:rPr>
            </w:pPr>
            <w:r w:rsidRPr="00661000">
              <w:rPr>
                <w:b/>
                <w:bCs/>
                <w:color w:val="000000"/>
                <w:sz w:val="18"/>
                <w:szCs w:val="18"/>
              </w:rPr>
              <w:t>Seed a startup</w:t>
            </w:r>
          </w:p>
        </w:tc>
        <w:tc>
          <w:tcPr>
            <w:tcW w:w="1136" w:type="dxa"/>
            <w:shd w:val="clear" w:color="auto" w:fill="EAF1DD"/>
            <w:vAlign w:val="center"/>
          </w:tcPr>
          <w:p w:rsidR="002C41C1" w:rsidRPr="00661000" w:rsidRDefault="002C41C1" w:rsidP="00FE5BCE">
            <w:pPr>
              <w:keepNext/>
              <w:ind w:left="72"/>
              <w:jc w:val="center"/>
              <w:rPr>
                <w:b/>
                <w:bCs/>
                <w:color w:val="000000"/>
                <w:sz w:val="18"/>
                <w:szCs w:val="18"/>
              </w:rPr>
            </w:pPr>
            <w:r w:rsidRPr="00661000">
              <w:rPr>
                <w:b/>
                <w:bCs/>
                <w:color w:val="000000"/>
                <w:sz w:val="18"/>
                <w:szCs w:val="18"/>
              </w:rPr>
              <w:t>Rozšiřující</w:t>
            </w:r>
          </w:p>
        </w:tc>
        <w:tc>
          <w:tcPr>
            <w:tcW w:w="1557" w:type="dxa"/>
            <w:shd w:val="clear" w:color="auto" w:fill="EAF1DD"/>
            <w:vAlign w:val="center"/>
          </w:tcPr>
          <w:p w:rsidR="002C41C1" w:rsidRPr="00661000" w:rsidRDefault="002C41C1" w:rsidP="00FE5BCE">
            <w:pPr>
              <w:keepNext/>
              <w:jc w:val="center"/>
              <w:rPr>
                <w:b/>
                <w:bCs/>
                <w:color w:val="000000"/>
                <w:sz w:val="18"/>
                <w:szCs w:val="18"/>
              </w:rPr>
            </w:pPr>
            <w:r w:rsidRPr="00661000">
              <w:rPr>
                <w:b/>
                <w:bCs/>
                <w:color w:val="000000"/>
                <w:sz w:val="18"/>
                <w:szCs w:val="18"/>
              </w:rPr>
              <w:t>Portfoliové</w:t>
            </w:r>
          </w:p>
        </w:tc>
        <w:tc>
          <w:tcPr>
            <w:tcW w:w="1520" w:type="dxa"/>
            <w:shd w:val="clear" w:color="auto" w:fill="EAF1DD"/>
            <w:vAlign w:val="center"/>
          </w:tcPr>
          <w:p w:rsidR="002C41C1" w:rsidRPr="00661000" w:rsidRDefault="002C41C1" w:rsidP="00FE5BCE">
            <w:pPr>
              <w:keepNext/>
              <w:jc w:val="center"/>
              <w:rPr>
                <w:b/>
                <w:bCs/>
                <w:color w:val="000000"/>
                <w:sz w:val="18"/>
                <w:szCs w:val="18"/>
              </w:rPr>
            </w:pPr>
            <w:r w:rsidRPr="00661000">
              <w:rPr>
                <w:b/>
                <w:bCs/>
                <w:color w:val="000000"/>
                <w:sz w:val="18"/>
                <w:szCs w:val="18"/>
              </w:rPr>
              <w:t>Individuální</w:t>
            </w:r>
          </w:p>
        </w:tc>
        <w:tc>
          <w:tcPr>
            <w:tcW w:w="2307" w:type="dxa"/>
            <w:vMerge/>
            <w:shd w:val="clear" w:color="auto" w:fill="EAF1DD"/>
            <w:vAlign w:val="center"/>
          </w:tcPr>
          <w:p w:rsidR="002C41C1" w:rsidRPr="00661000" w:rsidRDefault="002C41C1" w:rsidP="00FE5BCE">
            <w:pPr>
              <w:keepNext/>
              <w:jc w:val="left"/>
              <w:rPr>
                <w:b/>
                <w:bCs/>
                <w:color w:val="000000"/>
                <w:sz w:val="18"/>
                <w:szCs w:val="18"/>
              </w:rPr>
            </w:pPr>
          </w:p>
        </w:tc>
      </w:tr>
      <w:tr w:rsidR="002C41C1" w:rsidRPr="00661000" w:rsidTr="00FE5BCE">
        <w:trPr>
          <w:trHeight w:val="760"/>
        </w:trPr>
        <w:tc>
          <w:tcPr>
            <w:tcW w:w="567" w:type="dxa"/>
            <w:vMerge w:val="restart"/>
            <w:shd w:val="clear" w:color="auto" w:fill="B6DDE8"/>
            <w:noWrap/>
            <w:textDirection w:val="btLr"/>
            <w:vAlign w:val="center"/>
          </w:tcPr>
          <w:p w:rsidR="002C41C1" w:rsidRPr="00661000" w:rsidRDefault="00F27678" w:rsidP="00FE5BCE">
            <w:pPr>
              <w:keepNext/>
              <w:jc w:val="center"/>
              <w:rPr>
                <w:b/>
                <w:bCs/>
                <w:color w:val="000000"/>
                <w:sz w:val="18"/>
                <w:szCs w:val="18"/>
              </w:rPr>
            </w:pPr>
            <w:r>
              <w:rPr>
                <w:b/>
                <w:bCs/>
                <w:color w:val="000000"/>
                <w:sz w:val="18"/>
                <w:szCs w:val="18"/>
              </w:rPr>
              <w:t>Přidaná hodnota</w:t>
            </w:r>
          </w:p>
        </w:tc>
        <w:tc>
          <w:tcPr>
            <w:tcW w:w="399" w:type="dxa"/>
            <w:vMerge w:val="restart"/>
            <w:shd w:val="clear" w:color="auto" w:fill="B6DDE8"/>
            <w:noWrap/>
            <w:textDirection w:val="btLr"/>
            <w:vAlign w:val="center"/>
          </w:tcPr>
          <w:p w:rsidR="002C41C1" w:rsidRPr="00661000" w:rsidRDefault="00F27678" w:rsidP="00F27678">
            <w:pPr>
              <w:keepNext/>
              <w:jc w:val="center"/>
              <w:rPr>
                <w:b/>
                <w:bCs/>
                <w:color w:val="000000"/>
                <w:sz w:val="18"/>
                <w:szCs w:val="18"/>
              </w:rPr>
            </w:pPr>
            <w:r>
              <w:rPr>
                <w:b/>
                <w:bCs/>
                <w:color w:val="000000"/>
                <w:sz w:val="18"/>
                <w:szCs w:val="18"/>
              </w:rPr>
              <w:t>Konečný p</w:t>
            </w:r>
            <w:r w:rsidR="002C41C1" w:rsidRPr="00661000">
              <w:rPr>
                <w:b/>
                <w:bCs/>
                <w:color w:val="000000"/>
                <w:sz w:val="18"/>
                <w:szCs w:val="18"/>
              </w:rPr>
              <w:t>říjemce</w:t>
            </w:r>
          </w:p>
        </w:tc>
        <w:tc>
          <w:tcPr>
            <w:tcW w:w="2722" w:type="dxa"/>
            <w:gridSpan w:val="2"/>
            <w:tcBorders>
              <w:bottom w:val="nil"/>
            </w:tcBorders>
            <w:shd w:val="clear" w:color="auto" w:fill="B6DDE8"/>
            <w:vAlign w:val="center"/>
          </w:tcPr>
          <w:p w:rsidR="002C41C1" w:rsidRPr="00661000" w:rsidRDefault="002C41C1" w:rsidP="00FE5BCE">
            <w:pPr>
              <w:keepNext/>
              <w:jc w:val="center"/>
              <w:rPr>
                <w:color w:val="000000"/>
                <w:sz w:val="18"/>
                <w:szCs w:val="18"/>
              </w:rPr>
            </w:pPr>
            <w:r w:rsidRPr="00661000">
              <w:rPr>
                <w:color w:val="000000"/>
                <w:sz w:val="18"/>
                <w:szCs w:val="18"/>
              </w:rPr>
              <w:t>Přístup k nevratnému financování</w:t>
            </w:r>
          </w:p>
        </w:tc>
        <w:tc>
          <w:tcPr>
            <w:tcW w:w="3077" w:type="dxa"/>
            <w:gridSpan w:val="2"/>
            <w:tcBorders>
              <w:bottom w:val="nil"/>
            </w:tcBorders>
            <w:shd w:val="clear" w:color="auto" w:fill="B6DDE8"/>
            <w:vAlign w:val="center"/>
          </w:tcPr>
          <w:p w:rsidR="002C41C1" w:rsidRPr="00661000" w:rsidRDefault="002C41C1" w:rsidP="00FE5BCE">
            <w:pPr>
              <w:keepNext/>
              <w:jc w:val="center"/>
              <w:rPr>
                <w:color w:val="000000"/>
                <w:sz w:val="18"/>
                <w:szCs w:val="18"/>
              </w:rPr>
            </w:pPr>
            <w:r w:rsidRPr="00661000">
              <w:rPr>
                <w:color w:val="000000"/>
                <w:sz w:val="18"/>
                <w:szCs w:val="18"/>
              </w:rPr>
              <w:t>Zpřístupnění nedosažitelného financování</w:t>
            </w:r>
          </w:p>
        </w:tc>
        <w:tc>
          <w:tcPr>
            <w:tcW w:w="2307" w:type="dxa"/>
            <w:tcBorders>
              <w:bottom w:val="nil"/>
            </w:tcBorders>
            <w:shd w:val="clear" w:color="auto" w:fill="B6DDE8"/>
            <w:vAlign w:val="center"/>
          </w:tcPr>
          <w:p w:rsidR="002C41C1" w:rsidRPr="00661000" w:rsidRDefault="002C41C1" w:rsidP="00FE5BCE">
            <w:pPr>
              <w:keepNext/>
              <w:jc w:val="center"/>
              <w:rPr>
                <w:color w:val="000000"/>
                <w:sz w:val="18"/>
                <w:szCs w:val="18"/>
              </w:rPr>
            </w:pPr>
            <w:r w:rsidRPr="00661000">
              <w:rPr>
                <w:color w:val="000000"/>
                <w:sz w:val="18"/>
                <w:szCs w:val="18"/>
              </w:rPr>
              <w:t>Zpřístupnění nedosažitelného financování</w:t>
            </w:r>
          </w:p>
        </w:tc>
      </w:tr>
      <w:tr w:rsidR="002C41C1" w:rsidRPr="00661000" w:rsidTr="00FE5BCE">
        <w:trPr>
          <w:trHeight w:val="300"/>
        </w:trPr>
        <w:tc>
          <w:tcPr>
            <w:tcW w:w="567" w:type="dxa"/>
            <w:vMerge/>
            <w:shd w:val="clear" w:color="auto" w:fill="B6DDE8"/>
            <w:vAlign w:val="center"/>
          </w:tcPr>
          <w:p w:rsidR="002C41C1" w:rsidRPr="00661000" w:rsidRDefault="002C41C1" w:rsidP="00FE5BCE">
            <w:pPr>
              <w:keepNext/>
              <w:jc w:val="left"/>
              <w:rPr>
                <w:b/>
                <w:bCs/>
                <w:color w:val="000000"/>
                <w:sz w:val="18"/>
                <w:szCs w:val="18"/>
              </w:rPr>
            </w:pPr>
          </w:p>
        </w:tc>
        <w:tc>
          <w:tcPr>
            <w:tcW w:w="399" w:type="dxa"/>
            <w:vMerge/>
            <w:shd w:val="clear" w:color="auto" w:fill="B6DDE8"/>
            <w:vAlign w:val="center"/>
          </w:tcPr>
          <w:p w:rsidR="002C41C1" w:rsidRPr="00661000" w:rsidRDefault="002C41C1" w:rsidP="00FE5BCE">
            <w:pPr>
              <w:keepNext/>
              <w:jc w:val="left"/>
              <w:rPr>
                <w:b/>
                <w:bCs/>
                <w:color w:val="000000"/>
                <w:sz w:val="18"/>
                <w:szCs w:val="18"/>
              </w:rPr>
            </w:pPr>
          </w:p>
        </w:tc>
        <w:tc>
          <w:tcPr>
            <w:tcW w:w="2722" w:type="dxa"/>
            <w:gridSpan w:val="2"/>
            <w:tcBorders>
              <w:top w:val="nil"/>
              <w:bottom w:val="nil"/>
            </w:tcBorders>
            <w:shd w:val="clear" w:color="auto" w:fill="B6DDE8"/>
            <w:vAlign w:val="center"/>
          </w:tcPr>
          <w:p w:rsidR="002C41C1" w:rsidRPr="00661000" w:rsidRDefault="002C41C1" w:rsidP="00FE5BCE">
            <w:pPr>
              <w:keepNext/>
              <w:jc w:val="center"/>
              <w:rPr>
                <w:color w:val="000000"/>
                <w:sz w:val="18"/>
                <w:szCs w:val="18"/>
              </w:rPr>
            </w:pPr>
            <w:r w:rsidRPr="00661000">
              <w:rPr>
                <w:color w:val="000000"/>
                <w:sz w:val="18"/>
                <w:szCs w:val="18"/>
              </w:rPr>
              <w:t>Sdílení rizika</w:t>
            </w:r>
          </w:p>
        </w:tc>
        <w:tc>
          <w:tcPr>
            <w:tcW w:w="3077" w:type="dxa"/>
            <w:gridSpan w:val="2"/>
            <w:tcBorders>
              <w:top w:val="nil"/>
              <w:bottom w:val="nil"/>
            </w:tcBorders>
            <w:shd w:val="clear" w:color="auto" w:fill="B6DDE8"/>
            <w:vAlign w:val="center"/>
          </w:tcPr>
          <w:p w:rsidR="002C41C1" w:rsidRPr="00661000" w:rsidRDefault="002C41C1" w:rsidP="00FE5BCE">
            <w:pPr>
              <w:keepNext/>
              <w:jc w:val="center"/>
              <w:rPr>
                <w:color w:val="000000"/>
                <w:sz w:val="18"/>
                <w:szCs w:val="18"/>
              </w:rPr>
            </w:pPr>
            <w:r w:rsidRPr="00661000">
              <w:rPr>
                <w:color w:val="000000"/>
                <w:sz w:val="18"/>
                <w:szCs w:val="18"/>
              </w:rPr>
              <w:t>Snížení úrokové sazby</w:t>
            </w:r>
          </w:p>
        </w:tc>
        <w:tc>
          <w:tcPr>
            <w:tcW w:w="2307" w:type="dxa"/>
            <w:tcBorders>
              <w:top w:val="nil"/>
              <w:bottom w:val="nil"/>
            </w:tcBorders>
            <w:shd w:val="clear" w:color="auto" w:fill="B6DDE8"/>
            <w:vAlign w:val="center"/>
          </w:tcPr>
          <w:p w:rsidR="002C41C1" w:rsidRPr="00661000" w:rsidRDefault="002C41C1" w:rsidP="00FE5BCE">
            <w:pPr>
              <w:keepNext/>
              <w:jc w:val="center"/>
              <w:rPr>
                <w:color w:val="000000"/>
                <w:sz w:val="18"/>
                <w:szCs w:val="18"/>
              </w:rPr>
            </w:pPr>
            <w:r w:rsidRPr="00661000">
              <w:rPr>
                <w:color w:val="000000"/>
                <w:sz w:val="18"/>
                <w:szCs w:val="18"/>
              </w:rPr>
              <w:t>Snížení úrokové sazby</w:t>
            </w:r>
          </w:p>
        </w:tc>
      </w:tr>
      <w:tr w:rsidR="002C41C1" w:rsidRPr="00661000" w:rsidTr="00FE5BCE">
        <w:trPr>
          <w:trHeight w:val="300"/>
        </w:trPr>
        <w:tc>
          <w:tcPr>
            <w:tcW w:w="567" w:type="dxa"/>
            <w:vMerge/>
            <w:shd w:val="clear" w:color="auto" w:fill="B6DDE8"/>
            <w:vAlign w:val="center"/>
          </w:tcPr>
          <w:p w:rsidR="002C41C1" w:rsidRPr="00661000" w:rsidRDefault="002C41C1" w:rsidP="00FE5BCE">
            <w:pPr>
              <w:keepNext/>
              <w:jc w:val="left"/>
              <w:rPr>
                <w:b/>
                <w:bCs/>
                <w:color w:val="000000"/>
                <w:sz w:val="18"/>
                <w:szCs w:val="18"/>
              </w:rPr>
            </w:pPr>
          </w:p>
        </w:tc>
        <w:tc>
          <w:tcPr>
            <w:tcW w:w="399" w:type="dxa"/>
            <w:vMerge/>
            <w:shd w:val="clear" w:color="auto" w:fill="B6DDE8"/>
            <w:vAlign w:val="center"/>
          </w:tcPr>
          <w:p w:rsidR="002C41C1" w:rsidRPr="00661000" w:rsidRDefault="002C41C1" w:rsidP="00FE5BCE">
            <w:pPr>
              <w:keepNext/>
              <w:jc w:val="left"/>
              <w:rPr>
                <w:b/>
                <w:bCs/>
                <w:color w:val="000000"/>
                <w:sz w:val="18"/>
                <w:szCs w:val="18"/>
              </w:rPr>
            </w:pPr>
          </w:p>
        </w:tc>
        <w:tc>
          <w:tcPr>
            <w:tcW w:w="2722" w:type="dxa"/>
            <w:gridSpan w:val="2"/>
            <w:tcBorders>
              <w:top w:val="nil"/>
              <w:bottom w:val="nil"/>
            </w:tcBorders>
            <w:shd w:val="clear" w:color="auto" w:fill="B6DDE8"/>
            <w:noWrap/>
            <w:vAlign w:val="center"/>
          </w:tcPr>
          <w:p w:rsidR="002C41C1" w:rsidRPr="00661000" w:rsidRDefault="002C41C1" w:rsidP="00FE5BCE">
            <w:pPr>
              <w:keepNext/>
              <w:jc w:val="center"/>
              <w:rPr>
                <w:color w:val="000000"/>
                <w:sz w:val="18"/>
                <w:szCs w:val="18"/>
              </w:rPr>
            </w:pPr>
            <w:r>
              <w:rPr>
                <w:color w:val="000000"/>
                <w:sz w:val="18"/>
                <w:szCs w:val="18"/>
              </w:rPr>
              <w:t>Platba v předstihu</w:t>
            </w:r>
          </w:p>
        </w:tc>
        <w:tc>
          <w:tcPr>
            <w:tcW w:w="3077" w:type="dxa"/>
            <w:gridSpan w:val="2"/>
            <w:tcBorders>
              <w:top w:val="nil"/>
              <w:bottom w:val="nil"/>
            </w:tcBorders>
            <w:shd w:val="clear" w:color="auto" w:fill="B6DDE8"/>
            <w:vAlign w:val="center"/>
          </w:tcPr>
          <w:p w:rsidR="002C41C1" w:rsidRPr="00661000" w:rsidRDefault="002C41C1" w:rsidP="00FE5BCE">
            <w:pPr>
              <w:keepNext/>
              <w:jc w:val="center"/>
              <w:rPr>
                <w:color w:val="000000"/>
                <w:sz w:val="18"/>
                <w:szCs w:val="18"/>
              </w:rPr>
            </w:pPr>
            <w:r w:rsidRPr="00661000">
              <w:rPr>
                <w:color w:val="000000"/>
                <w:sz w:val="18"/>
                <w:szCs w:val="18"/>
              </w:rPr>
              <w:t>Prodloužení doby splácení</w:t>
            </w:r>
          </w:p>
        </w:tc>
        <w:tc>
          <w:tcPr>
            <w:tcW w:w="2307" w:type="dxa"/>
            <w:tcBorders>
              <w:top w:val="nil"/>
              <w:bottom w:val="nil"/>
            </w:tcBorders>
            <w:shd w:val="clear" w:color="auto" w:fill="B6DDE8"/>
            <w:vAlign w:val="center"/>
          </w:tcPr>
          <w:p w:rsidR="002C41C1" w:rsidRPr="00661000" w:rsidRDefault="002C41C1" w:rsidP="00FE5BCE">
            <w:pPr>
              <w:keepNext/>
              <w:jc w:val="center"/>
              <w:rPr>
                <w:color w:val="000000"/>
                <w:sz w:val="18"/>
                <w:szCs w:val="18"/>
              </w:rPr>
            </w:pPr>
            <w:r w:rsidRPr="00661000">
              <w:rPr>
                <w:color w:val="000000"/>
                <w:sz w:val="18"/>
                <w:szCs w:val="18"/>
              </w:rPr>
              <w:t>Prodloužení doby splácení</w:t>
            </w:r>
          </w:p>
        </w:tc>
      </w:tr>
      <w:tr w:rsidR="00F27678" w:rsidRPr="00661000" w:rsidTr="00FE5BCE">
        <w:trPr>
          <w:trHeight w:val="300"/>
        </w:trPr>
        <w:tc>
          <w:tcPr>
            <w:tcW w:w="567" w:type="dxa"/>
            <w:vMerge/>
            <w:shd w:val="clear" w:color="auto" w:fill="B6DDE8"/>
            <w:vAlign w:val="center"/>
          </w:tcPr>
          <w:p w:rsidR="00F27678" w:rsidRPr="00661000" w:rsidRDefault="00F27678" w:rsidP="00FE5BCE">
            <w:pPr>
              <w:keepNext/>
              <w:jc w:val="left"/>
              <w:rPr>
                <w:b/>
                <w:bCs/>
                <w:color w:val="000000"/>
                <w:sz w:val="18"/>
                <w:szCs w:val="18"/>
              </w:rPr>
            </w:pPr>
          </w:p>
        </w:tc>
        <w:tc>
          <w:tcPr>
            <w:tcW w:w="399" w:type="dxa"/>
            <w:vMerge/>
            <w:shd w:val="clear" w:color="auto" w:fill="B6DDE8"/>
            <w:vAlign w:val="center"/>
          </w:tcPr>
          <w:p w:rsidR="00F27678" w:rsidRPr="00661000" w:rsidRDefault="00F27678" w:rsidP="00FE5BCE">
            <w:pPr>
              <w:keepNext/>
              <w:jc w:val="left"/>
              <w:rPr>
                <w:b/>
                <w:bCs/>
                <w:color w:val="000000"/>
                <w:sz w:val="18"/>
                <w:szCs w:val="18"/>
              </w:rPr>
            </w:pPr>
          </w:p>
        </w:tc>
        <w:tc>
          <w:tcPr>
            <w:tcW w:w="1586" w:type="dxa"/>
            <w:tcBorders>
              <w:top w:val="nil"/>
              <w:bottom w:val="nil"/>
              <w:right w:val="nil"/>
            </w:tcBorders>
            <w:shd w:val="clear" w:color="auto" w:fill="B6DDE8"/>
            <w:noWrap/>
            <w:vAlign w:val="bottom"/>
          </w:tcPr>
          <w:p w:rsidR="00F27678" w:rsidRPr="00661000" w:rsidRDefault="00F27678" w:rsidP="00FE5BCE">
            <w:pPr>
              <w:keepNext/>
              <w:jc w:val="left"/>
              <w:rPr>
                <w:color w:val="000000"/>
                <w:sz w:val="18"/>
                <w:szCs w:val="18"/>
              </w:rPr>
            </w:pPr>
            <w:r w:rsidRPr="00661000">
              <w:rPr>
                <w:color w:val="000000"/>
                <w:sz w:val="18"/>
                <w:szCs w:val="18"/>
              </w:rPr>
              <w:t> </w:t>
            </w:r>
          </w:p>
        </w:tc>
        <w:tc>
          <w:tcPr>
            <w:tcW w:w="1136" w:type="dxa"/>
            <w:tcBorders>
              <w:top w:val="nil"/>
              <w:left w:val="nil"/>
              <w:bottom w:val="nil"/>
            </w:tcBorders>
            <w:shd w:val="clear" w:color="auto" w:fill="B6DDE8"/>
            <w:noWrap/>
            <w:vAlign w:val="bottom"/>
          </w:tcPr>
          <w:p w:rsidR="00F27678" w:rsidRPr="00661000" w:rsidRDefault="00F27678" w:rsidP="00FE5BCE">
            <w:pPr>
              <w:keepNext/>
              <w:jc w:val="left"/>
              <w:rPr>
                <w:color w:val="000000"/>
                <w:sz w:val="18"/>
                <w:szCs w:val="18"/>
              </w:rPr>
            </w:pPr>
          </w:p>
        </w:tc>
        <w:tc>
          <w:tcPr>
            <w:tcW w:w="3077" w:type="dxa"/>
            <w:gridSpan w:val="2"/>
            <w:tcBorders>
              <w:top w:val="nil"/>
              <w:bottom w:val="nil"/>
            </w:tcBorders>
            <w:shd w:val="clear" w:color="auto" w:fill="B6DDE8"/>
            <w:noWrap/>
            <w:vAlign w:val="center"/>
          </w:tcPr>
          <w:p w:rsidR="00F27678" w:rsidRPr="00661000" w:rsidRDefault="00F27678" w:rsidP="00FE5BCE">
            <w:pPr>
              <w:keepNext/>
              <w:jc w:val="center"/>
              <w:rPr>
                <w:color w:val="000000"/>
                <w:sz w:val="18"/>
                <w:szCs w:val="18"/>
              </w:rPr>
            </w:pPr>
            <w:r w:rsidRPr="00661000">
              <w:rPr>
                <w:color w:val="000000"/>
                <w:sz w:val="18"/>
                <w:szCs w:val="18"/>
              </w:rPr>
              <w:t>Sdílení rizika</w:t>
            </w:r>
          </w:p>
        </w:tc>
        <w:tc>
          <w:tcPr>
            <w:tcW w:w="2307" w:type="dxa"/>
            <w:tcBorders>
              <w:top w:val="nil"/>
              <w:bottom w:val="nil"/>
            </w:tcBorders>
            <w:shd w:val="clear" w:color="auto" w:fill="B6DDE8"/>
            <w:vAlign w:val="center"/>
          </w:tcPr>
          <w:p w:rsidR="00F27678" w:rsidRPr="00661000" w:rsidRDefault="00F27678" w:rsidP="007B6168">
            <w:pPr>
              <w:keepNext/>
              <w:jc w:val="center"/>
              <w:rPr>
                <w:color w:val="000000"/>
                <w:sz w:val="18"/>
                <w:szCs w:val="18"/>
              </w:rPr>
            </w:pPr>
            <w:r>
              <w:rPr>
                <w:color w:val="000000"/>
                <w:sz w:val="18"/>
                <w:szCs w:val="18"/>
              </w:rPr>
              <w:t>Platba v předstihu</w:t>
            </w:r>
          </w:p>
        </w:tc>
      </w:tr>
      <w:tr w:rsidR="00F27678" w:rsidRPr="00661000" w:rsidTr="00FE5BCE">
        <w:trPr>
          <w:trHeight w:val="614"/>
        </w:trPr>
        <w:tc>
          <w:tcPr>
            <w:tcW w:w="567" w:type="dxa"/>
            <w:vMerge/>
            <w:shd w:val="clear" w:color="auto" w:fill="B6DDE8"/>
            <w:vAlign w:val="center"/>
          </w:tcPr>
          <w:p w:rsidR="00F27678" w:rsidRPr="00661000" w:rsidRDefault="00F27678" w:rsidP="00FE5BCE">
            <w:pPr>
              <w:keepNext/>
              <w:jc w:val="left"/>
              <w:rPr>
                <w:b/>
                <w:bCs/>
                <w:color w:val="000000"/>
                <w:sz w:val="18"/>
                <w:szCs w:val="18"/>
              </w:rPr>
            </w:pPr>
          </w:p>
        </w:tc>
        <w:tc>
          <w:tcPr>
            <w:tcW w:w="399" w:type="dxa"/>
            <w:vMerge/>
            <w:shd w:val="clear" w:color="auto" w:fill="B6DDE8"/>
            <w:vAlign w:val="center"/>
          </w:tcPr>
          <w:p w:rsidR="00F27678" w:rsidRPr="00661000" w:rsidRDefault="00F27678" w:rsidP="00FE5BCE">
            <w:pPr>
              <w:keepNext/>
              <w:jc w:val="left"/>
              <w:rPr>
                <w:b/>
                <w:bCs/>
                <w:color w:val="000000"/>
                <w:sz w:val="18"/>
                <w:szCs w:val="18"/>
              </w:rPr>
            </w:pPr>
          </w:p>
        </w:tc>
        <w:tc>
          <w:tcPr>
            <w:tcW w:w="1586" w:type="dxa"/>
            <w:tcBorders>
              <w:top w:val="nil"/>
              <w:bottom w:val="nil"/>
              <w:right w:val="nil"/>
            </w:tcBorders>
            <w:shd w:val="clear" w:color="auto" w:fill="B6DDE8"/>
            <w:vAlign w:val="center"/>
          </w:tcPr>
          <w:p w:rsidR="00F27678" w:rsidRPr="00661000" w:rsidRDefault="00F27678" w:rsidP="00FE5BCE">
            <w:pPr>
              <w:keepNext/>
              <w:jc w:val="center"/>
              <w:rPr>
                <w:color w:val="000000"/>
                <w:sz w:val="18"/>
                <w:szCs w:val="18"/>
              </w:rPr>
            </w:pPr>
            <w:r w:rsidRPr="00661000">
              <w:rPr>
                <w:color w:val="000000"/>
                <w:sz w:val="18"/>
                <w:szCs w:val="18"/>
              </w:rPr>
              <w:t> </w:t>
            </w:r>
          </w:p>
        </w:tc>
        <w:tc>
          <w:tcPr>
            <w:tcW w:w="1136" w:type="dxa"/>
            <w:tcBorders>
              <w:top w:val="nil"/>
              <w:left w:val="nil"/>
              <w:bottom w:val="nil"/>
            </w:tcBorders>
            <w:shd w:val="clear" w:color="auto" w:fill="B6DDE8"/>
            <w:vAlign w:val="center"/>
          </w:tcPr>
          <w:p w:rsidR="00F27678" w:rsidRPr="00661000" w:rsidRDefault="00F27678" w:rsidP="00FE5BCE">
            <w:pPr>
              <w:keepNext/>
              <w:jc w:val="center"/>
              <w:rPr>
                <w:color w:val="000000"/>
                <w:sz w:val="18"/>
                <w:szCs w:val="18"/>
              </w:rPr>
            </w:pPr>
            <w:r w:rsidRPr="00661000">
              <w:rPr>
                <w:color w:val="000000"/>
                <w:sz w:val="18"/>
                <w:szCs w:val="18"/>
              </w:rPr>
              <w:t> </w:t>
            </w:r>
          </w:p>
        </w:tc>
        <w:tc>
          <w:tcPr>
            <w:tcW w:w="3077" w:type="dxa"/>
            <w:gridSpan w:val="2"/>
            <w:tcBorders>
              <w:top w:val="nil"/>
              <w:bottom w:val="nil"/>
            </w:tcBorders>
            <w:shd w:val="clear" w:color="auto" w:fill="B6DDE8"/>
            <w:vAlign w:val="center"/>
          </w:tcPr>
          <w:p w:rsidR="00F27678" w:rsidRPr="00661000" w:rsidRDefault="00F27678" w:rsidP="007B6168">
            <w:pPr>
              <w:keepNext/>
              <w:jc w:val="center"/>
              <w:rPr>
                <w:color w:val="000000"/>
                <w:sz w:val="18"/>
                <w:szCs w:val="18"/>
              </w:rPr>
            </w:pPr>
            <w:r>
              <w:rPr>
                <w:color w:val="000000"/>
                <w:sz w:val="18"/>
                <w:szCs w:val="18"/>
              </w:rPr>
              <w:t>Platba v předstihu</w:t>
            </w:r>
          </w:p>
        </w:tc>
        <w:tc>
          <w:tcPr>
            <w:tcW w:w="2307" w:type="dxa"/>
            <w:tcBorders>
              <w:top w:val="nil"/>
              <w:bottom w:val="nil"/>
            </w:tcBorders>
            <w:shd w:val="clear" w:color="auto" w:fill="B6DDE8"/>
            <w:vAlign w:val="center"/>
          </w:tcPr>
          <w:p w:rsidR="00F27678" w:rsidRPr="00661000" w:rsidRDefault="00F27678" w:rsidP="007B6168">
            <w:pPr>
              <w:keepNext/>
              <w:jc w:val="center"/>
              <w:rPr>
                <w:color w:val="000000"/>
                <w:sz w:val="18"/>
                <w:szCs w:val="18"/>
              </w:rPr>
            </w:pPr>
            <w:r>
              <w:rPr>
                <w:color w:val="000000"/>
                <w:sz w:val="18"/>
                <w:szCs w:val="18"/>
              </w:rPr>
              <w:t>Nižší administrativní náročnost</w:t>
            </w:r>
          </w:p>
        </w:tc>
      </w:tr>
      <w:tr w:rsidR="00F27678" w:rsidRPr="00661000" w:rsidTr="00FE5BCE">
        <w:trPr>
          <w:trHeight w:val="675"/>
        </w:trPr>
        <w:tc>
          <w:tcPr>
            <w:tcW w:w="567" w:type="dxa"/>
            <w:vMerge/>
            <w:shd w:val="clear" w:color="auto" w:fill="B6DDE8"/>
            <w:vAlign w:val="center"/>
          </w:tcPr>
          <w:p w:rsidR="00F27678" w:rsidRPr="00661000" w:rsidRDefault="00F27678" w:rsidP="00FE5BCE">
            <w:pPr>
              <w:keepNext/>
              <w:jc w:val="left"/>
              <w:rPr>
                <w:b/>
                <w:bCs/>
                <w:color w:val="000000"/>
                <w:sz w:val="18"/>
                <w:szCs w:val="18"/>
              </w:rPr>
            </w:pPr>
          </w:p>
        </w:tc>
        <w:tc>
          <w:tcPr>
            <w:tcW w:w="399" w:type="dxa"/>
            <w:vMerge/>
            <w:shd w:val="clear" w:color="auto" w:fill="B6DDE8"/>
            <w:vAlign w:val="center"/>
          </w:tcPr>
          <w:p w:rsidR="00F27678" w:rsidRPr="00661000" w:rsidRDefault="00F27678" w:rsidP="00FE5BCE">
            <w:pPr>
              <w:keepNext/>
              <w:jc w:val="left"/>
              <w:rPr>
                <w:b/>
                <w:bCs/>
                <w:color w:val="000000"/>
                <w:sz w:val="18"/>
                <w:szCs w:val="18"/>
              </w:rPr>
            </w:pPr>
          </w:p>
        </w:tc>
        <w:tc>
          <w:tcPr>
            <w:tcW w:w="1586" w:type="dxa"/>
            <w:tcBorders>
              <w:top w:val="nil"/>
              <w:bottom w:val="nil"/>
              <w:right w:val="nil"/>
            </w:tcBorders>
            <w:shd w:val="clear" w:color="auto" w:fill="B6DDE8"/>
            <w:vAlign w:val="center"/>
          </w:tcPr>
          <w:p w:rsidR="00F27678" w:rsidRPr="00661000" w:rsidRDefault="00F27678" w:rsidP="00FE5BCE">
            <w:pPr>
              <w:keepNext/>
              <w:jc w:val="center"/>
              <w:rPr>
                <w:color w:val="000000"/>
                <w:sz w:val="18"/>
                <w:szCs w:val="18"/>
              </w:rPr>
            </w:pPr>
            <w:r w:rsidRPr="00661000">
              <w:rPr>
                <w:color w:val="000000"/>
                <w:sz w:val="18"/>
                <w:szCs w:val="18"/>
              </w:rPr>
              <w:t> </w:t>
            </w:r>
          </w:p>
        </w:tc>
        <w:tc>
          <w:tcPr>
            <w:tcW w:w="1136" w:type="dxa"/>
            <w:tcBorders>
              <w:top w:val="nil"/>
              <w:left w:val="nil"/>
              <w:bottom w:val="nil"/>
            </w:tcBorders>
            <w:shd w:val="clear" w:color="auto" w:fill="B6DDE8"/>
            <w:vAlign w:val="center"/>
          </w:tcPr>
          <w:p w:rsidR="00F27678" w:rsidRPr="00661000" w:rsidRDefault="00F27678" w:rsidP="00FE5BCE">
            <w:pPr>
              <w:keepNext/>
              <w:jc w:val="center"/>
              <w:rPr>
                <w:color w:val="000000"/>
                <w:sz w:val="18"/>
                <w:szCs w:val="18"/>
              </w:rPr>
            </w:pPr>
            <w:r w:rsidRPr="00661000">
              <w:rPr>
                <w:color w:val="000000"/>
                <w:sz w:val="18"/>
                <w:szCs w:val="18"/>
              </w:rPr>
              <w:t> </w:t>
            </w:r>
          </w:p>
        </w:tc>
        <w:tc>
          <w:tcPr>
            <w:tcW w:w="3077" w:type="dxa"/>
            <w:gridSpan w:val="2"/>
            <w:tcBorders>
              <w:top w:val="nil"/>
              <w:bottom w:val="nil"/>
            </w:tcBorders>
            <w:shd w:val="clear" w:color="auto" w:fill="B6DDE8"/>
            <w:vAlign w:val="center"/>
          </w:tcPr>
          <w:p w:rsidR="00F27678" w:rsidRPr="00661000" w:rsidRDefault="00F27678" w:rsidP="00FE5BCE">
            <w:pPr>
              <w:keepNext/>
              <w:jc w:val="center"/>
              <w:rPr>
                <w:color w:val="000000"/>
                <w:sz w:val="18"/>
                <w:szCs w:val="18"/>
              </w:rPr>
            </w:pPr>
            <w:r>
              <w:rPr>
                <w:color w:val="000000"/>
                <w:sz w:val="18"/>
                <w:szCs w:val="18"/>
              </w:rPr>
              <w:t>Nižší administrativní náročnost</w:t>
            </w:r>
          </w:p>
        </w:tc>
        <w:tc>
          <w:tcPr>
            <w:tcW w:w="2307" w:type="dxa"/>
            <w:tcBorders>
              <w:top w:val="nil"/>
              <w:bottom w:val="nil"/>
            </w:tcBorders>
            <w:shd w:val="clear" w:color="auto" w:fill="B6DDE8"/>
            <w:vAlign w:val="center"/>
          </w:tcPr>
          <w:p w:rsidR="00F27678" w:rsidRPr="00661000" w:rsidRDefault="00F27678" w:rsidP="00FE5BCE">
            <w:pPr>
              <w:keepNext/>
              <w:jc w:val="center"/>
              <w:rPr>
                <w:color w:val="000000"/>
                <w:sz w:val="18"/>
                <w:szCs w:val="18"/>
              </w:rPr>
            </w:pPr>
          </w:p>
        </w:tc>
      </w:tr>
      <w:tr w:rsidR="00F27678" w:rsidRPr="00661000" w:rsidTr="00FE5BCE">
        <w:trPr>
          <w:trHeight w:val="600"/>
        </w:trPr>
        <w:tc>
          <w:tcPr>
            <w:tcW w:w="567" w:type="dxa"/>
            <w:vMerge/>
            <w:shd w:val="clear" w:color="auto" w:fill="B6DDE8"/>
            <w:vAlign w:val="center"/>
          </w:tcPr>
          <w:p w:rsidR="00F27678" w:rsidRPr="00661000" w:rsidRDefault="00F27678" w:rsidP="00FE5BCE">
            <w:pPr>
              <w:keepNext/>
              <w:jc w:val="left"/>
              <w:rPr>
                <w:b/>
                <w:bCs/>
                <w:color w:val="000000"/>
                <w:sz w:val="18"/>
                <w:szCs w:val="18"/>
              </w:rPr>
            </w:pPr>
          </w:p>
        </w:tc>
        <w:tc>
          <w:tcPr>
            <w:tcW w:w="399" w:type="dxa"/>
            <w:vMerge/>
            <w:shd w:val="clear" w:color="auto" w:fill="B6DDE8"/>
            <w:vAlign w:val="center"/>
          </w:tcPr>
          <w:p w:rsidR="00F27678" w:rsidRPr="00661000" w:rsidRDefault="00F27678" w:rsidP="00FE5BCE">
            <w:pPr>
              <w:keepNext/>
              <w:jc w:val="left"/>
              <w:rPr>
                <w:b/>
                <w:bCs/>
                <w:color w:val="000000"/>
                <w:sz w:val="18"/>
                <w:szCs w:val="18"/>
              </w:rPr>
            </w:pPr>
          </w:p>
        </w:tc>
        <w:tc>
          <w:tcPr>
            <w:tcW w:w="1586" w:type="dxa"/>
            <w:tcBorders>
              <w:top w:val="nil"/>
              <w:right w:val="nil"/>
            </w:tcBorders>
            <w:shd w:val="clear" w:color="auto" w:fill="B6DDE8"/>
            <w:vAlign w:val="center"/>
          </w:tcPr>
          <w:p w:rsidR="00F27678" w:rsidRPr="00661000" w:rsidRDefault="00F27678" w:rsidP="00FE5BCE">
            <w:pPr>
              <w:keepNext/>
              <w:jc w:val="center"/>
              <w:rPr>
                <w:color w:val="000000"/>
                <w:sz w:val="18"/>
                <w:szCs w:val="18"/>
              </w:rPr>
            </w:pPr>
            <w:r w:rsidRPr="00661000">
              <w:rPr>
                <w:color w:val="000000"/>
                <w:sz w:val="18"/>
                <w:szCs w:val="18"/>
              </w:rPr>
              <w:t> </w:t>
            </w:r>
          </w:p>
        </w:tc>
        <w:tc>
          <w:tcPr>
            <w:tcW w:w="1136" w:type="dxa"/>
            <w:tcBorders>
              <w:top w:val="nil"/>
              <w:left w:val="nil"/>
            </w:tcBorders>
            <w:shd w:val="clear" w:color="auto" w:fill="B6DDE8"/>
            <w:vAlign w:val="center"/>
          </w:tcPr>
          <w:p w:rsidR="00F27678" w:rsidRPr="00661000" w:rsidRDefault="00F27678" w:rsidP="00FE5BCE">
            <w:pPr>
              <w:keepNext/>
              <w:jc w:val="center"/>
              <w:rPr>
                <w:color w:val="000000"/>
                <w:sz w:val="18"/>
                <w:szCs w:val="18"/>
              </w:rPr>
            </w:pPr>
            <w:r w:rsidRPr="00661000">
              <w:rPr>
                <w:color w:val="000000"/>
                <w:sz w:val="18"/>
                <w:szCs w:val="18"/>
              </w:rPr>
              <w:t> </w:t>
            </w:r>
          </w:p>
        </w:tc>
        <w:tc>
          <w:tcPr>
            <w:tcW w:w="3077" w:type="dxa"/>
            <w:gridSpan w:val="2"/>
            <w:tcBorders>
              <w:top w:val="nil"/>
            </w:tcBorders>
            <w:shd w:val="clear" w:color="auto" w:fill="B6DDE8"/>
            <w:vAlign w:val="center"/>
          </w:tcPr>
          <w:p w:rsidR="00F27678" w:rsidRPr="00661000" w:rsidRDefault="00F27678" w:rsidP="00FE5BCE">
            <w:pPr>
              <w:keepNext/>
              <w:jc w:val="center"/>
              <w:rPr>
                <w:color w:val="000000"/>
                <w:sz w:val="18"/>
                <w:szCs w:val="18"/>
              </w:rPr>
            </w:pPr>
          </w:p>
        </w:tc>
        <w:tc>
          <w:tcPr>
            <w:tcW w:w="2307" w:type="dxa"/>
            <w:tcBorders>
              <w:top w:val="nil"/>
            </w:tcBorders>
            <w:shd w:val="clear" w:color="auto" w:fill="B6DDE8"/>
            <w:vAlign w:val="center"/>
          </w:tcPr>
          <w:p w:rsidR="00F27678" w:rsidRPr="00661000" w:rsidRDefault="00F27678" w:rsidP="00FE5BCE">
            <w:pPr>
              <w:keepNext/>
              <w:jc w:val="center"/>
              <w:rPr>
                <w:color w:val="000000"/>
                <w:sz w:val="18"/>
                <w:szCs w:val="18"/>
              </w:rPr>
            </w:pPr>
          </w:p>
        </w:tc>
      </w:tr>
      <w:tr w:rsidR="00F27678" w:rsidRPr="00661000" w:rsidTr="00FE5BCE">
        <w:trPr>
          <w:trHeight w:val="600"/>
        </w:trPr>
        <w:tc>
          <w:tcPr>
            <w:tcW w:w="567" w:type="dxa"/>
            <w:vMerge/>
            <w:shd w:val="clear" w:color="auto" w:fill="B6DDE8"/>
            <w:vAlign w:val="center"/>
          </w:tcPr>
          <w:p w:rsidR="00F27678" w:rsidRPr="00661000" w:rsidRDefault="00F27678" w:rsidP="00FE5BCE">
            <w:pPr>
              <w:keepNext/>
              <w:jc w:val="left"/>
              <w:rPr>
                <w:b/>
                <w:bCs/>
                <w:color w:val="000000"/>
                <w:sz w:val="18"/>
                <w:szCs w:val="18"/>
              </w:rPr>
            </w:pPr>
          </w:p>
        </w:tc>
        <w:tc>
          <w:tcPr>
            <w:tcW w:w="399" w:type="dxa"/>
            <w:shd w:val="clear" w:color="auto" w:fill="B6DDE8"/>
            <w:noWrap/>
            <w:textDirection w:val="btLr"/>
            <w:vAlign w:val="center"/>
          </w:tcPr>
          <w:p w:rsidR="00F27678" w:rsidRPr="00661000" w:rsidRDefault="00F27678" w:rsidP="00FE5BCE">
            <w:pPr>
              <w:keepNext/>
              <w:jc w:val="center"/>
              <w:rPr>
                <w:b/>
                <w:bCs/>
                <w:color w:val="000000"/>
                <w:sz w:val="18"/>
                <w:szCs w:val="18"/>
              </w:rPr>
            </w:pPr>
            <w:r w:rsidRPr="00661000">
              <w:rPr>
                <w:b/>
                <w:bCs/>
                <w:color w:val="000000"/>
                <w:sz w:val="18"/>
                <w:szCs w:val="18"/>
              </w:rPr>
              <w:t>ŘO</w:t>
            </w:r>
          </w:p>
        </w:tc>
        <w:tc>
          <w:tcPr>
            <w:tcW w:w="2722" w:type="dxa"/>
            <w:gridSpan w:val="2"/>
            <w:shd w:val="clear" w:color="auto" w:fill="B6DDE8"/>
            <w:vAlign w:val="center"/>
          </w:tcPr>
          <w:p w:rsidR="00F27678" w:rsidRPr="00661000" w:rsidRDefault="00F27678" w:rsidP="00FE5BCE">
            <w:pPr>
              <w:keepNext/>
              <w:jc w:val="center"/>
              <w:rPr>
                <w:color w:val="000000"/>
                <w:sz w:val="18"/>
                <w:szCs w:val="18"/>
              </w:rPr>
            </w:pPr>
            <w:r w:rsidRPr="00661000">
              <w:rPr>
                <w:color w:val="000000"/>
                <w:sz w:val="18"/>
                <w:szCs w:val="18"/>
              </w:rPr>
              <w:t>Významný ziskový potenciál</w:t>
            </w:r>
          </w:p>
        </w:tc>
        <w:tc>
          <w:tcPr>
            <w:tcW w:w="3077" w:type="dxa"/>
            <w:gridSpan w:val="2"/>
            <w:shd w:val="clear" w:color="auto" w:fill="B6DDE8"/>
            <w:vAlign w:val="center"/>
          </w:tcPr>
          <w:p w:rsidR="00F27678" w:rsidRPr="00661000" w:rsidRDefault="00F27678" w:rsidP="00FE5BCE">
            <w:pPr>
              <w:keepNext/>
              <w:jc w:val="center"/>
              <w:rPr>
                <w:color w:val="000000"/>
                <w:sz w:val="18"/>
                <w:szCs w:val="18"/>
              </w:rPr>
            </w:pPr>
            <w:r w:rsidRPr="00661000">
              <w:rPr>
                <w:color w:val="000000"/>
                <w:sz w:val="18"/>
                <w:szCs w:val="18"/>
              </w:rPr>
              <w:t>Podmíněné čerpání</w:t>
            </w:r>
          </w:p>
        </w:tc>
        <w:tc>
          <w:tcPr>
            <w:tcW w:w="2307" w:type="dxa"/>
            <w:shd w:val="clear" w:color="auto" w:fill="B6DDE8"/>
            <w:vAlign w:val="center"/>
          </w:tcPr>
          <w:p w:rsidR="00F27678" w:rsidRPr="00661000" w:rsidRDefault="00F27678" w:rsidP="00FE5BCE">
            <w:pPr>
              <w:keepNext/>
              <w:jc w:val="center"/>
              <w:rPr>
                <w:color w:val="000000"/>
                <w:sz w:val="18"/>
                <w:szCs w:val="18"/>
              </w:rPr>
            </w:pPr>
            <w:r w:rsidRPr="00661000">
              <w:rPr>
                <w:color w:val="000000"/>
                <w:sz w:val="18"/>
                <w:szCs w:val="18"/>
              </w:rPr>
              <w:t>Predikovatelné splátky</w:t>
            </w:r>
          </w:p>
        </w:tc>
      </w:tr>
    </w:tbl>
    <w:p w:rsidR="002C41C1" w:rsidRDefault="002C41C1" w:rsidP="00B21DA0"/>
    <w:p w:rsidR="002C41C1" w:rsidRDefault="002C41C1">
      <w:pPr>
        <w:pStyle w:val="Vtneslovannadpis"/>
      </w:pPr>
      <w:r>
        <w:t>Aktivizace investičního potenciálu</w:t>
      </w:r>
    </w:p>
    <w:p w:rsidR="002C41C1" w:rsidRDefault="002C41C1" w:rsidP="00BD2982">
      <w:r>
        <w:t>Projekty spadající do zásahu specifického cíle 2.1 mají ve většině případů silně ziskovou povahu. Doba očekávané návratnosti v současnosti zvažovaných investic vyplynuvší z dotazníkového šetření se pohybuje v mezích volným trhem běžně akceptovaných. Očekávaná návratnost rozšiřujících investic je kratší než návratnost investic do začínajícího podnikání, i tyto jsou však ekonomicky smysluplné.</w:t>
      </w:r>
    </w:p>
    <w:p w:rsidR="002C41C1" w:rsidRDefault="005F2B40" w:rsidP="00BD2982">
      <w:r>
        <w:rPr>
          <w:noProof/>
        </w:rPr>
        <w:drawing>
          <wp:inline distT="0" distB="0" distL="0" distR="0" wp14:anchorId="59B65E96" wp14:editId="4457807A">
            <wp:extent cx="5772785" cy="2138680"/>
            <wp:effectExtent l="0" t="0" r="0" b="0"/>
            <wp:docPr id="19"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2785" cy="2138680"/>
                    </a:xfrm>
                    <a:prstGeom prst="rect">
                      <a:avLst/>
                    </a:prstGeom>
                    <a:noFill/>
                    <a:ln>
                      <a:noFill/>
                    </a:ln>
                  </pic:spPr>
                </pic:pic>
              </a:graphicData>
            </a:graphic>
          </wp:inline>
        </w:drawing>
      </w:r>
    </w:p>
    <w:p w:rsidR="002C41C1" w:rsidRPr="00BD2982" w:rsidRDefault="002C41C1" w:rsidP="005A2EE0">
      <w:pPr>
        <w:pStyle w:val="Titulek"/>
        <w:jc w:val="center"/>
      </w:pPr>
      <w:r w:rsidRPr="00BD2982">
        <w:t xml:space="preserve">Graf </w:t>
      </w:r>
      <w:r>
        <w:t>10</w:t>
      </w:r>
      <w:r w:rsidRPr="00BD2982">
        <w:t xml:space="preserve"> - Očekávaná doba návratnosti </w:t>
      </w:r>
    </w:p>
    <w:p w:rsidR="002C41C1" w:rsidRDefault="002C41C1" w:rsidP="00BD2982"/>
    <w:p w:rsidR="002C41C1" w:rsidRDefault="002C41C1" w:rsidP="00BD2982">
      <w:r>
        <w:t xml:space="preserve">Banky jsou v současné době ochotny půjčovat za velmi dobrých podmínek. Kromě ekonomické smysluplnosti projektu ovšem často trvají na splnění jiných kritérií, jako kreditní historie, velikost, záruky, atd. Dluhové a záruční nástroje umožní získat úvěrové financování firmám, které chtějí realizovat ziskový záměr, ale nesplňují některou z dalších podmínek komerčních bank.  Zpřístupnění dluhového financování vnímá řada podniků jako dostačující formu podpory. Zajištění zvýhodněného </w:t>
      </w:r>
      <w:r>
        <w:lastRenderedPageBreak/>
        <w:t>úvěru by vyústilo v realizaci investice v 42% projektů rozšíření výroby a jedné třetiny projektů nových a začínajících podniků. Efekt jednotlivých forem podpory na aktivaci investiční kapacity ilustruje Tabulka 3.</w:t>
      </w:r>
    </w:p>
    <w:p w:rsidR="002C41C1" w:rsidRDefault="002C41C1" w:rsidP="00BD2982"/>
    <w:tbl>
      <w:tblPr>
        <w:tblW w:w="9119" w:type="dxa"/>
        <w:tblBorders>
          <w:bottom w:val="single" w:sz="4" w:space="0" w:color="00A1DE"/>
          <w:insideH w:val="single" w:sz="4" w:space="0" w:color="00A1DE"/>
        </w:tblBorders>
        <w:tblCellMar>
          <w:top w:w="28" w:type="dxa"/>
          <w:left w:w="28" w:type="dxa"/>
          <w:bottom w:w="28" w:type="dxa"/>
          <w:right w:w="28" w:type="dxa"/>
        </w:tblCellMar>
        <w:tblLook w:val="00A0" w:firstRow="1" w:lastRow="0" w:firstColumn="1" w:lastColumn="0" w:noHBand="0" w:noVBand="0"/>
      </w:tblPr>
      <w:tblGrid>
        <w:gridCol w:w="3289"/>
        <w:gridCol w:w="1060"/>
        <w:gridCol w:w="960"/>
        <w:gridCol w:w="960"/>
        <w:gridCol w:w="960"/>
        <w:gridCol w:w="1730"/>
        <w:gridCol w:w="160"/>
      </w:tblGrid>
      <w:tr w:rsidR="002C41C1" w:rsidRPr="00661000" w:rsidTr="00661000">
        <w:trPr>
          <w:trHeight w:val="300"/>
        </w:trPr>
        <w:tc>
          <w:tcPr>
            <w:tcW w:w="3289" w:type="dxa"/>
            <w:shd w:val="clear" w:color="auto" w:fill="00A1DE"/>
            <w:noWrap/>
          </w:tcPr>
          <w:p w:rsidR="002C41C1" w:rsidRPr="00661000" w:rsidRDefault="002C41C1" w:rsidP="00661000">
            <w:pPr>
              <w:keepNext/>
              <w:jc w:val="left"/>
              <w:rPr>
                <w:b/>
                <w:bCs/>
                <w:color w:val="000000"/>
                <w:sz w:val="18"/>
                <w:szCs w:val="18"/>
              </w:rPr>
            </w:pPr>
            <w:r w:rsidRPr="00661000">
              <w:rPr>
                <w:b/>
                <w:bCs/>
                <w:color w:val="000000"/>
                <w:sz w:val="18"/>
                <w:szCs w:val="18"/>
              </w:rPr>
              <w:t> </w:t>
            </w:r>
          </w:p>
        </w:tc>
        <w:tc>
          <w:tcPr>
            <w:tcW w:w="1060" w:type="dxa"/>
            <w:shd w:val="clear" w:color="auto" w:fill="00A1DE"/>
            <w:noWrap/>
            <w:vAlign w:val="center"/>
          </w:tcPr>
          <w:p w:rsidR="002C41C1" w:rsidRPr="00661000" w:rsidRDefault="002C41C1" w:rsidP="00661000">
            <w:pPr>
              <w:keepNext/>
              <w:jc w:val="center"/>
              <w:rPr>
                <w:b/>
                <w:bCs/>
                <w:color w:val="EEECE1"/>
                <w:sz w:val="18"/>
                <w:szCs w:val="18"/>
              </w:rPr>
            </w:pPr>
            <w:r w:rsidRPr="00661000">
              <w:rPr>
                <w:b/>
                <w:bCs/>
                <w:color w:val="EEECE1"/>
                <w:sz w:val="18"/>
                <w:szCs w:val="18"/>
              </w:rPr>
              <w:t>Určitě ano</w:t>
            </w:r>
          </w:p>
        </w:tc>
        <w:tc>
          <w:tcPr>
            <w:tcW w:w="960" w:type="dxa"/>
            <w:shd w:val="clear" w:color="auto" w:fill="00A1DE"/>
            <w:noWrap/>
            <w:vAlign w:val="center"/>
          </w:tcPr>
          <w:p w:rsidR="002C41C1" w:rsidRPr="00661000" w:rsidRDefault="002C41C1" w:rsidP="00661000">
            <w:pPr>
              <w:keepNext/>
              <w:jc w:val="center"/>
              <w:rPr>
                <w:b/>
                <w:bCs/>
                <w:color w:val="EEECE1"/>
                <w:sz w:val="18"/>
                <w:szCs w:val="18"/>
              </w:rPr>
            </w:pPr>
            <w:r w:rsidRPr="00661000">
              <w:rPr>
                <w:b/>
                <w:bCs/>
                <w:color w:val="EEECE1"/>
                <w:sz w:val="18"/>
                <w:szCs w:val="18"/>
              </w:rPr>
              <w:t>Spíše ano</w:t>
            </w:r>
          </w:p>
        </w:tc>
        <w:tc>
          <w:tcPr>
            <w:tcW w:w="960" w:type="dxa"/>
            <w:shd w:val="clear" w:color="auto" w:fill="00A1DE"/>
            <w:noWrap/>
            <w:vAlign w:val="center"/>
          </w:tcPr>
          <w:p w:rsidR="002C41C1" w:rsidRPr="00661000" w:rsidRDefault="002C41C1" w:rsidP="00661000">
            <w:pPr>
              <w:keepNext/>
              <w:jc w:val="center"/>
              <w:rPr>
                <w:b/>
                <w:bCs/>
                <w:color w:val="EEECE1"/>
                <w:sz w:val="18"/>
                <w:szCs w:val="18"/>
              </w:rPr>
            </w:pPr>
            <w:r w:rsidRPr="00661000">
              <w:rPr>
                <w:b/>
                <w:bCs/>
                <w:color w:val="EEECE1"/>
                <w:sz w:val="18"/>
                <w:szCs w:val="18"/>
              </w:rPr>
              <w:t>Spíše ne</w:t>
            </w:r>
          </w:p>
        </w:tc>
        <w:tc>
          <w:tcPr>
            <w:tcW w:w="960" w:type="dxa"/>
            <w:shd w:val="clear" w:color="auto" w:fill="00A1DE"/>
            <w:noWrap/>
            <w:vAlign w:val="center"/>
          </w:tcPr>
          <w:p w:rsidR="002C41C1" w:rsidRPr="00661000" w:rsidRDefault="002C41C1" w:rsidP="00661000">
            <w:pPr>
              <w:keepNext/>
              <w:jc w:val="center"/>
              <w:rPr>
                <w:b/>
                <w:bCs/>
                <w:color w:val="EEECE1"/>
                <w:sz w:val="18"/>
                <w:szCs w:val="18"/>
              </w:rPr>
            </w:pPr>
            <w:r w:rsidRPr="00661000">
              <w:rPr>
                <w:b/>
                <w:bCs/>
                <w:color w:val="EEECE1"/>
                <w:sz w:val="18"/>
                <w:szCs w:val="18"/>
              </w:rPr>
              <w:t>Určitě ne</w:t>
            </w:r>
          </w:p>
        </w:tc>
        <w:tc>
          <w:tcPr>
            <w:tcW w:w="1730" w:type="dxa"/>
            <w:shd w:val="clear" w:color="auto" w:fill="00A1DE"/>
            <w:noWrap/>
            <w:vAlign w:val="center"/>
          </w:tcPr>
          <w:p w:rsidR="002C41C1" w:rsidRPr="00661000" w:rsidRDefault="002C41C1" w:rsidP="00661000">
            <w:pPr>
              <w:keepNext/>
              <w:jc w:val="center"/>
              <w:rPr>
                <w:b/>
                <w:bCs/>
                <w:color w:val="000000"/>
                <w:sz w:val="18"/>
                <w:szCs w:val="18"/>
              </w:rPr>
            </w:pPr>
            <w:r w:rsidRPr="00661000">
              <w:rPr>
                <w:b/>
                <w:bCs/>
                <w:color w:val="EEECE1"/>
                <w:sz w:val="18"/>
                <w:szCs w:val="18"/>
              </w:rPr>
              <w:t>Typ nástroje</w:t>
            </w:r>
          </w:p>
        </w:tc>
        <w:tc>
          <w:tcPr>
            <w:tcW w:w="160" w:type="dxa"/>
            <w:shd w:val="clear" w:color="auto" w:fill="00A1DE"/>
            <w:noWrap/>
          </w:tcPr>
          <w:p w:rsidR="002C41C1" w:rsidRPr="00661000" w:rsidRDefault="002C41C1" w:rsidP="00661000">
            <w:pPr>
              <w:keepNext/>
              <w:jc w:val="left"/>
              <w:rPr>
                <w:b/>
                <w:bCs/>
                <w:color w:val="000000"/>
                <w:sz w:val="18"/>
                <w:szCs w:val="18"/>
              </w:rPr>
            </w:pPr>
            <w:r w:rsidRPr="00661000">
              <w:rPr>
                <w:b/>
                <w:bCs/>
                <w:color w:val="000000"/>
                <w:sz w:val="18"/>
                <w:szCs w:val="18"/>
              </w:rPr>
              <w:t> </w:t>
            </w:r>
          </w:p>
        </w:tc>
      </w:tr>
      <w:tr w:rsidR="002C41C1" w:rsidRPr="00661000" w:rsidTr="00661000">
        <w:trPr>
          <w:trHeight w:val="300"/>
        </w:trPr>
        <w:tc>
          <w:tcPr>
            <w:tcW w:w="3289" w:type="dxa"/>
            <w:shd w:val="clear" w:color="auto" w:fill="FFFFFF"/>
            <w:noWrap/>
            <w:vAlign w:val="center"/>
          </w:tcPr>
          <w:p w:rsidR="002C41C1" w:rsidRPr="00661000" w:rsidRDefault="002C41C1" w:rsidP="00661000">
            <w:pPr>
              <w:keepNext/>
              <w:jc w:val="left"/>
              <w:rPr>
                <w:color w:val="000000"/>
                <w:sz w:val="18"/>
                <w:szCs w:val="18"/>
              </w:rPr>
            </w:pPr>
            <w:r w:rsidRPr="00661000">
              <w:rPr>
                <w:color w:val="000000"/>
                <w:sz w:val="18"/>
                <w:szCs w:val="18"/>
              </w:rPr>
              <w:t>Investice do výroby</w:t>
            </w:r>
          </w:p>
        </w:tc>
        <w:tc>
          <w:tcPr>
            <w:tcW w:w="1060" w:type="dxa"/>
            <w:shd w:val="clear" w:color="auto" w:fill="FFFFFF"/>
            <w:noWrap/>
            <w:vAlign w:val="center"/>
          </w:tcPr>
          <w:p w:rsidR="002C41C1" w:rsidRPr="00661000" w:rsidRDefault="002C41C1" w:rsidP="00661000">
            <w:pPr>
              <w:keepNext/>
              <w:jc w:val="center"/>
              <w:rPr>
                <w:color w:val="000000"/>
                <w:sz w:val="18"/>
                <w:szCs w:val="18"/>
              </w:rPr>
            </w:pPr>
            <w:r w:rsidRPr="00661000">
              <w:rPr>
                <w:color w:val="000000"/>
                <w:sz w:val="18"/>
                <w:szCs w:val="18"/>
              </w:rPr>
              <w:t>25%</w:t>
            </w:r>
          </w:p>
        </w:tc>
        <w:tc>
          <w:tcPr>
            <w:tcW w:w="960" w:type="dxa"/>
            <w:shd w:val="clear" w:color="auto" w:fill="FFFFFF"/>
            <w:noWrap/>
            <w:vAlign w:val="center"/>
          </w:tcPr>
          <w:p w:rsidR="002C41C1" w:rsidRPr="00661000" w:rsidRDefault="002C41C1" w:rsidP="00661000">
            <w:pPr>
              <w:keepNext/>
              <w:jc w:val="center"/>
              <w:rPr>
                <w:color w:val="000000"/>
                <w:sz w:val="18"/>
                <w:szCs w:val="18"/>
              </w:rPr>
            </w:pPr>
            <w:r w:rsidRPr="00661000">
              <w:rPr>
                <w:color w:val="000000"/>
                <w:sz w:val="18"/>
                <w:szCs w:val="18"/>
              </w:rPr>
              <w:t>21%</w:t>
            </w:r>
          </w:p>
        </w:tc>
        <w:tc>
          <w:tcPr>
            <w:tcW w:w="960" w:type="dxa"/>
            <w:shd w:val="clear" w:color="auto" w:fill="FFFFFF"/>
            <w:noWrap/>
            <w:vAlign w:val="center"/>
          </w:tcPr>
          <w:p w:rsidR="002C41C1" w:rsidRPr="00661000" w:rsidRDefault="002C41C1" w:rsidP="00661000">
            <w:pPr>
              <w:keepNext/>
              <w:jc w:val="center"/>
              <w:rPr>
                <w:color w:val="000000"/>
                <w:sz w:val="18"/>
                <w:szCs w:val="18"/>
              </w:rPr>
            </w:pPr>
            <w:r w:rsidRPr="00661000">
              <w:rPr>
                <w:color w:val="000000"/>
                <w:sz w:val="18"/>
                <w:szCs w:val="18"/>
              </w:rPr>
              <w:t>26%</w:t>
            </w:r>
          </w:p>
        </w:tc>
        <w:tc>
          <w:tcPr>
            <w:tcW w:w="960" w:type="dxa"/>
            <w:shd w:val="clear" w:color="auto" w:fill="FFFFFF"/>
            <w:noWrap/>
            <w:vAlign w:val="center"/>
          </w:tcPr>
          <w:p w:rsidR="002C41C1" w:rsidRPr="00661000" w:rsidRDefault="002C41C1" w:rsidP="00661000">
            <w:pPr>
              <w:keepNext/>
              <w:jc w:val="center"/>
              <w:rPr>
                <w:color w:val="000000"/>
                <w:sz w:val="18"/>
                <w:szCs w:val="18"/>
              </w:rPr>
            </w:pPr>
            <w:r w:rsidRPr="00661000">
              <w:rPr>
                <w:color w:val="000000"/>
                <w:sz w:val="18"/>
                <w:szCs w:val="18"/>
              </w:rPr>
              <w:t>28%</w:t>
            </w:r>
          </w:p>
        </w:tc>
        <w:tc>
          <w:tcPr>
            <w:tcW w:w="1890" w:type="dxa"/>
            <w:gridSpan w:val="2"/>
            <w:vMerge w:val="restart"/>
            <w:shd w:val="clear" w:color="auto" w:fill="FFFFFF"/>
            <w:noWrap/>
            <w:vAlign w:val="center"/>
          </w:tcPr>
          <w:p w:rsidR="002C41C1" w:rsidRPr="00661000" w:rsidRDefault="002C41C1" w:rsidP="00661000">
            <w:pPr>
              <w:keepNext/>
              <w:jc w:val="center"/>
              <w:rPr>
                <w:color w:val="000000"/>
                <w:sz w:val="18"/>
                <w:szCs w:val="18"/>
              </w:rPr>
            </w:pPr>
            <w:r w:rsidRPr="00661000">
              <w:rPr>
                <w:color w:val="000000"/>
                <w:sz w:val="18"/>
                <w:szCs w:val="18"/>
              </w:rPr>
              <w:t>Kapitálový vstup</w:t>
            </w:r>
          </w:p>
        </w:tc>
      </w:tr>
      <w:tr w:rsidR="002C41C1" w:rsidRPr="00661000" w:rsidTr="00661000">
        <w:trPr>
          <w:trHeight w:val="315"/>
        </w:trPr>
        <w:tc>
          <w:tcPr>
            <w:tcW w:w="3289" w:type="dxa"/>
            <w:shd w:val="clear" w:color="auto" w:fill="FFFFFF"/>
            <w:noWrap/>
            <w:vAlign w:val="center"/>
          </w:tcPr>
          <w:p w:rsidR="002C41C1" w:rsidRPr="00661000" w:rsidRDefault="002C41C1" w:rsidP="00661000">
            <w:pPr>
              <w:keepNext/>
              <w:jc w:val="left"/>
              <w:rPr>
                <w:color w:val="000000"/>
                <w:sz w:val="18"/>
                <w:szCs w:val="18"/>
              </w:rPr>
            </w:pPr>
            <w:r w:rsidRPr="00661000">
              <w:rPr>
                <w:color w:val="000000"/>
                <w:sz w:val="18"/>
                <w:szCs w:val="18"/>
              </w:rPr>
              <w:t>Investice do začínajícího podnikání</w:t>
            </w:r>
          </w:p>
        </w:tc>
        <w:tc>
          <w:tcPr>
            <w:tcW w:w="1060" w:type="dxa"/>
            <w:shd w:val="clear" w:color="auto" w:fill="FFFFFF"/>
            <w:noWrap/>
            <w:vAlign w:val="center"/>
          </w:tcPr>
          <w:p w:rsidR="002C41C1" w:rsidRPr="00661000" w:rsidRDefault="002C41C1" w:rsidP="00661000">
            <w:pPr>
              <w:keepNext/>
              <w:jc w:val="center"/>
              <w:rPr>
                <w:color w:val="000000"/>
                <w:sz w:val="18"/>
                <w:szCs w:val="18"/>
              </w:rPr>
            </w:pPr>
            <w:r w:rsidRPr="00661000">
              <w:rPr>
                <w:color w:val="000000"/>
                <w:sz w:val="18"/>
                <w:szCs w:val="18"/>
              </w:rPr>
              <w:t>24%</w:t>
            </w:r>
          </w:p>
        </w:tc>
        <w:tc>
          <w:tcPr>
            <w:tcW w:w="960" w:type="dxa"/>
            <w:shd w:val="clear" w:color="auto" w:fill="FFFFFF"/>
            <w:noWrap/>
            <w:vAlign w:val="center"/>
          </w:tcPr>
          <w:p w:rsidR="002C41C1" w:rsidRPr="00661000" w:rsidRDefault="002C41C1" w:rsidP="00661000">
            <w:pPr>
              <w:keepNext/>
              <w:jc w:val="center"/>
              <w:rPr>
                <w:color w:val="000000"/>
                <w:sz w:val="18"/>
                <w:szCs w:val="18"/>
              </w:rPr>
            </w:pPr>
            <w:r w:rsidRPr="00661000">
              <w:rPr>
                <w:color w:val="000000"/>
                <w:sz w:val="18"/>
                <w:szCs w:val="18"/>
              </w:rPr>
              <w:t>21%</w:t>
            </w:r>
          </w:p>
        </w:tc>
        <w:tc>
          <w:tcPr>
            <w:tcW w:w="960" w:type="dxa"/>
            <w:shd w:val="clear" w:color="auto" w:fill="FFFFFF"/>
            <w:noWrap/>
            <w:vAlign w:val="center"/>
          </w:tcPr>
          <w:p w:rsidR="002C41C1" w:rsidRPr="00661000" w:rsidRDefault="002C41C1" w:rsidP="00661000">
            <w:pPr>
              <w:keepNext/>
              <w:jc w:val="center"/>
              <w:rPr>
                <w:color w:val="000000"/>
                <w:sz w:val="18"/>
                <w:szCs w:val="18"/>
              </w:rPr>
            </w:pPr>
            <w:r w:rsidRPr="00661000">
              <w:rPr>
                <w:color w:val="000000"/>
                <w:sz w:val="18"/>
                <w:szCs w:val="18"/>
              </w:rPr>
              <w:t>6%</w:t>
            </w:r>
          </w:p>
        </w:tc>
        <w:tc>
          <w:tcPr>
            <w:tcW w:w="960" w:type="dxa"/>
            <w:shd w:val="clear" w:color="auto" w:fill="FFFFFF"/>
            <w:noWrap/>
            <w:vAlign w:val="center"/>
          </w:tcPr>
          <w:p w:rsidR="002C41C1" w:rsidRPr="00661000" w:rsidRDefault="002C41C1" w:rsidP="00661000">
            <w:pPr>
              <w:keepNext/>
              <w:jc w:val="center"/>
              <w:rPr>
                <w:color w:val="000000"/>
                <w:sz w:val="18"/>
                <w:szCs w:val="18"/>
              </w:rPr>
            </w:pPr>
            <w:r w:rsidRPr="00661000">
              <w:rPr>
                <w:color w:val="000000"/>
                <w:sz w:val="18"/>
                <w:szCs w:val="18"/>
              </w:rPr>
              <w:t>49%</w:t>
            </w:r>
          </w:p>
        </w:tc>
        <w:tc>
          <w:tcPr>
            <w:tcW w:w="1890" w:type="dxa"/>
            <w:gridSpan w:val="2"/>
            <w:vMerge/>
            <w:shd w:val="clear" w:color="auto" w:fill="FFFFFF"/>
            <w:vAlign w:val="center"/>
          </w:tcPr>
          <w:p w:rsidR="002C41C1" w:rsidRPr="00661000" w:rsidRDefault="002C41C1" w:rsidP="00661000">
            <w:pPr>
              <w:keepNext/>
              <w:jc w:val="center"/>
              <w:rPr>
                <w:color w:val="000000"/>
                <w:sz w:val="18"/>
                <w:szCs w:val="18"/>
              </w:rPr>
            </w:pPr>
          </w:p>
        </w:tc>
      </w:tr>
      <w:tr w:rsidR="002C41C1" w:rsidRPr="00661000" w:rsidTr="00661000">
        <w:trPr>
          <w:trHeight w:val="300"/>
        </w:trPr>
        <w:tc>
          <w:tcPr>
            <w:tcW w:w="3289" w:type="dxa"/>
            <w:shd w:val="clear" w:color="auto" w:fill="FFFFFF"/>
            <w:noWrap/>
            <w:vAlign w:val="center"/>
          </w:tcPr>
          <w:p w:rsidR="002C41C1" w:rsidRPr="00661000" w:rsidRDefault="002C41C1" w:rsidP="00661000">
            <w:pPr>
              <w:keepNext/>
              <w:jc w:val="left"/>
              <w:rPr>
                <w:color w:val="000000"/>
                <w:sz w:val="18"/>
                <w:szCs w:val="18"/>
              </w:rPr>
            </w:pPr>
            <w:r w:rsidRPr="00661000">
              <w:rPr>
                <w:color w:val="000000"/>
                <w:sz w:val="18"/>
                <w:szCs w:val="18"/>
              </w:rPr>
              <w:t>Investice do výroby</w:t>
            </w:r>
          </w:p>
        </w:tc>
        <w:tc>
          <w:tcPr>
            <w:tcW w:w="1060" w:type="dxa"/>
            <w:shd w:val="clear" w:color="auto" w:fill="FFFFFF"/>
            <w:noWrap/>
            <w:vAlign w:val="center"/>
          </w:tcPr>
          <w:p w:rsidR="002C41C1" w:rsidRPr="00661000" w:rsidRDefault="002C41C1" w:rsidP="00661000">
            <w:pPr>
              <w:keepNext/>
              <w:jc w:val="center"/>
              <w:rPr>
                <w:color w:val="000000"/>
                <w:sz w:val="18"/>
                <w:szCs w:val="18"/>
              </w:rPr>
            </w:pPr>
            <w:r w:rsidRPr="00661000">
              <w:rPr>
                <w:color w:val="000000"/>
                <w:sz w:val="18"/>
                <w:szCs w:val="18"/>
              </w:rPr>
              <w:t>27%</w:t>
            </w:r>
          </w:p>
        </w:tc>
        <w:tc>
          <w:tcPr>
            <w:tcW w:w="960" w:type="dxa"/>
            <w:shd w:val="clear" w:color="auto" w:fill="FFFFFF"/>
            <w:noWrap/>
            <w:vAlign w:val="center"/>
          </w:tcPr>
          <w:p w:rsidR="002C41C1" w:rsidRPr="00661000" w:rsidRDefault="002C41C1" w:rsidP="00661000">
            <w:pPr>
              <w:keepNext/>
              <w:jc w:val="center"/>
              <w:rPr>
                <w:color w:val="000000"/>
                <w:sz w:val="18"/>
                <w:szCs w:val="18"/>
              </w:rPr>
            </w:pPr>
            <w:r w:rsidRPr="00661000">
              <w:rPr>
                <w:color w:val="000000"/>
                <w:sz w:val="18"/>
                <w:szCs w:val="18"/>
              </w:rPr>
              <w:t>32%</w:t>
            </w:r>
          </w:p>
        </w:tc>
        <w:tc>
          <w:tcPr>
            <w:tcW w:w="960" w:type="dxa"/>
            <w:shd w:val="clear" w:color="auto" w:fill="FFFFFF"/>
            <w:noWrap/>
            <w:vAlign w:val="center"/>
          </w:tcPr>
          <w:p w:rsidR="002C41C1" w:rsidRPr="00661000" w:rsidRDefault="002C41C1" w:rsidP="00661000">
            <w:pPr>
              <w:keepNext/>
              <w:jc w:val="center"/>
              <w:rPr>
                <w:color w:val="000000"/>
                <w:sz w:val="18"/>
                <w:szCs w:val="18"/>
              </w:rPr>
            </w:pPr>
            <w:r w:rsidRPr="00661000">
              <w:rPr>
                <w:color w:val="000000"/>
                <w:sz w:val="18"/>
                <w:szCs w:val="18"/>
              </w:rPr>
              <w:t>24%</w:t>
            </w:r>
          </w:p>
        </w:tc>
        <w:tc>
          <w:tcPr>
            <w:tcW w:w="960" w:type="dxa"/>
            <w:shd w:val="clear" w:color="auto" w:fill="FFFFFF"/>
            <w:noWrap/>
            <w:vAlign w:val="center"/>
          </w:tcPr>
          <w:p w:rsidR="002C41C1" w:rsidRPr="00661000" w:rsidRDefault="002C41C1" w:rsidP="00661000">
            <w:pPr>
              <w:keepNext/>
              <w:jc w:val="center"/>
              <w:rPr>
                <w:color w:val="000000"/>
                <w:sz w:val="18"/>
                <w:szCs w:val="18"/>
              </w:rPr>
            </w:pPr>
            <w:r w:rsidRPr="00661000">
              <w:rPr>
                <w:color w:val="000000"/>
                <w:sz w:val="18"/>
                <w:szCs w:val="18"/>
              </w:rPr>
              <w:t>18%</w:t>
            </w:r>
          </w:p>
        </w:tc>
        <w:tc>
          <w:tcPr>
            <w:tcW w:w="1890" w:type="dxa"/>
            <w:gridSpan w:val="2"/>
            <w:vMerge w:val="restart"/>
            <w:shd w:val="clear" w:color="auto" w:fill="FFFFFF"/>
            <w:noWrap/>
            <w:vAlign w:val="center"/>
          </w:tcPr>
          <w:p w:rsidR="002C41C1" w:rsidRPr="00661000" w:rsidRDefault="002C41C1" w:rsidP="00661000">
            <w:pPr>
              <w:keepNext/>
              <w:jc w:val="center"/>
              <w:rPr>
                <w:color w:val="000000"/>
                <w:sz w:val="18"/>
                <w:szCs w:val="18"/>
              </w:rPr>
            </w:pPr>
            <w:r w:rsidRPr="00661000">
              <w:rPr>
                <w:color w:val="000000"/>
                <w:sz w:val="18"/>
                <w:szCs w:val="18"/>
              </w:rPr>
              <w:t>Záruky</w:t>
            </w:r>
          </w:p>
        </w:tc>
      </w:tr>
      <w:tr w:rsidR="002C41C1" w:rsidRPr="00661000" w:rsidTr="00661000">
        <w:trPr>
          <w:trHeight w:val="315"/>
        </w:trPr>
        <w:tc>
          <w:tcPr>
            <w:tcW w:w="3289" w:type="dxa"/>
            <w:shd w:val="clear" w:color="auto" w:fill="FFFFFF"/>
            <w:noWrap/>
            <w:vAlign w:val="center"/>
          </w:tcPr>
          <w:p w:rsidR="002C41C1" w:rsidRPr="00661000" w:rsidRDefault="002C41C1" w:rsidP="00661000">
            <w:pPr>
              <w:keepNext/>
              <w:jc w:val="left"/>
              <w:rPr>
                <w:color w:val="000000"/>
                <w:sz w:val="18"/>
                <w:szCs w:val="18"/>
              </w:rPr>
            </w:pPr>
            <w:r w:rsidRPr="00661000">
              <w:rPr>
                <w:color w:val="000000"/>
                <w:sz w:val="18"/>
                <w:szCs w:val="18"/>
              </w:rPr>
              <w:t>Investice do začínajícího podnikání</w:t>
            </w:r>
          </w:p>
        </w:tc>
        <w:tc>
          <w:tcPr>
            <w:tcW w:w="1060" w:type="dxa"/>
            <w:shd w:val="clear" w:color="auto" w:fill="FFFFFF"/>
            <w:noWrap/>
            <w:vAlign w:val="center"/>
          </w:tcPr>
          <w:p w:rsidR="002C41C1" w:rsidRPr="00661000" w:rsidRDefault="002C41C1" w:rsidP="00661000">
            <w:pPr>
              <w:keepNext/>
              <w:jc w:val="center"/>
              <w:rPr>
                <w:color w:val="000000"/>
                <w:sz w:val="18"/>
                <w:szCs w:val="18"/>
              </w:rPr>
            </w:pPr>
            <w:r w:rsidRPr="00661000">
              <w:rPr>
                <w:color w:val="000000"/>
                <w:sz w:val="18"/>
                <w:szCs w:val="18"/>
              </w:rPr>
              <w:t>19%</w:t>
            </w:r>
          </w:p>
        </w:tc>
        <w:tc>
          <w:tcPr>
            <w:tcW w:w="960" w:type="dxa"/>
            <w:shd w:val="clear" w:color="auto" w:fill="FFFFFF"/>
            <w:noWrap/>
            <w:vAlign w:val="center"/>
          </w:tcPr>
          <w:p w:rsidR="002C41C1" w:rsidRPr="00661000" w:rsidRDefault="002C41C1" w:rsidP="00661000">
            <w:pPr>
              <w:keepNext/>
              <w:jc w:val="center"/>
              <w:rPr>
                <w:color w:val="000000"/>
                <w:sz w:val="18"/>
                <w:szCs w:val="18"/>
              </w:rPr>
            </w:pPr>
            <w:r w:rsidRPr="00661000">
              <w:rPr>
                <w:color w:val="000000"/>
                <w:sz w:val="18"/>
                <w:szCs w:val="18"/>
              </w:rPr>
              <w:t>22%</w:t>
            </w:r>
          </w:p>
        </w:tc>
        <w:tc>
          <w:tcPr>
            <w:tcW w:w="960" w:type="dxa"/>
            <w:shd w:val="clear" w:color="auto" w:fill="FFFFFF"/>
            <w:noWrap/>
            <w:vAlign w:val="center"/>
          </w:tcPr>
          <w:p w:rsidR="002C41C1" w:rsidRPr="00661000" w:rsidRDefault="002C41C1" w:rsidP="00661000">
            <w:pPr>
              <w:keepNext/>
              <w:jc w:val="center"/>
              <w:rPr>
                <w:color w:val="000000"/>
                <w:sz w:val="18"/>
                <w:szCs w:val="18"/>
              </w:rPr>
            </w:pPr>
            <w:r w:rsidRPr="00661000">
              <w:rPr>
                <w:color w:val="000000"/>
                <w:sz w:val="18"/>
                <w:szCs w:val="18"/>
              </w:rPr>
              <w:t>18%</w:t>
            </w:r>
          </w:p>
        </w:tc>
        <w:tc>
          <w:tcPr>
            <w:tcW w:w="960" w:type="dxa"/>
            <w:shd w:val="clear" w:color="auto" w:fill="FFFFFF"/>
            <w:noWrap/>
            <w:vAlign w:val="center"/>
          </w:tcPr>
          <w:p w:rsidR="002C41C1" w:rsidRPr="00661000" w:rsidRDefault="002C41C1" w:rsidP="00661000">
            <w:pPr>
              <w:keepNext/>
              <w:jc w:val="center"/>
              <w:rPr>
                <w:color w:val="000000"/>
                <w:sz w:val="18"/>
                <w:szCs w:val="18"/>
              </w:rPr>
            </w:pPr>
            <w:r w:rsidRPr="00661000">
              <w:rPr>
                <w:color w:val="000000"/>
                <w:sz w:val="18"/>
                <w:szCs w:val="18"/>
              </w:rPr>
              <w:t>41%</w:t>
            </w:r>
          </w:p>
        </w:tc>
        <w:tc>
          <w:tcPr>
            <w:tcW w:w="1890" w:type="dxa"/>
            <w:gridSpan w:val="2"/>
            <w:vMerge/>
            <w:shd w:val="clear" w:color="auto" w:fill="FFFFFF"/>
            <w:vAlign w:val="center"/>
          </w:tcPr>
          <w:p w:rsidR="002C41C1" w:rsidRPr="00661000" w:rsidRDefault="002C41C1" w:rsidP="00661000">
            <w:pPr>
              <w:keepNext/>
              <w:jc w:val="center"/>
              <w:rPr>
                <w:color w:val="000000"/>
                <w:sz w:val="18"/>
                <w:szCs w:val="18"/>
              </w:rPr>
            </w:pPr>
          </w:p>
        </w:tc>
      </w:tr>
      <w:tr w:rsidR="002C41C1" w:rsidRPr="00661000" w:rsidTr="00661000">
        <w:trPr>
          <w:trHeight w:val="300"/>
        </w:trPr>
        <w:tc>
          <w:tcPr>
            <w:tcW w:w="3289" w:type="dxa"/>
            <w:shd w:val="clear" w:color="auto" w:fill="FFFFFF"/>
            <w:noWrap/>
            <w:vAlign w:val="center"/>
          </w:tcPr>
          <w:p w:rsidR="002C41C1" w:rsidRPr="00661000" w:rsidRDefault="002C41C1" w:rsidP="00661000">
            <w:pPr>
              <w:keepNext/>
              <w:jc w:val="left"/>
              <w:rPr>
                <w:color w:val="000000"/>
                <w:sz w:val="18"/>
                <w:szCs w:val="18"/>
              </w:rPr>
            </w:pPr>
            <w:r w:rsidRPr="00661000">
              <w:rPr>
                <w:color w:val="000000"/>
                <w:sz w:val="18"/>
                <w:szCs w:val="18"/>
              </w:rPr>
              <w:t>Investice do výroby</w:t>
            </w:r>
          </w:p>
        </w:tc>
        <w:tc>
          <w:tcPr>
            <w:tcW w:w="1060" w:type="dxa"/>
            <w:shd w:val="clear" w:color="auto" w:fill="FFFFFF"/>
            <w:noWrap/>
            <w:vAlign w:val="center"/>
          </w:tcPr>
          <w:p w:rsidR="002C41C1" w:rsidRPr="00661000" w:rsidRDefault="002C41C1" w:rsidP="00661000">
            <w:pPr>
              <w:keepNext/>
              <w:jc w:val="center"/>
              <w:rPr>
                <w:color w:val="000000"/>
                <w:sz w:val="18"/>
                <w:szCs w:val="18"/>
              </w:rPr>
            </w:pPr>
            <w:r w:rsidRPr="00661000">
              <w:rPr>
                <w:color w:val="000000"/>
                <w:sz w:val="18"/>
                <w:szCs w:val="18"/>
              </w:rPr>
              <w:t>42%</w:t>
            </w:r>
          </w:p>
        </w:tc>
        <w:tc>
          <w:tcPr>
            <w:tcW w:w="960" w:type="dxa"/>
            <w:shd w:val="clear" w:color="auto" w:fill="FFFFFF"/>
            <w:noWrap/>
            <w:vAlign w:val="center"/>
          </w:tcPr>
          <w:p w:rsidR="002C41C1" w:rsidRPr="00661000" w:rsidRDefault="002C41C1" w:rsidP="00661000">
            <w:pPr>
              <w:keepNext/>
              <w:jc w:val="center"/>
              <w:rPr>
                <w:color w:val="000000"/>
                <w:sz w:val="18"/>
                <w:szCs w:val="18"/>
              </w:rPr>
            </w:pPr>
            <w:r w:rsidRPr="00661000">
              <w:rPr>
                <w:color w:val="000000"/>
                <w:sz w:val="18"/>
                <w:szCs w:val="18"/>
              </w:rPr>
              <w:t>38%</w:t>
            </w:r>
          </w:p>
        </w:tc>
        <w:tc>
          <w:tcPr>
            <w:tcW w:w="960" w:type="dxa"/>
            <w:shd w:val="clear" w:color="auto" w:fill="FFFFFF"/>
            <w:noWrap/>
            <w:vAlign w:val="center"/>
          </w:tcPr>
          <w:p w:rsidR="002C41C1" w:rsidRPr="00661000" w:rsidRDefault="002C41C1" w:rsidP="00661000">
            <w:pPr>
              <w:keepNext/>
              <w:jc w:val="center"/>
              <w:rPr>
                <w:color w:val="000000"/>
                <w:sz w:val="18"/>
                <w:szCs w:val="18"/>
              </w:rPr>
            </w:pPr>
            <w:r w:rsidRPr="00661000">
              <w:rPr>
                <w:color w:val="000000"/>
                <w:sz w:val="18"/>
                <w:szCs w:val="18"/>
              </w:rPr>
              <w:t>17%</w:t>
            </w:r>
          </w:p>
        </w:tc>
        <w:tc>
          <w:tcPr>
            <w:tcW w:w="960" w:type="dxa"/>
            <w:shd w:val="clear" w:color="auto" w:fill="FFFFFF"/>
            <w:noWrap/>
            <w:vAlign w:val="center"/>
          </w:tcPr>
          <w:p w:rsidR="002C41C1" w:rsidRPr="00661000" w:rsidRDefault="002C41C1" w:rsidP="00661000">
            <w:pPr>
              <w:keepNext/>
              <w:jc w:val="center"/>
              <w:rPr>
                <w:color w:val="000000"/>
                <w:sz w:val="18"/>
                <w:szCs w:val="18"/>
              </w:rPr>
            </w:pPr>
            <w:r w:rsidRPr="00661000">
              <w:rPr>
                <w:color w:val="000000"/>
                <w:sz w:val="18"/>
                <w:szCs w:val="18"/>
              </w:rPr>
              <w:t>4%</w:t>
            </w:r>
          </w:p>
        </w:tc>
        <w:tc>
          <w:tcPr>
            <w:tcW w:w="1890" w:type="dxa"/>
            <w:gridSpan w:val="2"/>
            <w:vMerge w:val="restart"/>
            <w:shd w:val="clear" w:color="auto" w:fill="FFFFFF"/>
            <w:noWrap/>
            <w:vAlign w:val="center"/>
          </w:tcPr>
          <w:p w:rsidR="002C41C1" w:rsidRPr="00661000" w:rsidRDefault="002C41C1" w:rsidP="00661000">
            <w:pPr>
              <w:keepNext/>
              <w:jc w:val="center"/>
              <w:rPr>
                <w:color w:val="000000"/>
                <w:sz w:val="18"/>
                <w:szCs w:val="18"/>
              </w:rPr>
            </w:pPr>
            <w:r w:rsidRPr="00661000">
              <w:rPr>
                <w:color w:val="000000"/>
                <w:sz w:val="18"/>
                <w:szCs w:val="18"/>
              </w:rPr>
              <w:t>Zvýhodněný úvěr</w:t>
            </w:r>
          </w:p>
        </w:tc>
      </w:tr>
      <w:tr w:rsidR="002C41C1" w:rsidRPr="00661000" w:rsidTr="00661000">
        <w:trPr>
          <w:trHeight w:val="315"/>
        </w:trPr>
        <w:tc>
          <w:tcPr>
            <w:tcW w:w="3289" w:type="dxa"/>
            <w:shd w:val="clear" w:color="auto" w:fill="FFFFFF"/>
            <w:noWrap/>
            <w:vAlign w:val="center"/>
          </w:tcPr>
          <w:p w:rsidR="002C41C1" w:rsidRPr="00661000" w:rsidRDefault="002C41C1" w:rsidP="00661000">
            <w:pPr>
              <w:keepNext/>
              <w:jc w:val="left"/>
              <w:rPr>
                <w:color w:val="000000"/>
                <w:sz w:val="18"/>
                <w:szCs w:val="18"/>
              </w:rPr>
            </w:pPr>
            <w:r w:rsidRPr="00661000">
              <w:rPr>
                <w:color w:val="000000"/>
                <w:sz w:val="18"/>
                <w:szCs w:val="18"/>
              </w:rPr>
              <w:t>Investice do začínajícího podnikání</w:t>
            </w:r>
          </w:p>
        </w:tc>
        <w:tc>
          <w:tcPr>
            <w:tcW w:w="1060" w:type="dxa"/>
            <w:shd w:val="clear" w:color="auto" w:fill="FFFFFF"/>
            <w:noWrap/>
            <w:vAlign w:val="center"/>
          </w:tcPr>
          <w:p w:rsidR="002C41C1" w:rsidRPr="00661000" w:rsidRDefault="002C41C1" w:rsidP="00661000">
            <w:pPr>
              <w:keepNext/>
              <w:jc w:val="center"/>
              <w:rPr>
                <w:color w:val="000000"/>
                <w:sz w:val="18"/>
                <w:szCs w:val="18"/>
              </w:rPr>
            </w:pPr>
            <w:r w:rsidRPr="00661000">
              <w:rPr>
                <w:color w:val="000000"/>
                <w:sz w:val="18"/>
                <w:szCs w:val="18"/>
              </w:rPr>
              <w:t>33%</w:t>
            </w:r>
          </w:p>
        </w:tc>
        <w:tc>
          <w:tcPr>
            <w:tcW w:w="960" w:type="dxa"/>
            <w:shd w:val="clear" w:color="auto" w:fill="FFFFFF"/>
            <w:noWrap/>
            <w:vAlign w:val="center"/>
          </w:tcPr>
          <w:p w:rsidR="002C41C1" w:rsidRPr="00661000" w:rsidRDefault="002C41C1" w:rsidP="00661000">
            <w:pPr>
              <w:keepNext/>
              <w:jc w:val="center"/>
              <w:rPr>
                <w:color w:val="000000"/>
                <w:sz w:val="18"/>
                <w:szCs w:val="18"/>
              </w:rPr>
            </w:pPr>
            <w:r w:rsidRPr="00661000">
              <w:rPr>
                <w:color w:val="000000"/>
                <w:sz w:val="18"/>
                <w:szCs w:val="18"/>
              </w:rPr>
              <w:t>18%</w:t>
            </w:r>
          </w:p>
        </w:tc>
        <w:tc>
          <w:tcPr>
            <w:tcW w:w="960" w:type="dxa"/>
            <w:shd w:val="clear" w:color="auto" w:fill="FFFFFF"/>
            <w:noWrap/>
            <w:vAlign w:val="center"/>
          </w:tcPr>
          <w:p w:rsidR="002C41C1" w:rsidRPr="00661000" w:rsidRDefault="002C41C1" w:rsidP="00661000">
            <w:pPr>
              <w:keepNext/>
              <w:jc w:val="center"/>
              <w:rPr>
                <w:color w:val="000000"/>
                <w:sz w:val="18"/>
                <w:szCs w:val="18"/>
              </w:rPr>
            </w:pPr>
            <w:r w:rsidRPr="00661000">
              <w:rPr>
                <w:color w:val="000000"/>
                <w:sz w:val="18"/>
                <w:szCs w:val="18"/>
              </w:rPr>
              <w:t>16%</w:t>
            </w:r>
          </w:p>
        </w:tc>
        <w:tc>
          <w:tcPr>
            <w:tcW w:w="960" w:type="dxa"/>
            <w:shd w:val="clear" w:color="auto" w:fill="FFFFFF"/>
            <w:noWrap/>
            <w:vAlign w:val="center"/>
          </w:tcPr>
          <w:p w:rsidR="002C41C1" w:rsidRPr="00661000" w:rsidRDefault="002C41C1" w:rsidP="00661000">
            <w:pPr>
              <w:keepNext/>
              <w:jc w:val="center"/>
              <w:rPr>
                <w:color w:val="000000"/>
                <w:sz w:val="18"/>
                <w:szCs w:val="18"/>
              </w:rPr>
            </w:pPr>
            <w:r w:rsidRPr="00661000">
              <w:rPr>
                <w:color w:val="000000"/>
                <w:sz w:val="18"/>
                <w:szCs w:val="18"/>
              </w:rPr>
              <w:t>34%</w:t>
            </w:r>
          </w:p>
        </w:tc>
        <w:tc>
          <w:tcPr>
            <w:tcW w:w="1890" w:type="dxa"/>
            <w:gridSpan w:val="2"/>
            <w:vMerge/>
            <w:shd w:val="clear" w:color="auto" w:fill="FFFFFF"/>
          </w:tcPr>
          <w:p w:rsidR="002C41C1" w:rsidRPr="00661000" w:rsidRDefault="002C41C1" w:rsidP="00661000">
            <w:pPr>
              <w:keepNext/>
              <w:jc w:val="left"/>
              <w:rPr>
                <w:color w:val="000000"/>
                <w:sz w:val="18"/>
                <w:szCs w:val="18"/>
              </w:rPr>
            </w:pPr>
          </w:p>
        </w:tc>
      </w:tr>
    </w:tbl>
    <w:p w:rsidR="002C41C1" w:rsidRDefault="002C41C1" w:rsidP="00E528C8">
      <w:pPr>
        <w:pStyle w:val="Titulek"/>
        <w:jc w:val="center"/>
      </w:pPr>
      <w:r>
        <w:t>Tabulka 5- Aktivační potenciál finančních nástrojů</w:t>
      </w:r>
    </w:p>
    <w:p w:rsidR="002C41C1" w:rsidRDefault="002C41C1" w:rsidP="00E528C8"/>
    <w:p w:rsidR="002C41C1" w:rsidRDefault="002C41C1" w:rsidP="00E528C8">
      <w:r>
        <w:t>Následující Tabulka 4 uvádí, zdali by rozhodnutí respondentů, kteří ve výše uvedené Tabulce 3 uvedli, že by investici v případě podpory zvýhodněným úvěrem spíše nerealizovali, zvrátilo přiznání dotace ve výši 10% způsobilých výdajů.</w:t>
      </w:r>
    </w:p>
    <w:p w:rsidR="002C41C1" w:rsidRDefault="002C41C1" w:rsidP="00E528C8"/>
    <w:tbl>
      <w:tblPr>
        <w:tblW w:w="9120" w:type="dxa"/>
        <w:tblBorders>
          <w:bottom w:val="single" w:sz="4" w:space="0" w:color="00A1DE"/>
          <w:insideH w:val="single" w:sz="4" w:space="0" w:color="00A1DE"/>
        </w:tblBorders>
        <w:tblCellMar>
          <w:top w:w="28" w:type="dxa"/>
          <w:left w:w="28" w:type="dxa"/>
          <w:bottom w:w="28" w:type="dxa"/>
          <w:right w:w="28" w:type="dxa"/>
        </w:tblCellMar>
        <w:tblLook w:val="00A0" w:firstRow="1" w:lastRow="0" w:firstColumn="1" w:lastColumn="0" w:noHBand="0" w:noVBand="0"/>
      </w:tblPr>
      <w:tblGrid>
        <w:gridCol w:w="4696"/>
        <w:gridCol w:w="1190"/>
        <w:gridCol w:w="1078"/>
        <w:gridCol w:w="1078"/>
        <w:gridCol w:w="1078"/>
      </w:tblGrid>
      <w:tr w:rsidR="002C41C1" w:rsidRPr="00661000" w:rsidTr="00661000">
        <w:trPr>
          <w:trHeight w:val="306"/>
        </w:trPr>
        <w:tc>
          <w:tcPr>
            <w:tcW w:w="4696" w:type="dxa"/>
            <w:shd w:val="clear" w:color="auto" w:fill="00A1DE"/>
            <w:noWrap/>
          </w:tcPr>
          <w:p w:rsidR="002C41C1" w:rsidRPr="00661000" w:rsidRDefault="002C41C1" w:rsidP="00661000">
            <w:pPr>
              <w:jc w:val="left"/>
              <w:rPr>
                <w:b/>
                <w:color w:val="FFFFFF"/>
                <w:sz w:val="18"/>
              </w:rPr>
            </w:pPr>
          </w:p>
        </w:tc>
        <w:tc>
          <w:tcPr>
            <w:tcW w:w="1190" w:type="dxa"/>
            <w:shd w:val="clear" w:color="auto" w:fill="00A1DE"/>
            <w:noWrap/>
            <w:vAlign w:val="center"/>
          </w:tcPr>
          <w:p w:rsidR="002C41C1" w:rsidRPr="00661000" w:rsidRDefault="002C41C1" w:rsidP="00661000">
            <w:pPr>
              <w:jc w:val="center"/>
              <w:rPr>
                <w:b/>
                <w:bCs/>
                <w:color w:val="FFFFFF"/>
                <w:sz w:val="18"/>
                <w:szCs w:val="22"/>
              </w:rPr>
            </w:pPr>
            <w:r w:rsidRPr="00661000">
              <w:rPr>
                <w:b/>
                <w:bCs/>
                <w:color w:val="FFFFFF"/>
                <w:sz w:val="18"/>
                <w:szCs w:val="22"/>
              </w:rPr>
              <w:t>Určitě ano</w:t>
            </w:r>
          </w:p>
        </w:tc>
        <w:tc>
          <w:tcPr>
            <w:tcW w:w="1078" w:type="dxa"/>
            <w:shd w:val="clear" w:color="auto" w:fill="00A1DE"/>
            <w:noWrap/>
            <w:vAlign w:val="center"/>
          </w:tcPr>
          <w:p w:rsidR="002C41C1" w:rsidRPr="00661000" w:rsidRDefault="002C41C1" w:rsidP="00661000">
            <w:pPr>
              <w:jc w:val="center"/>
              <w:rPr>
                <w:b/>
                <w:bCs/>
                <w:color w:val="FFFFFF"/>
                <w:sz w:val="18"/>
                <w:szCs w:val="22"/>
              </w:rPr>
            </w:pPr>
            <w:r w:rsidRPr="00661000">
              <w:rPr>
                <w:b/>
                <w:bCs/>
                <w:color w:val="FFFFFF"/>
                <w:sz w:val="18"/>
                <w:szCs w:val="22"/>
              </w:rPr>
              <w:t>Spíše ano</w:t>
            </w:r>
          </w:p>
        </w:tc>
        <w:tc>
          <w:tcPr>
            <w:tcW w:w="1078" w:type="dxa"/>
            <w:shd w:val="clear" w:color="auto" w:fill="00A1DE"/>
            <w:noWrap/>
            <w:vAlign w:val="center"/>
          </w:tcPr>
          <w:p w:rsidR="002C41C1" w:rsidRPr="00661000" w:rsidRDefault="002C41C1" w:rsidP="00661000">
            <w:pPr>
              <w:jc w:val="center"/>
              <w:rPr>
                <w:b/>
                <w:bCs/>
                <w:color w:val="FFFFFF"/>
                <w:sz w:val="18"/>
                <w:szCs w:val="22"/>
              </w:rPr>
            </w:pPr>
            <w:r w:rsidRPr="00661000">
              <w:rPr>
                <w:b/>
                <w:bCs/>
                <w:color w:val="FFFFFF"/>
                <w:sz w:val="18"/>
                <w:szCs w:val="22"/>
              </w:rPr>
              <w:t>Spíše ne</w:t>
            </w:r>
          </w:p>
        </w:tc>
        <w:tc>
          <w:tcPr>
            <w:tcW w:w="1078" w:type="dxa"/>
            <w:shd w:val="clear" w:color="auto" w:fill="00A1DE"/>
            <w:noWrap/>
            <w:vAlign w:val="center"/>
          </w:tcPr>
          <w:p w:rsidR="002C41C1" w:rsidRPr="00661000" w:rsidRDefault="002C41C1" w:rsidP="00661000">
            <w:pPr>
              <w:jc w:val="center"/>
              <w:rPr>
                <w:b/>
                <w:bCs/>
                <w:color w:val="FFFFFF"/>
                <w:sz w:val="18"/>
                <w:szCs w:val="22"/>
              </w:rPr>
            </w:pPr>
            <w:r w:rsidRPr="00661000">
              <w:rPr>
                <w:b/>
                <w:bCs/>
                <w:color w:val="FFFFFF"/>
                <w:sz w:val="18"/>
                <w:szCs w:val="22"/>
              </w:rPr>
              <w:t>Určitě ne</w:t>
            </w:r>
          </w:p>
        </w:tc>
      </w:tr>
      <w:tr w:rsidR="002C41C1" w:rsidRPr="00661000" w:rsidTr="00661000">
        <w:trPr>
          <w:trHeight w:val="306"/>
        </w:trPr>
        <w:tc>
          <w:tcPr>
            <w:tcW w:w="4696" w:type="dxa"/>
            <w:shd w:val="clear" w:color="auto" w:fill="FFFFFF"/>
            <w:noWrap/>
            <w:vAlign w:val="center"/>
          </w:tcPr>
          <w:p w:rsidR="002C41C1" w:rsidRPr="00661000" w:rsidRDefault="002C41C1" w:rsidP="00661000">
            <w:pPr>
              <w:jc w:val="left"/>
              <w:rPr>
                <w:color w:val="000000"/>
                <w:sz w:val="18"/>
                <w:szCs w:val="22"/>
              </w:rPr>
            </w:pPr>
            <w:r w:rsidRPr="00661000">
              <w:rPr>
                <w:color w:val="000000"/>
                <w:sz w:val="18"/>
                <w:szCs w:val="22"/>
              </w:rPr>
              <w:t>Investice do výroby</w:t>
            </w:r>
          </w:p>
        </w:tc>
        <w:tc>
          <w:tcPr>
            <w:tcW w:w="1190" w:type="dxa"/>
            <w:shd w:val="clear" w:color="auto" w:fill="FFFFFF"/>
            <w:noWrap/>
            <w:vAlign w:val="center"/>
          </w:tcPr>
          <w:p w:rsidR="002C41C1" w:rsidRPr="00661000" w:rsidRDefault="002C41C1" w:rsidP="00661000">
            <w:pPr>
              <w:jc w:val="center"/>
              <w:rPr>
                <w:color w:val="000000"/>
                <w:sz w:val="18"/>
                <w:szCs w:val="22"/>
              </w:rPr>
            </w:pPr>
            <w:r w:rsidRPr="00661000">
              <w:rPr>
                <w:color w:val="000000"/>
                <w:sz w:val="18"/>
                <w:szCs w:val="22"/>
              </w:rPr>
              <w:t>65</w:t>
            </w:r>
          </w:p>
        </w:tc>
        <w:tc>
          <w:tcPr>
            <w:tcW w:w="1078" w:type="dxa"/>
            <w:shd w:val="clear" w:color="auto" w:fill="FFFFFF"/>
            <w:noWrap/>
            <w:vAlign w:val="center"/>
          </w:tcPr>
          <w:p w:rsidR="002C41C1" w:rsidRPr="00661000" w:rsidRDefault="002C41C1" w:rsidP="00661000">
            <w:pPr>
              <w:jc w:val="center"/>
              <w:rPr>
                <w:color w:val="000000"/>
                <w:sz w:val="18"/>
                <w:szCs w:val="22"/>
              </w:rPr>
            </w:pPr>
            <w:r w:rsidRPr="00661000">
              <w:rPr>
                <w:color w:val="000000"/>
                <w:sz w:val="18"/>
                <w:szCs w:val="22"/>
              </w:rPr>
              <w:t>121</w:t>
            </w:r>
          </w:p>
        </w:tc>
        <w:tc>
          <w:tcPr>
            <w:tcW w:w="1078" w:type="dxa"/>
            <w:shd w:val="clear" w:color="auto" w:fill="FFFFFF"/>
            <w:noWrap/>
            <w:vAlign w:val="center"/>
          </w:tcPr>
          <w:p w:rsidR="002C41C1" w:rsidRPr="00661000" w:rsidRDefault="002C41C1" w:rsidP="00661000">
            <w:pPr>
              <w:jc w:val="center"/>
              <w:rPr>
                <w:color w:val="000000"/>
                <w:sz w:val="18"/>
                <w:szCs w:val="22"/>
              </w:rPr>
            </w:pPr>
            <w:r w:rsidRPr="00661000">
              <w:rPr>
                <w:color w:val="000000"/>
                <w:sz w:val="18"/>
                <w:szCs w:val="22"/>
              </w:rPr>
              <w:t>92</w:t>
            </w:r>
          </w:p>
        </w:tc>
        <w:tc>
          <w:tcPr>
            <w:tcW w:w="1078" w:type="dxa"/>
            <w:shd w:val="clear" w:color="auto" w:fill="FFFFFF"/>
            <w:noWrap/>
            <w:vAlign w:val="center"/>
          </w:tcPr>
          <w:p w:rsidR="002C41C1" w:rsidRPr="00661000" w:rsidRDefault="002C41C1" w:rsidP="00661000">
            <w:pPr>
              <w:jc w:val="center"/>
              <w:rPr>
                <w:color w:val="000000"/>
                <w:sz w:val="18"/>
                <w:szCs w:val="22"/>
              </w:rPr>
            </w:pPr>
            <w:r w:rsidRPr="00661000">
              <w:rPr>
                <w:color w:val="000000"/>
                <w:sz w:val="18"/>
                <w:szCs w:val="22"/>
              </w:rPr>
              <w:t>65</w:t>
            </w:r>
          </w:p>
        </w:tc>
      </w:tr>
      <w:tr w:rsidR="002C41C1" w:rsidRPr="00661000" w:rsidTr="00661000">
        <w:trPr>
          <w:trHeight w:val="306"/>
        </w:trPr>
        <w:tc>
          <w:tcPr>
            <w:tcW w:w="4696" w:type="dxa"/>
            <w:shd w:val="clear" w:color="auto" w:fill="FFFFFF"/>
            <w:noWrap/>
            <w:vAlign w:val="center"/>
          </w:tcPr>
          <w:p w:rsidR="002C41C1" w:rsidRPr="00661000" w:rsidRDefault="002C41C1" w:rsidP="00661000">
            <w:pPr>
              <w:jc w:val="left"/>
              <w:rPr>
                <w:color w:val="000000"/>
                <w:sz w:val="18"/>
                <w:szCs w:val="22"/>
              </w:rPr>
            </w:pPr>
            <w:r w:rsidRPr="00661000">
              <w:rPr>
                <w:color w:val="000000"/>
                <w:sz w:val="18"/>
                <w:szCs w:val="22"/>
              </w:rPr>
              <w:t>Investice do začínajícího podnikání</w:t>
            </w:r>
          </w:p>
        </w:tc>
        <w:tc>
          <w:tcPr>
            <w:tcW w:w="1190" w:type="dxa"/>
            <w:shd w:val="clear" w:color="auto" w:fill="FFFFFF"/>
            <w:noWrap/>
            <w:vAlign w:val="center"/>
          </w:tcPr>
          <w:p w:rsidR="002C41C1" w:rsidRPr="00661000" w:rsidRDefault="002C41C1" w:rsidP="00661000">
            <w:pPr>
              <w:jc w:val="center"/>
              <w:rPr>
                <w:color w:val="000000"/>
                <w:sz w:val="18"/>
                <w:szCs w:val="22"/>
              </w:rPr>
            </w:pPr>
            <w:r w:rsidRPr="00661000">
              <w:rPr>
                <w:color w:val="000000"/>
                <w:sz w:val="18"/>
                <w:szCs w:val="22"/>
              </w:rPr>
              <w:t>4</w:t>
            </w:r>
          </w:p>
        </w:tc>
        <w:tc>
          <w:tcPr>
            <w:tcW w:w="1078" w:type="dxa"/>
            <w:shd w:val="clear" w:color="auto" w:fill="FFFFFF"/>
            <w:noWrap/>
            <w:vAlign w:val="center"/>
          </w:tcPr>
          <w:p w:rsidR="002C41C1" w:rsidRPr="00661000" w:rsidRDefault="002C41C1" w:rsidP="00661000">
            <w:pPr>
              <w:jc w:val="center"/>
              <w:rPr>
                <w:color w:val="000000"/>
                <w:sz w:val="18"/>
                <w:szCs w:val="22"/>
              </w:rPr>
            </w:pPr>
            <w:r w:rsidRPr="00661000">
              <w:rPr>
                <w:color w:val="000000"/>
                <w:sz w:val="18"/>
                <w:szCs w:val="22"/>
              </w:rPr>
              <w:t>18</w:t>
            </w:r>
          </w:p>
        </w:tc>
        <w:tc>
          <w:tcPr>
            <w:tcW w:w="1078" w:type="dxa"/>
            <w:shd w:val="clear" w:color="auto" w:fill="FFFFFF"/>
            <w:noWrap/>
            <w:vAlign w:val="center"/>
          </w:tcPr>
          <w:p w:rsidR="002C41C1" w:rsidRPr="00661000" w:rsidRDefault="002C41C1" w:rsidP="00661000">
            <w:pPr>
              <w:jc w:val="center"/>
              <w:rPr>
                <w:color w:val="000000"/>
                <w:sz w:val="18"/>
                <w:szCs w:val="22"/>
              </w:rPr>
            </w:pPr>
            <w:r w:rsidRPr="00661000">
              <w:rPr>
                <w:color w:val="000000"/>
                <w:sz w:val="18"/>
                <w:szCs w:val="22"/>
              </w:rPr>
              <w:t>13</w:t>
            </w:r>
          </w:p>
        </w:tc>
        <w:tc>
          <w:tcPr>
            <w:tcW w:w="1078" w:type="dxa"/>
            <w:shd w:val="clear" w:color="auto" w:fill="FFFFFF"/>
            <w:noWrap/>
            <w:vAlign w:val="center"/>
          </w:tcPr>
          <w:p w:rsidR="002C41C1" w:rsidRPr="00661000" w:rsidRDefault="002C41C1" w:rsidP="00661000">
            <w:pPr>
              <w:jc w:val="center"/>
              <w:rPr>
                <w:color w:val="000000"/>
                <w:sz w:val="18"/>
                <w:szCs w:val="22"/>
              </w:rPr>
            </w:pPr>
            <w:r w:rsidRPr="00661000">
              <w:rPr>
                <w:color w:val="000000"/>
                <w:sz w:val="18"/>
                <w:szCs w:val="22"/>
              </w:rPr>
              <w:t>24</w:t>
            </w:r>
          </w:p>
        </w:tc>
      </w:tr>
    </w:tbl>
    <w:p w:rsidR="002C41C1" w:rsidRDefault="002C41C1" w:rsidP="00E528C8">
      <w:pPr>
        <w:pStyle w:val="Titulek"/>
        <w:jc w:val="center"/>
      </w:pPr>
      <w:r>
        <w:t>Tabulka 6 - Citlivost na 10 % dotaci</w:t>
      </w:r>
    </w:p>
    <w:p w:rsidR="002C41C1" w:rsidRDefault="002C41C1" w:rsidP="00E528C8"/>
    <w:p w:rsidR="002C41C1" w:rsidRDefault="002C41C1" w:rsidP="00E528C8">
      <w:r>
        <w:t xml:space="preserve">Potenciál MSP vytvářet přidanou hodnotu je pro trh kapitálu natolik zřejmý, že nepovažujeme za nutné je podporovat </w:t>
      </w:r>
      <w:r w:rsidR="001A49E4">
        <w:t xml:space="preserve">pouze </w:t>
      </w:r>
      <w:r>
        <w:t xml:space="preserve">formou dotačních nástrojů. Podpora MSP může být efektivně poskytována prostřednictvím finančních nástrojů. Na základě výsledků dotazníkových šetření, analýzy statistických dat a dříve zpracovaných studií, trendů, mezinárodního srovnání a v neposlední řadě významnějšího revolvingového potenciálu doporučujeme ve větší míře využívat možnosti kapitálových vstupů, a to zejména v počátečních fázích života podniku, kdy je navyšování vlastního kapitálu firmy vhodnější než neúměrné zatížení úvěrem. Podnik samotný je jako příjemce dotace či investiční cíl v podobné pozici. </w:t>
      </w:r>
    </w:p>
    <w:p w:rsidR="002C41C1" w:rsidRDefault="002C41C1" w:rsidP="00E528C8"/>
    <w:p w:rsidR="002C41C1" w:rsidRDefault="002C41C1" w:rsidP="00E528C8">
      <w:r>
        <w:t>Pro většinu vlastníků bude lákavější nevratná dotace, která v sobě ale nezahrnuje vedlejší přínosy, které kapitálový vstup zpravidla má – možnosti synergie, sdílení zkušeností, expertízu. Věříme, že ve střednědobém horizontu je proto kapitálový vstup výhodnější nejen pro podnik samotný, ale zejména z pohledu agregátní přidané hodnoty pro českou ekonomiku.</w:t>
      </w:r>
    </w:p>
    <w:p w:rsidR="002C41C1" w:rsidRDefault="002C41C1" w:rsidP="00B21DA0"/>
    <w:p w:rsidR="002C41C1" w:rsidRPr="00DF6E0B" w:rsidRDefault="002C41C1" w:rsidP="00DF6E0B">
      <w:pPr>
        <w:pStyle w:val="Nadpis3"/>
        <w:rPr>
          <w:lang w:eastAsia="en-US"/>
        </w:rPr>
      </w:pPr>
      <w:bookmarkStart w:id="70" w:name="_Toc413854341"/>
      <w:r w:rsidRPr="00DF6E0B">
        <w:rPr>
          <w:lang w:eastAsia="en-US"/>
        </w:rPr>
        <w:t>Specifický cíl 2.3 - Zvýšit využitelnost infrastruktury pro podnikání</w:t>
      </w:r>
      <w:bookmarkEnd w:id="70"/>
    </w:p>
    <w:p w:rsidR="002C41C1" w:rsidRDefault="002C41C1" w:rsidP="009E112A">
      <w:pPr>
        <w:pStyle w:val="Neslovannadpisy"/>
      </w:pPr>
      <w:r>
        <w:t>Podporované aktivity:</w:t>
      </w:r>
    </w:p>
    <w:p w:rsidR="002C41C1" w:rsidRDefault="002C41C1" w:rsidP="00DF6E0B">
      <w:pPr>
        <w:pStyle w:val="Odstavecseseznamem"/>
        <w:numPr>
          <w:ilvl w:val="0"/>
          <w:numId w:val="13"/>
        </w:numPr>
      </w:pPr>
      <w:r>
        <w:t>Technické a stavební rekonstrukce brownfieldů (bez výdajů na odstranění ekologických zátěží) a jejich přeměna na moderní podnikatelské objekty a vznik nově zrekonstruovatelných podnikatelských ploch,</w:t>
      </w:r>
    </w:p>
    <w:p w:rsidR="002C41C1" w:rsidRDefault="002C41C1" w:rsidP="00DF6E0B">
      <w:pPr>
        <w:pStyle w:val="Odstavecseseznamem"/>
        <w:numPr>
          <w:ilvl w:val="0"/>
          <w:numId w:val="13"/>
        </w:numPr>
      </w:pPr>
      <w:r>
        <w:t>realizace komplexních stavebně-technických opatření vedoucích k rekonstrukcím technicky nevyhovující podnikatelské nemovitostí nebo brownfieldů na podnikatelský objekt a vzniku nově zrekonstruovaných podnikatelských ploch.</w:t>
      </w:r>
    </w:p>
    <w:p w:rsidR="002C41C1" w:rsidRDefault="002C41C1" w:rsidP="00DF6E0B">
      <w:pPr>
        <w:pStyle w:val="Odstavecseseznamem"/>
      </w:pPr>
    </w:p>
    <w:p w:rsidR="002C41C1" w:rsidRDefault="002C41C1" w:rsidP="009E112A">
      <w:pPr>
        <w:pStyle w:val="Neslovannadpisy"/>
      </w:pPr>
      <w:r>
        <w:t xml:space="preserve">Hlavní cílová skupina: </w:t>
      </w:r>
    </w:p>
    <w:p w:rsidR="002C41C1" w:rsidRDefault="002C41C1" w:rsidP="009E112A">
      <w:r w:rsidRPr="00397581">
        <w:t>Podnik</w:t>
      </w:r>
      <w:r>
        <w:t>atelské subjekty (malé, střední</w:t>
      </w:r>
      <w:r w:rsidRPr="00397581">
        <w:t>)</w:t>
      </w:r>
      <w:r>
        <w:t>, municipality</w:t>
      </w:r>
    </w:p>
    <w:p w:rsidR="002C41C1" w:rsidRDefault="002C41C1" w:rsidP="009E112A"/>
    <w:p w:rsidR="002C41C1" w:rsidRDefault="002C41C1" w:rsidP="009E112A">
      <w:pPr>
        <w:pStyle w:val="Neslovannadpisy"/>
      </w:pPr>
      <w:r>
        <w:t>Cílové území:</w:t>
      </w:r>
    </w:p>
    <w:p w:rsidR="002C41C1" w:rsidRDefault="002C41C1" w:rsidP="009E112A">
      <w:r>
        <w:t>V</w:t>
      </w:r>
      <w:r w:rsidRPr="00397581">
        <w:t>šechny regiony v ČR kromě hl. m. Prahy</w:t>
      </w:r>
      <w:r>
        <w:t>, zaměření na urbánní území</w:t>
      </w:r>
    </w:p>
    <w:p w:rsidR="002C41C1" w:rsidRDefault="002C41C1" w:rsidP="004E6079">
      <w:pPr>
        <w:rPr>
          <w:b/>
          <w:lang w:eastAsia="en-US"/>
        </w:rPr>
      </w:pPr>
    </w:p>
    <w:p w:rsidR="002C41C1" w:rsidRPr="00416BF2" w:rsidRDefault="002C41C1" w:rsidP="00416BF2">
      <w:pPr>
        <w:pStyle w:val="Vtneslovannadpis"/>
        <w:rPr>
          <w:lang w:eastAsia="en-US"/>
        </w:rPr>
      </w:pPr>
      <w:r w:rsidRPr="00416BF2">
        <w:rPr>
          <w:lang w:eastAsia="en-US"/>
        </w:rPr>
        <w:t>Tržní analýza</w:t>
      </w:r>
    </w:p>
    <w:p w:rsidR="002C41C1" w:rsidRDefault="002C41C1" w:rsidP="001D283B">
      <w:pPr>
        <w:rPr>
          <w:lang w:eastAsia="en-US"/>
        </w:rPr>
      </w:pPr>
      <w:r w:rsidRPr="00416BF2">
        <w:rPr>
          <w:lang w:eastAsia="en-US"/>
        </w:rPr>
        <w:t xml:space="preserve">Problematika investic do regenerace, rekonstrukce nebo revitalizace BF vykazuje významně nižší dynamiku, co se týče ročně generovaných investic, než je možné pozorovat například při výstavbě projektů na zelené louce (greenfields). Dle analýzy dostupných informací a pohovorů se zástupci veřejného i soukromého sektoru je klíčovým prvkem rozhodování dostupnost dotačního titulu a jeho výše – předpokládá se, že pouze třetinová část BF bude způsobilá pro dotace. Lokality s nízkým rizikem a vysokou rentabilitou (dobré umístnění, nízká potřeba investic) jsou způsobilé pro financování soukromým sektorem a lokality v katastrofálním stavu, kde jsou nároky na investice vysoké a projekt nedostatečně profitabilní, jsou určené na revitalizaci lokality na greenfield. </w:t>
      </w:r>
    </w:p>
    <w:p w:rsidR="002C41C1" w:rsidRDefault="002C41C1" w:rsidP="00416BF2">
      <w:pPr>
        <w:rPr>
          <w:lang w:eastAsia="en-US"/>
        </w:rPr>
      </w:pPr>
    </w:p>
    <w:p w:rsidR="002C41C1" w:rsidRDefault="002C41C1" w:rsidP="00416BF2">
      <w:pPr>
        <w:rPr>
          <w:lang w:eastAsia="en-US"/>
        </w:rPr>
      </w:pPr>
      <w:r>
        <w:rPr>
          <w:lang w:eastAsia="en-US"/>
        </w:rPr>
        <w:t xml:space="preserve">Pro základní informace o brownfieldech je k dispozici materiál státní agentury CzechInvest (CI) Národní strategie regenerace brownfieldů z roku 2008, jejíž aktualizace právě probíhá. </w:t>
      </w:r>
      <w:r w:rsidRPr="00416BF2">
        <w:rPr>
          <w:lang w:eastAsia="en-US"/>
        </w:rPr>
        <w:t xml:space="preserve">Historicky první strategie pro BF zpracovaná v letech 2003 až 2004 přinesla nové informace o pravděpodobné velikosti a povaze BF v ČR. </w:t>
      </w:r>
      <w:r w:rsidRPr="00DF6E0B">
        <w:rPr>
          <w:b/>
          <w:lang w:eastAsia="en-US"/>
        </w:rPr>
        <w:t>Jejich přibližný počet se</w:t>
      </w:r>
      <w:r w:rsidR="00E8581D">
        <w:rPr>
          <w:b/>
          <w:lang w:eastAsia="en-US"/>
        </w:rPr>
        <w:t xml:space="preserve"> podle různých odhadů</w:t>
      </w:r>
      <w:r w:rsidRPr="00DF6E0B">
        <w:rPr>
          <w:b/>
          <w:lang w:eastAsia="en-US"/>
        </w:rPr>
        <w:t xml:space="preserve"> </w:t>
      </w:r>
      <w:r w:rsidR="00E8581D">
        <w:rPr>
          <w:b/>
          <w:lang w:eastAsia="en-US"/>
        </w:rPr>
        <w:t>může pohybovat mezi</w:t>
      </w:r>
      <w:r w:rsidRPr="00DF6E0B">
        <w:rPr>
          <w:b/>
          <w:lang w:eastAsia="en-US"/>
        </w:rPr>
        <w:t xml:space="preserve"> </w:t>
      </w:r>
      <w:r w:rsidR="00E8581D">
        <w:rPr>
          <w:b/>
          <w:lang w:eastAsia="en-US"/>
        </w:rPr>
        <w:t>6-12 000 lokalit</w:t>
      </w:r>
      <w:r w:rsidRPr="00DF6E0B">
        <w:rPr>
          <w:b/>
          <w:lang w:eastAsia="en-US"/>
        </w:rPr>
        <w:t>, v</w:t>
      </w:r>
      <w:r w:rsidRPr="00D144BB">
        <w:rPr>
          <w:b/>
          <w:lang w:eastAsia="en-US"/>
        </w:rPr>
        <w:t> </w:t>
      </w:r>
      <w:r w:rsidRPr="00DF6E0B">
        <w:rPr>
          <w:b/>
          <w:lang w:eastAsia="en-US"/>
        </w:rPr>
        <w:t>roce 2007 bylo zmapováno 2355 lokalit.</w:t>
      </w:r>
      <w:r w:rsidRPr="00416BF2">
        <w:rPr>
          <w:lang w:eastAsia="en-US"/>
        </w:rPr>
        <w:t xml:space="preserve"> Studie se zaměřila </w:t>
      </w:r>
      <w:r>
        <w:rPr>
          <w:lang w:eastAsia="en-US"/>
        </w:rPr>
        <w:t>pouze</w:t>
      </w:r>
      <w:r w:rsidR="005057AD">
        <w:rPr>
          <w:lang w:eastAsia="en-US"/>
        </w:rPr>
        <w:t xml:space="preserve"> </w:t>
      </w:r>
      <w:r w:rsidRPr="00416BF2">
        <w:rPr>
          <w:lang w:eastAsia="en-US"/>
        </w:rPr>
        <w:t>na lokality s velikostí plochy větší než 1 ha a zast</w:t>
      </w:r>
      <w:r w:rsidRPr="00DF6E0B">
        <w:rPr>
          <w:lang w:eastAsia="en-US"/>
        </w:rPr>
        <w:t>avěnou plochou více než 500 m</w:t>
      </w:r>
      <w:r w:rsidRPr="00DF6E0B">
        <w:rPr>
          <w:vertAlign w:val="superscript"/>
          <w:lang w:eastAsia="en-US"/>
        </w:rPr>
        <w:t>2</w:t>
      </w:r>
      <w:r w:rsidRPr="00DF6E0B">
        <w:rPr>
          <w:lang w:eastAsia="en-US"/>
        </w:rPr>
        <w:t>. Typickým BF identifikovaným ve vyhledávací studii byla lokalita v obci s méně než 2000 obyvateli, v soukromých rukou a bez kontaminace (zemědělské družstvo). V tabulce č. 7</w:t>
      </w:r>
      <w:r w:rsidR="00E8581D">
        <w:rPr>
          <w:lang w:eastAsia="en-US"/>
        </w:rPr>
        <w:t xml:space="preserve"> </w:t>
      </w:r>
      <w:r w:rsidRPr="00DF6E0B">
        <w:rPr>
          <w:lang w:eastAsia="en-US"/>
        </w:rPr>
        <w:t>je znázorněno rozložení BF podle velikosti sídelního území. Tabulka č. 6 ukazuje četnost lokalit s</w:t>
      </w:r>
      <w:r>
        <w:rPr>
          <w:lang w:eastAsia="en-US"/>
        </w:rPr>
        <w:t> ohled</w:t>
      </w:r>
      <w:r w:rsidR="005057AD">
        <w:rPr>
          <w:lang w:eastAsia="en-US"/>
        </w:rPr>
        <w:t>e</w:t>
      </w:r>
      <w:r>
        <w:rPr>
          <w:lang w:eastAsia="en-US"/>
        </w:rPr>
        <w:t>m na předchozí využití, celkovou rozlohu a průměrnou rozlohu jedné lokality.</w:t>
      </w:r>
    </w:p>
    <w:p w:rsidR="002C41C1" w:rsidRDefault="002C41C1" w:rsidP="00416BF2">
      <w:pPr>
        <w:rPr>
          <w:lang w:eastAsia="en-US"/>
        </w:rPr>
      </w:pPr>
    </w:p>
    <w:tbl>
      <w:tblPr>
        <w:tblW w:w="3840" w:type="dxa"/>
        <w:jc w:val="center"/>
        <w:tblBorders>
          <w:bottom w:val="single" w:sz="4" w:space="0" w:color="00A1DE"/>
          <w:insideH w:val="single" w:sz="4" w:space="0" w:color="00A1DE"/>
        </w:tblBorders>
        <w:tblCellMar>
          <w:left w:w="0" w:type="dxa"/>
          <w:right w:w="0" w:type="dxa"/>
        </w:tblCellMar>
        <w:tblLook w:val="00A0" w:firstRow="1" w:lastRow="0" w:firstColumn="1" w:lastColumn="0" w:noHBand="0" w:noVBand="0"/>
      </w:tblPr>
      <w:tblGrid>
        <w:gridCol w:w="1576"/>
        <w:gridCol w:w="1216"/>
        <w:gridCol w:w="1096"/>
      </w:tblGrid>
      <w:tr w:rsidR="002C41C1" w:rsidRPr="00661000" w:rsidTr="00416BF2">
        <w:trPr>
          <w:trHeight w:val="20"/>
          <w:jc w:val="center"/>
        </w:trPr>
        <w:tc>
          <w:tcPr>
            <w:tcW w:w="1560" w:type="dxa"/>
            <w:tcBorders>
              <w:top w:val="nil"/>
              <w:left w:val="nil"/>
              <w:right w:val="nil"/>
            </w:tcBorders>
            <w:shd w:val="clear" w:color="auto" w:fill="00A1DE"/>
            <w:noWrap/>
            <w:vAlign w:val="center"/>
          </w:tcPr>
          <w:p w:rsidR="002C41C1" w:rsidRDefault="002C41C1">
            <w:pPr>
              <w:jc w:val="center"/>
              <w:rPr>
                <w:rFonts w:ascii="Arial" w:hAnsi="Arial" w:cs="Arial"/>
                <w:b/>
                <w:color w:val="FFFFFF"/>
                <w:sz w:val="18"/>
              </w:rPr>
            </w:pPr>
            <w:r w:rsidRPr="00661000">
              <w:rPr>
                <w:b/>
                <w:color w:val="FFFFFF"/>
                <w:sz w:val="18"/>
              </w:rPr>
              <w:t>Počet obyvatel</w:t>
            </w:r>
          </w:p>
        </w:tc>
        <w:tc>
          <w:tcPr>
            <w:tcW w:w="1200" w:type="dxa"/>
            <w:tcBorders>
              <w:top w:val="nil"/>
              <w:left w:val="nil"/>
              <w:right w:val="nil"/>
            </w:tcBorders>
            <w:shd w:val="clear" w:color="auto" w:fill="00A1DE"/>
            <w:noWrap/>
            <w:vAlign w:val="center"/>
          </w:tcPr>
          <w:p w:rsidR="002C41C1" w:rsidRDefault="002C41C1">
            <w:pPr>
              <w:jc w:val="center"/>
              <w:rPr>
                <w:rFonts w:ascii="Arial" w:hAnsi="Arial" w:cs="Arial"/>
                <w:b/>
                <w:color w:val="FFFFFF"/>
                <w:sz w:val="18"/>
              </w:rPr>
            </w:pPr>
            <w:r w:rsidRPr="00661000">
              <w:rPr>
                <w:b/>
                <w:color w:val="FFFFFF"/>
                <w:sz w:val="18"/>
              </w:rPr>
              <w:t>Četnost</w:t>
            </w:r>
          </w:p>
        </w:tc>
        <w:tc>
          <w:tcPr>
            <w:tcW w:w="1080" w:type="dxa"/>
            <w:tcBorders>
              <w:top w:val="nil"/>
              <w:left w:val="nil"/>
              <w:right w:val="nil"/>
            </w:tcBorders>
            <w:shd w:val="clear" w:color="auto" w:fill="00A1DE"/>
            <w:noWrap/>
            <w:vAlign w:val="center"/>
          </w:tcPr>
          <w:p w:rsidR="002C41C1" w:rsidRDefault="002C41C1">
            <w:pPr>
              <w:jc w:val="center"/>
              <w:rPr>
                <w:rFonts w:ascii="Arial" w:hAnsi="Arial" w:cs="Arial"/>
                <w:b/>
                <w:color w:val="FFFFFF"/>
                <w:sz w:val="18"/>
              </w:rPr>
            </w:pPr>
            <w:r w:rsidRPr="00661000">
              <w:rPr>
                <w:b/>
                <w:color w:val="FFFFFF"/>
                <w:sz w:val="18"/>
              </w:rPr>
              <w:t>Podíl v %</w:t>
            </w:r>
          </w:p>
        </w:tc>
      </w:tr>
      <w:tr w:rsidR="002C41C1" w:rsidRPr="00661000" w:rsidTr="00416BF2">
        <w:trPr>
          <w:trHeight w:val="20"/>
          <w:jc w:val="center"/>
        </w:trPr>
        <w:tc>
          <w:tcPr>
            <w:tcW w:w="1560" w:type="dxa"/>
            <w:tcBorders>
              <w:left w:val="nil"/>
              <w:right w:val="nil"/>
            </w:tcBorders>
            <w:shd w:val="clear" w:color="auto" w:fill="FFFFFF"/>
            <w:noWrap/>
            <w:vAlign w:val="center"/>
          </w:tcPr>
          <w:p w:rsidR="002C41C1" w:rsidRDefault="002C41C1">
            <w:pPr>
              <w:jc w:val="right"/>
              <w:rPr>
                <w:rFonts w:ascii="Arial" w:hAnsi="Arial" w:cs="Arial"/>
                <w:sz w:val="18"/>
              </w:rPr>
            </w:pPr>
            <w:r w:rsidRPr="00661000">
              <w:rPr>
                <w:sz w:val="18"/>
              </w:rPr>
              <w:t>0 - 2 000</w:t>
            </w:r>
          </w:p>
        </w:tc>
        <w:tc>
          <w:tcPr>
            <w:tcW w:w="1200" w:type="dxa"/>
            <w:tcBorders>
              <w:left w:val="nil"/>
              <w:right w:val="nil"/>
            </w:tcBorders>
            <w:shd w:val="clear" w:color="auto" w:fill="FFFFFF"/>
            <w:noWrap/>
            <w:vAlign w:val="center"/>
          </w:tcPr>
          <w:p w:rsidR="002C41C1" w:rsidRDefault="002C41C1">
            <w:pPr>
              <w:jc w:val="right"/>
              <w:rPr>
                <w:rFonts w:ascii="Arial" w:hAnsi="Arial" w:cs="Arial"/>
                <w:sz w:val="18"/>
              </w:rPr>
            </w:pPr>
            <w:r w:rsidRPr="00661000">
              <w:rPr>
                <w:sz w:val="18"/>
              </w:rPr>
              <w:t>1 144</w:t>
            </w:r>
          </w:p>
        </w:tc>
        <w:tc>
          <w:tcPr>
            <w:tcW w:w="1080" w:type="dxa"/>
            <w:tcBorders>
              <w:left w:val="nil"/>
              <w:right w:val="nil"/>
            </w:tcBorders>
            <w:shd w:val="clear" w:color="auto" w:fill="FFFFFF"/>
            <w:noWrap/>
            <w:vAlign w:val="center"/>
          </w:tcPr>
          <w:p w:rsidR="002C41C1" w:rsidRDefault="002C41C1">
            <w:pPr>
              <w:jc w:val="right"/>
              <w:rPr>
                <w:rFonts w:ascii="Arial" w:hAnsi="Arial" w:cs="Arial"/>
                <w:sz w:val="18"/>
              </w:rPr>
            </w:pPr>
            <w:r w:rsidRPr="00661000">
              <w:rPr>
                <w:sz w:val="18"/>
              </w:rPr>
              <w:t>48,6 %</w:t>
            </w:r>
          </w:p>
        </w:tc>
      </w:tr>
      <w:tr w:rsidR="002C41C1" w:rsidRPr="00661000" w:rsidTr="00416BF2">
        <w:trPr>
          <w:trHeight w:val="20"/>
          <w:jc w:val="center"/>
        </w:trPr>
        <w:tc>
          <w:tcPr>
            <w:tcW w:w="1560" w:type="dxa"/>
            <w:tcBorders>
              <w:left w:val="nil"/>
              <w:right w:val="nil"/>
            </w:tcBorders>
            <w:shd w:val="clear" w:color="auto" w:fill="FFFFFF"/>
            <w:noWrap/>
            <w:vAlign w:val="center"/>
          </w:tcPr>
          <w:p w:rsidR="002C41C1" w:rsidRDefault="002C41C1">
            <w:pPr>
              <w:jc w:val="right"/>
              <w:rPr>
                <w:rFonts w:ascii="Arial" w:hAnsi="Arial" w:cs="Arial"/>
                <w:sz w:val="18"/>
              </w:rPr>
            </w:pPr>
            <w:r w:rsidRPr="00661000">
              <w:rPr>
                <w:sz w:val="18"/>
              </w:rPr>
              <w:t>2 001 - 10 000</w:t>
            </w:r>
          </w:p>
        </w:tc>
        <w:tc>
          <w:tcPr>
            <w:tcW w:w="1200" w:type="dxa"/>
            <w:tcBorders>
              <w:left w:val="nil"/>
              <w:right w:val="nil"/>
            </w:tcBorders>
            <w:shd w:val="clear" w:color="auto" w:fill="FFFFFF"/>
            <w:noWrap/>
            <w:vAlign w:val="center"/>
          </w:tcPr>
          <w:p w:rsidR="002C41C1" w:rsidRDefault="002C41C1">
            <w:pPr>
              <w:jc w:val="right"/>
              <w:rPr>
                <w:rFonts w:ascii="Arial" w:hAnsi="Arial" w:cs="Arial"/>
                <w:sz w:val="18"/>
              </w:rPr>
            </w:pPr>
            <w:r w:rsidRPr="00661000">
              <w:rPr>
                <w:sz w:val="18"/>
              </w:rPr>
              <w:t>590</w:t>
            </w:r>
          </w:p>
        </w:tc>
        <w:tc>
          <w:tcPr>
            <w:tcW w:w="1080" w:type="dxa"/>
            <w:tcBorders>
              <w:left w:val="nil"/>
              <w:right w:val="nil"/>
            </w:tcBorders>
            <w:shd w:val="clear" w:color="auto" w:fill="FFFFFF"/>
            <w:noWrap/>
            <w:vAlign w:val="center"/>
          </w:tcPr>
          <w:p w:rsidR="002C41C1" w:rsidRDefault="002C41C1">
            <w:pPr>
              <w:jc w:val="right"/>
              <w:rPr>
                <w:rFonts w:ascii="Arial" w:hAnsi="Arial" w:cs="Arial"/>
                <w:sz w:val="18"/>
              </w:rPr>
            </w:pPr>
            <w:r w:rsidRPr="00661000">
              <w:rPr>
                <w:sz w:val="18"/>
              </w:rPr>
              <w:t>25,1 %</w:t>
            </w:r>
          </w:p>
        </w:tc>
      </w:tr>
      <w:tr w:rsidR="002C41C1" w:rsidRPr="00661000" w:rsidTr="00416BF2">
        <w:trPr>
          <w:trHeight w:val="20"/>
          <w:jc w:val="center"/>
        </w:trPr>
        <w:tc>
          <w:tcPr>
            <w:tcW w:w="1560" w:type="dxa"/>
            <w:tcBorders>
              <w:left w:val="nil"/>
              <w:right w:val="nil"/>
            </w:tcBorders>
            <w:shd w:val="clear" w:color="auto" w:fill="FFFFFF"/>
            <w:noWrap/>
            <w:vAlign w:val="center"/>
          </w:tcPr>
          <w:p w:rsidR="002C41C1" w:rsidRDefault="002C41C1">
            <w:pPr>
              <w:jc w:val="right"/>
              <w:rPr>
                <w:rFonts w:ascii="Arial" w:hAnsi="Arial" w:cs="Arial"/>
                <w:sz w:val="18"/>
              </w:rPr>
            </w:pPr>
            <w:r w:rsidRPr="00661000">
              <w:rPr>
                <w:sz w:val="18"/>
              </w:rPr>
              <w:t>10 001 - 50 000</w:t>
            </w:r>
          </w:p>
        </w:tc>
        <w:tc>
          <w:tcPr>
            <w:tcW w:w="1200" w:type="dxa"/>
            <w:tcBorders>
              <w:left w:val="nil"/>
              <w:right w:val="nil"/>
            </w:tcBorders>
            <w:shd w:val="clear" w:color="auto" w:fill="FFFFFF"/>
            <w:noWrap/>
            <w:vAlign w:val="center"/>
          </w:tcPr>
          <w:p w:rsidR="002C41C1" w:rsidRDefault="002C41C1">
            <w:pPr>
              <w:jc w:val="right"/>
              <w:rPr>
                <w:rFonts w:ascii="Arial" w:hAnsi="Arial" w:cs="Arial"/>
                <w:sz w:val="18"/>
              </w:rPr>
            </w:pPr>
            <w:r w:rsidRPr="00661000">
              <w:rPr>
                <w:sz w:val="18"/>
              </w:rPr>
              <w:t>344</w:t>
            </w:r>
          </w:p>
        </w:tc>
        <w:tc>
          <w:tcPr>
            <w:tcW w:w="1080" w:type="dxa"/>
            <w:tcBorders>
              <w:left w:val="nil"/>
              <w:right w:val="nil"/>
            </w:tcBorders>
            <w:shd w:val="clear" w:color="auto" w:fill="FFFFFF"/>
            <w:noWrap/>
            <w:vAlign w:val="center"/>
          </w:tcPr>
          <w:p w:rsidR="002C41C1" w:rsidRDefault="002C41C1">
            <w:pPr>
              <w:jc w:val="right"/>
              <w:rPr>
                <w:rFonts w:ascii="Arial" w:hAnsi="Arial" w:cs="Arial"/>
                <w:sz w:val="18"/>
              </w:rPr>
            </w:pPr>
            <w:r w:rsidRPr="00661000">
              <w:rPr>
                <w:sz w:val="18"/>
              </w:rPr>
              <w:t>14,6 %</w:t>
            </w:r>
          </w:p>
        </w:tc>
      </w:tr>
      <w:tr w:rsidR="002C41C1" w:rsidRPr="00661000" w:rsidTr="00416BF2">
        <w:trPr>
          <w:trHeight w:val="20"/>
          <w:jc w:val="center"/>
        </w:trPr>
        <w:tc>
          <w:tcPr>
            <w:tcW w:w="1560" w:type="dxa"/>
            <w:tcBorders>
              <w:left w:val="nil"/>
              <w:right w:val="nil"/>
            </w:tcBorders>
            <w:shd w:val="clear" w:color="auto" w:fill="FFFFFF"/>
            <w:noWrap/>
            <w:vAlign w:val="center"/>
          </w:tcPr>
          <w:p w:rsidR="002C41C1" w:rsidRDefault="002C41C1">
            <w:pPr>
              <w:jc w:val="right"/>
              <w:rPr>
                <w:rFonts w:ascii="Arial" w:hAnsi="Arial" w:cs="Arial"/>
                <w:sz w:val="18"/>
              </w:rPr>
            </w:pPr>
            <w:r w:rsidRPr="00661000">
              <w:rPr>
                <w:sz w:val="18"/>
              </w:rPr>
              <w:t>nad 50 000</w:t>
            </w:r>
          </w:p>
        </w:tc>
        <w:tc>
          <w:tcPr>
            <w:tcW w:w="1200" w:type="dxa"/>
            <w:tcBorders>
              <w:left w:val="nil"/>
              <w:right w:val="nil"/>
            </w:tcBorders>
            <w:shd w:val="clear" w:color="auto" w:fill="FFFFFF"/>
            <w:noWrap/>
            <w:vAlign w:val="center"/>
          </w:tcPr>
          <w:p w:rsidR="002C41C1" w:rsidRDefault="002C41C1">
            <w:pPr>
              <w:jc w:val="right"/>
              <w:rPr>
                <w:rFonts w:ascii="Arial" w:hAnsi="Arial" w:cs="Arial"/>
                <w:sz w:val="18"/>
              </w:rPr>
            </w:pPr>
            <w:r w:rsidRPr="00661000">
              <w:rPr>
                <w:sz w:val="18"/>
              </w:rPr>
              <w:t>277</w:t>
            </w:r>
          </w:p>
        </w:tc>
        <w:tc>
          <w:tcPr>
            <w:tcW w:w="1080" w:type="dxa"/>
            <w:tcBorders>
              <w:left w:val="nil"/>
              <w:right w:val="nil"/>
            </w:tcBorders>
            <w:shd w:val="clear" w:color="auto" w:fill="FFFFFF"/>
            <w:noWrap/>
            <w:vAlign w:val="center"/>
          </w:tcPr>
          <w:p w:rsidR="002C41C1" w:rsidRDefault="002C41C1">
            <w:pPr>
              <w:jc w:val="right"/>
              <w:rPr>
                <w:rFonts w:ascii="Arial" w:hAnsi="Arial" w:cs="Arial"/>
                <w:sz w:val="18"/>
              </w:rPr>
            </w:pPr>
            <w:r w:rsidRPr="00661000">
              <w:rPr>
                <w:sz w:val="18"/>
              </w:rPr>
              <w:t>11,8 %</w:t>
            </w:r>
          </w:p>
        </w:tc>
      </w:tr>
      <w:tr w:rsidR="002C41C1" w:rsidRPr="00661000" w:rsidTr="00416BF2">
        <w:trPr>
          <w:trHeight w:val="20"/>
          <w:jc w:val="center"/>
        </w:trPr>
        <w:tc>
          <w:tcPr>
            <w:tcW w:w="1560" w:type="dxa"/>
            <w:tcBorders>
              <w:left w:val="nil"/>
              <w:right w:val="nil"/>
            </w:tcBorders>
            <w:shd w:val="clear" w:color="auto" w:fill="9BBB59"/>
            <w:noWrap/>
          </w:tcPr>
          <w:p w:rsidR="002C41C1" w:rsidRDefault="002C41C1">
            <w:pPr>
              <w:rPr>
                <w:rFonts w:ascii="Arial" w:hAnsi="Arial" w:cs="Arial"/>
                <w:b/>
                <w:sz w:val="18"/>
              </w:rPr>
            </w:pPr>
            <w:r w:rsidRPr="00661000">
              <w:rPr>
                <w:b/>
                <w:sz w:val="18"/>
              </w:rPr>
              <w:t>Spolu</w:t>
            </w:r>
          </w:p>
        </w:tc>
        <w:tc>
          <w:tcPr>
            <w:tcW w:w="1200" w:type="dxa"/>
            <w:tcBorders>
              <w:left w:val="nil"/>
              <w:right w:val="nil"/>
            </w:tcBorders>
            <w:shd w:val="clear" w:color="auto" w:fill="9BBB59"/>
            <w:noWrap/>
          </w:tcPr>
          <w:p w:rsidR="002C41C1" w:rsidRDefault="002C41C1">
            <w:pPr>
              <w:jc w:val="right"/>
              <w:rPr>
                <w:rFonts w:ascii="Arial" w:hAnsi="Arial" w:cs="Arial"/>
                <w:b/>
                <w:sz w:val="18"/>
              </w:rPr>
            </w:pPr>
            <w:r w:rsidRPr="00661000">
              <w:rPr>
                <w:b/>
                <w:sz w:val="18"/>
              </w:rPr>
              <w:t>2 355</w:t>
            </w:r>
          </w:p>
        </w:tc>
        <w:tc>
          <w:tcPr>
            <w:tcW w:w="1080" w:type="dxa"/>
            <w:tcBorders>
              <w:left w:val="nil"/>
              <w:right w:val="nil"/>
            </w:tcBorders>
            <w:shd w:val="clear" w:color="auto" w:fill="9BBB59"/>
            <w:noWrap/>
          </w:tcPr>
          <w:p w:rsidR="002C41C1" w:rsidRDefault="002C41C1">
            <w:pPr>
              <w:keepNext/>
              <w:jc w:val="right"/>
              <w:rPr>
                <w:rFonts w:ascii="Arial" w:hAnsi="Arial" w:cs="Arial"/>
                <w:b/>
                <w:sz w:val="18"/>
              </w:rPr>
            </w:pPr>
            <w:r w:rsidRPr="00661000">
              <w:rPr>
                <w:b/>
                <w:sz w:val="18"/>
              </w:rPr>
              <w:t>100,0 %</w:t>
            </w:r>
          </w:p>
        </w:tc>
      </w:tr>
    </w:tbl>
    <w:p w:rsidR="002C41C1" w:rsidRDefault="002C41C1">
      <w:pPr>
        <w:pStyle w:val="Titulek"/>
        <w:jc w:val="center"/>
      </w:pPr>
      <w:r>
        <w:t>Tabulka 7: Rozložení BF podle počtu obyvatel sídla</w:t>
      </w:r>
    </w:p>
    <w:p w:rsidR="002C41C1" w:rsidRDefault="002C41C1" w:rsidP="00DF6E0B">
      <w:pPr>
        <w:pStyle w:val="Titulek"/>
        <w:jc w:val="center"/>
      </w:pPr>
      <w:r>
        <w:t>Zdroj: Urbanizmus a územní rozvoj</w:t>
      </w:r>
    </w:p>
    <w:p w:rsidR="002C41C1" w:rsidRDefault="002C41C1" w:rsidP="00416BF2">
      <w:pPr>
        <w:jc w:val="center"/>
        <w:rPr>
          <w:b/>
          <w:bCs/>
          <w:i/>
          <w:color w:val="17365D"/>
          <w:sz w:val="16"/>
        </w:rPr>
      </w:pPr>
    </w:p>
    <w:tbl>
      <w:tblPr>
        <w:tblW w:w="6765" w:type="dxa"/>
        <w:jc w:val="center"/>
        <w:tblBorders>
          <w:bottom w:val="single" w:sz="4" w:space="0" w:color="00A1DE"/>
          <w:insideH w:val="single" w:sz="4" w:space="0" w:color="00A1DE"/>
        </w:tblBorders>
        <w:tblLayout w:type="fixed"/>
        <w:tblCellMar>
          <w:left w:w="0" w:type="dxa"/>
          <w:right w:w="0" w:type="dxa"/>
        </w:tblCellMar>
        <w:tblLook w:val="00A0" w:firstRow="1" w:lastRow="0" w:firstColumn="1" w:lastColumn="0" w:noHBand="0" w:noVBand="0"/>
      </w:tblPr>
      <w:tblGrid>
        <w:gridCol w:w="1815"/>
        <w:gridCol w:w="737"/>
        <w:gridCol w:w="1152"/>
        <w:gridCol w:w="1417"/>
        <w:gridCol w:w="1644"/>
      </w:tblGrid>
      <w:tr w:rsidR="002C41C1" w:rsidRPr="00661000" w:rsidTr="00416BF2">
        <w:trPr>
          <w:trHeight w:val="20"/>
          <w:jc w:val="center"/>
        </w:trPr>
        <w:tc>
          <w:tcPr>
            <w:tcW w:w="1814" w:type="dxa"/>
            <w:tcBorders>
              <w:top w:val="nil"/>
              <w:left w:val="nil"/>
              <w:right w:val="nil"/>
            </w:tcBorders>
            <w:shd w:val="clear" w:color="auto" w:fill="00A1DE"/>
            <w:noWrap/>
          </w:tcPr>
          <w:p w:rsidR="002C41C1" w:rsidRDefault="002C41C1">
            <w:pPr>
              <w:keepNext/>
              <w:rPr>
                <w:rFonts w:ascii="Arial" w:hAnsi="Arial" w:cs="Arial"/>
                <w:b/>
                <w:color w:val="FFFFFF"/>
                <w:sz w:val="18"/>
                <w:szCs w:val="18"/>
              </w:rPr>
            </w:pPr>
            <w:r w:rsidRPr="00661000">
              <w:rPr>
                <w:b/>
                <w:color w:val="FFFFFF"/>
                <w:sz w:val="18"/>
                <w:szCs w:val="18"/>
              </w:rPr>
              <w:t>Předchozí využití lokality</w:t>
            </w:r>
          </w:p>
        </w:tc>
        <w:tc>
          <w:tcPr>
            <w:tcW w:w="737" w:type="dxa"/>
            <w:tcBorders>
              <w:top w:val="nil"/>
              <w:left w:val="nil"/>
              <w:right w:val="nil"/>
            </w:tcBorders>
            <w:shd w:val="clear" w:color="auto" w:fill="00A1DE"/>
            <w:noWrap/>
          </w:tcPr>
          <w:p w:rsidR="002C41C1" w:rsidRDefault="002C41C1">
            <w:pPr>
              <w:keepNext/>
              <w:rPr>
                <w:rFonts w:ascii="Arial" w:hAnsi="Arial" w:cs="Arial"/>
                <w:b/>
                <w:color w:val="FFFFFF"/>
                <w:sz w:val="18"/>
                <w:szCs w:val="18"/>
              </w:rPr>
            </w:pPr>
            <w:r w:rsidRPr="00661000">
              <w:rPr>
                <w:b/>
                <w:color w:val="FFFFFF"/>
                <w:sz w:val="18"/>
                <w:szCs w:val="18"/>
              </w:rPr>
              <w:t>Četnost</w:t>
            </w:r>
          </w:p>
        </w:tc>
        <w:tc>
          <w:tcPr>
            <w:tcW w:w="1152" w:type="dxa"/>
            <w:tcBorders>
              <w:top w:val="nil"/>
              <w:left w:val="nil"/>
              <w:right w:val="nil"/>
            </w:tcBorders>
            <w:shd w:val="clear" w:color="auto" w:fill="00A1DE"/>
            <w:noWrap/>
          </w:tcPr>
          <w:p w:rsidR="002C41C1" w:rsidRDefault="002C41C1">
            <w:pPr>
              <w:keepNext/>
              <w:rPr>
                <w:rFonts w:ascii="Arial" w:hAnsi="Arial" w:cs="Arial"/>
                <w:b/>
                <w:color w:val="FFFFFF"/>
                <w:sz w:val="18"/>
                <w:szCs w:val="18"/>
              </w:rPr>
            </w:pPr>
            <w:r w:rsidRPr="00661000">
              <w:rPr>
                <w:b/>
                <w:color w:val="FFFFFF"/>
                <w:sz w:val="18"/>
                <w:szCs w:val="18"/>
              </w:rPr>
              <w:t>Podíl v %</w:t>
            </w:r>
          </w:p>
        </w:tc>
        <w:tc>
          <w:tcPr>
            <w:tcW w:w="1417" w:type="dxa"/>
            <w:tcBorders>
              <w:top w:val="nil"/>
              <w:left w:val="nil"/>
              <w:right w:val="nil"/>
            </w:tcBorders>
            <w:shd w:val="clear" w:color="auto" w:fill="00A1DE"/>
            <w:noWrap/>
          </w:tcPr>
          <w:p w:rsidR="002C41C1" w:rsidRDefault="002C41C1">
            <w:pPr>
              <w:keepNext/>
              <w:rPr>
                <w:rFonts w:ascii="Arial" w:hAnsi="Arial" w:cs="Arial"/>
                <w:b/>
                <w:color w:val="FFFFFF"/>
                <w:sz w:val="18"/>
                <w:szCs w:val="18"/>
              </w:rPr>
            </w:pPr>
            <w:r w:rsidRPr="00661000">
              <w:rPr>
                <w:b/>
                <w:color w:val="FFFFFF"/>
                <w:sz w:val="18"/>
                <w:szCs w:val="18"/>
              </w:rPr>
              <w:t>Celková rozloha lokalit (ha)</w:t>
            </w:r>
          </w:p>
        </w:tc>
        <w:tc>
          <w:tcPr>
            <w:tcW w:w="1644" w:type="dxa"/>
            <w:tcBorders>
              <w:top w:val="nil"/>
              <w:left w:val="nil"/>
              <w:right w:val="nil"/>
            </w:tcBorders>
            <w:shd w:val="clear" w:color="auto" w:fill="00A1DE"/>
            <w:noWrap/>
          </w:tcPr>
          <w:p w:rsidR="002C41C1" w:rsidRDefault="002C41C1">
            <w:pPr>
              <w:keepNext/>
              <w:rPr>
                <w:rFonts w:ascii="Arial" w:hAnsi="Arial" w:cs="Arial"/>
                <w:b/>
                <w:color w:val="FFFFFF"/>
                <w:sz w:val="18"/>
                <w:szCs w:val="18"/>
              </w:rPr>
            </w:pPr>
            <w:r w:rsidRPr="00661000">
              <w:rPr>
                <w:b/>
                <w:color w:val="FFFFFF"/>
                <w:sz w:val="18"/>
                <w:szCs w:val="18"/>
              </w:rPr>
              <w:t>Průměrná rozloha jedné lokality (ha)</w:t>
            </w:r>
          </w:p>
        </w:tc>
      </w:tr>
      <w:tr w:rsidR="002C41C1" w:rsidRPr="00661000" w:rsidTr="00416BF2">
        <w:trPr>
          <w:trHeight w:val="20"/>
          <w:jc w:val="center"/>
        </w:trPr>
        <w:tc>
          <w:tcPr>
            <w:tcW w:w="1814" w:type="dxa"/>
            <w:tcBorders>
              <w:left w:val="nil"/>
              <w:right w:val="nil"/>
            </w:tcBorders>
            <w:shd w:val="clear" w:color="auto" w:fill="FFFFFF"/>
            <w:noWrap/>
          </w:tcPr>
          <w:p w:rsidR="002C41C1" w:rsidRDefault="002C41C1">
            <w:pPr>
              <w:keepNext/>
              <w:rPr>
                <w:rFonts w:ascii="Arial" w:hAnsi="Arial" w:cs="Arial"/>
                <w:sz w:val="18"/>
                <w:szCs w:val="18"/>
              </w:rPr>
            </w:pPr>
            <w:r w:rsidRPr="00661000">
              <w:rPr>
                <w:sz w:val="18"/>
                <w:szCs w:val="18"/>
              </w:rPr>
              <w:t>Zemědělství</w:t>
            </w:r>
          </w:p>
        </w:tc>
        <w:tc>
          <w:tcPr>
            <w:tcW w:w="737" w:type="dxa"/>
            <w:tcBorders>
              <w:left w:val="nil"/>
              <w:right w:val="nil"/>
            </w:tcBorders>
            <w:shd w:val="clear" w:color="auto" w:fill="FFFFFF"/>
            <w:noWrap/>
          </w:tcPr>
          <w:p w:rsidR="002C41C1" w:rsidRDefault="002C41C1">
            <w:pPr>
              <w:keepNext/>
              <w:jc w:val="right"/>
              <w:rPr>
                <w:rFonts w:ascii="Arial" w:hAnsi="Arial" w:cs="Arial"/>
                <w:sz w:val="18"/>
                <w:szCs w:val="18"/>
              </w:rPr>
            </w:pPr>
            <w:r w:rsidRPr="00661000">
              <w:rPr>
                <w:sz w:val="18"/>
                <w:szCs w:val="18"/>
              </w:rPr>
              <w:t>821</w:t>
            </w:r>
          </w:p>
        </w:tc>
        <w:tc>
          <w:tcPr>
            <w:tcW w:w="1152" w:type="dxa"/>
            <w:tcBorders>
              <w:left w:val="nil"/>
              <w:right w:val="nil"/>
            </w:tcBorders>
            <w:shd w:val="clear" w:color="auto" w:fill="FFFFFF"/>
            <w:noWrap/>
          </w:tcPr>
          <w:p w:rsidR="002C41C1" w:rsidRDefault="002C41C1">
            <w:pPr>
              <w:keepNext/>
              <w:jc w:val="right"/>
              <w:rPr>
                <w:rFonts w:ascii="Arial" w:hAnsi="Arial" w:cs="Arial"/>
                <w:sz w:val="18"/>
                <w:szCs w:val="18"/>
              </w:rPr>
            </w:pPr>
            <w:r w:rsidRPr="00661000">
              <w:rPr>
                <w:sz w:val="18"/>
                <w:szCs w:val="18"/>
              </w:rPr>
              <w:t>34,9%</w:t>
            </w:r>
          </w:p>
        </w:tc>
        <w:tc>
          <w:tcPr>
            <w:tcW w:w="1417" w:type="dxa"/>
            <w:tcBorders>
              <w:left w:val="nil"/>
              <w:right w:val="nil"/>
            </w:tcBorders>
            <w:shd w:val="clear" w:color="auto" w:fill="FFFFFF"/>
            <w:noWrap/>
          </w:tcPr>
          <w:p w:rsidR="002C41C1" w:rsidRDefault="002C41C1">
            <w:pPr>
              <w:keepNext/>
              <w:jc w:val="right"/>
              <w:rPr>
                <w:rFonts w:ascii="Arial" w:hAnsi="Arial" w:cs="Arial"/>
                <w:sz w:val="18"/>
                <w:szCs w:val="18"/>
              </w:rPr>
            </w:pPr>
            <w:r w:rsidRPr="00661000">
              <w:rPr>
                <w:sz w:val="18"/>
                <w:szCs w:val="18"/>
              </w:rPr>
              <w:t>1 840,4</w:t>
            </w:r>
          </w:p>
        </w:tc>
        <w:tc>
          <w:tcPr>
            <w:tcW w:w="1644" w:type="dxa"/>
            <w:tcBorders>
              <w:left w:val="nil"/>
              <w:right w:val="nil"/>
            </w:tcBorders>
            <w:shd w:val="clear" w:color="auto" w:fill="FFFFFF"/>
            <w:noWrap/>
          </w:tcPr>
          <w:p w:rsidR="002C41C1" w:rsidRDefault="002C41C1">
            <w:pPr>
              <w:keepNext/>
              <w:jc w:val="right"/>
              <w:rPr>
                <w:rFonts w:ascii="Arial" w:hAnsi="Arial" w:cs="Arial"/>
                <w:sz w:val="18"/>
                <w:szCs w:val="18"/>
              </w:rPr>
            </w:pPr>
            <w:r w:rsidRPr="00661000">
              <w:rPr>
                <w:sz w:val="18"/>
                <w:szCs w:val="18"/>
              </w:rPr>
              <w:t>2,2</w:t>
            </w:r>
          </w:p>
        </w:tc>
      </w:tr>
      <w:tr w:rsidR="002C41C1" w:rsidRPr="00661000" w:rsidTr="00416BF2">
        <w:trPr>
          <w:trHeight w:val="20"/>
          <w:jc w:val="center"/>
        </w:trPr>
        <w:tc>
          <w:tcPr>
            <w:tcW w:w="1814" w:type="dxa"/>
            <w:tcBorders>
              <w:left w:val="nil"/>
              <w:right w:val="nil"/>
            </w:tcBorders>
            <w:shd w:val="clear" w:color="auto" w:fill="FFFFFF"/>
            <w:noWrap/>
          </w:tcPr>
          <w:p w:rsidR="002C41C1" w:rsidRDefault="002C41C1">
            <w:pPr>
              <w:keepNext/>
              <w:rPr>
                <w:rFonts w:ascii="Arial" w:hAnsi="Arial" w:cs="Arial"/>
                <w:sz w:val="18"/>
                <w:szCs w:val="18"/>
              </w:rPr>
            </w:pPr>
            <w:r w:rsidRPr="00661000">
              <w:rPr>
                <w:sz w:val="18"/>
                <w:szCs w:val="18"/>
              </w:rPr>
              <w:t>Průmysl</w:t>
            </w:r>
          </w:p>
        </w:tc>
        <w:tc>
          <w:tcPr>
            <w:tcW w:w="737" w:type="dxa"/>
            <w:tcBorders>
              <w:left w:val="nil"/>
              <w:right w:val="nil"/>
            </w:tcBorders>
            <w:shd w:val="clear" w:color="auto" w:fill="FFFFFF"/>
            <w:noWrap/>
          </w:tcPr>
          <w:p w:rsidR="002C41C1" w:rsidRDefault="002C41C1">
            <w:pPr>
              <w:keepNext/>
              <w:jc w:val="right"/>
              <w:rPr>
                <w:rFonts w:ascii="Arial" w:hAnsi="Arial" w:cs="Arial"/>
                <w:sz w:val="18"/>
                <w:szCs w:val="18"/>
              </w:rPr>
            </w:pPr>
            <w:r w:rsidRPr="00661000">
              <w:rPr>
                <w:sz w:val="18"/>
                <w:szCs w:val="18"/>
              </w:rPr>
              <w:t>785</w:t>
            </w:r>
          </w:p>
        </w:tc>
        <w:tc>
          <w:tcPr>
            <w:tcW w:w="1152" w:type="dxa"/>
            <w:tcBorders>
              <w:left w:val="nil"/>
              <w:right w:val="nil"/>
            </w:tcBorders>
            <w:shd w:val="clear" w:color="auto" w:fill="FFFFFF"/>
            <w:noWrap/>
          </w:tcPr>
          <w:p w:rsidR="002C41C1" w:rsidRDefault="002C41C1">
            <w:pPr>
              <w:keepNext/>
              <w:jc w:val="right"/>
              <w:rPr>
                <w:rFonts w:ascii="Arial" w:hAnsi="Arial" w:cs="Arial"/>
                <w:sz w:val="18"/>
                <w:szCs w:val="18"/>
              </w:rPr>
            </w:pPr>
            <w:r w:rsidRPr="00661000">
              <w:rPr>
                <w:sz w:val="18"/>
                <w:szCs w:val="18"/>
              </w:rPr>
              <w:t>33,3%</w:t>
            </w:r>
          </w:p>
        </w:tc>
        <w:tc>
          <w:tcPr>
            <w:tcW w:w="1417" w:type="dxa"/>
            <w:tcBorders>
              <w:left w:val="nil"/>
              <w:right w:val="nil"/>
            </w:tcBorders>
            <w:shd w:val="clear" w:color="auto" w:fill="FFFFFF"/>
            <w:noWrap/>
          </w:tcPr>
          <w:p w:rsidR="002C41C1" w:rsidRDefault="002C41C1">
            <w:pPr>
              <w:keepNext/>
              <w:jc w:val="right"/>
              <w:rPr>
                <w:rFonts w:ascii="Arial" w:hAnsi="Arial" w:cs="Arial"/>
                <w:sz w:val="18"/>
                <w:szCs w:val="18"/>
              </w:rPr>
            </w:pPr>
            <w:r w:rsidRPr="00661000">
              <w:rPr>
                <w:sz w:val="18"/>
                <w:szCs w:val="18"/>
              </w:rPr>
              <w:t>4 423,2</w:t>
            </w:r>
          </w:p>
        </w:tc>
        <w:tc>
          <w:tcPr>
            <w:tcW w:w="1644" w:type="dxa"/>
            <w:tcBorders>
              <w:left w:val="nil"/>
              <w:right w:val="nil"/>
            </w:tcBorders>
            <w:shd w:val="clear" w:color="auto" w:fill="FFFFFF"/>
            <w:noWrap/>
          </w:tcPr>
          <w:p w:rsidR="002C41C1" w:rsidRDefault="002C41C1">
            <w:pPr>
              <w:keepNext/>
              <w:jc w:val="right"/>
              <w:rPr>
                <w:rFonts w:ascii="Arial" w:hAnsi="Arial" w:cs="Arial"/>
                <w:sz w:val="18"/>
                <w:szCs w:val="18"/>
              </w:rPr>
            </w:pPr>
            <w:r w:rsidRPr="00661000">
              <w:rPr>
                <w:sz w:val="18"/>
                <w:szCs w:val="18"/>
              </w:rPr>
              <w:t>5,6</w:t>
            </w:r>
          </w:p>
        </w:tc>
      </w:tr>
      <w:tr w:rsidR="002C41C1" w:rsidRPr="00661000" w:rsidTr="00416BF2">
        <w:trPr>
          <w:trHeight w:val="20"/>
          <w:jc w:val="center"/>
        </w:trPr>
        <w:tc>
          <w:tcPr>
            <w:tcW w:w="1814" w:type="dxa"/>
            <w:tcBorders>
              <w:left w:val="nil"/>
              <w:right w:val="nil"/>
            </w:tcBorders>
            <w:shd w:val="clear" w:color="auto" w:fill="FFFFFF"/>
            <w:noWrap/>
          </w:tcPr>
          <w:p w:rsidR="002C41C1" w:rsidRDefault="002C41C1">
            <w:pPr>
              <w:keepNext/>
              <w:rPr>
                <w:rFonts w:ascii="Arial" w:hAnsi="Arial" w:cs="Arial"/>
                <w:sz w:val="18"/>
                <w:szCs w:val="18"/>
              </w:rPr>
            </w:pPr>
            <w:r w:rsidRPr="00661000">
              <w:rPr>
                <w:sz w:val="18"/>
                <w:szCs w:val="18"/>
              </w:rPr>
              <w:t>Občanská vybavenost</w:t>
            </w:r>
          </w:p>
        </w:tc>
        <w:tc>
          <w:tcPr>
            <w:tcW w:w="737" w:type="dxa"/>
            <w:tcBorders>
              <w:left w:val="nil"/>
              <w:right w:val="nil"/>
            </w:tcBorders>
            <w:shd w:val="clear" w:color="auto" w:fill="FFFFFF"/>
            <w:noWrap/>
          </w:tcPr>
          <w:p w:rsidR="002C41C1" w:rsidRDefault="002C41C1">
            <w:pPr>
              <w:keepNext/>
              <w:jc w:val="right"/>
              <w:rPr>
                <w:rFonts w:ascii="Arial" w:hAnsi="Arial" w:cs="Arial"/>
                <w:sz w:val="18"/>
                <w:szCs w:val="18"/>
              </w:rPr>
            </w:pPr>
            <w:r w:rsidRPr="00661000">
              <w:rPr>
                <w:sz w:val="18"/>
                <w:szCs w:val="18"/>
              </w:rPr>
              <w:t>304</w:t>
            </w:r>
          </w:p>
        </w:tc>
        <w:tc>
          <w:tcPr>
            <w:tcW w:w="1152" w:type="dxa"/>
            <w:tcBorders>
              <w:left w:val="nil"/>
              <w:right w:val="nil"/>
            </w:tcBorders>
            <w:shd w:val="clear" w:color="auto" w:fill="FFFFFF"/>
            <w:noWrap/>
          </w:tcPr>
          <w:p w:rsidR="002C41C1" w:rsidRDefault="002C41C1">
            <w:pPr>
              <w:keepNext/>
              <w:jc w:val="right"/>
              <w:rPr>
                <w:rFonts w:ascii="Arial" w:hAnsi="Arial" w:cs="Arial"/>
                <w:sz w:val="18"/>
                <w:szCs w:val="18"/>
              </w:rPr>
            </w:pPr>
            <w:r w:rsidRPr="00661000">
              <w:rPr>
                <w:sz w:val="18"/>
                <w:szCs w:val="18"/>
              </w:rPr>
              <w:t>12,9%</w:t>
            </w:r>
          </w:p>
        </w:tc>
        <w:tc>
          <w:tcPr>
            <w:tcW w:w="1417" w:type="dxa"/>
            <w:tcBorders>
              <w:left w:val="nil"/>
              <w:right w:val="nil"/>
            </w:tcBorders>
            <w:shd w:val="clear" w:color="auto" w:fill="FFFFFF"/>
            <w:noWrap/>
          </w:tcPr>
          <w:p w:rsidR="002C41C1" w:rsidRDefault="002C41C1">
            <w:pPr>
              <w:keepNext/>
              <w:jc w:val="right"/>
              <w:rPr>
                <w:rFonts w:ascii="Arial" w:hAnsi="Arial" w:cs="Arial"/>
                <w:sz w:val="18"/>
                <w:szCs w:val="18"/>
              </w:rPr>
            </w:pPr>
            <w:r w:rsidRPr="00661000">
              <w:rPr>
                <w:sz w:val="18"/>
                <w:szCs w:val="18"/>
              </w:rPr>
              <w:t>413,3</w:t>
            </w:r>
          </w:p>
        </w:tc>
        <w:tc>
          <w:tcPr>
            <w:tcW w:w="1644" w:type="dxa"/>
            <w:tcBorders>
              <w:left w:val="nil"/>
              <w:right w:val="nil"/>
            </w:tcBorders>
            <w:shd w:val="clear" w:color="auto" w:fill="FFFFFF"/>
            <w:noWrap/>
          </w:tcPr>
          <w:p w:rsidR="002C41C1" w:rsidRDefault="002C41C1">
            <w:pPr>
              <w:keepNext/>
              <w:jc w:val="right"/>
              <w:rPr>
                <w:rFonts w:ascii="Arial" w:hAnsi="Arial" w:cs="Arial"/>
                <w:sz w:val="18"/>
                <w:szCs w:val="18"/>
              </w:rPr>
            </w:pPr>
            <w:r w:rsidRPr="00661000">
              <w:rPr>
                <w:sz w:val="18"/>
                <w:szCs w:val="18"/>
              </w:rPr>
              <w:t>1,4</w:t>
            </w:r>
          </w:p>
        </w:tc>
      </w:tr>
      <w:tr w:rsidR="002C41C1" w:rsidRPr="00661000" w:rsidTr="00416BF2">
        <w:trPr>
          <w:trHeight w:val="20"/>
          <w:jc w:val="center"/>
        </w:trPr>
        <w:tc>
          <w:tcPr>
            <w:tcW w:w="1814" w:type="dxa"/>
            <w:tcBorders>
              <w:left w:val="nil"/>
              <w:right w:val="nil"/>
            </w:tcBorders>
            <w:shd w:val="clear" w:color="auto" w:fill="FFFFFF"/>
            <w:noWrap/>
          </w:tcPr>
          <w:p w:rsidR="002C41C1" w:rsidRDefault="002C41C1">
            <w:pPr>
              <w:keepNext/>
              <w:rPr>
                <w:rFonts w:ascii="Arial" w:hAnsi="Arial" w:cs="Arial"/>
                <w:sz w:val="18"/>
                <w:szCs w:val="18"/>
              </w:rPr>
            </w:pPr>
            <w:r w:rsidRPr="00661000">
              <w:rPr>
                <w:sz w:val="18"/>
                <w:szCs w:val="18"/>
              </w:rPr>
              <w:t>Armáda</w:t>
            </w:r>
          </w:p>
        </w:tc>
        <w:tc>
          <w:tcPr>
            <w:tcW w:w="737" w:type="dxa"/>
            <w:tcBorders>
              <w:left w:val="nil"/>
              <w:right w:val="nil"/>
            </w:tcBorders>
            <w:shd w:val="clear" w:color="auto" w:fill="FFFFFF"/>
            <w:noWrap/>
          </w:tcPr>
          <w:p w:rsidR="002C41C1" w:rsidRDefault="002C41C1">
            <w:pPr>
              <w:keepNext/>
              <w:jc w:val="right"/>
              <w:rPr>
                <w:rFonts w:ascii="Arial" w:hAnsi="Arial" w:cs="Arial"/>
                <w:sz w:val="18"/>
                <w:szCs w:val="18"/>
              </w:rPr>
            </w:pPr>
            <w:r w:rsidRPr="00661000">
              <w:rPr>
                <w:sz w:val="18"/>
                <w:szCs w:val="18"/>
              </w:rPr>
              <w:t>151</w:t>
            </w:r>
          </w:p>
        </w:tc>
        <w:tc>
          <w:tcPr>
            <w:tcW w:w="1152" w:type="dxa"/>
            <w:tcBorders>
              <w:left w:val="nil"/>
              <w:right w:val="nil"/>
            </w:tcBorders>
            <w:shd w:val="clear" w:color="auto" w:fill="FFFFFF"/>
            <w:noWrap/>
          </w:tcPr>
          <w:p w:rsidR="002C41C1" w:rsidRDefault="002C41C1">
            <w:pPr>
              <w:keepNext/>
              <w:jc w:val="right"/>
              <w:rPr>
                <w:rFonts w:ascii="Arial" w:hAnsi="Arial" w:cs="Arial"/>
                <w:sz w:val="18"/>
                <w:szCs w:val="18"/>
              </w:rPr>
            </w:pPr>
            <w:r w:rsidRPr="00661000">
              <w:rPr>
                <w:sz w:val="18"/>
                <w:szCs w:val="18"/>
              </w:rPr>
              <w:t>6,4%</w:t>
            </w:r>
          </w:p>
        </w:tc>
        <w:tc>
          <w:tcPr>
            <w:tcW w:w="1417" w:type="dxa"/>
            <w:tcBorders>
              <w:left w:val="nil"/>
              <w:right w:val="nil"/>
            </w:tcBorders>
            <w:shd w:val="clear" w:color="auto" w:fill="FFFFFF"/>
            <w:noWrap/>
          </w:tcPr>
          <w:p w:rsidR="002C41C1" w:rsidRDefault="002C41C1">
            <w:pPr>
              <w:keepNext/>
              <w:jc w:val="right"/>
              <w:rPr>
                <w:rFonts w:ascii="Arial" w:hAnsi="Arial" w:cs="Arial"/>
                <w:sz w:val="18"/>
                <w:szCs w:val="18"/>
              </w:rPr>
            </w:pPr>
            <w:r w:rsidRPr="00661000">
              <w:rPr>
                <w:sz w:val="18"/>
                <w:szCs w:val="18"/>
              </w:rPr>
              <w:t>2 394,1</w:t>
            </w:r>
          </w:p>
        </w:tc>
        <w:tc>
          <w:tcPr>
            <w:tcW w:w="1644" w:type="dxa"/>
            <w:tcBorders>
              <w:left w:val="nil"/>
              <w:right w:val="nil"/>
            </w:tcBorders>
            <w:shd w:val="clear" w:color="auto" w:fill="FFFFFF"/>
            <w:noWrap/>
          </w:tcPr>
          <w:p w:rsidR="002C41C1" w:rsidRDefault="002C41C1">
            <w:pPr>
              <w:keepNext/>
              <w:jc w:val="right"/>
              <w:rPr>
                <w:rFonts w:ascii="Arial" w:hAnsi="Arial" w:cs="Arial"/>
                <w:sz w:val="18"/>
                <w:szCs w:val="18"/>
              </w:rPr>
            </w:pPr>
            <w:r w:rsidRPr="00661000">
              <w:rPr>
                <w:sz w:val="18"/>
                <w:szCs w:val="18"/>
              </w:rPr>
              <w:t>15,9</w:t>
            </w:r>
          </w:p>
        </w:tc>
      </w:tr>
      <w:tr w:rsidR="002C41C1" w:rsidRPr="00661000" w:rsidTr="00416BF2">
        <w:trPr>
          <w:trHeight w:val="20"/>
          <w:jc w:val="center"/>
        </w:trPr>
        <w:tc>
          <w:tcPr>
            <w:tcW w:w="1814" w:type="dxa"/>
            <w:tcBorders>
              <w:left w:val="nil"/>
              <w:right w:val="nil"/>
            </w:tcBorders>
            <w:shd w:val="clear" w:color="auto" w:fill="FFFFFF"/>
            <w:noWrap/>
          </w:tcPr>
          <w:p w:rsidR="002C41C1" w:rsidRDefault="002C41C1">
            <w:pPr>
              <w:keepNext/>
              <w:rPr>
                <w:rFonts w:ascii="Arial" w:hAnsi="Arial" w:cs="Arial"/>
                <w:sz w:val="18"/>
                <w:szCs w:val="18"/>
              </w:rPr>
            </w:pPr>
            <w:r w:rsidRPr="00661000">
              <w:rPr>
                <w:sz w:val="18"/>
                <w:szCs w:val="18"/>
              </w:rPr>
              <w:t>Bydlení</w:t>
            </w:r>
          </w:p>
        </w:tc>
        <w:tc>
          <w:tcPr>
            <w:tcW w:w="737" w:type="dxa"/>
            <w:tcBorders>
              <w:left w:val="nil"/>
              <w:right w:val="nil"/>
            </w:tcBorders>
            <w:shd w:val="clear" w:color="auto" w:fill="FFFFFF"/>
            <w:noWrap/>
          </w:tcPr>
          <w:p w:rsidR="002C41C1" w:rsidRDefault="002C41C1">
            <w:pPr>
              <w:keepNext/>
              <w:jc w:val="right"/>
              <w:rPr>
                <w:rFonts w:ascii="Arial" w:hAnsi="Arial" w:cs="Arial"/>
                <w:sz w:val="18"/>
                <w:szCs w:val="18"/>
              </w:rPr>
            </w:pPr>
            <w:r w:rsidRPr="00661000">
              <w:rPr>
                <w:sz w:val="18"/>
                <w:szCs w:val="18"/>
              </w:rPr>
              <w:t>95</w:t>
            </w:r>
          </w:p>
        </w:tc>
        <w:tc>
          <w:tcPr>
            <w:tcW w:w="1152" w:type="dxa"/>
            <w:tcBorders>
              <w:left w:val="nil"/>
              <w:right w:val="nil"/>
            </w:tcBorders>
            <w:shd w:val="clear" w:color="auto" w:fill="FFFFFF"/>
            <w:noWrap/>
          </w:tcPr>
          <w:p w:rsidR="002C41C1" w:rsidRDefault="002C41C1">
            <w:pPr>
              <w:keepNext/>
              <w:jc w:val="right"/>
              <w:rPr>
                <w:rFonts w:ascii="Arial" w:hAnsi="Arial" w:cs="Arial"/>
                <w:sz w:val="18"/>
                <w:szCs w:val="18"/>
              </w:rPr>
            </w:pPr>
            <w:r w:rsidRPr="00661000">
              <w:rPr>
                <w:sz w:val="18"/>
                <w:szCs w:val="18"/>
              </w:rPr>
              <w:t>4,0%</w:t>
            </w:r>
          </w:p>
        </w:tc>
        <w:tc>
          <w:tcPr>
            <w:tcW w:w="1417" w:type="dxa"/>
            <w:tcBorders>
              <w:left w:val="nil"/>
              <w:right w:val="nil"/>
            </w:tcBorders>
            <w:shd w:val="clear" w:color="auto" w:fill="FFFFFF"/>
            <w:noWrap/>
          </w:tcPr>
          <w:p w:rsidR="002C41C1" w:rsidRDefault="002C41C1">
            <w:pPr>
              <w:keepNext/>
              <w:jc w:val="right"/>
              <w:rPr>
                <w:rFonts w:ascii="Arial" w:hAnsi="Arial" w:cs="Arial"/>
                <w:sz w:val="18"/>
                <w:szCs w:val="18"/>
              </w:rPr>
            </w:pPr>
            <w:r w:rsidRPr="00661000">
              <w:rPr>
                <w:sz w:val="18"/>
                <w:szCs w:val="18"/>
              </w:rPr>
              <w:t>88,3</w:t>
            </w:r>
          </w:p>
        </w:tc>
        <w:tc>
          <w:tcPr>
            <w:tcW w:w="1644" w:type="dxa"/>
            <w:tcBorders>
              <w:left w:val="nil"/>
              <w:right w:val="nil"/>
            </w:tcBorders>
            <w:shd w:val="clear" w:color="auto" w:fill="FFFFFF"/>
            <w:noWrap/>
          </w:tcPr>
          <w:p w:rsidR="002C41C1" w:rsidRDefault="002C41C1">
            <w:pPr>
              <w:keepNext/>
              <w:jc w:val="right"/>
              <w:rPr>
                <w:rFonts w:ascii="Arial" w:hAnsi="Arial" w:cs="Arial"/>
                <w:sz w:val="18"/>
                <w:szCs w:val="18"/>
              </w:rPr>
            </w:pPr>
            <w:r w:rsidRPr="00661000">
              <w:rPr>
                <w:sz w:val="18"/>
                <w:szCs w:val="18"/>
              </w:rPr>
              <w:t>0,9</w:t>
            </w:r>
          </w:p>
        </w:tc>
      </w:tr>
      <w:tr w:rsidR="002C41C1" w:rsidRPr="00661000" w:rsidTr="00416BF2">
        <w:trPr>
          <w:trHeight w:val="20"/>
          <w:jc w:val="center"/>
        </w:trPr>
        <w:tc>
          <w:tcPr>
            <w:tcW w:w="1814" w:type="dxa"/>
            <w:tcBorders>
              <w:left w:val="nil"/>
              <w:right w:val="nil"/>
            </w:tcBorders>
            <w:shd w:val="clear" w:color="auto" w:fill="FFFFFF"/>
            <w:noWrap/>
          </w:tcPr>
          <w:p w:rsidR="002C41C1" w:rsidRDefault="002C41C1">
            <w:pPr>
              <w:keepNext/>
              <w:rPr>
                <w:rFonts w:ascii="Arial" w:hAnsi="Arial" w:cs="Arial"/>
                <w:sz w:val="18"/>
                <w:szCs w:val="18"/>
              </w:rPr>
            </w:pPr>
            <w:r w:rsidRPr="00661000">
              <w:rPr>
                <w:sz w:val="18"/>
                <w:szCs w:val="18"/>
              </w:rPr>
              <w:t>Cestovní ruch</w:t>
            </w:r>
          </w:p>
        </w:tc>
        <w:tc>
          <w:tcPr>
            <w:tcW w:w="737" w:type="dxa"/>
            <w:tcBorders>
              <w:left w:val="nil"/>
              <w:right w:val="nil"/>
            </w:tcBorders>
            <w:shd w:val="clear" w:color="auto" w:fill="FFFFFF"/>
            <w:noWrap/>
          </w:tcPr>
          <w:p w:rsidR="002C41C1" w:rsidRDefault="002C41C1">
            <w:pPr>
              <w:keepNext/>
              <w:jc w:val="right"/>
              <w:rPr>
                <w:rFonts w:ascii="Arial" w:hAnsi="Arial" w:cs="Arial"/>
                <w:sz w:val="18"/>
                <w:szCs w:val="18"/>
              </w:rPr>
            </w:pPr>
            <w:r w:rsidRPr="00661000">
              <w:rPr>
                <w:sz w:val="18"/>
                <w:szCs w:val="18"/>
              </w:rPr>
              <w:t>22</w:t>
            </w:r>
          </w:p>
        </w:tc>
        <w:tc>
          <w:tcPr>
            <w:tcW w:w="1152" w:type="dxa"/>
            <w:tcBorders>
              <w:left w:val="nil"/>
              <w:right w:val="nil"/>
            </w:tcBorders>
            <w:shd w:val="clear" w:color="auto" w:fill="FFFFFF"/>
            <w:noWrap/>
          </w:tcPr>
          <w:p w:rsidR="002C41C1" w:rsidRDefault="002C41C1">
            <w:pPr>
              <w:keepNext/>
              <w:jc w:val="right"/>
              <w:rPr>
                <w:rFonts w:ascii="Arial" w:hAnsi="Arial" w:cs="Arial"/>
                <w:sz w:val="18"/>
                <w:szCs w:val="18"/>
              </w:rPr>
            </w:pPr>
            <w:r w:rsidRPr="00661000">
              <w:rPr>
                <w:sz w:val="18"/>
                <w:szCs w:val="18"/>
              </w:rPr>
              <w:t>0,9%</w:t>
            </w:r>
          </w:p>
        </w:tc>
        <w:tc>
          <w:tcPr>
            <w:tcW w:w="1417" w:type="dxa"/>
            <w:tcBorders>
              <w:left w:val="nil"/>
              <w:right w:val="nil"/>
            </w:tcBorders>
            <w:shd w:val="clear" w:color="auto" w:fill="FFFFFF"/>
            <w:noWrap/>
          </w:tcPr>
          <w:p w:rsidR="002C41C1" w:rsidRDefault="002C41C1">
            <w:pPr>
              <w:keepNext/>
              <w:jc w:val="right"/>
              <w:rPr>
                <w:rFonts w:ascii="Arial" w:hAnsi="Arial" w:cs="Arial"/>
                <w:sz w:val="18"/>
                <w:szCs w:val="18"/>
              </w:rPr>
            </w:pPr>
            <w:r w:rsidRPr="00661000">
              <w:rPr>
                <w:sz w:val="18"/>
                <w:szCs w:val="18"/>
              </w:rPr>
              <w:t>22,4</w:t>
            </w:r>
          </w:p>
        </w:tc>
        <w:tc>
          <w:tcPr>
            <w:tcW w:w="1644" w:type="dxa"/>
            <w:tcBorders>
              <w:left w:val="nil"/>
              <w:right w:val="nil"/>
            </w:tcBorders>
            <w:shd w:val="clear" w:color="auto" w:fill="FFFFFF"/>
            <w:noWrap/>
          </w:tcPr>
          <w:p w:rsidR="002C41C1" w:rsidRDefault="002C41C1">
            <w:pPr>
              <w:keepNext/>
              <w:jc w:val="right"/>
              <w:rPr>
                <w:rFonts w:ascii="Arial" w:hAnsi="Arial" w:cs="Arial"/>
                <w:sz w:val="18"/>
                <w:szCs w:val="18"/>
              </w:rPr>
            </w:pPr>
            <w:r w:rsidRPr="00661000">
              <w:rPr>
                <w:sz w:val="18"/>
                <w:szCs w:val="18"/>
              </w:rPr>
              <w:t>1,0</w:t>
            </w:r>
          </w:p>
        </w:tc>
      </w:tr>
      <w:tr w:rsidR="002C41C1" w:rsidRPr="00661000" w:rsidTr="00416BF2">
        <w:trPr>
          <w:trHeight w:val="20"/>
          <w:jc w:val="center"/>
        </w:trPr>
        <w:tc>
          <w:tcPr>
            <w:tcW w:w="1814" w:type="dxa"/>
            <w:tcBorders>
              <w:left w:val="nil"/>
              <w:right w:val="nil"/>
            </w:tcBorders>
            <w:shd w:val="clear" w:color="auto" w:fill="FFFFFF"/>
            <w:noWrap/>
          </w:tcPr>
          <w:p w:rsidR="002C41C1" w:rsidRDefault="002C41C1">
            <w:pPr>
              <w:keepNext/>
              <w:rPr>
                <w:rFonts w:ascii="Arial" w:hAnsi="Arial" w:cs="Arial"/>
                <w:sz w:val="18"/>
                <w:szCs w:val="18"/>
              </w:rPr>
            </w:pPr>
            <w:r w:rsidRPr="00661000">
              <w:rPr>
                <w:sz w:val="18"/>
                <w:szCs w:val="18"/>
              </w:rPr>
              <w:t>Jiné</w:t>
            </w:r>
          </w:p>
        </w:tc>
        <w:tc>
          <w:tcPr>
            <w:tcW w:w="737" w:type="dxa"/>
            <w:tcBorders>
              <w:left w:val="nil"/>
              <w:right w:val="nil"/>
            </w:tcBorders>
            <w:shd w:val="clear" w:color="auto" w:fill="FFFFFF"/>
            <w:noWrap/>
          </w:tcPr>
          <w:p w:rsidR="002C41C1" w:rsidRDefault="002C41C1">
            <w:pPr>
              <w:keepNext/>
              <w:jc w:val="right"/>
              <w:rPr>
                <w:rFonts w:ascii="Arial" w:hAnsi="Arial" w:cs="Arial"/>
                <w:sz w:val="18"/>
                <w:szCs w:val="18"/>
              </w:rPr>
            </w:pPr>
            <w:r w:rsidRPr="00661000">
              <w:rPr>
                <w:sz w:val="18"/>
                <w:szCs w:val="18"/>
              </w:rPr>
              <w:t>177</w:t>
            </w:r>
          </w:p>
        </w:tc>
        <w:tc>
          <w:tcPr>
            <w:tcW w:w="1152" w:type="dxa"/>
            <w:tcBorders>
              <w:left w:val="nil"/>
              <w:right w:val="nil"/>
            </w:tcBorders>
            <w:shd w:val="clear" w:color="auto" w:fill="FFFFFF"/>
            <w:noWrap/>
          </w:tcPr>
          <w:p w:rsidR="002C41C1" w:rsidRDefault="002C41C1">
            <w:pPr>
              <w:keepNext/>
              <w:jc w:val="right"/>
              <w:rPr>
                <w:rFonts w:ascii="Arial" w:hAnsi="Arial" w:cs="Arial"/>
                <w:sz w:val="18"/>
                <w:szCs w:val="18"/>
              </w:rPr>
            </w:pPr>
            <w:r w:rsidRPr="00661000">
              <w:rPr>
                <w:sz w:val="18"/>
                <w:szCs w:val="18"/>
              </w:rPr>
              <w:t>7,5%</w:t>
            </w:r>
          </w:p>
        </w:tc>
        <w:tc>
          <w:tcPr>
            <w:tcW w:w="1417" w:type="dxa"/>
            <w:tcBorders>
              <w:left w:val="nil"/>
              <w:right w:val="nil"/>
            </w:tcBorders>
            <w:shd w:val="clear" w:color="auto" w:fill="FFFFFF"/>
            <w:noWrap/>
          </w:tcPr>
          <w:p w:rsidR="002C41C1" w:rsidRDefault="002C41C1">
            <w:pPr>
              <w:keepNext/>
              <w:jc w:val="right"/>
              <w:rPr>
                <w:rFonts w:ascii="Arial" w:hAnsi="Arial" w:cs="Arial"/>
                <w:sz w:val="18"/>
                <w:szCs w:val="18"/>
              </w:rPr>
            </w:pPr>
            <w:r w:rsidRPr="00661000">
              <w:rPr>
                <w:sz w:val="18"/>
                <w:szCs w:val="18"/>
              </w:rPr>
              <w:t>1 144,3</w:t>
            </w:r>
          </w:p>
        </w:tc>
        <w:tc>
          <w:tcPr>
            <w:tcW w:w="1644" w:type="dxa"/>
            <w:tcBorders>
              <w:left w:val="nil"/>
              <w:right w:val="nil"/>
            </w:tcBorders>
            <w:shd w:val="clear" w:color="auto" w:fill="FFFFFF"/>
            <w:noWrap/>
          </w:tcPr>
          <w:p w:rsidR="002C41C1" w:rsidRDefault="002C41C1">
            <w:pPr>
              <w:keepNext/>
              <w:jc w:val="right"/>
              <w:rPr>
                <w:rFonts w:ascii="Arial" w:hAnsi="Arial" w:cs="Arial"/>
                <w:sz w:val="18"/>
                <w:szCs w:val="18"/>
              </w:rPr>
            </w:pPr>
            <w:r w:rsidRPr="00661000">
              <w:rPr>
                <w:sz w:val="18"/>
                <w:szCs w:val="18"/>
              </w:rPr>
              <w:t>6,5</w:t>
            </w:r>
          </w:p>
        </w:tc>
      </w:tr>
      <w:tr w:rsidR="002C41C1" w:rsidRPr="00661000" w:rsidTr="00416BF2">
        <w:trPr>
          <w:trHeight w:val="20"/>
          <w:jc w:val="center"/>
        </w:trPr>
        <w:tc>
          <w:tcPr>
            <w:tcW w:w="1814" w:type="dxa"/>
            <w:tcBorders>
              <w:left w:val="nil"/>
              <w:right w:val="nil"/>
            </w:tcBorders>
            <w:shd w:val="clear" w:color="auto" w:fill="9BBB59"/>
            <w:noWrap/>
          </w:tcPr>
          <w:p w:rsidR="002C41C1" w:rsidRDefault="002C41C1">
            <w:pPr>
              <w:keepNext/>
              <w:rPr>
                <w:rFonts w:ascii="Arial" w:hAnsi="Arial" w:cs="Arial"/>
                <w:b/>
                <w:bCs/>
                <w:sz w:val="18"/>
                <w:szCs w:val="18"/>
              </w:rPr>
            </w:pPr>
            <w:r w:rsidRPr="00661000">
              <w:rPr>
                <w:b/>
                <w:bCs/>
                <w:sz w:val="18"/>
                <w:szCs w:val="18"/>
              </w:rPr>
              <w:t>Celkem</w:t>
            </w:r>
          </w:p>
        </w:tc>
        <w:tc>
          <w:tcPr>
            <w:tcW w:w="737" w:type="dxa"/>
            <w:tcBorders>
              <w:left w:val="nil"/>
              <w:right w:val="nil"/>
            </w:tcBorders>
            <w:shd w:val="clear" w:color="auto" w:fill="9BBB59"/>
            <w:noWrap/>
          </w:tcPr>
          <w:p w:rsidR="002C41C1" w:rsidRDefault="002C41C1">
            <w:pPr>
              <w:keepNext/>
              <w:jc w:val="right"/>
              <w:rPr>
                <w:rFonts w:ascii="Arial" w:hAnsi="Arial" w:cs="Arial"/>
                <w:b/>
                <w:bCs/>
                <w:sz w:val="18"/>
                <w:szCs w:val="18"/>
              </w:rPr>
            </w:pPr>
            <w:r w:rsidRPr="00661000">
              <w:rPr>
                <w:b/>
                <w:bCs/>
                <w:sz w:val="18"/>
                <w:szCs w:val="18"/>
              </w:rPr>
              <w:t>2 355</w:t>
            </w:r>
          </w:p>
        </w:tc>
        <w:tc>
          <w:tcPr>
            <w:tcW w:w="1152" w:type="dxa"/>
            <w:tcBorders>
              <w:left w:val="nil"/>
              <w:right w:val="nil"/>
            </w:tcBorders>
            <w:shd w:val="clear" w:color="auto" w:fill="9BBB59"/>
            <w:noWrap/>
          </w:tcPr>
          <w:p w:rsidR="002C41C1" w:rsidRDefault="002C41C1">
            <w:pPr>
              <w:keepNext/>
              <w:jc w:val="right"/>
              <w:rPr>
                <w:rFonts w:ascii="Arial" w:hAnsi="Arial" w:cs="Arial"/>
                <w:b/>
                <w:bCs/>
                <w:sz w:val="18"/>
                <w:szCs w:val="18"/>
              </w:rPr>
            </w:pPr>
            <w:r w:rsidRPr="00661000">
              <w:rPr>
                <w:b/>
                <w:bCs/>
                <w:sz w:val="18"/>
                <w:szCs w:val="18"/>
              </w:rPr>
              <w:t>100,0%</w:t>
            </w:r>
          </w:p>
        </w:tc>
        <w:tc>
          <w:tcPr>
            <w:tcW w:w="1417" w:type="dxa"/>
            <w:tcBorders>
              <w:left w:val="nil"/>
              <w:right w:val="nil"/>
            </w:tcBorders>
            <w:shd w:val="clear" w:color="auto" w:fill="9BBB59"/>
            <w:noWrap/>
          </w:tcPr>
          <w:p w:rsidR="002C41C1" w:rsidRDefault="002C41C1">
            <w:pPr>
              <w:keepNext/>
              <w:jc w:val="right"/>
              <w:rPr>
                <w:rFonts w:ascii="Arial" w:hAnsi="Arial" w:cs="Arial"/>
                <w:b/>
                <w:bCs/>
                <w:sz w:val="18"/>
                <w:szCs w:val="18"/>
              </w:rPr>
            </w:pPr>
            <w:r w:rsidRPr="00661000">
              <w:rPr>
                <w:b/>
                <w:bCs/>
                <w:sz w:val="18"/>
                <w:szCs w:val="18"/>
              </w:rPr>
              <w:t>10 326</w:t>
            </w:r>
          </w:p>
        </w:tc>
        <w:tc>
          <w:tcPr>
            <w:tcW w:w="1644" w:type="dxa"/>
            <w:tcBorders>
              <w:left w:val="nil"/>
              <w:right w:val="nil"/>
            </w:tcBorders>
            <w:shd w:val="clear" w:color="auto" w:fill="9BBB59"/>
            <w:noWrap/>
          </w:tcPr>
          <w:p w:rsidR="002C41C1" w:rsidRDefault="002C41C1">
            <w:pPr>
              <w:keepNext/>
              <w:jc w:val="right"/>
              <w:rPr>
                <w:rFonts w:ascii="Arial" w:hAnsi="Arial" w:cs="Arial"/>
                <w:b/>
                <w:bCs/>
                <w:sz w:val="18"/>
                <w:szCs w:val="18"/>
              </w:rPr>
            </w:pPr>
            <w:r w:rsidRPr="00661000">
              <w:rPr>
                <w:b/>
                <w:bCs/>
                <w:sz w:val="18"/>
                <w:szCs w:val="18"/>
              </w:rPr>
              <w:t>4,4</w:t>
            </w:r>
          </w:p>
        </w:tc>
      </w:tr>
    </w:tbl>
    <w:p w:rsidR="002C41C1" w:rsidRDefault="002C41C1">
      <w:pPr>
        <w:pStyle w:val="Titulek"/>
        <w:jc w:val="center"/>
      </w:pPr>
      <w:r>
        <w:t>Tabulka 8: Dělení BF podle předchozího využití</w:t>
      </w:r>
    </w:p>
    <w:p w:rsidR="002C41C1" w:rsidRDefault="002C41C1" w:rsidP="00DF6E0B">
      <w:pPr>
        <w:pStyle w:val="Titulek"/>
        <w:jc w:val="center"/>
      </w:pPr>
      <w:r>
        <w:t>Zdroj: Urbanizmus a územní rozvoj</w:t>
      </w:r>
    </w:p>
    <w:p w:rsidR="002C41C1" w:rsidRDefault="002C41C1" w:rsidP="00416BF2">
      <w:pPr>
        <w:rPr>
          <w:lang w:eastAsia="en-US"/>
        </w:rPr>
      </w:pPr>
    </w:p>
    <w:p w:rsidR="002C41C1" w:rsidRDefault="002C41C1" w:rsidP="00416BF2">
      <w:pPr>
        <w:rPr>
          <w:lang w:eastAsia="en-US"/>
        </w:rPr>
      </w:pPr>
      <w:r>
        <w:rPr>
          <w:lang w:eastAsia="en-US"/>
        </w:rPr>
        <w:t xml:space="preserve">Z tabulky je patrné, že nejčastější lokalita BF jsou </w:t>
      </w:r>
      <w:r w:rsidR="00EC63B5">
        <w:rPr>
          <w:lang w:eastAsia="en-US"/>
        </w:rPr>
        <w:t>bývalá</w:t>
      </w:r>
      <w:r>
        <w:rPr>
          <w:lang w:eastAsia="en-US"/>
        </w:rPr>
        <w:t xml:space="preserve"> zemědělské družstva v menších obcích</w:t>
      </w:r>
      <w:r w:rsidR="00E8581D">
        <w:rPr>
          <w:lang w:eastAsia="en-US"/>
        </w:rPr>
        <w:t>, o jejichž regeneraci pro podnikatelské účely není velký zájem</w:t>
      </w:r>
      <w:r>
        <w:rPr>
          <w:lang w:eastAsia="en-US"/>
        </w:rPr>
        <w:t xml:space="preserve">. Druhý nejčetnější výskyt se prokázal při průmyslových objektech, které tvoří největší rozlohu zmiňovaných lokalit a právě tento aspekt je </w:t>
      </w:r>
      <w:r>
        <w:rPr>
          <w:lang w:eastAsia="en-US"/>
        </w:rPr>
        <w:lastRenderedPageBreak/>
        <w:t xml:space="preserve">předurčuje k využívání zdrojů z </w:t>
      </w:r>
      <w:r w:rsidR="0084453C">
        <w:rPr>
          <w:lang w:eastAsia="en-US"/>
        </w:rPr>
        <w:t>OP PIK</w:t>
      </w:r>
      <w:r>
        <w:rPr>
          <w:lang w:eastAsia="en-US"/>
        </w:rPr>
        <w:t xml:space="preserve"> (nebo OP</w:t>
      </w:r>
      <w:r w:rsidR="00E8581D">
        <w:rPr>
          <w:lang w:eastAsia="en-US"/>
        </w:rPr>
        <w:t xml:space="preserve"> </w:t>
      </w:r>
      <w:r>
        <w:rPr>
          <w:lang w:eastAsia="en-US"/>
        </w:rPr>
        <w:t>PI). Nejvyšší hodnoty, co se týče velikosti jedné jednotky, jsou pozorovány při armádních lokalitách, jejichž regenerace/revitalizace je v gesci MMR (speciální dotační program pro nevyužívané armádní nemovitosti). V mnohých případech je však BF vnímán jako průmyslový objekt nebo lokalita, která by rekonstrukcí nebo regenerací měla byt připravena na průmyslové využití. MPO bude v zaměření SC 2.3 vycházet s široké definice brownfieldů a nevyhovujících podnikatelských nemovitostí, do které se vejdou i rekonstrukce zastaralých a technicky nevyhovujících podnikatelských objektů.</w:t>
      </w:r>
    </w:p>
    <w:p w:rsidR="002C41C1" w:rsidRDefault="002C41C1" w:rsidP="00416BF2">
      <w:pPr>
        <w:rPr>
          <w:lang w:eastAsia="en-US"/>
        </w:rPr>
      </w:pPr>
    </w:p>
    <w:p w:rsidR="002C41C1" w:rsidRDefault="002C41C1" w:rsidP="00416BF2">
      <w:pPr>
        <w:rPr>
          <w:lang w:eastAsia="en-US"/>
        </w:rPr>
      </w:pPr>
      <w:r w:rsidRPr="00DF6E0B">
        <w:rPr>
          <w:b/>
          <w:lang w:eastAsia="en-US"/>
        </w:rPr>
        <w:t>V</w:t>
      </w:r>
      <w:r>
        <w:rPr>
          <w:b/>
          <w:lang w:eastAsia="en-US"/>
        </w:rPr>
        <w:t xml:space="preserve"> národní </w:t>
      </w:r>
      <w:r w:rsidRPr="00DF6E0B">
        <w:rPr>
          <w:b/>
          <w:lang w:eastAsia="en-US"/>
        </w:rPr>
        <w:t>databázi brownfieldů bylo ke dni 3. 2. 2015 nabízeno 524 brownfieldů</w:t>
      </w:r>
      <w:r>
        <w:rPr>
          <w:lang w:eastAsia="en-US"/>
        </w:rPr>
        <w:t>. Expertní odhad CI dle předběžných analýz do aktualizované národní strategie brownfieldů udává, že</w:t>
      </w:r>
      <w:r w:rsidR="005057AD">
        <w:rPr>
          <w:lang w:eastAsia="en-US"/>
        </w:rPr>
        <w:t xml:space="preserve"> </w:t>
      </w:r>
      <w:r w:rsidRPr="00DF6E0B">
        <w:rPr>
          <w:b/>
          <w:lang w:eastAsia="en-US"/>
        </w:rPr>
        <w:t>v</w:t>
      </w:r>
      <w:r w:rsidRPr="00D144BB">
        <w:rPr>
          <w:b/>
          <w:lang w:eastAsia="en-US"/>
        </w:rPr>
        <w:t> </w:t>
      </w:r>
      <w:r w:rsidRPr="00DF6E0B">
        <w:rPr>
          <w:b/>
          <w:lang w:eastAsia="en-US"/>
        </w:rPr>
        <w:t>období 2007-2013 bylo regenerováno</w:t>
      </w:r>
      <w:r w:rsidR="005057AD">
        <w:rPr>
          <w:b/>
          <w:lang w:eastAsia="en-US"/>
        </w:rPr>
        <w:t xml:space="preserve"> </w:t>
      </w:r>
      <w:r w:rsidRPr="00DF6E0B">
        <w:rPr>
          <w:b/>
          <w:lang w:eastAsia="en-US"/>
        </w:rPr>
        <w:t xml:space="preserve">cca 10-15 % </w:t>
      </w:r>
      <w:r w:rsidR="00E8581D">
        <w:rPr>
          <w:b/>
          <w:lang w:eastAsia="en-US"/>
        </w:rPr>
        <w:t xml:space="preserve">odhadovaného celkového počtu </w:t>
      </w:r>
      <w:r w:rsidRPr="00DF6E0B">
        <w:rPr>
          <w:b/>
          <w:lang w:eastAsia="en-US"/>
        </w:rPr>
        <w:t>brownfieldů</w:t>
      </w:r>
      <w:r w:rsidR="00E8581D">
        <w:rPr>
          <w:lang w:eastAsia="en-US"/>
        </w:rPr>
        <w:t>, o které je tedy možné snížit současné odhady počtu lokalit</w:t>
      </w:r>
      <w:r>
        <w:rPr>
          <w:lang w:eastAsia="en-US"/>
        </w:rPr>
        <w:t>. Mnohem větší počet se regeneruje ve městech, na venkově jen malá část. V oficiálně evidovaných plochách lze pozorovat růst počtu BF, ale úbytek jejich celkové plochy.</w:t>
      </w:r>
    </w:p>
    <w:p w:rsidR="002C41C1" w:rsidRDefault="002C41C1" w:rsidP="00416BF2">
      <w:pPr>
        <w:rPr>
          <w:lang w:eastAsia="en-US"/>
        </w:rPr>
      </w:pPr>
    </w:p>
    <w:p w:rsidR="00A012BD" w:rsidRDefault="002C41C1" w:rsidP="00416BF2">
      <w:pPr>
        <w:rPr>
          <w:lang w:eastAsia="en-US"/>
        </w:rPr>
      </w:pPr>
      <w:r w:rsidRPr="00DF6E0B">
        <w:rPr>
          <w:b/>
          <w:lang w:eastAsia="en-US"/>
        </w:rPr>
        <w:t>Z</w:t>
      </w:r>
      <w:r w:rsidRPr="00D144BB">
        <w:rPr>
          <w:b/>
          <w:lang w:eastAsia="en-US"/>
        </w:rPr>
        <w:t> </w:t>
      </w:r>
      <w:r w:rsidR="00EC63B5">
        <w:rPr>
          <w:b/>
          <w:lang w:eastAsia="en-US"/>
        </w:rPr>
        <w:t>údajů CI je zřejmé, že vel</w:t>
      </w:r>
      <w:r w:rsidRPr="00DF6E0B">
        <w:rPr>
          <w:b/>
          <w:lang w:eastAsia="en-US"/>
        </w:rPr>
        <w:t xml:space="preserve">ká část BF </w:t>
      </w:r>
      <w:r w:rsidR="00E8581D">
        <w:rPr>
          <w:b/>
          <w:lang w:eastAsia="en-US"/>
        </w:rPr>
        <w:t>byla v minulém období</w:t>
      </w:r>
      <w:r w:rsidRPr="00DF6E0B">
        <w:rPr>
          <w:b/>
          <w:lang w:eastAsia="en-US"/>
        </w:rPr>
        <w:t xml:space="preserve"> regenerována bez státní podpory na tržním principu</w:t>
      </w:r>
      <w:r>
        <w:rPr>
          <w:lang w:eastAsia="en-US"/>
        </w:rPr>
        <w:t>. V rámci OP</w:t>
      </w:r>
      <w:r w:rsidR="00E8581D">
        <w:rPr>
          <w:lang w:eastAsia="en-US"/>
        </w:rPr>
        <w:t xml:space="preserve"> </w:t>
      </w:r>
      <w:r>
        <w:rPr>
          <w:lang w:eastAsia="en-US"/>
        </w:rPr>
        <w:t xml:space="preserve">PI byly z uvedených až 15 % BF regenerovány </w:t>
      </w:r>
      <w:r w:rsidR="00E8581D">
        <w:rPr>
          <w:lang w:eastAsia="en-US"/>
        </w:rPr>
        <w:t xml:space="preserve">cca </w:t>
      </w:r>
      <w:r>
        <w:rPr>
          <w:lang w:eastAsia="en-US"/>
        </w:rPr>
        <w:t>3</w:t>
      </w:r>
      <w:r w:rsidR="00E8581D">
        <w:rPr>
          <w:lang w:eastAsia="en-US"/>
        </w:rPr>
        <w:t xml:space="preserve"> </w:t>
      </w:r>
      <w:r>
        <w:rPr>
          <w:lang w:eastAsia="en-US"/>
        </w:rPr>
        <w:t xml:space="preserve">%. Je nutné připočíst další operační programy, které se </w:t>
      </w:r>
      <w:r w:rsidRPr="00DF6E0B">
        <w:rPr>
          <w:lang w:eastAsia="en-US"/>
        </w:rPr>
        <w:t xml:space="preserve">BF dotýkaly (viz analýza veřejných zdrojů financování), i tak </w:t>
      </w:r>
      <w:r w:rsidR="00A012BD">
        <w:rPr>
          <w:lang w:eastAsia="en-US"/>
        </w:rPr>
        <w:t>byla</w:t>
      </w:r>
      <w:r w:rsidR="00A012BD" w:rsidRPr="00DF6E0B">
        <w:rPr>
          <w:lang w:eastAsia="en-US"/>
        </w:rPr>
        <w:t xml:space="preserve"> </w:t>
      </w:r>
      <w:r w:rsidRPr="00DF6E0B">
        <w:rPr>
          <w:lang w:eastAsia="en-US"/>
        </w:rPr>
        <w:t>nicméně soukromá</w:t>
      </w:r>
      <w:r w:rsidR="00A012BD">
        <w:rPr>
          <w:lang w:eastAsia="en-US"/>
        </w:rPr>
        <w:t xml:space="preserve"> tržní</w:t>
      </w:r>
      <w:r w:rsidRPr="00DF6E0B">
        <w:rPr>
          <w:lang w:eastAsia="en-US"/>
        </w:rPr>
        <w:t xml:space="preserve"> aktivita </w:t>
      </w:r>
      <w:r w:rsidR="00EC63B5">
        <w:rPr>
          <w:lang w:eastAsia="en-US"/>
        </w:rPr>
        <w:t>významná</w:t>
      </w:r>
      <w:r w:rsidRPr="00DF6E0B">
        <w:rPr>
          <w:lang w:eastAsia="en-US"/>
        </w:rPr>
        <w:t xml:space="preserve">. </w:t>
      </w:r>
      <w:r w:rsidR="00A012BD" w:rsidRPr="00DF6E0B">
        <w:rPr>
          <w:lang w:eastAsia="en-US"/>
        </w:rPr>
        <w:t xml:space="preserve">Ze statistik nabídky BF (tabulka č. 9) je </w:t>
      </w:r>
      <w:r w:rsidR="00A012BD">
        <w:rPr>
          <w:lang w:eastAsia="en-US"/>
        </w:rPr>
        <w:t>přesto</w:t>
      </w:r>
      <w:r w:rsidR="00A012BD" w:rsidRPr="00DF6E0B">
        <w:rPr>
          <w:lang w:eastAsia="en-US"/>
        </w:rPr>
        <w:t xml:space="preserve"> patrné, že nedostupnost dotační podpory z</w:t>
      </w:r>
      <w:r w:rsidR="00A012BD" w:rsidRPr="00D144BB">
        <w:rPr>
          <w:lang w:eastAsia="en-US"/>
        </w:rPr>
        <w:t> </w:t>
      </w:r>
      <w:r w:rsidR="00A012BD" w:rsidRPr="00DF6E0B">
        <w:rPr>
          <w:lang w:eastAsia="en-US"/>
        </w:rPr>
        <w:t>kohezních fondů pro Prahu může mít na aktivitu v</w:t>
      </w:r>
      <w:r w:rsidR="00A012BD" w:rsidRPr="00D144BB">
        <w:rPr>
          <w:lang w:eastAsia="en-US"/>
        </w:rPr>
        <w:t> </w:t>
      </w:r>
      <w:r w:rsidR="00A012BD" w:rsidRPr="00DF6E0B">
        <w:rPr>
          <w:lang w:eastAsia="en-US"/>
        </w:rPr>
        <w:t>této oblasti důležitý efekt</w:t>
      </w:r>
      <w:r w:rsidR="00A012BD">
        <w:rPr>
          <w:lang w:eastAsia="en-US"/>
        </w:rPr>
        <w:t>.</w:t>
      </w:r>
    </w:p>
    <w:p w:rsidR="00A012BD" w:rsidRDefault="00A012BD" w:rsidP="00416BF2">
      <w:pPr>
        <w:rPr>
          <w:lang w:eastAsia="en-US"/>
        </w:rPr>
      </w:pPr>
    </w:p>
    <w:p w:rsidR="002C41C1" w:rsidRDefault="00A012BD" w:rsidP="00416BF2">
      <w:pPr>
        <w:rPr>
          <w:lang w:eastAsia="en-US"/>
        </w:rPr>
      </w:pPr>
      <w:r>
        <w:rPr>
          <w:lang w:eastAsia="en-US"/>
        </w:rPr>
        <w:t>Dále je nutné dodat</w:t>
      </w:r>
      <w:r>
        <w:rPr>
          <w:lang w:eastAsia="en-US"/>
        </w:rPr>
        <w:t xml:space="preserve">, že </w:t>
      </w:r>
      <w:r>
        <w:rPr>
          <w:lang w:eastAsia="en-US"/>
        </w:rPr>
        <w:t xml:space="preserve">mezi tržně zregenerovanými BF v minulém období </w:t>
      </w:r>
      <w:r>
        <w:rPr>
          <w:lang w:eastAsia="en-US"/>
        </w:rPr>
        <w:t>se jednalo typicky o tzv. áčkové projekty, tz. ty nejsnadnější a nejvýnosnější BF</w:t>
      </w:r>
      <w:r>
        <w:rPr>
          <w:lang w:eastAsia="en-US"/>
        </w:rPr>
        <w:t>, často na lukrativních městských plochách</w:t>
      </w:r>
      <w:r>
        <w:rPr>
          <w:lang w:eastAsia="en-US"/>
        </w:rPr>
        <w:t xml:space="preserve">. Dá se tedy očekávat, že pro aktuální programovací období bude těchto potenciálně snadněji regenerovaných BF </w:t>
      </w:r>
      <w:r>
        <w:rPr>
          <w:lang w:eastAsia="en-US"/>
        </w:rPr>
        <w:t xml:space="preserve">výrazně </w:t>
      </w:r>
      <w:r>
        <w:rPr>
          <w:lang w:eastAsia="en-US"/>
        </w:rPr>
        <w:t>méně, naopak zbývají obtížnější projekty s potřebou podpory.</w:t>
      </w:r>
      <w:r>
        <w:rPr>
          <w:lang w:eastAsia="en-US"/>
        </w:rPr>
        <w:t xml:space="preserve"> </w:t>
      </w:r>
      <w:r w:rsidR="002C41C1">
        <w:rPr>
          <w:lang w:eastAsia="en-US"/>
        </w:rPr>
        <w:t>Mnohé zanedbané nemovitosti zažívají nulovou poptávku a je možné, že pokud v jejich okolí není žádný expandující subjekt a cestní infrastruktura je vyslovené špatná, tak se jeho status změní na pozemky určené k revitalizaci a bude zdemolován.</w:t>
      </w:r>
    </w:p>
    <w:p w:rsidR="002C41C1" w:rsidRDefault="002C41C1" w:rsidP="00416BF2">
      <w:pPr>
        <w:rPr>
          <w:lang w:eastAsia="en-US"/>
        </w:rPr>
      </w:pPr>
    </w:p>
    <w:p w:rsidR="002C41C1" w:rsidRDefault="002C41C1" w:rsidP="00416BF2">
      <w:pPr>
        <w:rPr>
          <w:lang w:eastAsia="en-US"/>
        </w:rPr>
      </w:pPr>
      <w:r>
        <w:rPr>
          <w:lang w:eastAsia="en-US"/>
        </w:rPr>
        <w:t xml:space="preserve">Poptávka po BF je přímo úměrná poptávce po nemovitostech, s růstem trhu nemovitostí stoupá i trh brownfieldů. Po krizovém období se tedy aktivita na trhu v roce 2014 opět zvyšuje. Podíl BF na celkové poptávce po nemovitostech je poměrně stabilní, na úrovni </w:t>
      </w:r>
      <w:r w:rsidRPr="00DF6E0B">
        <w:rPr>
          <w:lang w:eastAsia="en-US"/>
        </w:rPr>
        <w:t>20 % (viz graf č. 11)</w:t>
      </w:r>
    </w:p>
    <w:p w:rsidR="002C41C1" w:rsidRDefault="002C41C1" w:rsidP="00416BF2">
      <w:pPr>
        <w:rPr>
          <w:lang w:eastAsia="en-US"/>
        </w:rPr>
      </w:pPr>
    </w:p>
    <w:tbl>
      <w:tblPr>
        <w:tblW w:w="7870" w:type="dxa"/>
        <w:tblLook w:val="00A0" w:firstRow="1" w:lastRow="0" w:firstColumn="1" w:lastColumn="0" w:noHBand="0" w:noVBand="0"/>
      </w:tblPr>
      <w:tblGrid>
        <w:gridCol w:w="2037"/>
        <w:gridCol w:w="1722"/>
        <w:gridCol w:w="1134"/>
        <w:gridCol w:w="1559"/>
        <w:gridCol w:w="1418"/>
      </w:tblGrid>
      <w:tr w:rsidR="002C41C1" w:rsidTr="009B1D9D">
        <w:trPr>
          <w:trHeight w:val="300"/>
        </w:trPr>
        <w:tc>
          <w:tcPr>
            <w:tcW w:w="2037" w:type="dxa"/>
            <w:noWrap/>
          </w:tcPr>
          <w:p w:rsidR="002C41C1" w:rsidRDefault="002C41C1">
            <w:pPr>
              <w:rPr>
                <w:rFonts w:cs="Calibri"/>
                <w:b/>
                <w:bCs/>
                <w:color w:val="000000"/>
                <w:szCs w:val="22"/>
              </w:rPr>
            </w:pPr>
            <w:r>
              <w:rPr>
                <w:b/>
                <w:bCs/>
                <w:color w:val="000000"/>
              </w:rPr>
              <w:t>ČR</w:t>
            </w:r>
          </w:p>
        </w:tc>
        <w:tc>
          <w:tcPr>
            <w:tcW w:w="1722" w:type="dxa"/>
            <w:noWrap/>
          </w:tcPr>
          <w:p w:rsidR="002C41C1" w:rsidRDefault="002C41C1">
            <w:pPr>
              <w:jc w:val="right"/>
              <w:rPr>
                <w:rFonts w:cs="Calibri"/>
                <w:b/>
                <w:bCs/>
                <w:color w:val="000000"/>
                <w:szCs w:val="22"/>
              </w:rPr>
            </w:pPr>
            <w:r>
              <w:rPr>
                <w:b/>
                <w:bCs/>
                <w:color w:val="000000"/>
              </w:rPr>
              <w:t>28</w:t>
            </w:r>
          </w:p>
        </w:tc>
        <w:tc>
          <w:tcPr>
            <w:tcW w:w="1134" w:type="dxa"/>
            <w:noWrap/>
          </w:tcPr>
          <w:p w:rsidR="002C41C1" w:rsidRDefault="002C41C1">
            <w:pPr>
              <w:jc w:val="right"/>
              <w:rPr>
                <w:rFonts w:cs="Calibri"/>
                <w:color w:val="000000"/>
                <w:szCs w:val="22"/>
              </w:rPr>
            </w:pPr>
            <w:r>
              <w:rPr>
                <w:color w:val="000000"/>
              </w:rPr>
              <w:t>100%</w:t>
            </w:r>
          </w:p>
        </w:tc>
        <w:tc>
          <w:tcPr>
            <w:tcW w:w="1559" w:type="dxa"/>
          </w:tcPr>
          <w:p w:rsidR="002C41C1" w:rsidRDefault="002C41C1">
            <w:pPr>
              <w:jc w:val="right"/>
              <w:rPr>
                <w:color w:val="000000"/>
              </w:rPr>
            </w:pPr>
            <w:r>
              <w:rPr>
                <w:color w:val="000000"/>
              </w:rPr>
              <w:t>34</w:t>
            </w:r>
          </w:p>
        </w:tc>
        <w:tc>
          <w:tcPr>
            <w:tcW w:w="1418" w:type="dxa"/>
          </w:tcPr>
          <w:p w:rsidR="002C41C1" w:rsidRDefault="002C41C1">
            <w:pPr>
              <w:jc w:val="right"/>
              <w:rPr>
                <w:color w:val="000000"/>
              </w:rPr>
            </w:pPr>
            <w:r>
              <w:rPr>
                <w:color w:val="000000"/>
              </w:rPr>
              <w:t>100%</w:t>
            </w:r>
          </w:p>
        </w:tc>
      </w:tr>
      <w:tr w:rsidR="002C41C1" w:rsidTr="009B1D9D">
        <w:trPr>
          <w:trHeight w:val="300"/>
        </w:trPr>
        <w:tc>
          <w:tcPr>
            <w:tcW w:w="2037" w:type="dxa"/>
            <w:noWrap/>
          </w:tcPr>
          <w:p w:rsidR="002C41C1" w:rsidRDefault="002C41C1">
            <w:pPr>
              <w:rPr>
                <w:rFonts w:cs="Calibri"/>
                <w:color w:val="000000"/>
                <w:szCs w:val="22"/>
              </w:rPr>
            </w:pPr>
            <w:r>
              <w:rPr>
                <w:color w:val="000000"/>
              </w:rPr>
              <w:t>Moravskoslezský</w:t>
            </w:r>
          </w:p>
        </w:tc>
        <w:tc>
          <w:tcPr>
            <w:tcW w:w="1722" w:type="dxa"/>
            <w:noWrap/>
          </w:tcPr>
          <w:p w:rsidR="002C41C1" w:rsidRDefault="002C41C1">
            <w:pPr>
              <w:jc w:val="right"/>
              <w:rPr>
                <w:rFonts w:cs="Calibri"/>
                <w:color w:val="000000"/>
                <w:szCs w:val="22"/>
              </w:rPr>
            </w:pPr>
            <w:r>
              <w:rPr>
                <w:color w:val="000000"/>
              </w:rPr>
              <w:t>6</w:t>
            </w:r>
          </w:p>
        </w:tc>
        <w:tc>
          <w:tcPr>
            <w:tcW w:w="1134" w:type="dxa"/>
            <w:noWrap/>
          </w:tcPr>
          <w:p w:rsidR="002C41C1" w:rsidRDefault="002C41C1">
            <w:pPr>
              <w:jc w:val="right"/>
              <w:rPr>
                <w:rFonts w:cs="Calibri"/>
                <w:color w:val="000000"/>
                <w:szCs w:val="22"/>
              </w:rPr>
            </w:pPr>
            <w:r>
              <w:rPr>
                <w:color w:val="000000"/>
              </w:rPr>
              <w:t>21,4%</w:t>
            </w:r>
          </w:p>
        </w:tc>
        <w:tc>
          <w:tcPr>
            <w:tcW w:w="1559" w:type="dxa"/>
          </w:tcPr>
          <w:p w:rsidR="002C41C1" w:rsidRDefault="002C41C1">
            <w:pPr>
              <w:jc w:val="right"/>
              <w:rPr>
                <w:color w:val="000000"/>
              </w:rPr>
            </w:pPr>
            <w:r>
              <w:rPr>
                <w:color w:val="000000"/>
              </w:rPr>
              <w:t>2</w:t>
            </w:r>
          </w:p>
        </w:tc>
        <w:tc>
          <w:tcPr>
            <w:tcW w:w="1418" w:type="dxa"/>
          </w:tcPr>
          <w:p w:rsidR="002C41C1" w:rsidRDefault="002C41C1">
            <w:pPr>
              <w:jc w:val="right"/>
              <w:rPr>
                <w:color w:val="000000"/>
              </w:rPr>
            </w:pPr>
            <w:r>
              <w:rPr>
                <w:color w:val="000000"/>
              </w:rPr>
              <w:t>5,9%</w:t>
            </w:r>
          </w:p>
        </w:tc>
      </w:tr>
      <w:tr w:rsidR="002C41C1" w:rsidTr="009B1D9D">
        <w:trPr>
          <w:trHeight w:val="300"/>
        </w:trPr>
        <w:tc>
          <w:tcPr>
            <w:tcW w:w="2037" w:type="dxa"/>
            <w:noWrap/>
          </w:tcPr>
          <w:p w:rsidR="002C41C1" w:rsidRDefault="002C41C1">
            <w:pPr>
              <w:rPr>
                <w:rFonts w:cs="Calibri"/>
                <w:color w:val="000000"/>
                <w:szCs w:val="22"/>
              </w:rPr>
            </w:pPr>
            <w:r>
              <w:rPr>
                <w:color w:val="000000"/>
              </w:rPr>
              <w:t>Středočeský</w:t>
            </w:r>
          </w:p>
        </w:tc>
        <w:tc>
          <w:tcPr>
            <w:tcW w:w="1722" w:type="dxa"/>
            <w:noWrap/>
          </w:tcPr>
          <w:p w:rsidR="002C41C1" w:rsidRDefault="002C41C1">
            <w:pPr>
              <w:jc w:val="right"/>
              <w:rPr>
                <w:rFonts w:cs="Calibri"/>
                <w:color w:val="000000"/>
                <w:szCs w:val="22"/>
              </w:rPr>
            </w:pPr>
            <w:r>
              <w:rPr>
                <w:color w:val="000000"/>
              </w:rPr>
              <w:t>3</w:t>
            </w:r>
          </w:p>
        </w:tc>
        <w:tc>
          <w:tcPr>
            <w:tcW w:w="1134" w:type="dxa"/>
            <w:noWrap/>
          </w:tcPr>
          <w:p w:rsidR="002C41C1" w:rsidRDefault="002C41C1">
            <w:pPr>
              <w:jc w:val="right"/>
              <w:rPr>
                <w:rFonts w:cs="Calibri"/>
                <w:color w:val="000000"/>
                <w:szCs w:val="22"/>
              </w:rPr>
            </w:pPr>
            <w:r>
              <w:rPr>
                <w:color w:val="000000"/>
              </w:rPr>
              <w:t>10,7%</w:t>
            </w:r>
          </w:p>
        </w:tc>
        <w:tc>
          <w:tcPr>
            <w:tcW w:w="1559" w:type="dxa"/>
          </w:tcPr>
          <w:p w:rsidR="002C41C1" w:rsidRDefault="002C41C1">
            <w:pPr>
              <w:jc w:val="right"/>
              <w:rPr>
                <w:color w:val="000000"/>
              </w:rPr>
            </w:pPr>
            <w:r>
              <w:rPr>
                <w:color w:val="000000"/>
              </w:rPr>
              <w:t>9</w:t>
            </w:r>
          </w:p>
        </w:tc>
        <w:tc>
          <w:tcPr>
            <w:tcW w:w="1418" w:type="dxa"/>
          </w:tcPr>
          <w:p w:rsidR="002C41C1" w:rsidRDefault="002C41C1">
            <w:pPr>
              <w:jc w:val="right"/>
              <w:rPr>
                <w:color w:val="000000"/>
              </w:rPr>
            </w:pPr>
            <w:r>
              <w:rPr>
                <w:color w:val="000000"/>
              </w:rPr>
              <w:t>26,5%</w:t>
            </w:r>
          </w:p>
        </w:tc>
      </w:tr>
      <w:tr w:rsidR="002C41C1" w:rsidTr="009B1D9D">
        <w:trPr>
          <w:trHeight w:val="300"/>
        </w:trPr>
        <w:tc>
          <w:tcPr>
            <w:tcW w:w="2037" w:type="dxa"/>
            <w:noWrap/>
          </w:tcPr>
          <w:p w:rsidR="002C41C1" w:rsidRDefault="002C41C1">
            <w:pPr>
              <w:rPr>
                <w:rFonts w:cs="Calibri"/>
                <w:color w:val="000000"/>
                <w:szCs w:val="22"/>
              </w:rPr>
            </w:pPr>
            <w:r>
              <w:rPr>
                <w:color w:val="000000"/>
              </w:rPr>
              <w:t>Jihomoravský</w:t>
            </w:r>
          </w:p>
        </w:tc>
        <w:tc>
          <w:tcPr>
            <w:tcW w:w="1722" w:type="dxa"/>
            <w:noWrap/>
          </w:tcPr>
          <w:p w:rsidR="002C41C1" w:rsidRDefault="002C41C1">
            <w:pPr>
              <w:jc w:val="right"/>
              <w:rPr>
                <w:rFonts w:cs="Calibri"/>
                <w:color w:val="000000"/>
                <w:szCs w:val="22"/>
              </w:rPr>
            </w:pPr>
            <w:r>
              <w:rPr>
                <w:color w:val="000000"/>
              </w:rPr>
              <w:t>4</w:t>
            </w:r>
          </w:p>
        </w:tc>
        <w:tc>
          <w:tcPr>
            <w:tcW w:w="1134" w:type="dxa"/>
            <w:noWrap/>
          </w:tcPr>
          <w:p w:rsidR="002C41C1" w:rsidRDefault="002C41C1">
            <w:pPr>
              <w:jc w:val="right"/>
              <w:rPr>
                <w:rFonts w:cs="Calibri"/>
                <w:color w:val="000000"/>
                <w:szCs w:val="22"/>
              </w:rPr>
            </w:pPr>
            <w:r>
              <w:rPr>
                <w:color w:val="000000"/>
              </w:rPr>
              <w:t>14,3%</w:t>
            </w:r>
          </w:p>
        </w:tc>
        <w:tc>
          <w:tcPr>
            <w:tcW w:w="1559" w:type="dxa"/>
          </w:tcPr>
          <w:p w:rsidR="002C41C1" w:rsidRDefault="002C41C1">
            <w:pPr>
              <w:jc w:val="right"/>
              <w:rPr>
                <w:color w:val="000000"/>
              </w:rPr>
            </w:pPr>
            <w:r>
              <w:rPr>
                <w:color w:val="000000"/>
              </w:rPr>
              <w:t>5</w:t>
            </w:r>
          </w:p>
        </w:tc>
        <w:tc>
          <w:tcPr>
            <w:tcW w:w="1418" w:type="dxa"/>
          </w:tcPr>
          <w:p w:rsidR="002C41C1" w:rsidRDefault="002C41C1">
            <w:pPr>
              <w:jc w:val="right"/>
              <w:rPr>
                <w:color w:val="000000"/>
              </w:rPr>
            </w:pPr>
            <w:r>
              <w:rPr>
                <w:color w:val="000000"/>
              </w:rPr>
              <w:t>14,7%</w:t>
            </w:r>
          </w:p>
        </w:tc>
      </w:tr>
      <w:tr w:rsidR="002C41C1" w:rsidTr="009B1D9D">
        <w:trPr>
          <w:trHeight w:val="300"/>
        </w:trPr>
        <w:tc>
          <w:tcPr>
            <w:tcW w:w="2037" w:type="dxa"/>
            <w:noWrap/>
          </w:tcPr>
          <w:p w:rsidR="002C41C1" w:rsidRDefault="002C41C1">
            <w:pPr>
              <w:rPr>
                <w:rFonts w:cs="Calibri"/>
                <w:color w:val="000000"/>
                <w:szCs w:val="22"/>
              </w:rPr>
            </w:pPr>
            <w:r>
              <w:rPr>
                <w:color w:val="000000"/>
              </w:rPr>
              <w:t>Plzeňský</w:t>
            </w:r>
          </w:p>
        </w:tc>
        <w:tc>
          <w:tcPr>
            <w:tcW w:w="1722" w:type="dxa"/>
            <w:noWrap/>
          </w:tcPr>
          <w:p w:rsidR="002C41C1" w:rsidRDefault="002C41C1">
            <w:pPr>
              <w:jc w:val="right"/>
              <w:rPr>
                <w:rFonts w:cs="Calibri"/>
                <w:color w:val="000000"/>
                <w:szCs w:val="22"/>
              </w:rPr>
            </w:pPr>
            <w:r>
              <w:rPr>
                <w:color w:val="000000"/>
              </w:rPr>
              <w:t>2</w:t>
            </w:r>
          </w:p>
        </w:tc>
        <w:tc>
          <w:tcPr>
            <w:tcW w:w="1134" w:type="dxa"/>
            <w:noWrap/>
          </w:tcPr>
          <w:p w:rsidR="002C41C1" w:rsidRDefault="002C41C1">
            <w:pPr>
              <w:jc w:val="right"/>
              <w:rPr>
                <w:rFonts w:cs="Calibri"/>
                <w:color w:val="000000"/>
                <w:szCs w:val="22"/>
              </w:rPr>
            </w:pPr>
            <w:r>
              <w:rPr>
                <w:color w:val="000000"/>
              </w:rPr>
              <w:t>7,1%</w:t>
            </w:r>
          </w:p>
        </w:tc>
        <w:tc>
          <w:tcPr>
            <w:tcW w:w="1559" w:type="dxa"/>
          </w:tcPr>
          <w:p w:rsidR="002C41C1" w:rsidRDefault="002C41C1">
            <w:pPr>
              <w:jc w:val="right"/>
              <w:rPr>
                <w:color w:val="000000"/>
              </w:rPr>
            </w:pPr>
            <w:r>
              <w:rPr>
                <w:color w:val="000000"/>
              </w:rPr>
              <w:t>2</w:t>
            </w:r>
          </w:p>
        </w:tc>
        <w:tc>
          <w:tcPr>
            <w:tcW w:w="1418" w:type="dxa"/>
          </w:tcPr>
          <w:p w:rsidR="002C41C1" w:rsidRDefault="002C41C1">
            <w:pPr>
              <w:jc w:val="right"/>
              <w:rPr>
                <w:color w:val="000000"/>
              </w:rPr>
            </w:pPr>
            <w:r>
              <w:rPr>
                <w:color w:val="000000"/>
              </w:rPr>
              <w:t>5,9%</w:t>
            </w:r>
          </w:p>
        </w:tc>
      </w:tr>
      <w:tr w:rsidR="002C41C1" w:rsidTr="009B1D9D">
        <w:trPr>
          <w:trHeight w:val="300"/>
        </w:trPr>
        <w:tc>
          <w:tcPr>
            <w:tcW w:w="2037" w:type="dxa"/>
            <w:noWrap/>
          </w:tcPr>
          <w:p w:rsidR="002C41C1" w:rsidRDefault="002C41C1">
            <w:pPr>
              <w:rPr>
                <w:rFonts w:cs="Calibri"/>
                <w:color w:val="000000"/>
                <w:szCs w:val="22"/>
              </w:rPr>
            </w:pPr>
            <w:r>
              <w:rPr>
                <w:color w:val="000000"/>
              </w:rPr>
              <w:t>Ústecký</w:t>
            </w:r>
          </w:p>
        </w:tc>
        <w:tc>
          <w:tcPr>
            <w:tcW w:w="1722" w:type="dxa"/>
            <w:noWrap/>
          </w:tcPr>
          <w:p w:rsidR="002C41C1" w:rsidRDefault="002C41C1">
            <w:pPr>
              <w:jc w:val="right"/>
              <w:rPr>
                <w:rFonts w:cs="Calibri"/>
                <w:color w:val="000000"/>
                <w:szCs w:val="22"/>
              </w:rPr>
            </w:pPr>
            <w:r>
              <w:rPr>
                <w:color w:val="000000"/>
              </w:rPr>
              <w:t>1</w:t>
            </w:r>
          </w:p>
        </w:tc>
        <w:tc>
          <w:tcPr>
            <w:tcW w:w="1134" w:type="dxa"/>
            <w:noWrap/>
          </w:tcPr>
          <w:p w:rsidR="002C41C1" w:rsidRDefault="002C41C1">
            <w:pPr>
              <w:jc w:val="right"/>
              <w:rPr>
                <w:rFonts w:cs="Calibri"/>
                <w:color w:val="000000"/>
                <w:szCs w:val="22"/>
              </w:rPr>
            </w:pPr>
            <w:r>
              <w:rPr>
                <w:color w:val="000000"/>
              </w:rPr>
              <w:t>3,6%</w:t>
            </w:r>
          </w:p>
        </w:tc>
        <w:tc>
          <w:tcPr>
            <w:tcW w:w="1559" w:type="dxa"/>
          </w:tcPr>
          <w:p w:rsidR="002C41C1" w:rsidRDefault="002C41C1">
            <w:pPr>
              <w:jc w:val="right"/>
              <w:rPr>
                <w:color w:val="000000"/>
              </w:rPr>
            </w:pPr>
            <w:r>
              <w:rPr>
                <w:color w:val="000000"/>
              </w:rPr>
              <w:t>2</w:t>
            </w:r>
          </w:p>
        </w:tc>
        <w:tc>
          <w:tcPr>
            <w:tcW w:w="1418" w:type="dxa"/>
          </w:tcPr>
          <w:p w:rsidR="002C41C1" w:rsidRDefault="002C41C1">
            <w:pPr>
              <w:jc w:val="right"/>
              <w:rPr>
                <w:color w:val="000000"/>
              </w:rPr>
            </w:pPr>
            <w:r>
              <w:rPr>
                <w:color w:val="000000"/>
              </w:rPr>
              <w:t>5,9%</w:t>
            </w:r>
          </w:p>
        </w:tc>
      </w:tr>
      <w:tr w:rsidR="002C41C1" w:rsidTr="009B1D9D">
        <w:trPr>
          <w:trHeight w:val="300"/>
        </w:trPr>
        <w:tc>
          <w:tcPr>
            <w:tcW w:w="2037" w:type="dxa"/>
            <w:noWrap/>
          </w:tcPr>
          <w:p w:rsidR="002C41C1" w:rsidRDefault="002C41C1">
            <w:pPr>
              <w:rPr>
                <w:rFonts w:cs="Calibri"/>
                <w:color w:val="000000"/>
                <w:szCs w:val="22"/>
              </w:rPr>
            </w:pPr>
            <w:r>
              <w:rPr>
                <w:color w:val="000000"/>
              </w:rPr>
              <w:t>Karlovarský</w:t>
            </w:r>
          </w:p>
        </w:tc>
        <w:tc>
          <w:tcPr>
            <w:tcW w:w="1722" w:type="dxa"/>
            <w:noWrap/>
          </w:tcPr>
          <w:p w:rsidR="002C41C1" w:rsidRDefault="002C41C1">
            <w:pPr>
              <w:jc w:val="right"/>
              <w:rPr>
                <w:rFonts w:cs="Calibri"/>
                <w:color w:val="000000"/>
                <w:szCs w:val="22"/>
              </w:rPr>
            </w:pPr>
            <w:r>
              <w:rPr>
                <w:color w:val="000000"/>
              </w:rPr>
              <w:t>0</w:t>
            </w:r>
          </w:p>
        </w:tc>
        <w:tc>
          <w:tcPr>
            <w:tcW w:w="1134" w:type="dxa"/>
            <w:noWrap/>
          </w:tcPr>
          <w:p w:rsidR="002C41C1" w:rsidRDefault="002C41C1">
            <w:pPr>
              <w:jc w:val="right"/>
              <w:rPr>
                <w:rFonts w:cs="Calibri"/>
                <w:color w:val="000000"/>
                <w:szCs w:val="22"/>
              </w:rPr>
            </w:pPr>
            <w:r>
              <w:rPr>
                <w:color w:val="000000"/>
              </w:rPr>
              <w:t>0,0%</w:t>
            </w:r>
          </w:p>
        </w:tc>
        <w:tc>
          <w:tcPr>
            <w:tcW w:w="1559" w:type="dxa"/>
          </w:tcPr>
          <w:p w:rsidR="002C41C1" w:rsidRDefault="002C41C1">
            <w:pPr>
              <w:jc w:val="right"/>
              <w:rPr>
                <w:color w:val="000000"/>
              </w:rPr>
            </w:pPr>
            <w:r>
              <w:rPr>
                <w:color w:val="000000"/>
              </w:rPr>
              <w:t>4</w:t>
            </w:r>
          </w:p>
        </w:tc>
        <w:tc>
          <w:tcPr>
            <w:tcW w:w="1418" w:type="dxa"/>
          </w:tcPr>
          <w:p w:rsidR="002C41C1" w:rsidRDefault="002C41C1">
            <w:pPr>
              <w:jc w:val="right"/>
              <w:rPr>
                <w:color w:val="000000"/>
              </w:rPr>
            </w:pPr>
            <w:r>
              <w:rPr>
                <w:color w:val="000000"/>
              </w:rPr>
              <w:t>11,8%</w:t>
            </w:r>
          </w:p>
        </w:tc>
      </w:tr>
      <w:tr w:rsidR="002C41C1" w:rsidTr="009B1D9D">
        <w:trPr>
          <w:trHeight w:val="300"/>
        </w:trPr>
        <w:tc>
          <w:tcPr>
            <w:tcW w:w="2037" w:type="dxa"/>
            <w:noWrap/>
          </w:tcPr>
          <w:p w:rsidR="002C41C1" w:rsidRDefault="002C41C1">
            <w:pPr>
              <w:rPr>
                <w:rFonts w:cs="Calibri"/>
                <w:color w:val="000000"/>
                <w:szCs w:val="22"/>
              </w:rPr>
            </w:pPr>
            <w:r>
              <w:rPr>
                <w:color w:val="000000"/>
              </w:rPr>
              <w:t>Královehradecký</w:t>
            </w:r>
          </w:p>
        </w:tc>
        <w:tc>
          <w:tcPr>
            <w:tcW w:w="1722" w:type="dxa"/>
            <w:noWrap/>
          </w:tcPr>
          <w:p w:rsidR="002C41C1" w:rsidRDefault="002C41C1">
            <w:pPr>
              <w:jc w:val="right"/>
              <w:rPr>
                <w:rFonts w:cs="Calibri"/>
                <w:color w:val="000000"/>
                <w:szCs w:val="22"/>
              </w:rPr>
            </w:pPr>
            <w:r>
              <w:rPr>
                <w:color w:val="000000"/>
              </w:rPr>
              <w:t>3</w:t>
            </w:r>
          </w:p>
        </w:tc>
        <w:tc>
          <w:tcPr>
            <w:tcW w:w="1134" w:type="dxa"/>
            <w:noWrap/>
          </w:tcPr>
          <w:p w:rsidR="002C41C1" w:rsidRDefault="002C41C1">
            <w:pPr>
              <w:jc w:val="right"/>
              <w:rPr>
                <w:rFonts w:cs="Calibri"/>
                <w:color w:val="000000"/>
                <w:szCs w:val="22"/>
              </w:rPr>
            </w:pPr>
            <w:r>
              <w:rPr>
                <w:color w:val="000000"/>
              </w:rPr>
              <w:t>10,7%</w:t>
            </w:r>
          </w:p>
        </w:tc>
        <w:tc>
          <w:tcPr>
            <w:tcW w:w="1559" w:type="dxa"/>
          </w:tcPr>
          <w:p w:rsidR="002C41C1" w:rsidRDefault="002C41C1">
            <w:pPr>
              <w:jc w:val="right"/>
              <w:rPr>
                <w:color w:val="000000"/>
              </w:rPr>
            </w:pPr>
            <w:r>
              <w:rPr>
                <w:color w:val="000000"/>
              </w:rPr>
              <w:t>1</w:t>
            </w:r>
          </w:p>
        </w:tc>
        <w:tc>
          <w:tcPr>
            <w:tcW w:w="1418" w:type="dxa"/>
          </w:tcPr>
          <w:p w:rsidR="002C41C1" w:rsidRDefault="002C41C1">
            <w:pPr>
              <w:jc w:val="right"/>
              <w:rPr>
                <w:color w:val="000000"/>
              </w:rPr>
            </w:pPr>
            <w:r>
              <w:rPr>
                <w:color w:val="000000"/>
              </w:rPr>
              <w:t>2,9%</w:t>
            </w:r>
          </w:p>
        </w:tc>
      </w:tr>
      <w:tr w:rsidR="002C41C1" w:rsidTr="009B1D9D">
        <w:trPr>
          <w:trHeight w:val="300"/>
        </w:trPr>
        <w:tc>
          <w:tcPr>
            <w:tcW w:w="2037" w:type="dxa"/>
            <w:noWrap/>
          </w:tcPr>
          <w:p w:rsidR="002C41C1" w:rsidRDefault="002C41C1">
            <w:pPr>
              <w:rPr>
                <w:rFonts w:cs="Calibri"/>
                <w:color w:val="000000"/>
                <w:szCs w:val="22"/>
              </w:rPr>
            </w:pPr>
            <w:r>
              <w:rPr>
                <w:color w:val="000000"/>
              </w:rPr>
              <w:t>Zlínský</w:t>
            </w:r>
          </w:p>
        </w:tc>
        <w:tc>
          <w:tcPr>
            <w:tcW w:w="1722" w:type="dxa"/>
            <w:noWrap/>
          </w:tcPr>
          <w:p w:rsidR="002C41C1" w:rsidRDefault="002C41C1">
            <w:pPr>
              <w:jc w:val="right"/>
              <w:rPr>
                <w:rFonts w:cs="Calibri"/>
                <w:color w:val="000000"/>
                <w:szCs w:val="22"/>
              </w:rPr>
            </w:pPr>
            <w:r>
              <w:rPr>
                <w:color w:val="000000"/>
              </w:rPr>
              <w:t>1</w:t>
            </w:r>
          </w:p>
        </w:tc>
        <w:tc>
          <w:tcPr>
            <w:tcW w:w="1134" w:type="dxa"/>
            <w:noWrap/>
          </w:tcPr>
          <w:p w:rsidR="002C41C1" w:rsidRDefault="002C41C1">
            <w:pPr>
              <w:jc w:val="right"/>
              <w:rPr>
                <w:rFonts w:cs="Calibri"/>
                <w:color w:val="000000"/>
                <w:szCs w:val="22"/>
              </w:rPr>
            </w:pPr>
            <w:r>
              <w:rPr>
                <w:color w:val="000000"/>
              </w:rPr>
              <w:t>3,6%</w:t>
            </w:r>
          </w:p>
        </w:tc>
        <w:tc>
          <w:tcPr>
            <w:tcW w:w="1559" w:type="dxa"/>
          </w:tcPr>
          <w:p w:rsidR="002C41C1" w:rsidRDefault="002C41C1">
            <w:pPr>
              <w:jc w:val="right"/>
              <w:rPr>
                <w:color w:val="000000"/>
              </w:rPr>
            </w:pPr>
            <w:r>
              <w:rPr>
                <w:color w:val="000000"/>
              </w:rPr>
              <w:t>4</w:t>
            </w:r>
          </w:p>
        </w:tc>
        <w:tc>
          <w:tcPr>
            <w:tcW w:w="1418" w:type="dxa"/>
          </w:tcPr>
          <w:p w:rsidR="002C41C1" w:rsidRDefault="002C41C1">
            <w:pPr>
              <w:jc w:val="right"/>
              <w:rPr>
                <w:color w:val="000000"/>
              </w:rPr>
            </w:pPr>
            <w:r>
              <w:rPr>
                <w:color w:val="000000"/>
              </w:rPr>
              <w:t>11,8%</w:t>
            </w:r>
          </w:p>
        </w:tc>
      </w:tr>
      <w:tr w:rsidR="002C41C1" w:rsidTr="009B1D9D">
        <w:trPr>
          <w:trHeight w:val="300"/>
        </w:trPr>
        <w:tc>
          <w:tcPr>
            <w:tcW w:w="2037" w:type="dxa"/>
            <w:noWrap/>
          </w:tcPr>
          <w:p w:rsidR="002C41C1" w:rsidRDefault="002C41C1">
            <w:pPr>
              <w:rPr>
                <w:rFonts w:cs="Calibri"/>
                <w:color w:val="000000"/>
                <w:szCs w:val="22"/>
              </w:rPr>
            </w:pPr>
            <w:r>
              <w:rPr>
                <w:color w:val="000000"/>
              </w:rPr>
              <w:t>Olomoucký</w:t>
            </w:r>
          </w:p>
        </w:tc>
        <w:tc>
          <w:tcPr>
            <w:tcW w:w="1722" w:type="dxa"/>
            <w:noWrap/>
          </w:tcPr>
          <w:p w:rsidR="002C41C1" w:rsidRDefault="002C41C1">
            <w:pPr>
              <w:jc w:val="right"/>
              <w:rPr>
                <w:rFonts w:cs="Calibri"/>
                <w:color w:val="000000"/>
                <w:szCs w:val="22"/>
              </w:rPr>
            </w:pPr>
            <w:r>
              <w:rPr>
                <w:color w:val="000000"/>
              </w:rPr>
              <w:t>1</w:t>
            </w:r>
          </w:p>
        </w:tc>
        <w:tc>
          <w:tcPr>
            <w:tcW w:w="1134" w:type="dxa"/>
            <w:noWrap/>
          </w:tcPr>
          <w:p w:rsidR="002C41C1" w:rsidRDefault="002C41C1">
            <w:pPr>
              <w:jc w:val="right"/>
              <w:rPr>
                <w:rFonts w:cs="Calibri"/>
                <w:color w:val="000000"/>
                <w:szCs w:val="22"/>
              </w:rPr>
            </w:pPr>
            <w:r>
              <w:rPr>
                <w:color w:val="000000"/>
              </w:rPr>
              <w:t>3,6%</w:t>
            </w:r>
          </w:p>
        </w:tc>
        <w:tc>
          <w:tcPr>
            <w:tcW w:w="1559" w:type="dxa"/>
          </w:tcPr>
          <w:p w:rsidR="002C41C1" w:rsidRDefault="002C41C1">
            <w:pPr>
              <w:jc w:val="right"/>
              <w:rPr>
                <w:color w:val="000000"/>
              </w:rPr>
            </w:pPr>
            <w:r>
              <w:rPr>
                <w:color w:val="000000"/>
              </w:rPr>
              <w:t>2</w:t>
            </w:r>
          </w:p>
        </w:tc>
        <w:tc>
          <w:tcPr>
            <w:tcW w:w="1418" w:type="dxa"/>
          </w:tcPr>
          <w:p w:rsidR="002C41C1" w:rsidRDefault="002C41C1">
            <w:pPr>
              <w:jc w:val="right"/>
              <w:rPr>
                <w:color w:val="000000"/>
              </w:rPr>
            </w:pPr>
            <w:r>
              <w:rPr>
                <w:color w:val="000000"/>
              </w:rPr>
              <w:t>5,9%</w:t>
            </w:r>
          </w:p>
        </w:tc>
      </w:tr>
      <w:tr w:rsidR="002C41C1" w:rsidTr="009B1D9D">
        <w:trPr>
          <w:trHeight w:val="300"/>
        </w:trPr>
        <w:tc>
          <w:tcPr>
            <w:tcW w:w="2037" w:type="dxa"/>
            <w:noWrap/>
          </w:tcPr>
          <w:p w:rsidR="002C41C1" w:rsidRDefault="002C41C1">
            <w:pPr>
              <w:rPr>
                <w:rFonts w:cs="Calibri"/>
                <w:color w:val="000000"/>
                <w:szCs w:val="22"/>
              </w:rPr>
            </w:pPr>
            <w:r>
              <w:rPr>
                <w:color w:val="000000"/>
              </w:rPr>
              <w:t>Liberecký</w:t>
            </w:r>
          </w:p>
        </w:tc>
        <w:tc>
          <w:tcPr>
            <w:tcW w:w="1722" w:type="dxa"/>
            <w:noWrap/>
          </w:tcPr>
          <w:p w:rsidR="002C41C1" w:rsidRDefault="002C41C1">
            <w:pPr>
              <w:jc w:val="right"/>
              <w:rPr>
                <w:rFonts w:cs="Calibri"/>
                <w:color w:val="000000"/>
                <w:szCs w:val="22"/>
              </w:rPr>
            </w:pPr>
            <w:r>
              <w:rPr>
                <w:color w:val="000000"/>
              </w:rPr>
              <w:t>0</w:t>
            </w:r>
          </w:p>
        </w:tc>
        <w:tc>
          <w:tcPr>
            <w:tcW w:w="1134" w:type="dxa"/>
            <w:noWrap/>
          </w:tcPr>
          <w:p w:rsidR="002C41C1" w:rsidRDefault="002C41C1">
            <w:pPr>
              <w:jc w:val="right"/>
              <w:rPr>
                <w:rFonts w:cs="Calibri"/>
                <w:color w:val="000000"/>
                <w:szCs w:val="22"/>
              </w:rPr>
            </w:pPr>
            <w:r>
              <w:rPr>
                <w:color w:val="000000"/>
              </w:rPr>
              <w:t>0,0%</w:t>
            </w:r>
          </w:p>
        </w:tc>
        <w:tc>
          <w:tcPr>
            <w:tcW w:w="1559" w:type="dxa"/>
          </w:tcPr>
          <w:p w:rsidR="002C41C1" w:rsidRDefault="002C41C1">
            <w:pPr>
              <w:jc w:val="right"/>
              <w:rPr>
                <w:color w:val="000000"/>
              </w:rPr>
            </w:pPr>
            <w:r>
              <w:rPr>
                <w:color w:val="000000"/>
              </w:rPr>
              <w:t>2</w:t>
            </w:r>
          </w:p>
        </w:tc>
        <w:tc>
          <w:tcPr>
            <w:tcW w:w="1418" w:type="dxa"/>
          </w:tcPr>
          <w:p w:rsidR="002C41C1" w:rsidRDefault="002C41C1">
            <w:pPr>
              <w:jc w:val="right"/>
              <w:rPr>
                <w:color w:val="000000"/>
              </w:rPr>
            </w:pPr>
            <w:r>
              <w:rPr>
                <w:color w:val="000000"/>
              </w:rPr>
              <w:t>5,9%</w:t>
            </w:r>
          </w:p>
        </w:tc>
      </w:tr>
      <w:tr w:rsidR="002C41C1" w:rsidTr="009B1D9D">
        <w:trPr>
          <w:trHeight w:val="300"/>
        </w:trPr>
        <w:tc>
          <w:tcPr>
            <w:tcW w:w="2037" w:type="dxa"/>
            <w:noWrap/>
          </w:tcPr>
          <w:p w:rsidR="002C41C1" w:rsidRDefault="002C41C1">
            <w:pPr>
              <w:rPr>
                <w:rFonts w:cs="Calibri"/>
                <w:color w:val="000000"/>
                <w:szCs w:val="22"/>
              </w:rPr>
            </w:pPr>
            <w:r>
              <w:rPr>
                <w:color w:val="000000"/>
              </w:rPr>
              <w:t>Pardubický</w:t>
            </w:r>
          </w:p>
        </w:tc>
        <w:tc>
          <w:tcPr>
            <w:tcW w:w="1722" w:type="dxa"/>
            <w:noWrap/>
          </w:tcPr>
          <w:p w:rsidR="002C41C1" w:rsidRDefault="002C41C1">
            <w:pPr>
              <w:jc w:val="right"/>
              <w:rPr>
                <w:rFonts w:cs="Calibri"/>
                <w:color w:val="000000"/>
                <w:szCs w:val="22"/>
              </w:rPr>
            </w:pPr>
            <w:r>
              <w:rPr>
                <w:color w:val="000000"/>
              </w:rPr>
              <w:t>6</w:t>
            </w:r>
          </w:p>
        </w:tc>
        <w:tc>
          <w:tcPr>
            <w:tcW w:w="1134" w:type="dxa"/>
            <w:noWrap/>
          </w:tcPr>
          <w:p w:rsidR="002C41C1" w:rsidRDefault="002C41C1">
            <w:pPr>
              <w:jc w:val="right"/>
              <w:rPr>
                <w:rFonts w:cs="Calibri"/>
                <w:color w:val="000000"/>
                <w:szCs w:val="22"/>
              </w:rPr>
            </w:pPr>
            <w:r>
              <w:rPr>
                <w:color w:val="000000"/>
              </w:rPr>
              <w:t>21,4%</w:t>
            </w:r>
          </w:p>
        </w:tc>
        <w:tc>
          <w:tcPr>
            <w:tcW w:w="1559" w:type="dxa"/>
          </w:tcPr>
          <w:p w:rsidR="002C41C1" w:rsidRDefault="002C41C1">
            <w:pPr>
              <w:jc w:val="right"/>
              <w:rPr>
                <w:color w:val="000000"/>
              </w:rPr>
            </w:pPr>
            <w:r>
              <w:rPr>
                <w:color w:val="000000"/>
              </w:rPr>
              <w:t>0</w:t>
            </w:r>
          </w:p>
        </w:tc>
        <w:tc>
          <w:tcPr>
            <w:tcW w:w="1418" w:type="dxa"/>
          </w:tcPr>
          <w:p w:rsidR="002C41C1" w:rsidRDefault="002C41C1">
            <w:pPr>
              <w:jc w:val="right"/>
              <w:rPr>
                <w:color w:val="000000"/>
              </w:rPr>
            </w:pPr>
            <w:r>
              <w:rPr>
                <w:color w:val="000000"/>
              </w:rPr>
              <w:t>0%</w:t>
            </w:r>
          </w:p>
        </w:tc>
      </w:tr>
      <w:tr w:rsidR="002C41C1" w:rsidTr="009B1D9D">
        <w:trPr>
          <w:trHeight w:val="300"/>
        </w:trPr>
        <w:tc>
          <w:tcPr>
            <w:tcW w:w="2037" w:type="dxa"/>
            <w:noWrap/>
          </w:tcPr>
          <w:p w:rsidR="002C41C1" w:rsidRDefault="002C41C1">
            <w:pPr>
              <w:rPr>
                <w:rFonts w:cs="Calibri"/>
                <w:color w:val="000000"/>
                <w:szCs w:val="22"/>
              </w:rPr>
            </w:pPr>
            <w:r>
              <w:rPr>
                <w:color w:val="000000"/>
              </w:rPr>
              <w:t>Jihočeský</w:t>
            </w:r>
          </w:p>
        </w:tc>
        <w:tc>
          <w:tcPr>
            <w:tcW w:w="1722" w:type="dxa"/>
            <w:noWrap/>
          </w:tcPr>
          <w:p w:rsidR="002C41C1" w:rsidRDefault="002C41C1">
            <w:pPr>
              <w:jc w:val="right"/>
              <w:rPr>
                <w:rFonts w:cs="Calibri"/>
                <w:color w:val="000000"/>
                <w:szCs w:val="22"/>
              </w:rPr>
            </w:pPr>
            <w:r>
              <w:rPr>
                <w:color w:val="000000"/>
              </w:rPr>
              <w:t>0</w:t>
            </w:r>
          </w:p>
        </w:tc>
        <w:tc>
          <w:tcPr>
            <w:tcW w:w="1134" w:type="dxa"/>
            <w:noWrap/>
          </w:tcPr>
          <w:p w:rsidR="002C41C1" w:rsidRDefault="002C41C1">
            <w:pPr>
              <w:jc w:val="right"/>
              <w:rPr>
                <w:rFonts w:cs="Calibri"/>
                <w:color w:val="000000"/>
                <w:szCs w:val="22"/>
              </w:rPr>
            </w:pPr>
            <w:r>
              <w:rPr>
                <w:color w:val="000000"/>
              </w:rPr>
              <w:t>0,0%</w:t>
            </w:r>
          </w:p>
        </w:tc>
        <w:tc>
          <w:tcPr>
            <w:tcW w:w="1559" w:type="dxa"/>
          </w:tcPr>
          <w:p w:rsidR="002C41C1" w:rsidRDefault="002C41C1">
            <w:pPr>
              <w:jc w:val="right"/>
              <w:rPr>
                <w:color w:val="000000"/>
              </w:rPr>
            </w:pPr>
            <w:r>
              <w:rPr>
                <w:color w:val="000000"/>
              </w:rPr>
              <w:t>1</w:t>
            </w:r>
          </w:p>
        </w:tc>
        <w:tc>
          <w:tcPr>
            <w:tcW w:w="1418" w:type="dxa"/>
          </w:tcPr>
          <w:p w:rsidR="002C41C1" w:rsidRDefault="002C41C1">
            <w:pPr>
              <w:jc w:val="right"/>
              <w:rPr>
                <w:color w:val="000000"/>
              </w:rPr>
            </w:pPr>
            <w:r>
              <w:rPr>
                <w:color w:val="000000"/>
              </w:rPr>
              <w:t>2,9%</w:t>
            </w:r>
          </w:p>
        </w:tc>
      </w:tr>
      <w:tr w:rsidR="002C41C1" w:rsidTr="009B1D9D">
        <w:trPr>
          <w:trHeight w:val="300"/>
        </w:trPr>
        <w:tc>
          <w:tcPr>
            <w:tcW w:w="2037" w:type="dxa"/>
            <w:noWrap/>
          </w:tcPr>
          <w:p w:rsidR="002C41C1" w:rsidRDefault="002C41C1">
            <w:pPr>
              <w:rPr>
                <w:rFonts w:cs="Calibri"/>
                <w:color w:val="000000"/>
                <w:szCs w:val="22"/>
              </w:rPr>
            </w:pPr>
            <w:r>
              <w:rPr>
                <w:color w:val="000000"/>
              </w:rPr>
              <w:t>Vysočina</w:t>
            </w:r>
          </w:p>
        </w:tc>
        <w:tc>
          <w:tcPr>
            <w:tcW w:w="1722" w:type="dxa"/>
            <w:noWrap/>
          </w:tcPr>
          <w:p w:rsidR="002C41C1" w:rsidRDefault="002C41C1">
            <w:pPr>
              <w:jc w:val="right"/>
              <w:rPr>
                <w:rFonts w:cs="Calibri"/>
                <w:color w:val="000000"/>
                <w:szCs w:val="22"/>
              </w:rPr>
            </w:pPr>
            <w:r>
              <w:rPr>
                <w:color w:val="000000"/>
              </w:rPr>
              <w:t>0</w:t>
            </w:r>
          </w:p>
        </w:tc>
        <w:tc>
          <w:tcPr>
            <w:tcW w:w="1134" w:type="dxa"/>
            <w:noWrap/>
          </w:tcPr>
          <w:p w:rsidR="002C41C1" w:rsidRDefault="002C41C1">
            <w:pPr>
              <w:jc w:val="right"/>
              <w:rPr>
                <w:rFonts w:cs="Calibri"/>
                <w:color w:val="000000"/>
                <w:szCs w:val="22"/>
              </w:rPr>
            </w:pPr>
            <w:r>
              <w:rPr>
                <w:color w:val="000000"/>
              </w:rPr>
              <w:t>0,0%</w:t>
            </w:r>
          </w:p>
        </w:tc>
        <w:tc>
          <w:tcPr>
            <w:tcW w:w="1559" w:type="dxa"/>
          </w:tcPr>
          <w:p w:rsidR="002C41C1" w:rsidRDefault="002C41C1">
            <w:pPr>
              <w:jc w:val="right"/>
              <w:rPr>
                <w:color w:val="000000"/>
              </w:rPr>
            </w:pPr>
            <w:r>
              <w:rPr>
                <w:color w:val="000000"/>
              </w:rPr>
              <w:t>0</w:t>
            </w:r>
          </w:p>
        </w:tc>
        <w:tc>
          <w:tcPr>
            <w:tcW w:w="1418" w:type="dxa"/>
          </w:tcPr>
          <w:p w:rsidR="002C41C1" w:rsidRDefault="002C41C1">
            <w:pPr>
              <w:jc w:val="right"/>
              <w:rPr>
                <w:color w:val="000000"/>
              </w:rPr>
            </w:pPr>
            <w:r>
              <w:rPr>
                <w:color w:val="000000"/>
              </w:rPr>
              <w:t>0%</w:t>
            </w:r>
          </w:p>
        </w:tc>
      </w:tr>
      <w:tr w:rsidR="002C41C1" w:rsidTr="009B1D9D">
        <w:trPr>
          <w:trHeight w:val="300"/>
        </w:trPr>
        <w:tc>
          <w:tcPr>
            <w:tcW w:w="2037" w:type="dxa"/>
            <w:noWrap/>
          </w:tcPr>
          <w:p w:rsidR="002C41C1" w:rsidRDefault="002C41C1">
            <w:pPr>
              <w:rPr>
                <w:rFonts w:cs="Calibri"/>
                <w:color w:val="000000"/>
                <w:szCs w:val="22"/>
              </w:rPr>
            </w:pPr>
            <w:r>
              <w:rPr>
                <w:color w:val="000000"/>
              </w:rPr>
              <w:t>Praha</w:t>
            </w:r>
          </w:p>
        </w:tc>
        <w:tc>
          <w:tcPr>
            <w:tcW w:w="1722" w:type="dxa"/>
            <w:noWrap/>
          </w:tcPr>
          <w:p w:rsidR="002C41C1" w:rsidRDefault="002C41C1">
            <w:pPr>
              <w:jc w:val="right"/>
              <w:rPr>
                <w:rFonts w:cs="Calibri"/>
                <w:color w:val="000000"/>
                <w:szCs w:val="22"/>
              </w:rPr>
            </w:pPr>
            <w:r>
              <w:rPr>
                <w:color w:val="000000"/>
              </w:rPr>
              <w:t>1</w:t>
            </w:r>
          </w:p>
        </w:tc>
        <w:tc>
          <w:tcPr>
            <w:tcW w:w="1134" w:type="dxa"/>
            <w:noWrap/>
          </w:tcPr>
          <w:p w:rsidR="002C41C1" w:rsidRDefault="002C41C1">
            <w:pPr>
              <w:jc w:val="right"/>
              <w:rPr>
                <w:rFonts w:cs="Calibri"/>
                <w:color w:val="000000"/>
                <w:szCs w:val="22"/>
              </w:rPr>
            </w:pPr>
            <w:r>
              <w:rPr>
                <w:color w:val="000000"/>
              </w:rPr>
              <w:t>3,6%</w:t>
            </w:r>
          </w:p>
        </w:tc>
        <w:tc>
          <w:tcPr>
            <w:tcW w:w="1559" w:type="dxa"/>
          </w:tcPr>
          <w:p w:rsidR="002C41C1" w:rsidRDefault="002C41C1">
            <w:pPr>
              <w:jc w:val="right"/>
              <w:rPr>
                <w:color w:val="000000"/>
              </w:rPr>
            </w:pPr>
            <w:r>
              <w:rPr>
                <w:color w:val="000000"/>
              </w:rPr>
              <w:t>0</w:t>
            </w:r>
          </w:p>
        </w:tc>
        <w:tc>
          <w:tcPr>
            <w:tcW w:w="1418" w:type="dxa"/>
          </w:tcPr>
          <w:p w:rsidR="002C41C1" w:rsidRDefault="002C41C1">
            <w:pPr>
              <w:keepNext/>
              <w:jc w:val="right"/>
              <w:rPr>
                <w:color w:val="000000"/>
              </w:rPr>
            </w:pPr>
            <w:r>
              <w:rPr>
                <w:color w:val="000000"/>
              </w:rPr>
              <w:t>0%</w:t>
            </w:r>
          </w:p>
        </w:tc>
      </w:tr>
    </w:tbl>
    <w:p w:rsidR="002C41C1" w:rsidRDefault="002C41C1" w:rsidP="00DF6E0B">
      <w:pPr>
        <w:pStyle w:val="Titulek"/>
      </w:pPr>
      <w:r>
        <w:t>Tabulka 9: Nabídka brownfieldů na trhu nemovitostí v ČR</w:t>
      </w:r>
    </w:p>
    <w:p w:rsidR="002C41C1" w:rsidRPr="00DF6E0B" w:rsidRDefault="002C41C1" w:rsidP="00DF6E0B">
      <w:pPr>
        <w:pStyle w:val="Titulek"/>
      </w:pPr>
      <w:r>
        <w:lastRenderedPageBreak/>
        <w:t>Zdroj CI 2015</w:t>
      </w:r>
    </w:p>
    <w:p w:rsidR="002C41C1" w:rsidRDefault="002C41C1">
      <w:pPr>
        <w:rPr>
          <w:lang w:eastAsia="en-US"/>
        </w:rPr>
      </w:pPr>
    </w:p>
    <w:p w:rsidR="002C41C1" w:rsidRDefault="005F2B40">
      <w:pPr>
        <w:keepNext/>
        <w:jc w:val="center"/>
      </w:pPr>
      <w:r>
        <w:rPr>
          <w:rFonts w:ascii="Arial" w:hAnsi="Arial" w:cs="Arial"/>
          <w:noProof/>
          <w:color w:val="1F497D"/>
          <w:sz w:val="24"/>
          <w:szCs w:val="24"/>
        </w:rPr>
        <w:drawing>
          <wp:inline distT="0" distB="0" distL="0" distR="0" wp14:anchorId="47DE2036" wp14:editId="2F8689E4">
            <wp:extent cx="2512695" cy="1510665"/>
            <wp:effectExtent l="0" t="0" r="1905" b="0"/>
            <wp:docPr id="2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a:picLocks noChangeAspect="1" noChangeArrowheads="1"/>
                    </pic:cNvPicPr>
                  </pic:nvPicPr>
                  <pic:blipFill>
                    <a:blip r:embed="rId23">
                      <a:extLst>
                        <a:ext uri="{28A0092B-C50C-407E-A947-70E740481C1C}">
                          <a14:useLocalDpi xmlns:a14="http://schemas.microsoft.com/office/drawing/2010/main" val="0"/>
                        </a:ext>
                      </a:extLst>
                    </a:blip>
                    <a:srcRect l="2582"/>
                    <a:stretch>
                      <a:fillRect/>
                    </a:stretch>
                  </pic:blipFill>
                  <pic:spPr bwMode="auto">
                    <a:xfrm>
                      <a:off x="0" y="0"/>
                      <a:ext cx="2512695" cy="1510665"/>
                    </a:xfrm>
                    <a:prstGeom prst="rect">
                      <a:avLst/>
                    </a:prstGeom>
                    <a:noFill/>
                    <a:ln>
                      <a:noFill/>
                    </a:ln>
                  </pic:spPr>
                </pic:pic>
              </a:graphicData>
            </a:graphic>
          </wp:inline>
        </w:drawing>
      </w:r>
    </w:p>
    <w:p w:rsidR="002C41C1" w:rsidRDefault="005F2B40" w:rsidP="00DF6E0B">
      <w:pPr>
        <w:pStyle w:val="Titulek"/>
        <w:jc w:val="center"/>
      </w:pPr>
      <w:r>
        <w:rPr>
          <w:noProof/>
          <w:color w:val="1F497D"/>
          <w:sz w:val="24"/>
          <w:szCs w:val="24"/>
          <w:lang w:eastAsia="cs-CZ"/>
        </w:rPr>
        <w:drawing>
          <wp:inline distT="0" distB="0" distL="0" distR="0" wp14:anchorId="5764B43D" wp14:editId="4D635BC8">
            <wp:extent cx="3729355" cy="182880"/>
            <wp:effectExtent l="0" t="0" r="4445" b="7620"/>
            <wp:docPr id="21"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9355" cy="182880"/>
                    </a:xfrm>
                    <a:prstGeom prst="rect">
                      <a:avLst/>
                    </a:prstGeom>
                    <a:noFill/>
                    <a:ln>
                      <a:noFill/>
                    </a:ln>
                  </pic:spPr>
                </pic:pic>
              </a:graphicData>
            </a:graphic>
          </wp:inline>
        </w:drawing>
      </w:r>
    </w:p>
    <w:p w:rsidR="002C41C1" w:rsidRDefault="002C41C1" w:rsidP="00DF6E0B">
      <w:pPr>
        <w:pStyle w:val="Titulek"/>
        <w:jc w:val="left"/>
      </w:pPr>
      <w:r>
        <w:t xml:space="preserve">Graf č. 11:  Rozložení poptávky po nemovitostech v 1. pololetí 2014 </w:t>
      </w:r>
    </w:p>
    <w:p w:rsidR="002C41C1" w:rsidRDefault="002C41C1" w:rsidP="00DF6E0B">
      <w:pPr>
        <w:pStyle w:val="Titulek"/>
        <w:jc w:val="left"/>
        <w:rPr>
          <w:color w:val="1F497D"/>
          <w:sz w:val="24"/>
          <w:szCs w:val="24"/>
        </w:rPr>
      </w:pPr>
      <w:r>
        <w:t>Zdroj: CI 2014</w:t>
      </w:r>
    </w:p>
    <w:p w:rsidR="002C41C1" w:rsidRDefault="002C41C1" w:rsidP="0094720A">
      <w:pPr>
        <w:jc w:val="center"/>
        <w:rPr>
          <w:rFonts w:ascii="Arial" w:hAnsi="Arial" w:cs="Arial"/>
          <w:color w:val="1F497D"/>
          <w:sz w:val="24"/>
          <w:szCs w:val="24"/>
        </w:rPr>
      </w:pPr>
    </w:p>
    <w:p w:rsidR="002C41C1" w:rsidRDefault="002C41C1" w:rsidP="00F20A2F">
      <w:pPr>
        <w:pStyle w:val="Vtneslovannadpis"/>
        <w:rPr>
          <w:lang w:eastAsia="en-US"/>
        </w:rPr>
      </w:pPr>
      <w:r>
        <w:rPr>
          <w:lang w:eastAsia="en-US"/>
        </w:rPr>
        <w:t>Dosavadní podpora a analýza veřejných zdrojů financování</w:t>
      </w:r>
    </w:p>
    <w:p w:rsidR="002C41C1" w:rsidRDefault="002C41C1" w:rsidP="00416BF2">
      <w:pPr>
        <w:pStyle w:val="Neslovannadpisy"/>
        <w:rPr>
          <w:lang w:eastAsia="en-US"/>
        </w:rPr>
      </w:pPr>
      <w:r>
        <w:rPr>
          <w:lang w:eastAsia="en-US"/>
        </w:rPr>
        <w:t>Veřejné zahraniční financování</w:t>
      </w:r>
    </w:p>
    <w:p w:rsidR="002C41C1" w:rsidRDefault="002C41C1" w:rsidP="000F6778">
      <w:pPr>
        <w:jc w:val="left"/>
        <w:rPr>
          <w:lang w:eastAsia="en-US"/>
        </w:rPr>
      </w:pPr>
      <w:r>
        <w:rPr>
          <w:lang w:eastAsia="en-US"/>
        </w:rPr>
        <w:t>V rámci České republiky bylo pro podporu investic na regeneraci BF z OP PI (SC 3.1, 5.1, 5.2 a 5.3) za posledních 7 let z veřejných zahraničních zdrojů alokováno celkově 37,5 mld. Kč (41,8 % z celkové alokace v OPPI)</w:t>
      </w:r>
      <w:r>
        <w:rPr>
          <w:rStyle w:val="Znakapoznpodarou"/>
        </w:rPr>
        <w:footnoteReference w:id="13"/>
      </w:r>
      <w:r>
        <w:rPr>
          <w:lang w:eastAsia="en-US"/>
        </w:rPr>
        <w:t>, hlavně v programech Nemovitosti, Eko-energie, Prosperita a Školící střediska. Větší část alokovaných zdrojů byla využita na podporu MSP – rekonstrukci výrobních prostorů (63 %) a zbylých 37 % tvořily investice do regenerace typických BF podle analýzy CI ke dni 31. 8. 2014.</w:t>
      </w:r>
    </w:p>
    <w:p w:rsidR="002C41C1" w:rsidRDefault="002C41C1" w:rsidP="00DF6E0B">
      <w:pPr>
        <w:rPr>
          <w:b/>
          <w:lang w:eastAsia="en-US"/>
        </w:rPr>
      </w:pPr>
    </w:p>
    <w:p w:rsidR="002C41C1" w:rsidRDefault="002C41C1" w:rsidP="00DF6E0B">
      <w:pPr>
        <w:rPr>
          <w:lang w:eastAsia="en-US"/>
        </w:rPr>
      </w:pPr>
      <w:r w:rsidRPr="00DF6E0B">
        <w:rPr>
          <w:b/>
          <w:lang w:eastAsia="en-US"/>
        </w:rPr>
        <w:t xml:space="preserve">OPPI 2007 </w:t>
      </w:r>
      <w:r w:rsidRPr="00D144BB">
        <w:rPr>
          <w:b/>
          <w:lang w:eastAsia="en-US"/>
        </w:rPr>
        <w:t>–</w:t>
      </w:r>
      <w:r w:rsidRPr="00DF6E0B">
        <w:rPr>
          <w:b/>
          <w:lang w:eastAsia="en-US"/>
        </w:rPr>
        <w:t xml:space="preserve"> 2013</w:t>
      </w:r>
      <w:r>
        <w:rPr>
          <w:lang w:eastAsia="en-US"/>
        </w:rPr>
        <w:t xml:space="preserve"> (MPO a Czechinvest) – </w:t>
      </w:r>
      <w:r w:rsidR="00EC63B5">
        <w:rPr>
          <w:lang w:eastAsia="en-US"/>
        </w:rPr>
        <w:t>d</w:t>
      </w:r>
      <w:r>
        <w:rPr>
          <w:lang w:eastAsia="en-US"/>
        </w:rPr>
        <w:t>le údajů od CI lze dovodit, že v</w:t>
      </w:r>
      <w:r w:rsidR="00EC63B5">
        <w:rPr>
          <w:lang w:eastAsia="en-US"/>
        </w:rPr>
        <w:t> rámci OPPI</w:t>
      </w:r>
      <w:r>
        <w:rPr>
          <w:lang w:eastAsia="en-US"/>
        </w:rPr>
        <w:t>:</w:t>
      </w:r>
    </w:p>
    <w:p w:rsidR="002C41C1" w:rsidRDefault="002C41C1" w:rsidP="00DF6E0B">
      <w:pPr>
        <w:pStyle w:val="Odstavecseseznamem"/>
        <w:numPr>
          <w:ilvl w:val="0"/>
          <w:numId w:val="8"/>
        </w:numPr>
        <w:rPr>
          <w:lang w:eastAsia="en-US"/>
        </w:rPr>
      </w:pPr>
      <w:r>
        <w:rPr>
          <w:lang w:eastAsia="en-US"/>
        </w:rPr>
        <w:t xml:space="preserve">bylo podáno celkově 5 294 žádosti za 93,34 mld. Kč, z </w:t>
      </w:r>
      <w:r w:rsidR="00EC63B5">
        <w:rPr>
          <w:lang w:eastAsia="en-US"/>
        </w:rPr>
        <w:t>toho 1 609 (32 mld. Kč) bylo n</w:t>
      </w:r>
      <w:r>
        <w:rPr>
          <w:lang w:eastAsia="en-US"/>
        </w:rPr>
        <w:t xml:space="preserve">a BF (30% podíl). Schváleno bylo 2 297 projektů za 28,54 mld. Kč, z toho 745 (32%) za BF v hodnotě 10,68 mld. Kč (37 %). </w:t>
      </w:r>
    </w:p>
    <w:p w:rsidR="002C41C1" w:rsidRDefault="002C41C1" w:rsidP="00DF6E0B">
      <w:pPr>
        <w:pStyle w:val="Odstavecseseznamem"/>
        <w:numPr>
          <w:ilvl w:val="0"/>
          <w:numId w:val="8"/>
        </w:numPr>
        <w:rPr>
          <w:lang w:eastAsia="en-US"/>
        </w:rPr>
      </w:pPr>
      <w:r>
        <w:rPr>
          <w:lang w:eastAsia="en-US"/>
        </w:rPr>
        <w:t>největší podíl žádostí na BF byl v programu Nemovitosti (průměr za obě výzvy 52,2 %), kde byla největší úspěšnost a odkud plynulo na úspěšné žádosti až 7,72 mld. Kč (60 % všech prostředků) – 570 projektů. Nejmenší zastoupení měly BF v programu Eko-en</w:t>
      </w:r>
      <w:r w:rsidR="00EC63B5">
        <w:rPr>
          <w:lang w:eastAsia="en-US"/>
        </w:rPr>
        <w:t>ergie, kde žádosti tvořily jen</w:t>
      </w:r>
      <w:r>
        <w:rPr>
          <w:lang w:eastAsia="en-US"/>
        </w:rPr>
        <w:t xml:space="preserve"> 13,5%, úspěšné projekty 12,5 % a bylo mezi ně rozděleno 9,2 % prostředků.</w:t>
      </w:r>
    </w:p>
    <w:p w:rsidR="002C41C1" w:rsidRDefault="002C41C1" w:rsidP="00DF6E0B">
      <w:pPr>
        <w:pStyle w:val="Odstavecseseznamem"/>
        <w:numPr>
          <w:ilvl w:val="0"/>
          <w:numId w:val="8"/>
        </w:numPr>
        <w:rPr>
          <w:lang w:eastAsia="en-US"/>
        </w:rPr>
      </w:pPr>
      <w:r>
        <w:rPr>
          <w:lang w:eastAsia="en-US"/>
        </w:rPr>
        <w:t>Využívaní čerpání zdrojů z OPPI podle jednotlivých programů a výz</w:t>
      </w:r>
      <w:r w:rsidRPr="00DF6E0B">
        <w:rPr>
          <w:lang w:eastAsia="en-US"/>
        </w:rPr>
        <w:t>ev (viz Tabulku č. 10).</w:t>
      </w:r>
    </w:p>
    <w:p w:rsidR="002C41C1" w:rsidRDefault="002C41C1" w:rsidP="00DF6E0B">
      <w:pPr>
        <w:pStyle w:val="Odstavecseseznamem"/>
        <w:numPr>
          <w:ilvl w:val="0"/>
          <w:numId w:val="8"/>
        </w:numPr>
        <w:rPr>
          <w:lang w:eastAsia="en-US"/>
        </w:rPr>
      </w:pPr>
      <w:r w:rsidRPr="007A127D">
        <w:rPr>
          <w:lang w:eastAsia="en-US"/>
        </w:rPr>
        <w:t>Nejčastěji čerpaly podporu malé podniky, následovány středními a velkými podniky (v OP PIK už mohou čerpat pouze malé a střední)</w:t>
      </w:r>
    </w:p>
    <w:p w:rsidR="002C41C1" w:rsidRDefault="002C41C1" w:rsidP="007A127D">
      <w:pPr>
        <w:rPr>
          <w:lang w:eastAsia="en-US"/>
        </w:rPr>
      </w:pPr>
    </w:p>
    <w:tbl>
      <w:tblPr>
        <w:tblW w:w="8245" w:type="dxa"/>
        <w:tblInd w:w="836" w:type="dxa"/>
        <w:tblBorders>
          <w:bottom w:val="single" w:sz="4" w:space="0" w:color="00A1DE"/>
          <w:insideH w:val="single" w:sz="4" w:space="0" w:color="00A1DE"/>
        </w:tblBorders>
        <w:tblCellMar>
          <w:left w:w="0" w:type="dxa"/>
          <w:right w:w="0" w:type="dxa"/>
        </w:tblCellMar>
        <w:tblLook w:val="00A0" w:firstRow="1" w:lastRow="0" w:firstColumn="1" w:lastColumn="0" w:noHBand="0" w:noVBand="0"/>
      </w:tblPr>
      <w:tblGrid>
        <w:gridCol w:w="2570"/>
        <w:gridCol w:w="1913"/>
        <w:gridCol w:w="1913"/>
        <w:gridCol w:w="1913"/>
      </w:tblGrid>
      <w:tr w:rsidR="002C41C1" w:rsidRPr="00661000" w:rsidTr="00661000">
        <w:trPr>
          <w:trHeight w:val="20"/>
        </w:trPr>
        <w:tc>
          <w:tcPr>
            <w:tcW w:w="2554" w:type="dxa"/>
            <w:tcBorders>
              <w:top w:val="nil"/>
              <w:left w:val="nil"/>
              <w:right w:val="nil"/>
            </w:tcBorders>
            <w:shd w:val="clear" w:color="auto" w:fill="00A1DE"/>
          </w:tcPr>
          <w:p w:rsidR="002C41C1" w:rsidRPr="00661000" w:rsidRDefault="002C41C1" w:rsidP="00661000">
            <w:pPr>
              <w:jc w:val="center"/>
              <w:rPr>
                <w:rFonts w:ascii="Arial" w:hAnsi="Arial" w:cs="Arial"/>
                <w:b/>
                <w:color w:val="000000"/>
                <w:sz w:val="18"/>
                <w:szCs w:val="18"/>
              </w:rPr>
            </w:pPr>
            <w:r w:rsidRPr="00661000">
              <w:rPr>
                <w:b/>
                <w:color w:val="000000"/>
                <w:sz w:val="18"/>
                <w:szCs w:val="18"/>
              </w:rPr>
              <w:t>Program</w:t>
            </w:r>
          </w:p>
        </w:tc>
        <w:tc>
          <w:tcPr>
            <w:tcW w:w="1897" w:type="dxa"/>
            <w:tcBorders>
              <w:top w:val="nil"/>
              <w:left w:val="nil"/>
              <w:right w:val="nil"/>
            </w:tcBorders>
            <w:shd w:val="clear" w:color="auto" w:fill="00A1DE"/>
          </w:tcPr>
          <w:p w:rsidR="002C41C1" w:rsidRPr="00661000" w:rsidRDefault="002C41C1" w:rsidP="00661000">
            <w:pPr>
              <w:jc w:val="center"/>
              <w:rPr>
                <w:rFonts w:ascii="Arial" w:hAnsi="Arial" w:cs="Arial"/>
                <w:b/>
                <w:color w:val="000000"/>
                <w:sz w:val="18"/>
                <w:szCs w:val="18"/>
              </w:rPr>
            </w:pPr>
            <w:r w:rsidRPr="00661000">
              <w:rPr>
                <w:b/>
                <w:color w:val="000000"/>
                <w:sz w:val="18"/>
                <w:szCs w:val="18"/>
              </w:rPr>
              <w:t xml:space="preserve"> suma požadované dotace </w:t>
            </w:r>
          </w:p>
        </w:tc>
        <w:tc>
          <w:tcPr>
            <w:tcW w:w="1897" w:type="dxa"/>
            <w:tcBorders>
              <w:top w:val="nil"/>
              <w:left w:val="nil"/>
              <w:right w:val="nil"/>
            </w:tcBorders>
            <w:shd w:val="clear" w:color="auto" w:fill="00A1DE"/>
          </w:tcPr>
          <w:p w:rsidR="002C41C1" w:rsidRPr="00661000" w:rsidRDefault="002C41C1" w:rsidP="00661000">
            <w:pPr>
              <w:jc w:val="center"/>
              <w:rPr>
                <w:rFonts w:ascii="Arial" w:hAnsi="Arial" w:cs="Arial"/>
                <w:b/>
                <w:color w:val="000000"/>
                <w:sz w:val="18"/>
                <w:szCs w:val="18"/>
              </w:rPr>
            </w:pPr>
            <w:r w:rsidRPr="00661000">
              <w:rPr>
                <w:b/>
                <w:color w:val="000000"/>
                <w:sz w:val="18"/>
                <w:szCs w:val="18"/>
              </w:rPr>
              <w:t xml:space="preserve">  BF Požadované dotace </w:t>
            </w:r>
          </w:p>
        </w:tc>
        <w:tc>
          <w:tcPr>
            <w:tcW w:w="1897" w:type="dxa"/>
            <w:tcBorders>
              <w:top w:val="nil"/>
              <w:left w:val="nil"/>
              <w:right w:val="nil"/>
            </w:tcBorders>
            <w:shd w:val="clear" w:color="auto" w:fill="00A1DE"/>
          </w:tcPr>
          <w:p w:rsidR="002C41C1" w:rsidRPr="00661000" w:rsidRDefault="002C41C1" w:rsidP="00661000">
            <w:pPr>
              <w:jc w:val="center"/>
              <w:rPr>
                <w:rFonts w:ascii="Arial" w:hAnsi="Arial" w:cs="Arial"/>
                <w:b/>
                <w:color w:val="000000"/>
                <w:sz w:val="18"/>
                <w:szCs w:val="18"/>
              </w:rPr>
            </w:pPr>
            <w:r w:rsidRPr="00661000">
              <w:rPr>
                <w:b/>
                <w:color w:val="000000"/>
                <w:sz w:val="18"/>
                <w:szCs w:val="18"/>
              </w:rPr>
              <w:t xml:space="preserve">  BF úspěšní žadatelé </w:t>
            </w:r>
          </w:p>
        </w:tc>
      </w:tr>
      <w:tr w:rsidR="002C41C1" w:rsidRPr="00661000" w:rsidTr="00661000">
        <w:trPr>
          <w:trHeight w:val="20"/>
        </w:trPr>
        <w:tc>
          <w:tcPr>
            <w:tcW w:w="2554" w:type="dxa"/>
            <w:tcBorders>
              <w:left w:val="nil"/>
              <w:right w:val="nil"/>
            </w:tcBorders>
            <w:shd w:val="clear" w:color="auto" w:fill="FFFFFF"/>
            <w:noWrap/>
            <w:vAlign w:val="center"/>
          </w:tcPr>
          <w:p w:rsidR="002C41C1" w:rsidRPr="00661000" w:rsidRDefault="002C41C1" w:rsidP="00661000">
            <w:pPr>
              <w:jc w:val="left"/>
              <w:rPr>
                <w:rFonts w:ascii="Arial" w:hAnsi="Arial" w:cs="Arial"/>
                <w:color w:val="000000"/>
                <w:sz w:val="18"/>
                <w:szCs w:val="18"/>
              </w:rPr>
            </w:pPr>
            <w:r w:rsidRPr="00661000">
              <w:rPr>
                <w:color w:val="000000"/>
                <w:sz w:val="18"/>
                <w:szCs w:val="18"/>
              </w:rPr>
              <w:t>Eko-energie Výzva I</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1 069 470 000    </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67 558 000    </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18 630 000    </w:t>
            </w:r>
          </w:p>
        </w:tc>
      </w:tr>
      <w:tr w:rsidR="002C41C1" w:rsidRPr="00661000" w:rsidTr="00661000">
        <w:trPr>
          <w:trHeight w:val="20"/>
        </w:trPr>
        <w:tc>
          <w:tcPr>
            <w:tcW w:w="2554" w:type="dxa"/>
            <w:tcBorders>
              <w:left w:val="nil"/>
              <w:right w:val="nil"/>
            </w:tcBorders>
            <w:shd w:val="clear" w:color="auto" w:fill="FFFFFF"/>
            <w:noWrap/>
            <w:vAlign w:val="center"/>
          </w:tcPr>
          <w:p w:rsidR="002C41C1" w:rsidRPr="00661000" w:rsidRDefault="002C41C1" w:rsidP="00661000">
            <w:pPr>
              <w:jc w:val="left"/>
              <w:rPr>
                <w:rFonts w:ascii="Arial" w:hAnsi="Arial" w:cs="Arial"/>
                <w:color w:val="000000"/>
                <w:sz w:val="18"/>
                <w:szCs w:val="18"/>
              </w:rPr>
            </w:pPr>
            <w:r w:rsidRPr="00661000">
              <w:rPr>
                <w:color w:val="000000"/>
                <w:sz w:val="18"/>
                <w:szCs w:val="18"/>
              </w:rPr>
              <w:t>Eko-energie - Výzva II</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10 190 861 000    </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1 262 260 000    </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390 868 000    </w:t>
            </w:r>
          </w:p>
        </w:tc>
      </w:tr>
      <w:tr w:rsidR="002C41C1" w:rsidRPr="00661000" w:rsidTr="00661000">
        <w:trPr>
          <w:trHeight w:val="20"/>
        </w:trPr>
        <w:tc>
          <w:tcPr>
            <w:tcW w:w="2554" w:type="dxa"/>
            <w:tcBorders>
              <w:left w:val="nil"/>
              <w:right w:val="nil"/>
            </w:tcBorders>
            <w:shd w:val="clear" w:color="auto" w:fill="FFFFFF"/>
            <w:noWrap/>
            <w:vAlign w:val="center"/>
          </w:tcPr>
          <w:p w:rsidR="002C41C1" w:rsidRPr="00661000" w:rsidRDefault="002C41C1" w:rsidP="00661000">
            <w:pPr>
              <w:jc w:val="left"/>
              <w:rPr>
                <w:rFonts w:ascii="Arial" w:hAnsi="Arial" w:cs="Arial"/>
                <w:color w:val="000000"/>
                <w:sz w:val="18"/>
                <w:szCs w:val="18"/>
              </w:rPr>
            </w:pPr>
            <w:r w:rsidRPr="00661000">
              <w:rPr>
                <w:color w:val="000000"/>
                <w:sz w:val="18"/>
                <w:szCs w:val="18"/>
              </w:rPr>
              <w:t>Eko-energie - Výzva III</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14 285 261 000    </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1 395 522 000    </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238 428 000    </w:t>
            </w:r>
          </w:p>
        </w:tc>
      </w:tr>
      <w:tr w:rsidR="002C41C1" w:rsidRPr="00661000" w:rsidTr="00661000">
        <w:trPr>
          <w:trHeight w:val="20"/>
        </w:trPr>
        <w:tc>
          <w:tcPr>
            <w:tcW w:w="2554" w:type="dxa"/>
            <w:tcBorders>
              <w:left w:val="nil"/>
              <w:right w:val="nil"/>
            </w:tcBorders>
            <w:shd w:val="clear" w:color="auto" w:fill="FFFFFF"/>
            <w:noWrap/>
            <w:vAlign w:val="center"/>
          </w:tcPr>
          <w:p w:rsidR="002C41C1" w:rsidRPr="00661000" w:rsidRDefault="002C41C1" w:rsidP="00661000">
            <w:pPr>
              <w:jc w:val="left"/>
              <w:rPr>
                <w:rFonts w:ascii="Arial" w:hAnsi="Arial" w:cs="Arial"/>
                <w:color w:val="000000"/>
                <w:sz w:val="18"/>
                <w:szCs w:val="18"/>
              </w:rPr>
            </w:pPr>
            <w:r w:rsidRPr="00661000">
              <w:rPr>
                <w:color w:val="000000"/>
                <w:sz w:val="18"/>
                <w:szCs w:val="18"/>
              </w:rPr>
              <w:t>Nemovitosti - Výzva I</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9 794 544 000    </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6 211 932 000    </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2 279 287 000    </w:t>
            </w:r>
          </w:p>
        </w:tc>
      </w:tr>
      <w:tr w:rsidR="002C41C1" w:rsidRPr="00661000" w:rsidTr="00661000">
        <w:trPr>
          <w:trHeight w:val="20"/>
        </w:trPr>
        <w:tc>
          <w:tcPr>
            <w:tcW w:w="2554" w:type="dxa"/>
            <w:tcBorders>
              <w:left w:val="nil"/>
              <w:right w:val="nil"/>
            </w:tcBorders>
            <w:shd w:val="clear" w:color="auto" w:fill="FFFFFF"/>
            <w:noWrap/>
            <w:vAlign w:val="center"/>
          </w:tcPr>
          <w:p w:rsidR="002C41C1" w:rsidRPr="00661000" w:rsidRDefault="002C41C1" w:rsidP="00661000">
            <w:pPr>
              <w:jc w:val="left"/>
              <w:rPr>
                <w:rFonts w:ascii="Arial" w:hAnsi="Arial" w:cs="Arial"/>
                <w:color w:val="000000"/>
                <w:sz w:val="18"/>
                <w:szCs w:val="18"/>
              </w:rPr>
            </w:pPr>
            <w:r w:rsidRPr="00661000">
              <w:rPr>
                <w:color w:val="000000"/>
                <w:sz w:val="18"/>
                <w:szCs w:val="18"/>
              </w:rPr>
              <w:t>Nemovitosti - Výzva II</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18 579 748 000    </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10 909 026 000    </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5 445 034 000    </w:t>
            </w:r>
          </w:p>
        </w:tc>
      </w:tr>
      <w:tr w:rsidR="002C41C1" w:rsidRPr="00661000" w:rsidTr="00661000">
        <w:trPr>
          <w:trHeight w:val="20"/>
        </w:trPr>
        <w:tc>
          <w:tcPr>
            <w:tcW w:w="2554" w:type="dxa"/>
            <w:tcBorders>
              <w:left w:val="nil"/>
              <w:right w:val="nil"/>
            </w:tcBorders>
            <w:shd w:val="clear" w:color="auto" w:fill="FFFFFF"/>
            <w:noWrap/>
            <w:vAlign w:val="center"/>
          </w:tcPr>
          <w:p w:rsidR="002C41C1" w:rsidRPr="00661000" w:rsidRDefault="002C41C1" w:rsidP="00661000">
            <w:pPr>
              <w:jc w:val="left"/>
              <w:rPr>
                <w:rFonts w:ascii="Arial" w:hAnsi="Arial" w:cs="Arial"/>
                <w:color w:val="000000"/>
                <w:sz w:val="18"/>
                <w:szCs w:val="18"/>
              </w:rPr>
            </w:pPr>
            <w:r w:rsidRPr="00661000">
              <w:rPr>
                <w:color w:val="000000"/>
                <w:sz w:val="18"/>
                <w:szCs w:val="18"/>
              </w:rPr>
              <w:t>Prosperita - Výzva I</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3 657 562 000    </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1 087 806 000    </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333 663 000    </w:t>
            </w:r>
          </w:p>
        </w:tc>
      </w:tr>
      <w:tr w:rsidR="002C41C1" w:rsidRPr="00661000" w:rsidTr="00661000">
        <w:trPr>
          <w:trHeight w:val="20"/>
        </w:trPr>
        <w:tc>
          <w:tcPr>
            <w:tcW w:w="2554" w:type="dxa"/>
            <w:tcBorders>
              <w:left w:val="nil"/>
              <w:right w:val="nil"/>
            </w:tcBorders>
            <w:shd w:val="clear" w:color="auto" w:fill="FFFFFF"/>
            <w:noWrap/>
            <w:vAlign w:val="center"/>
          </w:tcPr>
          <w:p w:rsidR="002C41C1" w:rsidRPr="00661000" w:rsidRDefault="002C41C1" w:rsidP="00661000">
            <w:pPr>
              <w:jc w:val="left"/>
              <w:rPr>
                <w:rFonts w:ascii="Arial" w:hAnsi="Arial" w:cs="Arial"/>
                <w:color w:val="000000"/>
                <w:sz w:val="18"/>
                <w:szCs w:val="18"/>
              </w:rPr>
            </w:pPr>
            <w:r w:rsidRPr="00661000">
              <w:rPr>
                <w:color w:val="000000"/>
                <w:sz w:val="18"/>
                <w:szCs w:val="18"/>
              </w:rPr>
              <w:t>Prosperita - Výzva II</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2 296 854 000    </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851 119 000    </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123 768 000    </w:t>
            </w:r>
          </w:p>
        </w:tc>
      </w:tr>
      <w:tr w:rsidR="002C41C1" w:rsidRPr="00661000" w:rsidTr="00661000">
        <w:trPr>
          <w:trHeight w:val="20"/>
        </w:trPr>
        <w:tc>
          <w:tcPr>
            <w:tcW w:w="2554" w:type="dxa"/>
            <w:tcBorders>
              <w:left w:val="nil"/>
              <w:right w:val="nil"/>
            </w:tcBorders>
            <w:shd w:val="clear" w:color="auto" w:fill="FFFFFF"/>
            <w:noWrap/>
            <w:vAlign w:val="center"/>
          </w:tcPr>
          <w:p w:rsidR="002C41C1" w:rsidRPr="00661000" w:rsidRDefault="002C41C1" w:rsidP="00661000">
            <w:pPr>
              <w:jc w:val="left"/>
              <w:rPr>
                <w:rFonts w:ascii="Arial" w:hAnsi="Arial" w:cs="Arial"/>
                <w:color w:val="000000"/>
                <w:sz w:val="18"/>
                <w:szCs w:val="18"/>
              </w:rPr>
            </w:pPr>
            <w:r w:rsidRPr="00661000">
              <w:rPr>
                <w:color w:val="000000"/>
                <w:sz w:val="18"/>
                <w:szCs w:val="18"/>
              </w:rPr>
              <w:t>Prosperita Výzva III</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13 404 255 000    </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5 316 309 000    </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489 561 000    </w:t>
            </w:r>
          </w:p>
        </w:tc>
      </w:tr>
      <w:tr w:rsidR="002C41C1" w:rsidRPr="00661000" w:rsidTr="00661000">
        <w:trPr>
          <w:trHeight w:val="20"/>
        </w:trPr>
        <w:tc>
          <w:tcPr>
            <w:tcW w:w="2554" w:type="dxa"/>
            <w:tcBorders>
              <w:left w:val="nil"/>
              <w:right w:val="nil"/>
            </w:tcBorders>
            <w:shd w:val="clear" w:color="auto" w:fill="FFFFFF"/>
            <w:noWrap/>
            <w:vAlign w:val="center"/>
          </w:tcPr>
          <w:p w:rsidR="002C41C1" w:rsidRPr="00661000" w:rsidRDefault="002C41C1" w:rsidP="00661000">
            <w:pPr>
              <w:jc w:val="left"/>
              <w:rPr>
                <w:rFonts w:ascii="Arial" w:hAnsi="Arial" w:cs="Arial"/>
                <w:color w:val="000000"/>
                <w:sz w:val="18"/>
                <w:szCs w:val="18"/>
              </w:rPr>
            </w:pPr>
            <w:r w:rsidRPr="00661000">
              <w:rPr>
                <w:color w:val="000000"/>
                <w:sz w:val="18"/>
                <w:szCs w:val="18"/>
              </w:rPr>
              <w:t>Prosperita Výzva IV</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7 508 918 000    </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2 409 241 000    </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642 915 000    </w:t>
            </w:r>
          </w:p>
        </w:tc>
      </w:tr>
      <w:tr w:rsidR="002C41C1" w:rsidRPr="00661000" w:rsidTr="00661000">
        <w:trPr>
          <w:trHeight w:val="20"/>
        </w:trPr>
        <w:tc>
          <w:tcPr>
            <w:tcW w:w="2554" w:type="dxa"/>
            <w:tcBorders>
              <w:left w:val="nil"/>
              <w:right w:val="nil"/>
            </w:tcBorders>
            <w:shd w:val="clear" w:color="auto" w:fill="FFFFFF"/>
            <w:noWrap/>
            <w:vAlign w:val="center"/>
          </w:tcPr>
          <w:p w:rsidR="002C41C1" w:rsidRPr="00661000" w:rsidRDefault="002C41C1" w:rsidP="00661000">
            <w:pPr>
              <w:jc w:val="left"/>
              <w:rPr>
                <w:rFonts w:ascii="Arial" w:hAnsi="Arial" w:cs="Arial"/>
                <w:color w:val="000000"/>
                <w:sz w:val="18"/>
                <w:szCs w:val="18"/>
              </w:rPr>
            </w:pPr>
            <w:r w:rsidRPr="00661000">
              <w:rPr>
                <w:color w:val="000000"/>
                <w:sz w:val="18"/>
                <w:szCs w:val="18"/>
              </w:rPr>
              <w:t>Školicí střediska - Výzva I</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3 161 428 000    </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601 519 000    </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242 439 000    </w:t>
            </w:r>
          </w:p>
        </w:tc>
      </w:tr>
      <w:tr w:rsidR="002C41C1" w:rsidRPr="00661000" w:rsidTr="00661000">
        <w:trPr>
          <w:trHeight w:val="20"/>
        </w:trPr>
        <w:tc>
          <w:tcPr>
            <w:tcW w:w="2554" w:type="dxa"/>
            <w:tcBorders>
              <w:left w:val="nil"/>
              <w:right w:val="nil"/>
            </w:tcBorders>
            <w:shd w:val="clear" w:color="auto" w:fill="FFFFFF"/>
            <w:noWrap/>
            <w:vAlign w:val="center"/>
          </w:tcPr>
          <w:p w:rsidR="002C41C1" w:rsidRPr="00661000" w:rsidRDefault="002C41C1" w:rsidP="00661000">
            <w:pPr>
              <w:jc w:val="left"/>
              <w:rPr>
                <w:rFonts w:ascii="Arial" w:hAnsi="Arial" w:cs="Arial"/>
                <w:color w:val="000000"/>
                <w:sz w:val="18"/>
                <w:szCs w:val="18"/>
              </w:rPr>
            </w:pPr>
            <w:r w:rsidRPr="00661000">
              <w:rPr>
                <w:color w:val="000000"/>
                <w:sz w:val="18"/>
                <w:szCs w:val="18"/>
              </w:rPr>
              <w:t>Školicí střediska - Výzva II</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8 394 963 000    </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1 909 783 000    </w:t>
            </w:r>
          </w:p>
        </w:tc>
        <w:tc>
          <w:tcPr>
            <w:tcW w:w="1897"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 xml:space="preserve">            472 775 000    </w:t>
            </w:r>
          </w:p>
        </w:tc>
      </w:tr>
      <w:tr w:rsidR="002C41C1" w:rsidRPr="00661000" w:rsidTr="00661000">
        <w:trPr>
          <w:trHeight w:val="20"/>
        </w:trPr>
        <w:tc>
          <w:tcPr>
            <w:tcW w:w="2554" w:type="dxa"/>
            <w:tcBorders>
              <w:left w:val="nil"/>
              <w:right w:val="nil"/>
            </w:tcBorders>
            <w:shd w:val="clear" w:color="auto" w:fill="92D050"/>
            <w:noWrap/>
            <w:vAlign w:val="center"/>
          </w:tcPr>
          <w:p w:rsidR="002C41C1" w:rsidRPr="00661000" w:rsidRDefault="002C41C1" w:rsidP="00661000">
            <w:pPr>
              <w:jc w:val="left"/>
              <w:rPr>
                <w:rFonts w:ascii="Arial" w:hAnsi="Arial" w:cs="Arial"/>
                <w:b/>
                <w:color w:val="000000"/>
                <w:sz w:val="18"/>
                <w:szCs w:val="18"/>
              </w:rPr>
            </w:pPr>
            <w:r w:rsidRPr="00661000">
              <w:rPr>
                <w:b/>
                <w:color w:val="000000"/>
                <w:sz w:val="18"/>
                <w:szCs w:val="18"/>
              </w:rPr>
              <w:t>Celkem</w:t>
            </w:r>
          </w:p>
        </w:tc>
        <w:tc>
          <w:tcPr>
            <w:tcW w:w="1897" w:type="dxa"/>
            <w:tcBorders>
              <w:left w:val="nil"/>
              <w:right w:val="nil"/>
            </w:tcBorders>
            <w:shd w:val="clear" w:color="auto" w:fill="92D050"/>
            <w:noWrap/>
            <w:vAlign w:val="center"/>
          </w:tcPr>
          <w:p w:rsidR="002C41C1" w:rsidRPr="00661000" w:rsidRDefault="002C41C1" w:rsidP="00661000">
            <w:pPr>
              <w:jc w:val="right"/>
              <w:rPr>
                <w:rFonts w:ascii="Arial" w:hAnsi="Arial" w:cs="Arial"/>
                <w:b/>
                <w:bCs/>
                <w:color w:val="000000"/>
                <w:sz w:val="18"/>
                <w:szCs w:val="18"/>
              </w:rPr>
            </w:pPr>
            <w:r w:rsidRPr="00661000">
              <w:rPr>
                <w:b/>
                <w:bCs/>
                <w:color w:val="000000"/>
                <w:sz w:val="18"/>
                <w:szCs w:val="18"/>
              </w:rPr>
              <w:t xml:space="preserve">      92 343 864 000    </w:t>
            </w:r>
          </w:p>
        </w:tc>
        <w:tc>
          <w:tcPr>
            <w:tcW w:w="1897" w:type="dxa"/>
            <w:tcBorders>
              <w:left w:val="nil"/>
              <w:right w:val="nil"/>
            </w:tcBorders>
            <w:shd w:val="clear" w:color="auto" w:fill="92D050"/>
            <w:noWrap/>
            <w:vAlign w:val="center"/>
          </w:tcPr>
          <w:p w:rsidR="002C41C1" w:rsidRPr="00661000" w:rsidRDefault="002C41C1" w:rsidP="00661000">
            <w:pPr>
              <w:jc w:val="right"/>
              <w:rPr>
                <w:rFonts w:ascii="Arial" w:hAnsi="Arial" w:cs="Arial"/>
                <w:b/>
                <w:bCs/>
                <w:color w:val="000000"/>
                <w:sz w:val="18"/>
                <w:szCs w:val="18"/>
              </w:rPr>
            </w:pPr>
            <w:r w:rsidRPr="00661000">
              <w:rPr>
                <w:b/>
                <w:bCs/>
                <w:color w:val="000000"/>
                <w:sz w:val="18"/>
                <w:szCs w:val="18"/>
              </w:rPr>
              <w:t xml:space="preserve">      32 022 075 000    </w:t>
            </w:r>
          </w:p>
        </w:tc>
        <w:tc>
          <w:tcPr>
            <w:tcW w:w="1897" w:type="dxa"/>
            <w:tcBorders>
              <w:left w:val="nil"/>
              <w:right w:val="nil"/>
            </w:tcBorders>
            <w:shd w:val="clear" w:color="auto" w:fill="92D050"/>
            <w:noWrap/>
            <w:vAlign w:val="center"/>
          </w:tcPr>
          <w:p w:rsidR="002C41C1" w:rsidRPr="00661000" w:rsidRDefault="002C41C1" w:rsidP="00661000">
            <w:pPr>
              <w:jc w:val="right"/>
              <w:rPr>
                <w:rFonts w:ascii="Arial" w:hAnsi="Arial" w:cs="Arial"/>
                <w:b/>
                <w:bCs/>
                <w:color w:val="000000"/>
                <w:sz w:val="18"/>
                <w:szCs w:val="18"/>
              </w:rPr>
            </w:pPr>
            <w:r w:rsidRPr="00661000">
              <w:rPr>
                <w:b/>
                <w:bCs/>
                <w:color w:val="000000"/>
                <w:sz w:val="18"/>
                <w:szCs w:val="18"/>
              </w:rPr>
              <w:t xml:space="preserve">      10 677 368 000    </w:t>
            </w:r>
          </w:p>
        </w:tc>
      </w:tr>
    </w:tbl>
    <w:p w:rsidR="002C41C1" w:rsidRDefault="002C41C1" w:rsidP="007A127D">
      <w:pPr>
        <w:rPr>
          <w:lang w:eastAsia="en-US"/>
        </w:rPr>
      </w:pPr>
    </w:p>
    <w:p w:rsidR="002C41C1" w:rsidRDefault="002C41C1" w:rsidP="007A127D">
      <w:pPr>
        <w:pStyle w:val="Titulek"/>
        <w:jc w:val="center"/>
      </w:pPr>
      <w:r>
        <w:t xml:space="preserve">Tabulka 10: Čerpání na regeneraci BF dle programů </w:t>
      </w:r>
    </w:p>
    <w:p w:rsidR="002C41C1" w:rsidRPr="00DF6E0B" w:rsidRDefault="002C41C1">
      <w:pPr>
        <w:pStyle w:val="Titulek"/>
        <w:jc w:val="center"/>
      </w:pPr>
      <w:r w:rsidRPr="00DF6E0B">
        <w:t>Zdroj: CI 2014</w:t>
      </w:r>
    </w:p>
    <w:p w:rsidR="002C41C1" w:rsidRDefault="002C41C1" w:rsidP="00664E27">
      <w:pPr>
        <w:rPr>
          <w:lang w:eastAsia="en-US"/>
        </w:rPr>
      </w:pPr>
    </w:p>
    <w:p w:rsidR="002C41C1" w:rsidRDefault="002C41C1" w:rsidP="00664E27">
      <w:pPr>
        <w:rPr>
          <w:lang w:eastAsia="en-US"/>
        </w:rPr>
      </w:pPr>
      <w:r>
        <w:rPr>
          <w:lang w:eastAsia="en-US"/>
        </w:rPr>
        <w:t xml:space="preserve">Na základě údajů předaných ze strany Czechinvestu si lze dovodit, že </w:t>
      </w:r>
      <w:r w:rsidRPr="008717C7">
        <w:rPr>
          <w:b/>
          <w:lang w:eastAsia="en-US"/>
        </w:rPr>
        <w:t>v případě OPPI 2007 - 2013 v rámci oblasti podpory 3.1, 5.1, 5.2 a 5.3, podalo žádost 1 609 projektů spjatých s možností financování regenerace BF</w:t>
      </w:r>
      <w:r>
        <w:rPr>
          <w:lang w:eastAsia="en-US"/>
        </w:rPr>
        <w:t xml:space="preserve">. Podíl úspěšných žádosti pro BF je 46,3 % (745 z 1609 projektů) a podíl vyplacených peněz je 33,3 %. </w:t>
      </w:r>
      <w:r w:rsidRPr="00004922">
        <w:rPr>
          <w:b/>
          <w:lang w:eastAsia="en-US"/>
        </w:rPr>
        <w:t>P</w:t>
      </w:r>
      <w:r w:rsidRPr="008717C7">
        <w:rPr>
          <w:b/>
          <w:lang w:eastAsia="en-US"/>
        </w:rPr>
        <w:t>očet neuspokojených žadatelů o investice do BF je 864 (53,7 %)</w:t>
      </w:r>
      <w:r>
        <w:rPr>
          <w:lang w:eastAsia="en-US"/>
        </w:rPr>
        <w:t xml:space="preserve">. Částka vyplacená v oblasti podpory dosáhla téměř 10,7 mld. Kč pro žadatele na regeneraci BF, což znamená průměrnou výši dotace na jeden projekt 14,3 mil. Kč. </w:t>
      </w:r>
      <w:r w:rsidRPr="008717C7">
        <w:rPr>
          <w:b/>
          <w:lang w:eastAsia="en-US"/>
        </w:rPr>
        <w:t>Zjištěním z</w:t>
      </w:r>
      <w:r w:rsidR="00EC63B5">
        <w:rPr>
          <w:b/>
          <w:lang w:eastAsia="en-US"/>
        </w:rPr>
        <w:t>e</w:t>
      </w:r>
      <w:r w:rsidRPr="008717C7">
        <w:rPr>
          <w:b/>
          <w:lang w:eastAsia="en-US"/>
        </w:rPr>
        <w:t xml:space="preserve"> statistik je možné kalkulovat výši sumy neuspokojených žádostí, která činí 21,345 mld. Kč</w:t>
      </w:r>
      <w:r>
        <w:rPr>
          <w:lang w:eastAsia="en-US"/>
        </w:rPr>
        <w:t>.</w:t>
      </w:r>
    </w:p>
    <w:p w:rsidR="002C41C1" w:rsidRPr="00DF6E0B" w:rsidRDefault="002C41C1" w:rsidP="00DF6E0B">
      <w:pPr>
        <w:pStyle w:val="Odstavecseseznamem"/>
        <w:jc w:val="left"/>
        <w:rPr>
          <w:lang w:eastAsia="en-US"/>
        </w:rPr>
      </w:pPr>
    </w:p>
    <w:p w:rsidR="002C41C1" w:rsidRDefault="002C41C1" w:rsidP="00DF6E0B">
      <w:pPr>
        <w:jc w:val="left"/>
        <w:rPr>
          <w:lang w:eastAsia="en-US"/>
        </w:rPr>
      </w:pPr>
      <w:r w:rsidRPr="00DF6E0B">
        <w:rPr>
          <w:b/>
          <w:lang w:eastAsia="en-US"/>
        </w:rPr>
        <w:t>Regionální operační program Moravskoslezsko (ROP MS 2007 - 2013)</w:t>
      </w:r>
      <w:r>
        <w:rPr>
          <w:rStyle w:val="Znakapoznpodarou"/>
          <w:b/>
        </w:rPr>
        <w:footnoteReference w:id="14"/>
      </w:r>
      <w:r>
        <w:rPr>
          <w:lang w:eastAsia="en-US"/>
        </w:rPr>
        <w:t xml:space="preserve"> – pro oblast podpory 2.3 – Podpora využívaní brownfieldů bylo alokováno skrze </w:t>
      </w:r>
      <w:r w:rsidR="00EC63B5">
        <w:rPr>
          <w:lang w:eastAsia="en-US"/>
        </w:rPr>
        <w:t>fond fondů</w:t>
      </w:r>
      <w:r>
        <w:rPr>
          <w:lang w:eastAsia="en-US"/>
        </w:rPr>
        <w:t xml:space="preserve"> JESSICA financování </w:t>
      </w:r>
      <w:r w:rsidR="00EC63B5">
        <w:rPr>
          <w:lang w:eastAsia="en-US"/>
        </w:rPr>
        <w:t xml:space="preserve">dvěma finančním zprostředkovatelům </w:t>
      </w:r>
      <w:r>
        <w:rPr>
          <w:lang w:eastAsia="en-US"/>
        </w:rPr>
        <w:t xml:space="preserve">ve výši 718,5 mil. Kč, z čehož bylo k 30. 6. 2014 </w:t>
      </w:r>
      <w:r w:rsidRPr="00DF6E0B">
        <w:rPr>
          <w:b/>
          <w:lang w:eastAsia="en-US"/>
        </w:rPr>
        <w:t>vyčerpáno 688,2 mil Kč</w:t>
      </w:r>
      <w:r>
        <w:rPr>
          <w:lang w:eastAsia="en-US"/>
        </w:rPr>
        <w:t xml:space="preserve"> (95,8 % plnění) na 35 projektů. Z toho:</w:t>
      </w:r>
    </w:p>
    <w:p w:rsidR="002C41C1" w:rsidRDefault="002C41C1" w:rsidP="00DF6E0B">
      <w:pPr>
        <w:pStyle w:val="Odstavecseseznamem"/>
        <w:numPr>
          <w:ilvl w:val="0"/>
          <w:numId w:val="14"/>
        </w:numPr>
        <w:jc w:val="left"/>
        <w:rPr>
          <w:lang w:eastAsia="en-US"/>
        </w:rPr>
      </w:pPr>
      <w:r>
        <w:rPr>
          <w:lang w:eastAsia="en-US"/>
        </w:rPr>
        <w:t>počet podaných žádostí byl 62 v hodnotě 1 063 mil. Kč (147,9 %)</w:t>
      </w:r>
      <w:r>
        <w:rPr>
          <w:rStyle w:val="Znakapoznpodarou"/>
        </w:rPr>
        <w:footnoteReference w:id="15"/>
      </w:r>
    </w:p>
    <w:p w:rsidR="002C41C1" w:rsidRDefault="002C41C1" w:rsidP="00DF6E0B">
      <w:pPr>
        <w:pStyle w:val="Odstavecseseznamem"/>
        <w:numPr>
          <w:ilvl w:val="0"/>
          <w:numId w:val="14"/>
        </w:numPr>
        <w:rPr>
          <w:lang w:eastAsia="en-US"/>
        </w:rPr>
      </w:pPr>
      <w:r>
        <w:rPr>
          <w:lang w:eastAsia="en-US"/>
        </w:rPr>
        <w:t xml:space="preserve">průměrná </w:t>
      </w:r>
      <w:r w:rsidR="00EC63B5">
        <w:rPr>
          <w:lang w:eastAsia="en-US"/>
        </w:rPr>
        <w:t>výše podpory</w:t>
      </w:r>
      <w:r>
        <w:rPr>
          <w:lang w:eastAsia="en-US"/>
        </w:rPr>
        <w:t xml:space="preserve"> na 1 projekt činila téměř 20 mil. Kč</w:t>
      </w:r>
    </w:p>
    <w:p w:rsidR="002C41C1" w:rsidRDefault="002C41C1" w:rsidP="00DF6E0B">
      <w:pPr>
        <w:rPr>
          <w:lang w:eastAsia="en-US"/>
        </w:rPr>
      </w:pPr>
      <w:r w:rsidRPr="008717C7">
        <w:rPr>
          <w:b/>
          <w:lang w:eastAsia="en-US"/>
        </w:rPr>
        <w:t>27 projektů</w:t>
      </w:r>
      <w:r>
        <w:rPr>
          <w:b/>
          <w:lang w:eastAsia="en-US"/>
        </w:rPr>
        <w:t xml:space="preserve"> bylo</w:t>
      </w:r>
      <w:r w:rsidRPr="008717C7">
        <w:rPr>
          <w:b/>
          <w:lang w:eastAsia="en-US"/>
        </w:rPr>
        <w:t xml:space="preserve"> zamítnuto a jejich neuspokojená poptávka činila 375 mil. Kč jenom v Moravskoslezském kraji</w:t>
      </w:r>
      <w:r>
        <w:rPr>
          <w:lang w:eastAsia="en-US"/>
        </w:rPr>
        <w:t>.</w:t>
      </w:r>
    </w:p>
    <w:p w:rsidR="002C41C1" w:rsidRDefault="002C41C1" w:rsidP="000F6778">
      <w:pPr>
        <w:rPr>
          <w:lang w:eastAsia="en-US"/>
        </w:rPr>
      </w:pPr>
    </w:p>
    <w:p w:rsidR="002C41C1" w:rsidRDefault="002C41C1" w:rsidP="00DF6E0B">
      <w:pPr>
        <w:rPr>
          <w:lang w:eastAsia="en-US"/>
        </w:rPr>
      </w:pPr>
      <w:r>
        <w:rPr>
          <w:lang w:eastAsia="en-US"/>
        </w:rPr>
        <w:t xml:space="preserve">Na regeneraci BF je určen taktéž </w:t>
      </w:r>
      <w:r w:rsidRPr="00DF6E0B">
        <w:rPr>
          <w:b/>
          <w:lang w:eastAsia="en-US"/>
        </w:rPr>
        <w:t xml:space="preserve">OPŽP 2007 </w:t>
      </w:r>
      <w:r w:rsidRPr="00D144BB">
        <w:rPr>
          <w:b/>
          <w:lang w:eastAsia="en-US"/>
        </w:rPr>
        <w:t>–</w:t>
      </w:r>
      <w:r w:rsidRPr="00DF6E0B">
        <w:rPr>
          <w:b/>
          <w:lang w:eastAsia="en-US"/>
        </w:rPr>
        <w:t xml:space="preserve"> 2013</w:t>
      </w:r>
      <w:r>
        <w:rPr>
          <w:lang w:eastAsia="en-US"/>
        </w:rPr>
        <w:t xml:space="preserve">, ale z důvodu, že </w:t>
      </w:r>
      <w:r w:rsidR="0084453C">
        <w:rPr>
          <w:lang w:eastAsia="en-US"/>
        </w:rPr>
        <w:t>OP PIK</w:t>
      </w:r>
      <w:r>
        <w:rPr>
          <w:lang w:eastAsia="en-US"/>
        </w:rPr>
        <w:t xml:space="preserve"> není zaměřen na úhradu ekologických nákladů spojených s odstraněním kontaminace půd způsobených výrobou, těžbou nebo </w:t>
      </w:r>
      <w:r w:rsidR="00EC63B5">
        <w:rPr>
          <w:lang w:eastAsia="en-US"/>
        </w:rPr>
        <w:t xml:space="preserve">spravováním toxických materiálů, jsme </w:t>
      </w:r>
      <w:r>
        <w:rPr>
          <w:lang w:eastAsia="en-US"/>
        </w:rPr>
        <w:t xml:space="preserve">se </w:t>
      </w:r>
      <w:r w:rsidR="00EC63B5">
        <w:rPr>
          <w:lang w:eastAsia="en-US"/>
        </w:rPr>
        <w:t xml:space="preserve">tímto </w:t>
      </w:r>
      <w:r>
        <w:rPr>
          <w:lang w:eastAsia="en-US"/>
        </w:rPr>
        <w:t>programem podrobně nezabýval</w:t>
      </w:r>
      <w:r w:rsidR="00EC63B5">
        <w:rPr>
          <w:lang w:eastAsia="en-US"/>
        </w:rPr>
        <w:t>i</w:t>
      </w:r>
      <w:r>
        <w:rPr>
          <w:lang w:eastAsia="en-US"/>
        </w:rPr>
        <w:t>.</w:t>
      </w:r>
    </w:p>
    <w:p w:rsidR="002C41C1" w:rsidRDefault="002C41C1" w:rsidP="00DF6E0B">
      <w:pPr>
        <w:rPr>
          <w:lang w:eastAsia="en-US"/>
        </w:rPr>
      </w:pPr>
    </w:p>
    <w:p w:rsidR="002C41C1" w:rsidRDefault="002C41C1" w:rsidP="00DF6E0B">
      <w:pPr>
        <w:rPr>
          <w:lang w:eastAsia="en-US"/>
        </w:rPr>
      </w:pPr>
      <w:r>
        <w:rPr>
          <w:lang w:eastAsia="en-US"/>
        </w:rPr>
        <w:t xml:space="preserve">Stejná situace nastala v </w:t>
      </w:r>
      <w:r w:rsidRPr="00DF6E0B">
        <w:rPr>
          <w:b/>
          <w:lang w:eastAsia="en-US"/>
        </w:rPr>
        <w:t>Programu rozvoje venkova</w:t>
      </w:r>
      <w:r>
        <w:rPr>
          <w:lang w:eastAsia="en-US"/>
        </w:rPr>
        <w:t xml:space="preserve"> (PRV 2007 – 2013), protože </w:t>
      </w:r>
      <w:r w:rsidR="0084453C">
        <w:rPr>
          <w:lang w:eastAsia="en-US"/>
        </w:rPr>
        <w:t>OP PIK</w:t>
      </w:r>
      <w:r>
        <w:rPr>
          <w:lang w:eastAsia="en-US"/>
        </w:rPr>
        <w:t xml:space="preserve"> podporuje regeneraci BF za účelem rozvoje výrobních činnosti a podpory služeb MSP, tudíž podporuje nezemědělskou výrobu. </w:t>
      </w:r>
    </w:p>
    <w:p w:rsidR="002C41C1" w:rsidRDefault="002C41C1" w:rsidP="00DF6E0B">
      <w:pPr>
        <w:pStyle w:val="Odstavecseseznamem"/>
        <w:numPr>
          <w:ilvl w:val="0"/>
          <w:numId w:val="15"/>
        </w:numPr>
        <w:rPr>
          <w:lang w:eastAsia="en-US"/>
        </w:rPr>
      </w:pPr>
      <w:r>
        <w:rPr>
          <w:b/>
          <w:lang w:eastAsia="en-US"/>
        </w:rPr>
        <w:t>P</w:t>
      </w:r>
      <w:r w:rsidRPr="00DF6E0B">
        <w:rPr>
          <w:b/>
          <w:lang w:eastAsia="en-US"/>
        </w:rPr>
        <w:t xml:space="preserve">odopatření III. 2.1.1 </w:t>
      </w:r>
      <w:r w:rsidRPr="00D144BB">
        <w:rPr>
          <w:b/>
          <w:lang w:eastAsia="en-US"/>
        </w:rPr>
        <w:t>–</w:t>
      </w:r>
      <w:r w:rsidRPr="00DF6E0B">
        <w:rPr>
          <w:b/>
          <w:lang w:eastAsia="en-US"/>
        </w:rPr>
        <w:t xml:space="preserve"> Obnova a  rozvoj vesnic</w:t>
      </w:r>
      <w:r>
        <w:rPr>
          <w:lang w:eastAsia="en-US"/>
        </w:rPr>
        <w:t xml:space="preserve"> , do kterého spadají také projekty na regeneraci zemědělských BF, bylo </w:t>
      </w:r>
      <w:r w:rsidRPr="00DF6E0B">
        <w:rPr>
          <w:lang w:eastAsia="en-US"/>
        </w:rPr>
        <w:t>neschválených nebo zamítnutých až 1 762 žadatelů k 31.</w:t>
      </w:r>
      <w:r>
        <w:rPr>
          <w:lang w:eastAsia="en-US"/>
        </w:rPr>
        <w:t> </w:t>
      </w:r>
      <w:r w:rsidRPr="00DF6E0B">
        <w:rPr>
          <w:lang w:eastAsia="en-US"/>
        </w:rPr>
        <w:t xml:space="preserve">12.2013. Jejich poptávka po zdrojích financování byla ve výši 472,4 mil €. Podíl žadatelů na BF projekt </w:t>
      </w:r>
      <w:r>
        <w:rPr>
          <w:lang w:eastAsia="en-US"/>
        </w:rPr>
        <w:t>není udáván</w:t>
      </w:r>
      <w:r w:rsidRPr="00DF6E0B">
        <w:rPr>
          <w:lang w:eastAsia="en-US"/>
        </w:rPr>
        <w:t>.</w:t>
      </w:r>
    </w:p>
    <w:p w:rsidR="002C41C1" w:rsidRDefault="002C41C1" w:rsidP="00DF6E0B">
      <w:pPr>
        <w:pStyle w:val="Odstavecseseznamem"/>
        <w:numPr>
          <w:ilvl w:val="0"/>
          <w:numId w:val="15"/>
        </w:numPr>
        <w:rPr>
          <w:lang w:eastAsia="en-US"/>
        </w:rPr>
      </w:pPr>
      <w:r>
        <w:rPr>
          <w:b/>
          <w:lang w:eastAsia="en-US"/>
        </w:rPr>
        <w:t>P</w:t>
      </w:r>
      <w:r w:rsidRPr="00DF6E0B">
        <w:rPr>
          <w:b/>
          <w:lang w:eastAsia="en-US"/>
        </w:rPr>
        <w:t xml:space="preserve">odopatření III. 2.1.2 </w:t>
      </w:r>
      <w:r w:rsidRPr="00D144BB">
        <w:rPr>
          <w:b/>
          <w:lang w:eastAsia="en-US"/>
        </w:rPr>
        <w:t>–</w:t>
      </w:r>
      <w:r w:rsidRPr="00DF6E0B">
        <w:rPr>
          <w:b/>
          <w:lang w:eastAsia="en-US"/>
        </w:rPr>
        <w:t xml:space="preserve"> Občanské vybavení a služby</w:t>
      </w:r>
      <w:r w:rsidRPr="00DF6E0B">
        <w:rPr>
          <w:lang w:eastAsia="en-US"/>
        </w:rPr>
        <w:t>, kam řadíme BF se záměrem regenerace na občanskou vybavenost nebo poskytovaní služeb, bylo neschválených nebo zamítnutých 1651 žadatelů v celkové výši 257,4 mil. €.</w:t>
      </w:r>
    </w:p>
    <w:p w:rsidR="002C41C1" w:rsidRDefault="002C41C1" w:rsidP="000F6778">
      <w:pPr>
        <w:rPr>
          <w:lang w:eastAsia="en-US"/>
        </w:rPr>
      </w:pPr>
    </w:p>
    <w:p w:rsidR="002C41C1" w:rsidRDefault="00EC63B5" w:rsidP="00DF6E0B">
      <w:pPr>
        <w:rPr>
          <w:lang w:eastAsia="en-US"/>
        </w:rPr>
      </w:pPr>
      <w:r>
        <w:rPr>
          <w:b/>
          <w:lang w:eastAsia="en-US"/>
        </w:rPr>
        <w:t>Fond fondů</w:t>
      </w:r>
      <w:r w:rsidR="002C41C1" w:rsidRPr="00DF6E0B">
        <w:rPr>
          <w:b/>
          <w:lang w:eastAsia="en-US"/>
        </w:rPr>
        <w:t xml:space="preserve"> JESSICA </w:t>
      </w:r>
      <w:r>
        <w:rPr>
          <w:b/>
          <w:lang w:eastAsia="en-US"/>
        </w:rPr>
        <w:t xml:space="preserve">SFRB </w:t>
      </w:r>
      <w:r w:rsidR="002C41C1" w:rsidRPr="00DF6E0B">
        <w:rPr>
          <w:b/>
          <w:lang w:eastAsia="en-US"/>
        </w:rPr>
        <w:t>financovaný z IOP</w:t>
      </w:r>
      <w:r w:rsidR="002C41C1">
        <w:rPr>
          <w:lang w:eastAsia="en-US"/>
        </w:rPr>
        <w:t xml:space="preserve">: „Společná evropská podpora udržitelných investic do městských oblastí“, která podporuje rozvoj technik financování pro udržitelné investice, hospodářský růst a zaměstnanost v městských oblastech v Evropě.“ Financuje stanovené procento způsobilých nákladů pomocí úvěru se sníženou úrokovou mírou a delší splatností. Finance poskytuje Komerční </w:t>
      </w:r>
      <w:r w:rsidR="00EA6531">
        <w:rPr>
          <w:lang w:eastAsia="en-US"/>
        </w:rPr>
        <w:t>b</w:t>
      </w:r>
      <w:r w:rsidR="002C41C1">
        <w:rPr>
          <w:lang w:eastAsia="en-US"/>
        </w:rPr>
        <w:t>anka</w:t>
      </w:r>
      <w:r w:rsidR="00EA6531">
        <w:rPr>
          <w:lang w:eastAsia="en-US"/>
        </w:rPr>
        <w:t xml:space="preserve"> jako finanční zprostředkovatel</w:t>
      </w:r>
      <w:r w:rsidR="002C41C1">
        <w:rPr>
          <w:lang w:eastAsia="en-US"/>
        </w:rPr>
        <w:t>. Jedná se o FN v IOP a je určený pro města s IPRM (Integrovaný plán rozvoje měst). Pro rok 2014 bylo alokováno více než 600 mil. Kč. Tyto prostředky lze využít na rekonstrukci či modernizaci bytových domů, které se nacházejí v problémových územích vybraných měst (41 lokalit) doprovázených řadou negativních jevů. Podmínkou je 10% spoluúčasti z vlastních zdrojů a žadatelé mohou získat zvýhodněný úvěr s úrokem 0,52-1,52% p.a. s dobou splatnosti až 30 let.</w:t>
      </w:r>
    </w:p>
    <w:p w:rsidR="002C41C1" w:rsidRDefault="002C41C1" w:rsidP="000C38AE">
      <w:pPr>
        <w:pStyle w:val="Odstavecseseznamem"/>
        <w:rPr>
          <w:lang w:eastAsia="en-US"/>
        </w:rPr>
      </w:pPr>
    </w:p>
    <w:p w:rsidR="002C41C1" w:rsidRDefault="002C41C1" w:rsidP="000C38AE">
      <w:pPr>
        <w:pStyle w:val="Neslovannadpisy"/>
        <w:rPr>
          <w:lang w:eastAsia="en-US"/>
        </w:rPr>
      </w:pPr>
      <w:r>
        <w:rPr>
          <w:lang w:eastAsia="en-US"/>
        </w:rPr>
        <w:t>Veřejné domácí zdroje</w:t>
      </w:r>
    </w:p>
    <w:p w:rsidR="002C41C1" w:rsidRDefault="002C41C1" w:rsidP="000C38AE">
      <w:pPr>
        <w:jc w:val="left"/>
        <w:rPr>
          <w:rFonts w:ascii="Times New Roman" w:hAnsi="Times New Roman"/>
          <w:sz w:val="24"/>
        </w:rPr>
      </w:pPr>
      <w:r w:rsidRPr="000C38AE">
        <w:rPr>
          <w:b/>
          <w:lang w:eastAsia="en-US"/>
        </w:rPr>
        <w:lastRenderedPageBreak/>
        <w:t>Program na podporu podnikatelských nemovitostí a infrastruktury 2006–2010 (PPNI ČR)</w:t>
      </w:r>
      <w:r>
        <w:rPr>
          <w:lang w:eastAsia="en-US"/>
        </w:rPr>
        <w:t xml:space="preserve"> fungoval v období 2006 – 2014 v gesci MPO a byl financován ze zdrojů po privatizaci. Obsahoval podprogram  </w:t>
      </w:r>
      <w:r w:rsidRPr="00935CA2">
        <w:rPr>
          <w:i/>
          <w:u w:val="single"/>
          <w:lang w:eastAsia="en-US"/>
        </w:rPr>
        <w:t>Regenerace nevyužívaných území – Brownfieldů</w:t>
      </w:r>
      <w:r>
        <w:rPr>
          <w:lang w:eastAsia="en-US"/>
        </w:rPr>
        <w:t xml:space="preserve"> s využitím IFN</w:t>
      </w:r>
      <w:r>
        <w:rPr>
          <w:rStyle w:val="Znakapoznpodarou"/>
        </w:rPr>
        <w:footnoteReference w:id="16"/>
      </w:r>
    </w:p>
    <w:p w:rsidR="002C41C1" w:rsidRDefault="002C41C1" w:rsidP="000C38AE">
      <w:pPr>
        <w:pStyle w:val="Odstavecseseznamem"/>
        <w:numPr>
          <w:ilvl w:val="0"/>
          <w:numId w:val="3"/>
        </w:numPr>
        <w:rPr>
          <w:lang w:eastAsia="en-US"/>
        </w:rPr>
      </w:pPr>
      <w:r>
        <w:rPr>
          <w:lang w:eastAsia="en-US"/>
        </w:rPr>
        <w:t xml:space="preserve"> (přímá dotace, dotace na hrazení úroků, dotace na hrazení splátek jistiny a návratná finanční výpomoc). Celková alokace dotačního programu byla stanovená v roce 2007 na 250 mil. Kč. </w:t>
      </w:r>
    </w:p>
    <w:p w:rsidR="002C41C1" w:rsidRDefault="002C41C1" w:rsidP="000C38AE">
      <w:pPr>
        <w:rPr>
          <w:lang w:eastAsia="en-US"/>
        </w:rPr>
      </w:pPr>
    </w:p>
    <w:p w:rsidR="002C41C1" w:rsidRDefault="002C41C1" w:rsidP="000C38AE">
      <w:pPr>
        <w:pStyle w:val="Odstavecseseznamem"/>
        <w:numPr>
          <w:ilvl w:val="0"/>
          <w:numId w:val="3"/>
        </w:numPr>
        <w:rPr>
          <w:lang w:eastAsia="en-US"/>
        </w:rPr>
      </w:pPr>
      <w:r w:rsidRPr="000C38AE">
        <w:rPr>
          <w:b/>
          <w:lang w:eastAsia="en-US"/>
        </w:rPr>
        <w:t>Program na podporu úprav bývalých vojenských areálů k obecnímu využití</w:t>
      </w:r>
      <w:r>
        <w:rPr>
          <w:lang w:eastAsia="en-US"/>
        </w:rPr>
        <w:t xml:space="preserve"> - je v gesci Ministerstva pro místní rozvoj (MMR) a v roce 2012 obhospodařoval finanční prostředky ve výši 114 mil. Kč.</w:t>
      </w:r>
    </w:p>
    <w:p w:rsidR="002C41C1" w:rsidRDefault="002C41C1" w:rsidP="00DF6E0B">
      <w:pPr>
        <w:ind w:left="360"/>
        <w:rPr>
          <w:lang w:eastAsia="en-US"/>
        </w:rPr>
      </w:pPr>
      <w:r>
        <w:rPr>
          <w:lang w:eastAsia="en-US"/>
        </w:rPr>
        <w:t>V případě národních veřejných programů pro financování regenerace BF předpokládáme vyčerpaní dotací určených pro danou oblast ve výši stanovené na každý rok. Zdroje určené pro financování projektů v jednotlivých krajích jsou přerozděleny na vytipované projekty v průběhu roku, proto očekáváme nulový převis poptávky.</w:t>
      </w:r>
    </w:p>
    <w:p w:rsidR="002C41C1" w:rsidRDefault="002C41C1" w:rsidP="00DF6E0B">
      <w:pPr>
        <w:rPr>
          <w:lang w:eastAsia="en-US"/>
        </w:rPr>
      </w:pPr>
    </w:p>
    <w:p w:rsidR="002C41C1" w:rsidRDefault="002C41C1" w:rsidP="000C38AE">
      <w:pPr>
        <w:pStyle w:val="Odstavecseseznamem"/>
        <w:rPr>
          <w:lang w:eastAsia="en-US"/>
        </w:rPr>
      </w:pPr>
    </w:p>
    <w:p w:rsidR="002C41C1" w:rsidRDefault="002C41C1" w:rsidP="008717C7">
      <w:pPr>
        <w:pStyle w:val="Vtneslovannadpis"/>
        <w:rPr>
          <w:lang w:eastAsia="en-US"/>
        </w:rPr>
      </w:pPr>
      <w:r>
        <w:rPr>
          <w:lang w:eastAsia="en-US"/>
        </w:rPr>
        <w:t>Vyčíslení potenciální absorpční kapacity</w:t>
      </w:r>
    </w:p>
    <w:p w:rsidR="002C41C1" w:rsidRDefault="002C41C1" w:rsidP="00F7702D">
      <w:pPr>
        <w:pStyle w:val="Neslovannadpisy"/>
        <w:rPr>
          <w:lang w:eastAsia="en-US"/>
        </w:rPr>
      </w:pPr>
      <w:r>
        <w:rPr>
          <w:lang w:eastAsia="en-US"/>
        </w:rPr>
        <w:t>Poptávka zjišťovaná z dotazníku</w:t>
      </w:r>
    </w:p>
    <w:p w:rsidR="002C41C1" w:rsidRDefault="002C41C1" w:rsidP="00F7702D">
      <w:pPr>
        <w:rPr>
          <w:lang w:eastAsia="en-US"/>
        </w:rPr>
      </w:pPr>
      <w:r>
        <w:rPr>
          <w:lang w:eastAsia="en-US"/>
        </w:rPr>
        <w:t xml:space="preserve">V dotazníkovém šetření k této analýze vyjádřilo </w:t>
      </w:r>
      <w:r w:rsidRPr="00DF6E0B">
        <w:rPr>
          <w:b/>
          <w:lang w:eastAsia="en-US"/>
        </w:rPr>
        <w:t>327 společností</w:t>
      </w:r>
      <w:r>
        <w:rPr>
          <w:lang w:eastAsia="en-US"/>
        </w:rPr>
        <w:t xml:space="preserve"> svůj investiční záměr k SC 2.3 </w:t>
      </w:r>
      <w:r w:rsidR="0084453C">
        <w:rPr>
          <w:lang w:eastAsia="en-US"/>
        </w:rPr>
        <w:t>OP PIK</w:t>
      </w:r>
      <w:r>
        <w:rPr>
          <w:lang w:eastAsia="en-US"/>
        </w:rPr>
        <w:t xml:space="preserve"> 2014 – 2020. </w:t>
      </w:r>
      <w:r w:rsidRPr="00DF6E0B">
        <w:rPr>
          <w:b/>
          <w:lang w:eastAsia="en-US"/>
        </w:rPr>
        <w:t>Uvažované investiční záměry dosahují výši 4,4 mld. Kč s očekávanou dobou návratnosti 10,4 roku.</w:t>
      </w:r>
    </w:p>
    <w:p w:rsidR="002C41C1" w:rsidRDefault="002C41C1" w:rsidP="00F7702D">
      <w:pPr>
        <w:rPr>
          <w:lang w:eastAsia="en-US"/>
        </w:rPr>
      </w:pPr>
    </w:p>
    <w:p w:rsidR="002C41C1" w:rsidRDefault="002C41C1" w:rsidP="005162A5">
      <w:pPr>
        <w:pStyle w:val="Neslovannadpisy"/>
        <w:rPr>
          <w:lang w:eastAsia="en-US"/>
        </w:rPr>
      </w:pPr>
      <w:r>
        <w:rPr>
          <w:lang w:eastAsia="en-US"/>
        </w:rPr>
        <w:t>Kalkulace</w:t>
      </w:r>
      <w:r w:rsidR="005057AD">
        <w:rPr>
          <w:lang w:eastAsia="en-US"/>
        </w:rPr>
        <w:t xml:space="preserve"> </w:t>
      </w:r>
      <w:r>
        <w:rPr>
          <w:lang w:eastAsia="en-US"/>
        </w:rPr>
        <w:t>absorpční kapacity</w:t>
      </w:r>
    </w:p>
    <w:p w:rsidR="002C41C1" w:rsidRDefault="002C41C1" w:rsidP="005162A5">
      <w:pPr>
        <w:rPr>
          <w:lang w:eastAsia="en-US"/>
        </w:rPr>
      </w:pPr>
      <w:r>
        <w:rPr>
          <w:lang w:eastAsia="en-US"/>
        </w:rPr>
        <w:t>V kalkulaci absorpční kapacity vycházíme v prvé řadě z dosavadního zájmu o podporu, který ve velké míře určoval investiční aktivitu v oblasti brownfields.</w:t>
      </w:r>
      <w:r w:rsidR="005057AD">
        <w:rPr>
          <w:lang w:eastAsia="en-US"/>
        </w:rPr>
        <w:t xml:space="preserve"> </w:t>
      </w:r>
      <w:r>
        <w:rPr>
          <w:lang w:eastAsia="en-US"/>
        </w:rPr>
        <w:t xml:space="preserve">V programu OPPI činila investiční poptávka celkem 32 mld. Kč dotací, tedy vzhledem k poměru dotace cca 64 mld. uznatelných nákladů, z čehož 43 mld. nebylo podpořeno a tvoří část budoucí investiční poptávky. V menší míře existuje aktivovatelná poptávka též v nepodpořených projektech v ROP a PRV, ke kterým je možné také přihlížet, nicméně z většiny netvoří typicky vhodné lokality pro OPPI. Předpokládat lze také </w:t>
      </w:r>
      <w:r w:rsidR="00082D6D">
        <w:rPr>
          <w:lang w:eastAsia="en-US"/>
        </w:rPr>
        <w:t>další</w:t>
      </w:r>
      <w:r w:rsidR="00082D6D">
        <w:rPr>
          <w:lang w:eastAsia="en-US"/>
        </w:rPr>
        <w:t xml:space="preserve"> </w:t>
      </w:r>
      <w:r>
        <w:rPr>
          <w:lang w:eastAsia="en-US"/>
        </w:rPr>
        <w:t>projekty, protože zásoba lokalit typu brownfields je v ČR stále rozsáhlá</w:t>
      </w:r>
      <w:r w:rsidR="00082D6D">
        <w:rPr>
          <w:lang w:eastAsia="en-US"/>
        </w:rPr>
        <w:t xml:space="preserve"> a částečně tržně regenerovatelná</w:t>
      </w:r>
      <w:r>
        <w:rPr>
          <w:lang w:eastAsia="en-US"/>
        </w:rPr>
        <w:t xml:space="preserve"> (byť nejlukrativnější plochy byly již z podstatné části zregenerovány). Tempo regenerace a poptávky po BF závisí silně i na rozvoji podnikatelské aktivity a výroby v ČR.</w:t>
      </w:r>
      <w:r w:rsidR="005057AD">
        <w:rPr>
          <w:lang w:eastAsia="en-US"/>
        </w:rPr>
        <w:t xml:space="preserve"> </w:t>
      </w:r>
      <w:r>
        <w:rPr>
          <w:lang w:eastAsia="en-US"/>
        </w:rPr>
        <w:t xml:space="preserve">Na základě těchto předpokladů </w:t>
      </w:r>
      <w:r w:rsidRPr="00DF6E0B">
        <w:rPr>
          <w:b/>
          <w:lang w:eastAsia="en-US"/>
        </w:rPr>
        <w:t>odhadujeme minimální investiční poptávku</w:t>
      </w:r>
      <w:r>
        <w:rPr>
          <w:b/>
          <w:lang w:eastAsia="en-US"/>
        </w:rPr>
        <w:t xml:space="preserve"> v SC 2.3</w:t>
      </w:r>
      <w:r w:rsidRPr="00DF6E0B">
        <w:rPr>
          <w:b/>
          <w:lang w:eastAsia="en-US"/>
        </w:rPr>
        <w:t xml:space="preserve"> na 58 mld. Kč.</w:t>
      </w:r>
    </w:p>
    <w:p w:rsidR="002C41C1" w:rsidRDefault="002C41C1" w:rsidP="005162A5">
      <w:pPr>
        <w:rPr>
          <w:lang w:eastAsia="en-US"/>
        </w:rPr>
      </w:pPr>
    </w:p>
    <w:p w:rsidR="002C41C1" w:rsidRDefault="002C41C1" w:rsidP="005162A5">
      <w:pPr>
        <w:rPr>
          <w:lang w:eastAsia="en-US"/>
        </w:rPr>
      </w:pPr>
      <w:r>
        <w:rPr>
          <w:lang w:eastAsia="en-US"/>
        </w:rPr>
        <w:t>Při odhadu aktivovatelné poptávky je nutné přihlížet k velké citlivosti na míru podpory v této oblasti(viz tržní selhání). Projektovanou poptávku na bázi podpory z</w:t>
      </w:r>
      <w:r w:rsidR="005057AD">
        <w:rPr>
          <w:lang w:eastAsia="en-US"/>
        </w:rPr>
        <w:t> </w:t>
      </w:r>
      <w:r>
        <w:rPr>
          <w:lang w:eastAsia="en-US"/>
        </w:rPr>
        <w:t>minulého</w:t>
      </w:r>
      <w:r w:rsidR="005057AD">
        <w:rPr>
          <w:lang w:eastAsia="en-US"/>
        </w:rPr>
        <w:t xml:space="preserve"> </w:t>
      </w:r>
      <w:r>
        <w:rPr>
          <w:lang w:eastAsia="en-US"/>
        </w:rPr>
        <w:t>období je tedy nutné redukovat adekvátně zvolené podpoře. Na základě udávané (ne)ochoty k investicím do BF bez podpory/s podporou úvěrového nástroje lze zpřesnit</w:t>
      </w:r>
      <w:r w:rsidR="005057AD">
        <w:rPr>
          <w:lang w:eastAsia="en-US"/>
        </w:rPr>
        <w:t xml:space="preserve"> </w:t>
      </w:r>
      <w:r w:rsidRPr="00DF6E0B">
        <w:rPr>
          <w:b/>
          <w:lang w:eastAsia="en-US"/>
        </w:rPr>
        <w:t>odhad zcela tržní investiční poptávky v</w:t>
      </w:r>
      <w:r w:rsidRPr="00D144BB">
        <w:rPr>
          <w:b/>
          <w:lang w:eastAsia="en-US"/>
        </w:rPr>
        <w:t> </w:t>
      </w:r>
      <w:r w:rsidRPr="00DF6E0B">
        <w:rPr>
          <w:b/>
          <w:lang w:eastAsia="en-US"/>
        </w:rPr>
        <w:t>oblasti na 8 mld. Kč</w:t>
      </w:r>
      <w:r>
        <w:rPr>
          <w:lang w:eastAsia="en-US"/>
        </w:rPr>
        <w:t xml:space="preserve">, </w:t>
      </w:r>
      <w:r w:rsidRPr="00DF6E0B">
        <w:rPr>
          <w:b/>
          <w:lang w:eastAsia="en-US"/>
        </w:rPr>
        <w:t>absorpční kapacita úvěrového nástroje se může pohybovat až okolo 40 mld. Kč</w:t>
      </w:r>
      <w:r>
        <w:rPr>
          <w:lang w:eastAsia="en-US"/>
        </w:rPr>
        <w:t>, vzhledem k charakteru dotazníku a výrazný</w:t>
      </w:r>
      <w:r w:rsidR="00082D6D">
        <w:rPr>
          <w:lang w:eastAsia="en-US"/>
        </w:rPr>
        <w:t>m</w:t>
      </w:r>
      <w:r>
        <w:rPr>
          <w:lang w:eastAsia="en-US"/>
        </w:rPr>
        <w:t xml:space="preserve"> tržní</w:t>
      </w:r>
      <w:r w:rsidR="00082D6D">
        <w:rPr>
          <w:lang w:eastAsia="en-US"/>
        </w:rPr>
        <w:t>m</w:t>
      </w:r>
      <w:r>
        <w:rPr>
          <w:lang w:eastAsia="en-US"/>
        </w:rPr>
        <w:t xml:space="preserve"> selhání</w:t>
      </w:r>
      <w:r w:rsidR="00082D6D">
        <w:rPr>
          <w:lang w:eastAsia="en-US"/>
        </w:rPr>
        <w:t>m</w:t>
      </w:r>
      <w:r>
        <w:rPr>
          <w:lang w:eastAsia="en-US"/>
        </w:rPr>
        <w:t xml:space="preserve"> se však jedná o horní limit.</w:t>
      </w:r>
    </w:p>
    <w:p w:rsidR="002C41C1" w:rsidRDefault="002C41C1" w:rsidP="005162A5">
      <w:pPr>
        <w:rPr>
          <w:lang w:eastAsia="en-US"/>
        </w:rPr>
      </w:pPr>
    </w:p>
    <w:tbl>
      <w:tblPr>
        <w:tblStyle w:val="Mkatabulky"/>
        <w:tblW w:w="8804" w:type="dxa"/>
        <w:tblLook w:val="00A0" w:firstRow="1" w:lastRow="0" w:firstColumn="1" w:lastColumn="0" w:noHBand="0" w:noVBand="0"/>
      </w:tblPr>
      <w:tblGrid>
        <w:gridCol w:w="5280"/>
        <w:gridCol w:w="3524"/>
      </w:tblGrid>
      <w:tr w:rsidR="002C41C1" w:rsidRPr="00A7260A" w:rsidTr="008D55D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80" w:type="dxa"/>
            <w:noWrap/>
          </w:tcPr>
          <w:p w:rsidR="002C41C1" w:rsidRPr="00A7260A" w:rsidRDefault="002C41C1" w:rsidP="00A7260A">
            <w:pPr>
              <w:overflowPunct/>
              <w:autoSpaceDE/>
              <w:autoSpaceDN/>
              <w:adjustRightInd/>
              <w:jc w:val="left"/>
              <w:textAlignment w:val="auto"/>
              <w:rPr>
                <w:b w:val="0"/>
                <w:bCs/>
                <w:szCs w:val="22"/>
              </w:rPr>
            </w:pPr>
          </w:p>
        </w:tc>
        <w:tc>
          <w:tcPr>
            <w:tcW w:w="3524" w:type="dxa"/>
            <w:noWrap/>
          </w:tcPr>
          <w:p w:rsidR="002C41C1" w:rsidRDefault="002C41C1">
            <w:pPr>
              <w:overflowPunct/>
              <w:autoSpaceDE/>
              <w:autoSpaceDN/>
              <w:adjustRightInd/>
              <w:jc w:val="left"/>
              <w:textAlignment w:val="auto"/>
              <w:cnfStyle w:val="100000000000" w:firstRow="1" w:lastRow="0" w:firstColumn="0" w:lastColumn="0" w:oddVBand="0" w:evenVBand="0" w:oddHBand="0" w:evenHBand="0" w:firstRowFirstColumn="0" w:firstRowLastColumn="0" w:lastRowFirstColumn="0" w:lastRowLastColumn="0"/>
              <w:rPr>
                <w:b w:val="0"/>
                <w:bCs/>
                <w:szCs w:val="22"/>
              </w:rPr>
            </w:pPr>
            <w:r>
              <w:rPr>
                <w:bCs/>
                <w:szCs w:val="22"/>
              </w:rPr>
              <w:t>U</w:t>
            </w:r>
            <w:r w:rsidRPr="00A7260A">
              <w:rPr>
                <w:bCs/>
                <w:szCs w:val="22"/>
              </w:rPr>
              <w:t>znatelné náklady</w:t>
            </w:r>
            <w:r>
              <w:rPr>
                <w:bCs/>
                <w:szCs w:val="22"/>
              </w:rPr>
              <w:t xml:space="preserve"> projektu (mil. Kč)</w:t>
            </w:r>
          </w:p>
        </w:tc>
      </w:tr>
      <w:tr w:rsidR="002C41C1" w:rsidRPr="00A7260A" w:rsidTr="008D55D2">
        <w:trPr>
          <w:trHeight w:val="300"/>
        </w:trPr>
        <w:tc>
          <w:tcPr>
            <w:cnfStyle w:val="001000000000" w:firstRow="0" w:lastRow="0" w:firstColumn="1" w:lastColumn="0" w:oddVBand="0" w:evenVBand="0" w:oddHBand="0" w:evenHBand="0" w:firstRowFirstColumn="0" w:firstRowLastColumn="0" w:lastRowFirstColumn="0" w:lastRowLastColumn="0"/>
            <w:tcW w:w="5280" w:type="dxa"/>
            <w:noWrap/>
          </w:tcPr>
          <w:p w:rsidR="002C41C1" w:rsidRPr="00A7260A" w:rsidRDefault="002C41C1" w:rsidP="00A7260A">
            <w:pPr>
              <w:overflowPunct/>
              <w:autoSpaceDE/>
              <w:autoSpaceDN/>
              <w:adjustRightInd/>
              <w:jc w:val="left"/>
              <w:textAlignment w:val="auto"/>
              <w:rPr>
                <w:b/>
                <w:bCs/>
                <w:color w:val="000000"/>
                <w:szCs w:val="22"/>
              </w:rPr>
            </w:pPr>
            <w:r w:rsidRPr="00A7260A">
              <w:rPr>
                <w:b/>
                <w:bCs/>
                <w:color w:val="000000"/>
                <w:szCs w:val="22"/>
              </w:rPr>
              <w:t xml:space="preserve">Aktivovatelná investiční poptávka </w:t>
            </w:r>
            <w:r w:rsidR="0084453C">
              <w:rPr>
                <w:b/>
                <w:bCs/>
                <w:color w:val="000000"/>
                <w:szCs w:val="22"/>
              </w:rPr>
              <w:t>OP PIK</w:t>
            </w:r>
          </w:p>
        </w:tc>
        <w:tc>
          <w:tcPr>
            <w:tcW w:w="3524" w:type="dxa"/>
            <w:noWrap/>
          </w:tcPr>
          <w:p w:rsidR="002C41C1" w:rsidRPr="00A7260A" w:rsidRDefault="002C41C1" w:rsidP="00A7260A">
            <w:pPr>
              <w:overflowPunct/>
              <w:autoSpaceDE/>
              <w:autoSpaceDN/>
              <w:adjustRightInd/>
              <w:jc w:val="right"/>
              <w:textAlignment w:val="auto"/>
              <w:cnfStyle w:val="000000000000" w:firstRow="0" w:lastRow="0" w:firstColumn="0" w:lastColumn="0" w:oddVBand="0" w:evenVBand="0" w:oddHBand="0" w:evenHBand="0" w:firstRowFirstColumn="0" w:firstRowLastColumn="0" w:lastRowFirstColumn="0" w:lastRowLastColumn="0"/>
              <w:rPr>
                <w:color w:val="000000"/>
                <w:szCs w:val="22"/>
              </w:rPr>
            </w:pPr>
            <w:r w:rsidRPr="00A7260A">
              <w:rPr>
                <w:color w:val="000000"/>
                <w:szCs w:val="22"/>
              </w:rPr>
              <w:t>58 000</w:t>
            </w:r>
          </w:p>
        </w:tc>
      </w:tr>
      <w:tr w:rsidR="002C41C1" w:rsidRPr="00A7260A" w:rsidTr="008D55D2">
        <w:trPr>
          <w:trHeight w:val="300"/>
        </w:trPr>
        <w:tc>
          <w:tcPr>
            <w:cnfStyle w:val="001000000000" w:firstRow="0" w:lastRow="0" w:firstColumn="1" w:lastColumn="0" w:oddVBand="0" w:evenVBand="0" w:oddHBand="0" w:evenHBand="0" w:firstRowFirstColumn="0" w:firstRowLastColumn="0" w:lastRowFirstColumn="0" w:lastRowLastColumn="0"/>
            <w:tcW w:w="5280" w:type="dxa"/>
            <w:noWrap/>
          </w:tcPr>
          <w:p w:rsidR="002C41C1" w:rsidRPr="00A7260A" w:rsidRDefault="002C41C1" w:rsidP="00A7260A">
            <w:pPr>
              <w:overflowPunct/>
              <w:autoSpaceDE/>
              <w:autoSpaceDN/>
              <w:adjustRightInd/>
              <w:jc w:val="left"/>
              <w:textAlignment w:val="auto"/>
              <w:rPr>
                <w:b/>
                <w:bCs/>
                <w:color w:val="000000"/>
                <w:szCs w:val="22"/>
              </w:rPr>
            </w:pPr>
            <w:r w:rsidRPr="00A7260A">
              <w:rPr>
                <w:b/>
                <w:bCs/>
                <w:color w:val="000000"/>
                <w:szCs w:val="22"/>
              </w:rPr>
              <w:t xml:space="preserve">Investiční poptávka bez podpory </w:t>
            </w:r>
            <w:r w:rsidR="0084453C">
              <w:rPr>
                <w:b/>
                <w:bCs/>
                <w:color w:val="000000"/>
                <w:szCs w:val="22"/>
              </w:rPr>
              <w:t>OP PIK</w:t>
            </w:r>
          </w:p>
        </w:tc>
        <w:tc>
          <w:tcPr>
            <w:tcW w:w="3524" w:type="dxa"/>
            <w:noWrap/>
          </w:tcPr>
          <w:p w:rsidR="002C41C1" w:rsidRPr="00A7260A" w:rsidRDefault="002C41C1" w:rsidP="00A7260A">
            <w:pPr>
              <w:overflowPunct/>
              <w:autoSpaceDE/>
              <w:autoSpaceDN/>
              <w:adjustRightInd/>
              <w:jc w:val="right"/>
              <w:textAlignment w:val="auto"/>
              <w:cnfStyle w:val="000000000000" w:firstRow="0" w:lastRow="0" w:firstColumn="0" w:lastColumn="0" w:oddVBand="0" w:evenVBand="0" w:oddHBand="0" w:evenHBand="0" w:firstRowFirstColumn="0" w:firstRowLastColumn="0" w:lastRowFirstColumn="0" w:lastRowLastColumn="0"/>
              <w:rPr>
                <w:color w:val="000000"/>
                <w:szCs w:val="22"/>
              </w:rPr>
            </w:pPr>
            <w:r w:rsidRPr="00A7260A">
              <w:rPr>
                <w:color w:val="000000"/>
                <w:szCs w:val="22"/>
              </w:rPr>
              <w:t>8 0</w:t>
            </w:r>
            <w:r>
              <w:rPr>
                <w:color w:val="000000"/>
                <w:szCs w:val="22"/>
              </w:rPr>
              <w:t>00</w:t>
            </w:r>
          </w:p>
        </w:tc>
      </w:tr>
      <w:tr w:rsidR="002C41C1" w:rsidRPr="00A7260A" w:rsidTr="008D55D2">
        <w:trPr>
          <w:trHeight w:val="315"/>
        </w:trPr>
        <w:tc>
          <w:tcPr>
            <w:cnfStyle w:val="001000000000" w:firstRow="0" w:lastRow="0" w:firstColumn="1" w:lastColumn="0" w:oddVBand="0" w:evenVBand="0" w:oddHBand="0" w:evenHBand="0" w:firstRowFirstColumn="0" w:firstRowLastColumn="0" w:lastRowFirstColumn="0" w:lastRowLastColumn="0"/>
            <w:tcW w:w="5280" w:type="dxa"/>
            <w:noWrap/>
          </w:tcPr>
          <w:p w:rsidR="002C41C1" w:rsidRPr="00A7260A" w:rsidRDefault="002C41C1" w:rsidP="00A7260A">
            <w:pPr>
              <w:overflowPunct/>
              <w:autoSpaceDE/>
              <w:autoSpaceDN/>
              <w:adjustRightInd/>
              <w:jc w:val="left"/>
              <w:textAlignment w:val="auto"/>
              <w:rPr>
                <w:b/>
                <w:bCs/>
                <w:color w:val="000000"/>
                <w:szCs w:val="22"/>
              </w:rPr>
            </w:pPr>
            <w:r w:rsidRPr="00A7260A">
              <w:rPr>
                <w:b/>
                <w:bCs/>
                <w:color w:val="000000"/>
                <w:szCs w:val="22"/>
              </w:rPr>
              <w:t>Odhadovaná absorpční kapacita úvěrového nástroje</w:t>
            </w:r>
          </w:p>
        </w:tc>
        <w:tc>
          <w:tcPr>
            <w:tcW w:w="3524" w:type="dxa"/>
            <w:noWrap/>
          </w:tcPr>
          <w:p w:rsidR="002C41C1" w:rsidRPr="00A7260A" w:rsidRDefault="002C41C1" w:rsidP="00A7260A">
            <w:pPr>
              <w:overflowPunct/>
              <w:autoSpaceDE/>
              <w:autoSpaceDN/>
              <w:adjustRightInd/>
              <w:jc w:val="right"/>
              <w:textAlignment w:val="auto"/>
              <w:cnfStyle w:val="000000000000" w:firstRow="0" w:lastRow="0" w:firstColumn="0" w:lastColumn="0" w:oddVBand="0" w:evenVBand="0" w:oddHBand="0" w:evenHBand="0" w:firstRowFirstColumn="0" w:firstRowLastColumn="0" w:lastRowFirstColumn="0" w:lastRowLastColumn="0"/>
              <w:rPr>
                <w:color w:val="000000"/>
                <w:szCs w:val="22"/>
              </w:rPr>
            </w:pPr>
            <w:r w:rsidRPr="00A7260A">
              <w:rPr>
                <w:color w:val="000000"/>
                <w:szCs w:val="22"/>
              </w:rPr>
              <w:t>40</w:t>
            </w:r>
            <w:r w:rsidR="00EA6531">
              <w:rPr>
                <w:color w:val="000000"/>
                <w:szCs w:val="22"/>
              </w:rPr>
              <w:t xml:space="preserve"> </w:t>
            </w:r>
            <w:r w:rsidRPr="00A7260A">
              <w:rPr>
                <w:color w:val="000000"/>
                <w:szCs w:val="22"/>
              </w:rPr>
              <w:t>0</w:t>
            </w:r>
            <w:r>
              <w:rPr>
                <w:color w:val="000000"/>
                <w:szCs w:val="22"/>
              </w:rPr>
              <w:t>0</w:t>
            </w:r>
            <w:r w:rsidRPr="00A7260A">
              <w:rPr>
                <w:color w:val="000000"/>
                <w:szCs w:val="22"/>
              </w:rPr>
              <w:t>0</w:t>
            </w:r>
          </w:p>
        </w:tc>
      </w:tr>
    </w:tbl>
    <w:p w:rsidR="002C41C1" w:rsidRDefault="002C41C1" w:rsidP="005162A5">
      <w:pPr>
        <w:rPr>
          <w:lang w:eastAsia="en-US"/>
        </w:rPr>
      </w:pPr>
    </w:p>
    <w:p w:rsidR="002C41C1" w:rsidRDefault="002C41C1" w:rsidP="001B56F4">
      <w:pPr>
        <w:pStyle w:val="Vtneslovannadpis"/>
        <w:rPr>
          <w:lang w:eastAsia="en-US"/>
        </w:rPr>
      </w:pPr>
      <w:r>
        <w:rPr>
          <w:lang w:eastAsia="en-US"/>
        </w:rPr>
        <w:t>Analýza tržních selhání a suboptimální investiční situace</w:t>
      </w:r>
    </w:p>
    <w:p w:rsidR="002C41C1" w:rsidRDefault="002C41C1" w:rsidP="001B56F4">
      <w:pPr>
        <w:rPr>
          <w:lang w:eastAsia="en-US"/>
        </w:rPr>
      </w:pPr>
      <w:r>
        <w:rPr>
          <w:lang w:eastAsia="en-US"/>
        </w:rPr>
        <w:t>Z pohledu soukromých investorů nebo obcí jako vlastníků pozemků označených jako brownfields, spočívá nejsilnější tržní selhání jednoznačně v nákladovosti a v nezájmu investování do některých lokalit. Velká část BF je natolik zanedbaná a zatížená škodami (i ekologickými), že vyžaduje</w:t>
      </w:r>
      <w:r w:rsidR="00EA6531">
        <w:rPr>
          <w:lang w:eastAsia="en-US"/>
        </w:rPr>
        <w:t xml:space="preserve"> </w:t>
      </w:r>
      <w:r>
        <w:rPr>
          <w:lang w:eastAsia="en-US"/>
        </w:rPr>
        <w:t>příliš veliké investice na revitalizaci a z pohledu nákladů a výnosů se zcela se vymyká možnému tržnímu zájmu o jejich obnovu. Staré objekty sebou navíc nesou zvýšená rizika dodatečných neplánovaných nákladů po začátku investice.</w:t>
      </w:r>
      <w:r w:rsidR="00EA6531">
        <w:rPr>
          <w:lang w:eastAsia="en-US"/>
        </w:rPr>
        <w:t xml:space="preserve"> </w:t>
      </w:r>
      <w:r>
        <w:rPr>
          <w:lang w:eastAsia="en-US"/>
        </w:rPr>
        <w:t>Nízká poptávka po zanedbaných BF je způsobená také nenákladovými faktory. Z logistického hlediska jsou expanzívní tendence omezované vzdáleností potenciálního pozemku. Průmyslové zóny (BF), které se nacházejí v méně dostupných částech ČR, se mohou setkávat s nulovým zájmem o využití – to se týká velikého množství v současnosti evidovaných BF z oblasti zemědělství a bývalých vojenských objektů.</w:t>
      </w:r>
    </w:p>
    <w:p w:rsidR="002C41C1" w:rsidRDefault="002C41C1" w:rsidP="001B56F4">
      <w:pPr>
        <w:rPr>
          <w:lang w:eastAsia="en-US"/>
        </w:rPr>
      </w:pPr>
    </w:p>
    <w:p w:rsidR="002C41C1" w:rsidRDefault="002C41C1" w:rsidP="001B56F4">
      <w:pPr>
        <w:rPr>
          <w:lang w:eastAsia="en-US"/>
        </w:rPr>
      </w:pPr>
      <w:r>
        <w:rPr>
          <w:lang w:eastAsia="en-US"/>
        </w:rPr>
        <w:t>Existuje však i řada snáze</w:t>
      </w:r>
      <w:r w:rsidR="00EA6531">
        <w:rPr>
          <w:lang w:eastAsia="en-US"/>
        </w:rPr>
        <w:t xml:space="preserve"> </w:t>
      </w:r>
      <w:r>
        <w:rPr>
          <w:lang w:eastAsia="en-US"/>
        </w:rPr>
        <w:t>regenerovatelných objektů, které se mohou objevit v investičním plánu podniků a vykázat přijatelnou míru návratnosti.</w:t>
      </w:r>
      <w:r w:rsidR="00EA6531">
        <w:rPr>
          <w:lang w:eastAsia="en-US"/>
        </w:rPr>
        <w:t xml:space="preserve"> </w:t>
      </w:r>
      <w:r>
        <w:rPr>
          <w:lang w:eastAsia="en-US"/>
        </w:rPr>
        <w:t>Větší tržní investiční aktivitu u nich ale zamezuje fakt, že k mání jsou zpravidla</w:t>
      </w:r>
      <w:r w:rsidR="00EA6531">
        <w:rPr>
          <w:lang w:eastAsia="en-US"/>
        </w:rPr>
        <w:t xml:space="preserve"> </w:t>
      </w:r>
      <w:r>
        <w:rPr>
          <w:lang w:eastAsia="en-US"/>
        </w:rPr>
        <w:t>levněji dostupné pozemky typu greenfields (GF), kterým dá podnikatel uvažující podle čistě nákladových kritérií zpravidla přednost.</w:t>
      </w:r>
      <w:r w:rsidR="00EA6531">
        <w:rPr>
          <w:lang w:eastAsia="en-US"/>
        </w:rPr>
        <w:t xml:space="preserve"> </w:t>
      </w:r>
      <w:r>
        <w:rPr>
          <w:lang w:eastAsia="en-US"/>
        </w:rPr>
        <w:t xml:space="preserve">Tržní selhání v oblasti regenerace BF tedy nelze posuzovat jen z hlediska ekonomické návratnosti a rizik, ale též z pohledu srovnání investičních příležitostí podniku v BF a GF. Z těchto důvodů se nadále počítá s velkým podílem dotační podpory, která umožňuje regenerovat i nákladnější objekty bez jasně tržního potenciálu. </w:t>
      </w:r>
    </w:p>
    <w:p w:rsidR="002C41C1" w:rsidRDefault="002C41C1" w:rsidP="001B56F4">
      <w:pPr>
        <w:rPr>
          <w:lang w:eastAsia="en-US"/>
        </w:rPr>
      </w:pPr>
    </w:p>
    <w:p w:rsidR="002C41C1" w:rsidRDefault="002C41C1" w:rsidP="001B56F4">
      <w:pPr>
        <w:rPr>
          <w:lang w:eastAsia="en-US"/>
        </w:rPr>
      </w:pPr>
      <w:r>
        <w:rPr>
          <w:lang w:eastAsia="en-US"/>
        </w:rPr>
        <w:t xml:space="preserve">Z hlediska </w:t>
      </w:r>
      <w:r w:rsidRPr="00DF6E0B">
        <w:rPr>
          <w:lang w:eastAsia="en-US"/>
        </w:rPr>
        <w:t>přístupu k</w:t>
      </w:r>
      <w:r w:rsidRPr="00D144BB">
        <w:rPr>
          <w:lang w:eastAsia="en-US"/>
        </w:rPr>
        <w:t> </w:t>
      </w:r>
      <w:r w:rsidRPr="00DF6E0B">
        <w:rPr>
          <w:lang w:eastAsia="en-US"/>
        </w:rPr>
        <w:t>financování MSP na projekty tohoto druhu je třeba zmínit též problém spočívající v</w:t>
      </w:r>
      <w:r w:rsidRPr="00D144BB">
        <w:rPr>
          <w:lang w:eastAsia="en-US"/>
        </w:rPr>
        <w:t> </w:t>
      </w:r>
      <w:r w:rsidRPr="00DF6E0B">
        <w:rPr>
          <w:lang w:eastAsia="en-US"/>
        </w:rPr>
        <w:t>obtížnější úvěrovatelnosti z</w:t>
      </w:r>
      <w:r w:rsidRPr="00D144BB">
        <w:rPr>
          <w:lang w:eastAsia="en-US"/>
        </w:rPr>
        <w:t> </w:t>
      </w:r>
      <w:r w:rsidRPr="00DF6E0B">
        <w:rPr>
          <w:lang w:eastAsia="en-US"/>
        </w:rPr>
        <w:t>důvodu vysokých nákladů, nižší rentability a rizik z</w:t>
      </w:r>
      <w:r w:rsidRPr="00D144BB">
        <w:rPr>
          <w:lang w:eastAsia="en-US"/>
        </w:rPr>
        <w:t> </w:t>
      </w:r>
      <w:r w:rsidRPr="00DF6E0B">
        <w:rPr>
          <w:lang w:eastAsia="en-US"/>
        </w:rPr>
        <w:t>regenerace vyplývajících.</w:t>
      </w:r>
      <w:r w:rsidR="00EA6531">
        <w:rPr>
          <w:lang w:eastAsia="en-US"/>
        </w:rPr>
        <w:t xml:space="preserve"> </w:t>
      </w:r>
      <w:r w:rsidRPr="00DF6E0B">
        <w:rPr>
          <w:lang w:eastAsia="en-US"/>
        </w:rPr>
        <w:t>Z grafu 12 je patrné, že návratnost u BF je více než 5 let až u 80 % investičních záměrů. Z</w:t>
      </w:r>
      <w:r w:rsidRPr="00D144BB">
        <w:rPr>
          <w:lang w:eastAsia="en-US"/>
        </w:rPr>
        <w:t> </w:t>
      </w:r>
      <w:r w:rsidRPr="00DF6E0B">
        <w:rPr>
          <w:lang w:eastAsia="en-US"/>
        </w:rPr>
        <w:t>provedeného dotazníku v</w:t>
      </w:r>
      <w:r w:rsidRPr="001B56F4">
        <w:rPr>
          <w:lang w:eastAsia="en-US"/>
        </w:rPr>
        <w:t xml:space="preserve">ychází </w:t>
      </w:r>
      <w:r w:rsidRPr="00DF6E0B">
        <w:rPr>
          <w:b/>
          <w:lang w:eastAsia="en-US"/>
        </w:rPr>
        <w:t>průměrná návratnost 10,4 roku</w:t>
      </w:r>
      <w:r w:rsidRPr="001B56F4">
        <w:rPr>
          <w:lang w:eastAsia="en-US"/>
        </w:rPr>
        <w:t>.</w:t>
      </w:r>
    </w:p>
    <w:p w:rsidR="002C41C1" w:rsidRDefault="002C41C1" w:rsidP="001B56F4">
      <w:pPr>
        <w:rPr>
          <w:lang w:eastAsia="en-US"/>
        </w:rPr>
      </w:pPr>
    </w:p>
    <w:p w:rsidR="002C41C1" w:rsidRDefault="002C41C1" w:rsidP="00A44356">
      <w:pPr>
        <w:rPr>
          <w:lang w:eastAsia="en-US"/>
        </w:rPr>
      </w:pPr>
      <w:r>
        <w:rPr>
          <w:lang w:eastAsia="en-US"/>
        </w:rPr>
        <w:t>Relativně vysoký počet BF  zregenerovaných bez dotační podpory v minulém období i přes uvedené problémy indikuje, že existuje část podnikatelů, která bude pozitivně reagovat i na incentivizaci zvýhodněnými úvěry a snadnějším přístupem k externímu financování.</w:t>
      </w:r>
    </w:p>
    <w:p w:rsidR="002C41C1" w:rsidRDefault="002C41C1" w:rsidP="001B56F4">
      <w:pPr>
        <w:rPr>
          <w:lang w:eastAsia="en-US"/>
        </w:rPr>
      </w:pPr>
    </w:p>
    <w:p w:rsidR="002C41C1" w:rsidRDefault="005F2B40" w:rsidP="0067101E">
      <w:pPr>
        <w:pStyle w:val="BodyText1"/>
        <w:keepNext/>
        <w:jc w:val="center"/>
      </w:pPr>
      <w:r>
        <w:rPr>
          <w:noProof/>
          <w:lang w:eastAsia="cs-CZ"/>
        </w:rPr>
        <w:drawing>
          <wp:inline distT="0" distB="0" distL="0" distR="0" wp14:anchorId="50C73F26" wp14:editId="06CE8653">
            <wp:extent cx="2345690" cy="1749425"/>
            <wp:effectExtent l="0" t="0" r="0" b="3175"/>
            <wp:docPr id="22"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5690" cy="1749425"/>
                    </a:xfrm>
                    <a:prstGeom prst="rect">
                      <a:avLst/>
                    </a:prstGeom>
                    <a:noFill/>
                    <a:ln>
                      <a:noFill/>
                    </a:ln>
                  </pic:spPr>
                </pic:pic>
              </a:graphicData>
            </a:graphic>
          </wp:inline>
        </w:drawing>
      </w:r>
    </w:p>
    <w:p w:rsidR="002C41C1" w:rsidRDefault="002C41C1" w:rsidP="0067101E">
      <w:pPr>
        <w:pStyle w:val="Titulek"/>
        <w:jc w:val="center"/>
      </w:pPr>
      <w:r>
        <w:t>Graf 12: Očekávaná doba návratnosti</w:t>
      </w:r>
    </w:p>
    <w:p w:rsidR="002C41C1" w:rsidRDefault="002C41C1">
      <w:pPr>
        <w:pStyle w:val="Titulek"/>
        <w:jc w:val="center"/>
      </w:pPr>
      <w:r>
        <w:t xml:space="preserve">Zdroj: Dotazník ex ante FN </w:t>
      </w:r>
      <w:r w:rsidR="0084453C">
        <w:t>OP PIK</w:t>
      </w:r>
    </w:p>
    <w:p w:rsidR="002C41C1" w:rsidRDefault="002C41C1" w:rsidP="001B56F4">
      <w:pPr>
        <w:rPr>
          <w:lang w:eastAsia="en-US"/>
        </w:rPr>
      </w:pPr>
    </w:p>
    <w:p w:rsidR="002C41C1" w:rsidRDefault="002C41C1" w:rsidP="001B56F4">
      <w:pPr>
        <w:rPr>
          <w:lang w:eastAsia="en-US"/>
        </w:rPr>
      </w:pPr>
    </w:p>
    <w:p w:rsidR="002C41C1" w:rsidRDefault="002C41C1" w:rsidP="001B56F4">
      <w:pPr>
        <w:pStyle w:val="Vtneslovannadpis"/>
        <w:rPr>
          <w:lang w:eastAsia="en-US"/>
        </w:rPr>
      </w:pPr>
      <w:r w:rsidRPr="001B56F4">
        <w:rPr>
          <w:lang w:eastAsia="en-US"/>
        </w:rPr>
        <w:t>Návrh opatření</w:t>
      </w:r>
    </w:p>
    <w:p w:rsidR="002C41C1" w:rsidRDefault="002C41C1" w:rsidP="001B56F4">
      <w:pPr>
        <w:rPr>
          <w:lang w:eastAsia="en-US"/>
        </w:rPr>
      </w:pPr>
      <w:r w:rsidRPr="001B56F4">
        <w:rPr>
          <w:lang w:eastAsia="en-US"/>
        </w:rPr>
        <w:t>V minulém programovém období byly zdroje financování posky</w:t>
      </w:r>
      <w:r w:rsidR="00EA6531">
        <w:rPr>
          <w:lang w:eastAsia="en-US"/>
        </w:rPr>
        <w:t>tnuté formou dotace až do výše 6</w:t>
      </w:r>
      <w:r w:rsidRPr="001B56F4">
        <w:rPr>
          <w:lang w:eastAsia="en-US"/>
        </w:rPr>
        <w:t>0</w:t>
      </w:r>
      <w:r w:rsidR="00EA6531">
        <w:rPr>
          <w:lang w:eastAsia="en-US"/>
        </w:rPr>
        <w:t>-70</w:t>
      </w:r>
      <w:r w:rsidRPr="001B56F4">
        <w:rPr>
          <w:lang w:eastAsia="en-US"/>
        </w:rPr>
        <w:t xml:space="preserve"> % způsobilých nákladů</w:t>
      </w:r>
      <w:r w:rsidR="00EA6531">
        <w:rPr>
          <w:lang w:eastAsia="en-US"/>
        </w:rPr>
        <w:t xml:space="preserve"> (v závislosti na programu podpory)</w:t>
      </w:r>
      <w:r w:rsidRPr="001B56F4">
        <w:rPr>
          <w:lang w:eastAsia="en-US"/>
        </w:rPr>
        <w:t xml:space="preserve">. Snížení </w:t>
      </w:r>
      <w:r w:rsidR="00EA6531">
        <w:rPr>
          <w:lang w:eastAsia="en-US"/>
        </w:rPr>
        <w:t>maximální výše dotace na 4</w:t>
      </w:r>
      <w:r w:rsidRPr="001B56F4">
        <w:rPr>
          <w:lang w:eastAsia="en-US"/>
        </w:rPr>
        <w:t xml:space="preserve">5 % může působit na </w:t>
      </w:r>
      <w:r>
        <w:rPr>
          <w:lang w:eastAsia="en-US"/>
        </w:rPr>
        <w:t xml:space="preserve">absorpční kapacitu </w:t>
      </w:r>
      <w:r w:rsidRPr="001B56F4">
        <w:rPr>
          <w:lang w:eastAsia="en-US"/>
        </w:rPr>
        <w:t>MSP snažící se o regeneraci BF spíš</w:t>
      </w:r>
      <w:r w:rsidR="00EA6531">
        <w:rPr>
          <w:lang w:eastAsia="en-US"/>
        </w:rPr>
        <w:t>e</w:t>
      </w:r>
      <w:r w:rsidRPr="001B56F4">
        <w:rPr>
          <w:lang w:eastAsia="en-US"/>
        </w:rPr>
        <w:t xml:space="preserve"> negativně. </w:t>
      </w:r>
      <w:r>
        <w:rPr>
          <w:lang w:eastAsia="en-US"/>
        </w:rPr>
        <w:t xml:space="preserve"> Přesto se vzhledem k relativně vysokému přebytku poptávky po podpoře v minulých letech a nižší alokaci pro SC 2.3 dá předpokládat, že dotace celou poptávku zdaleka nepokryjí.</w:t>
      </w:r>
    </w:p>
    <w:p w:rsidR="002C41C1" w:rsidRDefault="002C41C1" w:rsidP="001B56F4">
      <w:pPr>
        <w:rPr>
          <w:lang w:eastAsia="en-US"/>
        </w:rPr>
      </w:pPr>
    </w:p>
    <w:p w:rsidR="002C41C1" w:rsidRDefault="002C41C1" w:rsidP="001B56F4">
      <w:pPr>
        <w:rPr>
          <w:shd w:val="clear" w:color="auto" w:fill="FFFFFF"/>
          <w:lang w:eastAsia="en-US"/>
        </w:rPr>
      </w:pPr>
      <w:r>
        <w:rPr>
          <w:lang w:eastAsia="en-US"/>
        </w:rPr>
        <w:t xml:space="preserve">Jako doplňkovou formu podpory tedy navrhujeme zavést finanční nástroj formou zvýhodněných úvěrů se sníženou úrokovou sazbou a prodlouženou dobou splácení, s příspěvkem na projektovou dokumentaci. </w:t>
      </w:r>
      <w:r w:rsidRPr="00DF6E0B">
        <w:rPr>
          <w:shd w:val="clear" w:color="auto" w:fill="FFFFFF"/>
          <w:lang w:eastAsia="en-US"/>
        </w:rPr>
        <w:t>Využití IFN podporuje také skutečnost, že v novém programovém období se snížila alokace</w:t>
      </w:r>
      <w:r w:rsidR="00EA6531">
        <w:rPr>
          <w:shd w:val="clear" w:color="auto" w:fill="FFFFFF"/>
          <w:lang w:eastAsia="en-US"/>
        </w:rPr>
        <w:t xml:space="preserve"> klíčového programu Nemovitosti</w:t>
      </w:r>
      <w:r w:rsidRPr="00DF6E0B">
        <w:rPr>
          <w:shd w:val="clear" w:color="auto" w:fill="FFFFFF"/>
          <w:lang w:eastAsia="en-US"/>
        </w:rPr>
        <w:t xml:space="preserve"> z 10 mld. Kč na 3,82 mld. Kč a pokud chce ŘO orgán udržet investiční aktivitu na stejné úrovni jako v minulém období, potřebuje množství zdrojů zapákovat přes revolvingový mechanismus.</w:t>
      </w:r>
    </w:p>
    <w:p w:rsidR="002C41C1" w:rsidRDefault="002C41C1" w:rsidP="001B56F4">
      <w:pPr>
        <w:rPr>
          <w:shd w:val="clear" w:color="auto" w:fill="FFFFFF"/>
          <w:lang w:eastAsia="en-US"/>
        </w:rPr>
      </w:pPr>
    </w:p>
    <w:p w:rsidR="002C41C1" w:rsidRPr="001B56F4" w:rsidRDefault="002C41C1" w:rsidP="001B56F4">
      <w:pPr>
        <w:rPr>
          <w:lang w:eastAsia="en-US"/>
        </w:rPr>
      </w:pPr>
      <w:r>
        <w:rPr>
          <w:lang w:eastAsia="en-US"/>
        </w:rPr>
        <w:t xml:space="preserve">Vzhledem ke značně různorodému stavu jednotlivých brownfieldů a zanedbaných podnikatelských nemovitostí existuje i v této oblasti potenciál poptávky, jak ukazuje dosavadní investiční aktivita i </w:t>
      </w:r>
      <w:r w:rsidR="00EA6531">
        <w:rPr>
          <w:lang w:eastAsia="en-US"/>
        </w:rPr>
        <w:t xml:space="preserve">výsledky </w:t>
      </w:r>
      <w:r>
        <w:rPr>
          <w:lang w:eastAsia="en-US"/>
        </w:rPr>
        <w:t>dotazník</w:t>
      </w:r>
      <w:r w:rsidR="00EA6531">
        <w:rPr>
          <w:lang w:eastAsia="en-US"/>
        </w:rPr>
        <w:t>ového šetření</w:t>
      </w:r>
      <w:r>
        <w:rPr>
          <w:lang w:eastAsia="en-US"/>
        </w:rPr>
        <w:t>. V principu finanční nástroj může pokrýt ten segment podnikatelských BF, který nevyžaduje tak velké dodatečné investice, či do něj podnikatel hodlá investovat</w:t>
      </w:r>
      <w:r w:rsidR="00EA6531">
        <w:rPr>
          <w:lang w:eastAsia="en-US"/>
        </w:rPr>
        <w:t xml:space="preserve"> </w:t>
      </w:r>
      <w:r>
        <w:rPr>
          <w:lang w:eastAsia="en-US"/>
        </w:rPr>
        <w:t xml:space="preserve">z důvodu bezprostřední blízkosti na jeho stávající výrobní areál, čímž se stává výhodnějším, než jinde umístěné greenfieldy. U těchto typů BF je zbytečné poskytovat vysokou dotační </w:t>
      </w:r>
      <w:r w:rsidRPr="00DF6E0B">
        <w:rPr>
          <w:lang w:eastAsia="en-US"/>
        </w:rPr>
        <w:t>podporu, zvýhodněný úvěr nicméně může pomoci snadn</w:t>
      </w:r>
      <w:r w:rsidR="00EA6531">
        <w:rPr>
          <w:lang w:eastAsia="en-US"/>
        </w:rPr>
        <w:t>ějším přístupem</w:t>
      </w:r>
      <w:r w:rsidRPr="00DF6E0B">
        <w:rPr>
          <w:lang w:eastAsia="en-US"/>
        </w:rPr>
        <w:t xml:space="preserve"> k</w:t>
      </w:r>
      <w:r>
        <w:rPr>
          <w:lang w:eastAsia="en-US"/>
        </w:rPr>
        <w:t xml:space="preserve"> externímu </w:t>
      </w:r>
      <w:r w:rsidRPr="00DF6E0B">
        <w:rPr>
          <w:lang w:eastAsia="en-US"/>
        </w:rPr>
        <w:t>financování.</w:t>
      </w:r>
    </w:p>
    <w:p w:rsidR="002C41C1" w:rsidRPr="001B56F4" w:rsidRDefault="002C41C1" w:rsidP="001B56F4">
      <w:pPr>
        <w:rPr>
          <w:lang w:eastAsia="en-US"/>
        </w:rPr>
      </w:pPr>
    </w:p>
    <w:p w:rsidR="002C41C1" w:rsidRPr="00D542C6" w:rsidRDefault="002C41C1" w:rsidP="005E533B">
      <w:pPr>
        <w:rPr>
          <w:lang w:eastAsia="en-US"/>
        </w:rPr>
      </w:pPr>
      <w:r w:rsidRPr="001B56F4">
        <w:rPr>
          <w:lang w:eastAsia="en-US"/>
        </w:rPr>
        <w:t xml:space="preserve">Banky jsou v současné době ochotny půjčovat za velmi dobrých podmínek. Kromě ekonomické smysluplnosti projektu ovšem často trvají na splnění jiných kritérií, jako kreditní historie, velikost, záruky, atd. Zvýhodněné úvěrové nástroje umožňují získat financování firmám, které chtějí realizovat ziskový záměr, ale nesplňují některou z dalších podmínek komerčních bank. Poskytování úvěrů doporučujeme aplikovat při konfliktu profilu žadatele s kritérii komerčních bank ve více oblastech, např. též co se týče </w:t>
      </w:r>
      <w:r w:rsidRPr="00DF6E0B">
        <w:rPr>
          <w:lang w:eastAsia="en-US"/>
        </w:rPr>
        <w:t>velikosti a nákladovosti projektu, doby návratnosti projektu nebo pochybné až žádné historie.</w:t>
      </w:r>
    </w:p>
    <w:p w:rsidR="002C41C1" w:rsidRPr="00D542C6" w:rsidRDefault="002C41C1" w:rsidP="005E533B">
      <w:pPr>
        <w:rPr>
          <w:lang w:eastAsia="en-US"/>
        </w:rPr>
      </w:pPr>
    </w:p>
    <w:p w:rsidR="002C41C1" w:rsidRPr="00D542C6" w:rsidRDefault="002C41C1" w:rsidP="005E533B">
      <w:pPr>
        <w:rPr>
          <w:lang w:eastAsia="en-US"/>
        </w:rPr>
      </w:pPr>
      <w:r w:rsidRPr="00DF6E0B">
        <w:rPr>
          <w:lang w:eastAsia="en-US"/>
        </w:rPr>
        <w:t>Zároveň je ve fázi diskuze varianta podpory BF formou státního kapitálového fondu, který by přímo prováděl regeneraci vhodných BF a následně je za tržních podmínek prodával k</w:t>
      </w:r>
      <w:r w:rsidRPr="00D144BB">
        <w:rPr>
          <w:lang w:eastAsia="en-US"/>
        </w:rPr>
        <w:t> </w:t>
      </w:r>
      <w:r w:rsidRPr="00DF6E0B">
        <w:rPr>
          <w:lang w:eastAsia="en-US"/>
        </w:rPr>
        <w:t>užití MSP.</w:t>
      </w:r>
    </w:p>
    <w:p w:rsidR="002C41C1" w:rsidRPr="00D542C6" w:rsidRDefault="002C41C1" w:rsidP="005E533B">
      <w:pPr>
        <w:rPr>
          <w:lang w:eastAsia="en-US"/>
        </w:rPr>
      </w:pPr>
    </w:p>
    <w:p w:rsidR="002C41C1" w:rsidRPr="00D542C6" w:rsidRDefault="002C41C1" w:rsidP="001B56F4">
      <w:pPr>
        <w:rPr>
          <w:lang w:eastAsia="en-US"/>
        </w:rPr>
      </w:pPr>
      <w:r w:rsidRPr="00DF6E0B">
        <w:rPr>
          <w:lang w:eastAsia="en-US"/>
        </w:rPr>
        <w:t>Dodavatel doporučuje ponechat v</w:t>
      </w:r>
      <w:r w:rsidRPr="00D144BB">
        <w:rPr>
          <w:lang w:eastAsia="en-US"/>
        </w:rPr>
        <w:t> </w:t>
      </w:r>
      <w:r w:rsidRPr="00DF6E0B">
        <w:rPr>
          <w:lang w:eastAsia="en-US"/>
        </w:rPr>
        <w:t>dotačním režimu podpory především projekty veřejnoprávních žadatelů, naopak projekty podnikatelského sektoru navrhuje podporovat formou zvýhodněných úvěrů. V</w:t>
      </w:r>
      <w:r w:rsidRPr="00D144BB">
        <w:rPr>
          <w:lang w:eastAsia="en-US"/>
        </w:rPr>
        <w:t> </w:t>
      </w:r>
      <w:r w:rsidRPr="00DF6E0B">
        <w:rPr>
          <w:lang w:eastAsia="en-US"/>
        </w:rPr>
        <w:t>souladu s</w:t>
      </w:r>
      <w:r w:rsidRPr="00D144BB">
        <w:rPr>
          <w:lang w:eastAsia="en-US"/>
        </w:rPr>
        <w:t> </w:t>
      </w:r>
      <w:r w:rsidRPr="00DF6E0B">
        <w:rPr>
          <w:lang w:eastAsia="en-US"/>
        </w:rPr>
        <w:t>tím dodavatel navrhuje poměr IFN a přímých dotaci na celkové alokaci přizpůsobit poměru BF vlastněných veřejným sektorem a BF v dezolátním stavu proti BF v soukromém vlastnictví způsobilých čerpat zvýhodněné úvěry z revolvingových fondů.</w:t>
      </w:r>
      <w:r>
        <w:rPr>
          <w:lang w:eastAsia="en-US"/>
        </w:rPr>
        <w:t xml:space="preserve"> Z</w:t>
      </w:r>
      <w:r w:rsidRPr="00DF6E0B">
        <w:rPr>
          <w:lang w:eastAsia="en-US"/>
        </w:rPr>
        <w:t xml:space="preserve">výhodněné </w:t>
      </w:r>
      <w:r>
        <w:rPr>
          <w:lang w:eastAsia="en-US"/>
        </w:rPr>
        <w:t xml:space="preserve">by měly být </w:t>
      </w:r>
      <w:r w:rsidRPr="00DF6E0B">
        <w:rPr>
          <w:lang w:eastAsia="en-US"/>
        </w:rPr>
        <w:t xml:space="preserve">projekty, které jsou zveřejněné v databázi BF. </w:t>
      </w:r>
    </w:p>
    <w:p w:rsidR="002C41C1" w:rsidRPr="00D542C6" w:rsidRDefault="002C41C1" w:rsidP="001B56F4">
      <w:pPr>
        <w:rPr>
          <w:lang w:eastAsia="en-US"/>
        </w:rPr>
      </w:pPr>
    </w:p>
    <w:p w:rsidR="002C41C1" w:rsidDel="005E533B" w:rsidRDefault="002C41C1" w:rsidP="001B56F4">
      <w:pPr>
        <w:rPr>
          <w:lang w:eastAsia="en-US"/>
        </w:rPr>
      </w:pPr>
    </w:p>
    <w:p w:rsidR="002C41C1" w:rsidRDefault="002C41C1" w:rsidP="001B56F4">
      <w:pPr>
        <w:rPr>
          <w:lang w:eastAsia="en-US"/>
        </w:rPr>
      </w:pPr>
    </w:p>
    <w:tbl>
      <w:tblPr>
        <w:tblW w:w="5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67"/>
        <w:gridCol w:w="399"/>
        <w:gridCol w:w="1586"/>
        <w:gridCol w:w="1136"/>
        <w:gridCol w:w="2307"/>
      </w:tblGrid>
      <w:tr w:rsidR="002C41C1" w:rsidRPr="00661000" w:rsidTr="001B56F4">
        <w:trPr>
          <w:cantSplit/>
          <w:trHeight w:val="20"/>
          <w:jc w:val="center"/>
        </w:trPr>
        <w:tc>
          <w:tcPr>
            <w:tcW w:w="567" w:type="dxa"/>
            <w:tcBorders>
              <w:top w:val="nil"/>
              <w:left w:val="nil"/>
              <w:bottom w:val="nil"/>
              <w:right w:val="nil"/>
            </w:tcBorders>
            <w:noWrap/>
            <w:vAlign w:val="bottom"/>
          </w:tcPr>
          <w:p w:rsidR="002C41C1" w:rsidRDefault="002C41C1">
            <w:pPr>
              <w:jc w:val="left"/>
              <w:rPr>
                <w:rFonts w:ascii="Arial" w:hAnsi="Arial" w:cs="Arial"/>
                <w:color w:val="000000"/>
                <w:sz w:val="18"/>
                <w:szCs w:val="18"/>
              </w:rPr>
            </w:pPr>
          </w:p>
        </w:tc>
        <w:tc>
          <w:tcPr>
            <w:tcW w:w="399" w:type="dxa"/>
            <w:tcBorders>
              <w:top w:val="nil"/>
              <w:left w:val="nil"/>
              <w:bottom w:val="nil"/>
            </w:tcBorders>
            <w:noWrap/>
            <w:vAlign w:val="bottom"/>
          </w:tcPr>
          <w:p w:rsidR="002C41C1" w:rsidRDefault="002C41C1">
            <w:pPr>
              <w:jc w:val="left"/>
              <w:rPr>
                <w:rFonts w:ascii="Arial" w:hAnsi="Arial" w:cs="Arial"/>
                <w:color w:val="000000"/>
                <w:sz w:val="18"/>
                <w:szCs w:val="18"/>
              </w:rPr>
            </w:pPr>
          </w:p>
        </w:tc>
        <w:tc>
          <w:tcPr>
            <w:tcW w:w="5029" w:type="dxa"/>
            <w:gridSpan w:val="3"/>
            <w:shd w:val="clear" w:color="auto" w:fill="EAF1DD"/>
            <w:vAlign w:val="center"/>
          </w:tcPr>
          <w:p w:rsidR="002C41C1" w:rsidRDefault="00EA6531">
            <w:pPr>
              <w:jc w:val="center"/>
              <w:rPr>
                <w:rFonts w:ascii="Arial" w:hAnsi="Arial" w:cs="Arial"/>
                <w:b/>
                <w:bCs/>
                <w:color w:val="000000"/>
                <w:sz w:val="18"/>
                <w:szCs w:val="18"/>
              </w:rPr>
            </w:pPr>
            <w:r>
              <w:rPr>
                <w:b/>
                <w:bCs/>
                <w:color w:val="000000"/>
                <w:sz w:val="18"/>
                <w:szCs w:val="18"/>
              </w:rPr>
              <w:t>Nástroje podpory</w:t>
            </w:r>
          </w:p>
        </w:tc>
      </w:tr>
      <w:tr w:rsidR="002C41C1" w:rsidRPr="00661000" w:rsidTr="001B56F4">
        <w:trPr>
          <w:cantSplit/>
          <w:trHeight w:val="20"/>
          <w:jc w:val="center"/>
        </w:trPr>
        <w:tc>
          <w:tcPr>
            <w:tcW w:w="567" w:type="dxa"/>
            <w:tcBorders>
              <w:top w:val="nil"/>
              <w:left w:val="nil"/>
              <w:bottom w:val="nil"/>
              <w:right w:val="nil"/>
            </w:tcBorders>
            <w:noWrap/>
            <w:vAlign w:val="bottom"/>
          </w:tcPr>
          <w:p w:rsidR="002C41C1" w:rsidRDefault="002C41C1">
            <w:pPr>
              <w:jc w:val="left"/>
              <w:rPr>
                <w:rFonts w:ascii="Arial" w:hAnsi="Arial" w:cs="Arial"/>
                <w:color w:val="000000"/>
                <w:sz w:val="18"/>
                <w:szCs w:val="18"/>
              </w:rPr>
            </w:pPr>
            <w:r w:rsidRPr="00661000">
              <w:rPr>
                <w:color w:val="000000"/>
                <w:sz w:val="18"/>
                <w:szCs w:val="18"/>
              </w:rPr>
              <w:t> </w:t>
            </w:r>
          </w:p>
        </w:tc>
        <w:tc>
          <w:tcPr>
            <w:tcW w:w="399" w:type="dxa"/>
            <w:tcBorders>
              <w:top w:val="nil"/>
              <w:left w:val="nil"/>
              <w:bottom w:val="nil"/>
            </w:tcBorders>
            <w:noWrap/>
            <w:vAlign w:val="bottom"/>
          </w:tcPr>
          <w:p w:rsidR="002C41C1" w:rsidRDefault="002C41C1">
            <w:pPr>
              <w:jc w:val="left"/>
              <w:rPr>
                <w:rFonts w:ascii="Arial" w:hAnsi="Arial" w:cs="Arial"/>
                <w:color w:val="000000"/>
                <w:sz w:val="18"/>
                <w:szCs w:val="18"/>
              </w:rPr>
            </w:pPr>
            <w:r w:rsidRPr="00661000">
              <w:rPr>
                <w:color w:val="000000"/>
                <w:sz w:val="18"/>
                <w:szCs w:val="18"/>
              </w:rPr>
              <w:t> </w:t>
            </w:r>
          </w:p>
        </w:tc>
        <w:tc>
          <w:tcPr>
            <w:tcW w:w="2722" w:type="dxa"/>
            <w:gridSpan w:val="2"/>
            <w:shd w:val="clear" w:color="auto" w:fill="EAF1DD"/>
            <w:vAlign w:val="center"/>
          </w:tcPr>
          <w:p w:rsidR="002C41C1" w:rsidRDefault="002C41C1">
            <w:pPr>
              <w:jc w:val="center"/>
              <w:rPr>
                <w:rFonts w:ascii="Arial" w:hAnsi="Arial" w:cs="Arial"/>
                <w:b/>
                <w:bCs/>
                <w:color w:val="000000"/>
                <w:sz w:val="18"/>
                <w:szCs w:val="18"/>
              </w:rPr>
            </w:pPr>
            <w:r w:rsidRPr="00661000">
              <w:rPr>
                <w:b/>
                <w:bCs/>
                <w:color w:val="000000"/>
                <w:sz w:val="18"/>
                <w:szCs w:val="18"/>
              </w:rPr>
              <w:t>Dotace</w:t>
            </w:r>
          </w:p>
        </w:tc>
        <w:tc>
          <w:tcPr>
            <w:tcW w:w="2307" w:type="dxa"/>
            <w:shd w:val="clear" w:color="auto" w:fill="EAF1DD"/>
            <w:vAlign w:val="center"/>
          </w:tcPr>
          <w:p w:rsidR="002C41C1" w:rsidRDefault="002C41C1">
            <w:pPr>
              <w:jc w:val="center"/>
              <w:rPr>
                <w:rFonts w:ascii="Arial" w:hAnsi="Arial" w:cs="Arial"/>
                <w:b/>
                <w:bCs/>
                <w:color w:val="000000"/>
                <w:sz w:val="18"/>
                <w:szCs w:val="18"/>
              </w:rPr>
            </w:pPr>
            <w:r w:rsidRPr="00661000">
              <w:rPr>
                <w:b/>
                <w:bCs/>
                <w:color w:val="000000"/>
                <w:sz w:val="18"/>
                <w:szCs w:val="18"/>
              </w:rPr>
              <w:t>Úvěry MSP</w:t>
            </w:r>
          </w:p>
        </w:tc>
      </w:tr>
      <w:tr w:rsidR="002C41C1" w:rsidRPr="00661000" w:rsidTr="001B56F4">
        <w:trPr>
          <w:cantSplit/>
          <w:trHeight w:val="20"/>
          <w:jc w:val="center"/>
        </w:trPr>
        <w:tc>
          <w:tcPr>
            <w:tcW w:w="567" w:type="dxa"/>
            <w:vMerge w:val="restart"/>
            <w:shd w:val="clear" w:color="auto" w:fill="B6DDE8"/>
            <w:noWrap/>
            <w:textDirection w:val="btLr"/>
            <w:vAlign w:val="center"/>
          </w:tcPr>
          <w:p w:rsidR="002C41C1" w:rsidRDefault="00EA6531">
            <w:pPr>
              <w:jc w:val="center"/>
              <w:rPr>
                <w:rFonts w:ascii="Arial" w:hAnsi="Arial" w:cs="Arial"/>
                <w:b/>
                <w:bCs/>
                <w:color w:val="000000"/>
                <w:sz w:val="18"/>
                <w:szCs w:val="18"/>
              </w:rPr>
            </w:pPr>
            <w:r>
              <w:rPr>
                <w:b/>
                <w:bCs/>
                <w:color w:val="000000"/>
                <w:sz w:val="18"/>
                <w:szCs w:val="18"/>
              </w:rPr>
              <w:t>Přidaná hodnota</w:t>
            </w:r>
          </w:p>
        </w:tc>
        <w:tc>
          <w:tcPr>
            <w:tcW w:w="399" w:type="dxa"/>
            <w:vMerge w:val="restart"/>
            <w:shd w:val="clear" w:color="auto" w:fill="B6DDE8"/>
            <w:noWrap/>
            <w:textDirection w:val="btLr"/>
            <w:vAlign w:val="center"/>
          </w:tcPr>
          <w:p w:rsidR="002C41C1" w:rsidRDefault="00EA6531" w:rsidP="00EA6531">
            <w:pPr>
              <w:jc w:val="center"/>
              <w:rPr>
                <w:rFonts w:ascii="Arial" w:hAnsi="Arial" w:cs="Arial"/>
                <w:b/>
                <w:bCs/>
                <w:color w:val="000000"/>
                <w:sz w:val="18"/>
                <w:szCs w:val="18"/>
              </w:rPr>
            </w:pPr>
            <w:r>
              <w:rPr>
                <w:b/>
                <w:bCs/>
                <w:color w:val="000000"/>
                <w:sz w:val="18"/>
                <w:szCs w:val="18"/>
              </w:rPr>
              <w:t>Konečný p</w:t>
            </w:r>
            <w:r w:rsidR="002C41C1" w:rsidRPr="00661000">
              <w:rPr>
                <w:b/>
                <w:bCs/>
                <w:color w:val="000000"/>
                <w:sz w:val="18"/>
                <w:szCs w:val="18"/>
              </w:rPr>
              <w:t>říjemce</w:t>
            </w:r>
          </w:p>
        </w:tc>
        <w:tc>
          <w:tcPr>
            <w:tcW w:w="2722" w:type="dxa"/>
            <w:gridSpan w:val="2"/>
            <w:tcBorders>
              <w:bottom w:val="nil"/>
            </w:tcBorders>
            <w:shd w:val="clear" w:color="auto" w:fill="B6DDE8"/>
            <w:vAlign w:val="center"/>
          </w:tcPr>
          <w:p w:rsidR="002C41C1" w:rsidRDefault="002C41C1">
            <w:pPr>
              <w:jc w:val="center"/>
              <w:rPr>
                <w:rFonts w:ascii="Arial" w:hAnsi="Arial" w:cs="Arial"/>
                <w:color w:val="000000"/>
                <w:sz w:val="18"/>
                <w:szCs w:val="18"/>
              </w:rPr>
            </w:pPr>
            <w:r w:rsidRPr="00661000">
              <w:rPr>
                <w:color w:val="000000"/>
                <w:sz w:val="18"/>
                <w:szCs w:val="18"/>
              </w:rPr>
              <w:t>Úhrada třetiny realizovatelných nákladů</w:t>
            </w:r>
          </w:p>
        </w:tc>
        <w:tc>
          <w:tcPr>
            <w:tcW w:w="2307" w:type="dxa"/>
            <w:tcBorders>
              <w:bottom w:val="nil"/>
            </w:tcBorders>
            <w:shd w:val="clear" w:color="auto" w:fill="B6DDE8"/>
            <w:vAlign w:val="center"/>
          </w:tcPr>
          <w:p w:rsidR="002C41C1" w:rsidRDefault="002C41C1">
            <w:pPr>
              <w:jc w:val="center"/>
              <w:rPr>
                <w:rFonts w:ascii="Arial" w:hAnsi="Arial" w:cs="Arial"/>
                <w:color w:val="000000"/>
                <w:sz w:val="18"/>
                <w:szCs w:val="18"/>
              </w:rPr>
            </w:pPr>
            <w:r w:rsidRPr="00661000">
              <w:rPr>
                <w:color w:val="000000"/>
                <w:sz w:val="18"/>
                <w:szCs w:val="18"/>
              </w:rPr>
              <w:t>Zpřístupnění nedosažitelného financování</w:t>
            </w:r>
          </w:p>
        </w:tc>
      </w:tr>
      <w:tr w:rsidR="002C41C1" w:rsidRPr="00661000" w:rsidTr="001B56F4">
        <w:trPr>
          <w:cantSplit/>
          <w:trHeight w:val="20"/>
          <w:jc w:val="center"/>
        </w:trPr>
        <w:tc>
          <w:tcPr>
            <w:tcW w:w="0" w:type="auto"/>
            <w:vMerge/>
            <w:vAlign w:val="center"/>
          </w:tcPr>
          <w:p w:rsidR="002C41C1" w:rsidRDefault="002C41C1">
            <w:pPr>
              <w:jc w:val="left"/>
              <w:rPr>
                <w:rFonts w:ascii="Arial" w:hAnsi="Arial" w:cs="Arial"/>
                <w:b/>
                <w:bCs/>
                <w:color w:val="000000"/>
                <w:sz w:val="18"/>
                <w:szCs w:val="18"/>
              </w:rPr>
            </w:pPr>
          </w:p>
        </w:tc>
        <w:tc>
          <w:tcPr>
            <w:tcW w:w="0" w:type="auto"/>
            <w:vMerge/>
            <w:vAlign w:val="center"/>
          </w:tcPr>
          <w:p w:rsidR="002C41C1" w:rsidRDefault="002C41C1">
            <w:pPr>
              <w:jc w:val="left"/>
              <w:rPr>
                <w:rFonts w:ascii="Arial" w:hAnsi="Arial" w:cs="Arial"/>
                <w:b/>
                <w:bCs/>
                <w:color w:val="000000"/>
                <w:sz w:val="18"/>
                <w:szCs w:val="18"/>
              </w:rPr>
            </w:pPr>
          </w:p>
        </w:tc>
        <w:tc>
          <w:tcPr>
            <w:tcW w:w="2722" w:type="dxa"/>
            <w:gridSpan w:val="2"/>
            <w:tcBorders>
              <w:top w:val="nil"/>
              <w:bottom w:val="nil"/>
            </w:tcBorders>
            <w:shd w:val="clear" w:color="auto" w:fill="B6DDE8"/>
            <w:vAlign w:val="center"/>
          </w:tcPr>
          <w:p w:rsidR="002C41C1" w:rsidRDefault="002C41C1">
            <w:pPr>
              <w:jc w:val="center"/>
              <w:rPr>
                <w:rFonts w:ascii="Arial" w:hAnsi="Arial" w:cs="Arial"/>
                <w:color w:val="000000"/>
                <w:sz w:val="18"/>
                <w:szCs w:val="18"/>
              </w:rPr>
            </w:pPr>
            <w:r w:rsidRPr="00661000">
              <w:rPr>
                <w:color w:val="000000"/>
                <w:sz w:val="18"/>
                <w:szCs w:val="18"/>
              </w:rPr>
              <w:t>Zpřístupnění nedosažitelného financování po obdržení dotace</w:t>
            </w:r>
          </w:p>
        </w:tc>
        <w:tc>
          <w:tcPr>
            <w:tcW w:w="2307" w:type="dxa"/>
            <w:tcBorders>
              <w:top w:val="nil"/>
              <w:bottom w:val="nil"/>
            </w:tcBorders>
            <w:shd w:val="clear" w:color="auto" w:fill="B6DDE8"/>
            <w:vAlign w:val="center"/>
          </w:tcPr>
          <w:p w:rsidR="002C41C1" w:rsidRDefault="002C41C1">
            <w:pPr>
              <w:jc w:val="center"/>
              <w:rPr>
                <w:rFonts w:ascii="Arial" w:hAnsi="Arial" w:cs="Arial"/>
                <w:color w:val="000000"/>
                <w:sz w:val="18"/>
                <w:szCs w:val="18"/>
              </w:rPr>
            </w:pPr>
            <w:r w:rsidRPr="00661000">
              <w:rPr>
                <w:color w:val="000000"/>
                <w:sz w:val="18"/>
                <w:szCs w:val="18"/>
              </w:rPr>
              <w:t>Snížení úrokové sazby</w:t>
            </w:r>
          </w:p>
        </w:tc>
      </w:tr>
      <w:tr w:rsidR="002C41C1" w:rsidRPr="00661000" w:rsidTr="001B56F4">
        <w:trPr>
          <w:cantSplit/>
          <w:trHeight w:val="20"/>
          <w:jc w:val="center"/>
        </w:trPr>
        <w:tc>
          <w:tcPr>
            <w:tcW w:w="0" w:type="auto"/>
            <w:vMerge/>
            <w:vAlign w:val="center"/>
          </w:tcPr>
          <w:p w:rsidR="002C41C1" w:rsidRDefault="002C41C1">
            <w:pPr>
              <w:jc w:val="left"/>
              <w:rPr>
                <w:rFonts w:ascii="Arial" w:hAnsi="Arial" w:cs="Arial"/>
                <w:b/>
                <w:bCs/>
                <w:color w:val="000000"/>
                <w:sz w:val="18"/>
                <w:szCs w:val="18"/>
              </w:rPr>
            </w:pPr>
          </w:p>
        </w:tc>
        <w:tc>
          <w:tcPr>
            <w:tcW w:w="0" w:type="auto"/>
            <w:vMerge/>
            <w:vAlign w:val="center"/>
          </w:tcPr>
          <w:p w:rsidR="002C41C1" w:rsidRDefault="002C41C1">
            <w:pPr>
              <w:jc w:val="left"/>
              <w:rPr>
                <w:rFonts w:ascii="Arial" w:hAnsi="Arial" w:cs="Arial"/>
                <w:b/>
                <w:bCs/>
                <w:color w:val="000000"/>
                <w:sz w:val="18"/>
                <w:szCs w:val="18"/>
              </w:rPr>
            </w:pPr>
          </w:p>
        </w:tc>
        <w:tc>
          <w:tcPr>
            <w:tcW w:w="2722" w:type="dxa"/>
            <w:gridSpan w:val="2"/>
            <w:tcBorders>
              <w:top w:val="nil"/>
              <w:bottom w:val="nil"/>
            </w:tcBorders>
            <w:shd w:val="clear" w:color="auto" w:fill="B6DDE8"/>
            <w:noWrap/>
            <w:vAlign w:val="center"/>
          </w:tcPr>
          <w:p w:rsidR="002C41C1" w:rsidRDefault="002C41C1">
            <w:pPr>
              <w:jc w:val="center"/>
              <w:rPr>
                <w:rFonts w:ascii="Arial" w:hAnsi="Arial" w:cs="Arial"/>
                <w:color w:val="000000"/>
                <w:sz w:val="18"/>
                <w:szCs w:val="18"/>
              </w:rPr>
            </w:pPr>
            <w:r w:rsidRPr="00661000">
              <w:rPr>
                <w:color w:val="000000"/>
                <w:sz w:val="18"/>
                <w:szCs w:val="18"/>
              </w:rPr>
              <w:t>Možnost regenerace veřejných brownfieldů</w:t>
            </w:r>
          </w:p>
        </w:tc>
        <w:tc>
          <w:tcPr>
            <w:tcW w:w="2307" w:type="dxa"/>
            <w:tcBorders>
              <w:top w:val="nil"/>
              <w:bottom w:val="nil"/>
            </w:tcBorders>
            <w:shd w:val="clear" w:color="auto" w:fill="B6DDE8"/>
            <w:vAlign w:val="center"/>
          </w:tcPr>
          <w:p w:rsidR="002C41C1" w:rsidRDefault="002C41C1">
            <w:pPr>
              <w:jc w:val="center"/>
              <w:rPr>
                <w:rFonts w:ascii="Arial" w:hAnsi="Arial" w:cs="Arial"/>
                <w:color w:val="000000"/>
                <w:sz w:val="18"/>
                <w:szCs w:val="18"/>
              </w:rPr>
            </w:pPr>
            <w:r w:rsidRPr="00661000">
              <w:rPr>
                <w:color w:val="000000"/>
                <w:sz w:val="18"/>
                <w:szCs w:val="18"/>
              </w:rPr>
              <w:t>Prodloužení doby splácení</w:t>
            </w:r>
          </w:p>
        </w:tc>
      </w:tr>
      <w:tr w:rsidR="002C41C1" w:rsidRPr="00661000" w:rsidTr="001B56F4">
        <w:trPr>
          <w:cantSplit/>
          <w:trHeight w:val="20"/>
          <w:jc w:val="center"/>
        </w:trPr>
        <w:tc>
          <w:tcPr>
            <w:tcW w:w="0" w:type="auto"/>
            <w:vMerge/>
            <w:vAlign w:val="center"/>
          </w:tcPr>
          <w:p w:rsidR="002C41C1" w:rsidRDefault="002C41C1">
            <w:pPr>
              <w:jc w:val="left"/>
              <w:rPr>
                <w:rFonts w:ascii="Arial" w:hAnsi="Arial" w:cs="Arial"/>
                <w:b/>
                <w:bCs/>
                <w:color w:val="000000"/>
                <w:sz w:val="18"/>
                <w:szCs w:val="18"/>
              </w:rPr>
            </w:pPr>
          </w:p>
        </w:tc>
        <w:tc>
          <w:tcPr>
            <w:tcW w:w="0" w:type="auto"/>
            <w:vMerge/>
            <w:vAlign w:val="center"/>
          </w:tcPr>
          <w:p w:rsidR="002C41C1" w:rsidRDefault="002C41C1">
            <w:pPr>
              <w:jc w:val="left"/>
              <w:rPr>
                <w:rFonts w:ascii="Arial" w:hAnsi="Arial" w:cs="Arial"/>
                <w:b/>
                <w:bCs/>
                <w:color w:val="000000"/>
                <w:sz w:val="18"/>
                <w:szCs w:val="18"/>
              </w:rPr>
            </w:pPr>
          </w:p>
        </w:tc>
        <w:tc>
          <w:tcPr>
            <w:tcW w:w="1586" w:type="dxa"/>
            <w:tcBorders>
              <w:top w:val="nil"/>
              <w:bottom w:val="nil"/>
              <w:right w:val="nil"/>
            </w:tcBorders>
            <w:shd w:val="clear" w:color="auto" w:fill="B6DDE8"/>
            <w:noWrap/>
            <w:vAlign w:val="center"/>
          </w:tcPr>
          <w:p w:rsidR="002C41C1" w:rsidRDefault="002C41C1">
            <w:pPr>
              <w:jc w:val="left"/>
              <w:rPr>
                <w:rFonts w:ascii="Times New Roman" w:hAnsi="Times New Roman"/>
                <w:sz w:val="20"/>
              </w:rPr>
            </w:pPr>
          </w:p>
        </w:tc>
        <w:tc>
          <w:tcPr>
            <w:tcW w:w="1136" w:type="dxa"/>
            <w:tcBorders>
              <w:top w:val="nil"/>
              <w:left w:val="nil"/>
              <w:bottom w:val="nil"/>
            </w:tcBorders>
            <w:shd w:val="clear" w:color="auto" w:fill="B6DDE8"/>
            <w:noWrap/>
            <w:vAlign w:val="center"/>
          </w:tcPr>
          <w:p w:rsidR="002C41C1" w:rsidRDefault="002C41C1">
            <w:pPr>
              <w:jc w:val="left"/>
              <w:rPr>
                <w:rFonts w:ascii="Times New Roman" w:hAnsi="Times New Roman"/>
                <w:sz w:val="20"/>
              </w:rPr>
            </w:pPr>
          </w:p>
        </w:tc>
        <w:tc>
          <w:tcPr>
            <w:tcW w:w="2307" w:type="dxa"/>
            <w:tcBorders>
              <w:top w:val="nil"/>
              <w:bottom w:val="nil"/>
            </w:tcBorders>
            <w:shd w:val="clear" w:color="auto" w:fill="B6DDE8"/>
            <w:vAlign w:val="center"/>
          </w:tcPr>
          <w:p w:rsidR="002C41C1" w:rsidRDefault="00EA6531">
            <w:pPr>
              <w:jc w:val="center"/>
              <w:rPr>
                <w:rFonts w:ascii="Arial" w:hAnsi="Arial" w:cs="Arial"/>
                <w:color w:val="000000"/>
                <w:sz w:val="18"/>
                <w:szCs w:val="18"/>
              </w:rPr>
            </w:pPr>
            <w:r w:rsidRPr="00EA6531">
              <w:rPr>
                <w:color w:val="000000"/>
                <w:sz w:val="18"/>
                <w:szCs w:val="18"/>
              </w:rPr>
              <w:t>Nižší administrativní náročnost</w:t>
            </w:r>
          </w:p>
        </w:tc>
      </w:tr>
      <w:tr w:rsidR="00EA6531" w:rsidRPr="00661000" w:rsidTr="001B56F4">
        <w:trPr>
          <w:cantSplit/>
          <w:trHeight w:val="20"/>
          <w:jc w:val="center"/>
        </w:trPr>
        <w:tc>
          <w:tcPr>
            <w:tcW w:w="0" w:type="auto"/>
            <w:vMerge/>
            <w:vAlign w:val="center"/>
          </w:tcPr>
          <w:p w:rsidR="00EA6531" w:rsidRDefault="00EA6531">
            <w:pPr>
              <w:jc w:val="left"/>
              <w:rPr>
                <w:rFonts w:ascii="Arial" w:hAnsi="Arial" w:cs="Arial"/>
                <w:b/>
                <w:bCs/>
                <w:color w:val="000000"/>
                <w:sz w:val="18"/>
                <w:szCs w:val="18"/>
              </w:rPr>
            </w:pPr>
          </w:p>
        </w:tc>
        <w:tc>
          <w:tcPr>
            <w:tcW w:w="0" w:type="auto"/>
            <w:vMerge/>
            <w:vAlign w:val="center"/>
          </w:tcPr>
          <w:p w:rsidR="00EA6531" w:rsidRDefault="00EA6531">
            <w:pPr>
              <w:jc w:val="left"/>
              <w:rPr>
                <w:rFonts w:ascii="Arial" w:hAnsi="Arial" w:cs="Arial"/>
                <w:b/>
                <w:bCs/>
                <w:color w:val="000000"/>
                <w:sz w:val="18"/>
                <w:szCs w:val="18"/>
              </w:rPr>
            </w:pPr>
          </w:p>
        </w:tc>
        <w:tc>
          <w:tcPr>
            <w:tcW w:w="1586" w:type="dxa"/>
            <w:tcBorders>
              <w:top w:val="nil"/>
              <w:bottom w:val="nil"/>
              <w:right w:val="nil"/>
            </w:tcBorders>
            <w:shd w:val="clear" w:color="auto" w:fill="B6DDE8"/>
            <w:vAlign w:val="center"/>
          </w:tcPr>
          <w:p w:rsidR="00EA6531" w:rsidRDefault="00EA6531">
            <w:pPr>
              <w:jc w:val="left"/>
              <w:rPr>
                <w:rFonts w:ascii="Times New Roman" w:hAnsi="Times New Roman"/>
                <w:sz w:val="20"/>
              </w:rPr>
            </w:pPr>
          </w:p>
        </w:tc>
        <w:tc>
          <w:tcPr>
            <w:tcW w:w="1136" w:type="dxa"/>
            <w:tcBorders>
              <w:top w:val="nil"/>
              <w:left w:val="nil"/>
              <w:bottom w:val="nil"/>
            </w:tcBorders>
            <w:shd w:val="clear" w:color="auto" w:fill="B6DDE8"/>
            <w:vAlign w:val="center"/>
          </w:tcPr>
          <w:p w:rsidR="00EA6531" w:rsidRDefault="00EA6531">
            <w:pPr>
              <w:jc w:val="left"/>
              <w:rPr>
                <w:rFonts w:ascii="Times New Roman" w:hAnsi="Times New Roman"/>
                <w:sz w:val="20"/>
              </w:rPr>
            </w:pPr>
          </w:p>
        </w:tc>
        <w:tc>
          <w:tcPr>
            <w:tcW w:w="2307" w:type="dxa"/>
            <w:tcBorders>
              <w:top w:val="nil"/>
              <w:bottom w:val="nil"/>
            </w:tcBorders>
            <w:shd w:val="clear" w:color="auto" w:fill="B6DDE8"/>
            <w:vAlign w:val="center"/>
          </w:tcPr>
          <w:p w:rsidR="00EA6531" w:rsidRDefault="00EA6531" w:rsidP="007B6168">
            <w:pPr>
              <w:jc w:val="center"/>
              <w:rPr>
                <w:rFonts w:ascii="Arial" w:hAnsi="Arial" w:cs="Arial"/>
                <w:color w:val="000000"/>
                <w:sz w:val="18"/>
                <w:szCs w:val="18"/>
              </w:rPr>
            </w:pPr>
            <w:r>
              <w:rPr>
                <w:color w:val="000000"/>
                <w:sz w:val="18"/>
                <w:szCs w:val="18"/>
              </w:rPr>
              <w:t>Platba v předstihu</w:t>
            </w:r>
          </w:p>
        </w:tc>
      </w:tr>
      <w:tr w:rsidR="00EA6531" w:rsidRPr="00661000" w:rsidTr="001B56F4">
        <w:trPr>
          <w:cantSplit/>
          <w:trHeight w:val="20"/>
          <w:jc w:val="center"/>
        </w:trPr>
        <w:tc>
          <w:tcPr>
            <w:tcW w:w="0" w:type="auto"/>
            <w:vMerge/>
            <w:vAlign w:val="center"/>
          </w:tcPr>
          <w:p w:rsidR="00EA6531" w:rsidRDefault="00EA6531">
            <w:pPr>
              <w:jc w:val="left"/>
              <w:rPr>
                <w:rFonts w:ascii="Arial" w:hAnsi="Arial" w:cs="Arial"/>
                <w:b/>
                <w:bCs/>
                <w:color w:val="000000"/>
                <w:sz w:val="18"/>
                <w:szCs w:val="18"/>
              </w:rPr>
            </w:pPr>
          </w:p>
        </w:tc>
        <w:tc>
          <w:tcPr>
            <w:tcW w:w="399" w:type="dxa"/>
            <w:shd w:val="clear" w:color="auto" w:fill="B6DDE8"/>
            <w:noWrap/>
            <w:textDirection w:val="btLr"/>
            <w:vAlign w:val="center"/>
          </w:tcPr>
          <w:p w:rsidR="00EA6531" w:rsidRDefault="00EA6531">
            <w:pPr>
              <w:jc w:val="center"/>
              <w:rPr>
                <w:rFonts w:ascii="Arial" w:hAnsi="Arial" w:cs="Arial"/>
                <w:b/>
                <w:bCs/>
                <w:color w:val="000000"/>
                <w:sz w:val="18"/>
                <w:szCs w:val="18"/>
              </w:rPr>
            </w:pPr>
            <w:r w:rsidRPr="00661000">
              <w:rPr>
                <w:b/>
                <w:bCs/>
                <w:color w:val="000000"/>
                <w:sz w:val="18"/>
                <w:szCs w:val="18"/>
              </w:rPr>
              <w:t>ŘO</w:t>
            </w:r>
          </w:p>
        </w:tc>
        <w:tc>
          <w:tcPr>
            <w:tcW w:w="2722" w:type="dxa"/>
            <w:gridSpan w:val="2"/>
            <w:shd w:val="clear" w:color="auto" w:fill="B6DDE8"/>
            <w:vAlign w:val="center"/>
          </w:tcPr>
          <w:p w:rsidR="00EA6531" w:rsidRDefault="00EA6531">
            <w:pPr>
              <w:jc w:val="center"/>
              <w:rPr>
                <w:rFonts w:ascii="Arial" w:hAnsi="Arial" w:cs="Arial"/>
                <w:color w:val="000000"/>
                <w:sz w:val="18"/>
                <w:szCs w:val="18"/>
              </w:rPr>
            </w:pPr>
            <w:r w:rsidRPr="00661000">
              <w:rPr>
                <w:color w:val="000000"/>
                <w:sz w:val="18"/>
                <w:szCs w:val="18"/>
              </w:rPr>
              <w:t>Regenerace nebo revitalizace „mrtvých projektů“</w:t>
            </w:r>
          </w:p>
        </w:tc>
        <w:tc>
          <w:tcPr>
            <w:tcW w:w="2307" w:type="dxa"/>
            <w:shd w:val="clear" w:color="auto" w:fill="B6DDE8"/>
            <w:vAlign w:val="center"/>
          </w:tcPr>
          <w:p w:rsidR="00EA6531" w:rsidRDefault="00EA6531">
            <w:pPr>
              <w:jc w:val="center"/>
              <w:rPr>
                <w:rFonts w:ascii="Arial" w:hAnsi="Arial" w:cs="Arial"/>
                <w:color w:val="000000"/>
                <w:sz w:val="18"/>
                <w:szCs w:val="18"/>
              </w:rPr>
            </w:pPr>
            <w:r w:rsidRPr="00661000">
              <w:rPr>
                <w:color w:val="000000"/>
                <w:sz w:val="18"/>
                <w:szCs w:val="18"/>
              </w:rPr>
              <w:t>Kvantifikovatelný přítok zdrojů</w:t>
            </w:r>
          </w:p>
        </w:tc>
      </w:tr>
    </w:tbl>
    <w:p w:rsidR="002C41C1" w:rsidRDefault="002C41C1" w:rsidP="001B56F4">
      <w:pPr>
        <w:rPr>
          <w:lang w:eastAsia="en-US"/>
        </w:rPr>
      </w:pPr>
    </w:p>
    <w:p w:rsidR="002C41C1" w:rsidRDefault="002C41C1" w:rsidP="001B56F4">
      <w:pPr>
        <w:rPr>
          <w:lang w:eastAsia="en-US"/>
        </w:rPr>
      </w:pPr>
    </w:p>
    <w:p w:rsidR="002C41C1" w:rsidRDefault="002C41C1">
      <w:pPr>
        <w:pStyle w:val="Neslovannadpisy"/>
        <w:rPr>
          <w:lang w:eastAsia="en-US"/>
        </w:rPr>
      </w:pPr>
      <w:r>
        <w:rPr>
          <w:lang w:eastAsia="en-US"/>
        </w:rPr>
        <w:t>Potenciál finančního nástroje aktivovat investiční poptávku</w:t>
      </w:r>
    </w:p>
    <w:p w:rsidR="002C41C1" w:rsidRDefault="002C41C1" w:rsidP="001B56F4">
      <w:pPr>
        <w:rPr>
          <w:lang w:eastAsia="en-US"/>
        </w:rPr>
      </w:pPr>
      <w:r w:rsidRPr="001B56F4">
        <w:rPr>
          <w:lang w:eastAsia="en-US"/>
        </w:rPr>
        <w:lastRenderedPageBreak/>
        <w:t xml:space="preserve">Běžný profitabilní projekt by měl srovnávat náklad na rekonstrukci m3 s cenami nemovitosti ve fungujících průmyslových areálech, a také sledovat vývoj úrokové sazby pro lepší srovnání mezi komerčním úvěrem a zvýhodněným úvěrem. </w:t>
      </w:r>
      <w:r>
        <w:rPr>
          <w:lang w:eastAsia="en-US"/>
        </w:rPr>
        <w:t>Překvapivě až</w:t>
      </w:r>
      <w:r w:rsidRPr="001B56F4">
        <w:rPr>
          <w:lang w:eastAsia="en-US"/>
        </w:rPr>
        <w:t>69 % subjektů v</w:t>
      </w:r>
      <w:r w:rsidR="00EA6531">
        <w:rPr>
          <w:lang w:eastAsia="en-US"/>
        </w:rPr>
        <w:t> </w:t>
      </w:r>
      <w:r w:rsidRPr="001B56F4">
        <w:rPr>
          <w:lang w:eastAsia="en-US"/>
        </w:rPr>
        <w:t>dotazníku</w:t>
      </w:r>
      <w:r w:rsidR="00EA6531">
        <w:rPr>
          <w:lang w:eastAsia="en-US"/>
        </w:rPr>
        <w:t xml:space="preserve"> </w:t>
      </w:r>
      <w:r w:rsidRPr="001B56F4">
        <w:rPr>
          <w:lang w:eastAsia="en-US"/>
        </w:rPr>
        <w:t xml:space="preserve">vyjádřilo, že by je zvýhodněný úvěr podpořil v aktivaci investičního záměru v plné nebo částečné výši. </w:t>
      </w:r>
      <w:r w:rsidRPr="00DF6E0B">
        <w:rPr>
          <w:b/>
          <w:lang w:eastAsia="en-US"/>
        </w:rPr>
        <w:t>Kdyby neexistovala žádná forma veřejné podpory (IFN), tak by v plném rozsahu realizovalo projekt jenom 13,9 % tázaných subjektů</w:t>
      </w:r>
      <w:r w:rsidRPr="001B56F4">
        <w:rPr>
          <w:lang w:eastAsia="en-US"/>
        </w:rPr>
        <w:t>.</w:t>
      </w:r>
    </w:p>
    <w:p w:rsidR="002C41C1" w:rsidRDefault="002C41C1" w:rsidP="001B56F4">
      <w:pPr>
        <w:rPr>
          <w:lang w:eastAsia="en-US"/>
        </w:rPr>
      </w:pPr>
    </w:p>
    <w:tbl>
      <w:tblPr>
        <w:tblW w:w="9119" w:type="dxa"/>
        <w:tblBorders>
          <w:bottom w:val="single" w:sz="4" w:space="0" w:color="00A1DE"/>
          <w:insideH w:val="single" w:sz="4" w:space="0" w:color="00A1DE"/>
        </w:tblBorders>
        <w:tblCellMar>
          <w:top w:w="28" w:type="dxa"/>
          <w:left w:w="28" w:type="dxa"/>
          <w:bottom w:w="28" w:type="dxa"/>
          <w:right w:w="28" w:type="dxa"/>
        </w:tblCellMar>
        <w:tblLook w:val="00A0" w:firstRow="1" w:lastRow="0" w:firstColumn="1" w:lastColumn="0" w:noHBand="0" w:noVBand="0"/>
      </w:tblPr>
      <w:tblGrid>
        <w:gridCol w:w="3289"/>
        <w:gridCol w:w="1060"/>
        <w:gridCol w:w="960"/>
        <w:gridCol w:w="960"/>
        <w:gridCol w:w="960"/>
        <w:gridCol w:w="1730"/>
        <w:gridCol w:w="160"/>
      </w:tblGrid>
      <w:tr w:rsidR="002C41C1" w:rsidRPr="00661000" w:rsidTr="00661000">
        <w:trPr>
          <w:trHeight w:val="300"/>
        </w:trPr>
        <w:tc>
          <w:tcPr>
            <w:tcW w:w="3289" w:type="dxa"/>
            <w:tcBorders>
              <w:top w:val="nil"/>
              <w:left w:val="nil"/>
              <w:right w:val="nil"/>
            </w:tcBorders>
            <w:shd w:val="clear" w:color="auto" w:fill="00A1DE"/>
            <w:noWrap/>
          </w:tcPr>
          <w:p w:rsidR="002C41C1" w:rsidRPr="00661000" w:rsidRDefault="002C41C1" w:rsidP="00661000">
            <w:pPr>
              <w:keepNext/>
              <w:jc w:val="left"/>
              <w:rPr>
                <w:rFonts w:ascii="Arial" w:hAnsi="Arial" w:cs="Arial"/>
                <w:b/>
                <w:bCs/>
                <w:color w:val="FFFFFF"/>
                <w:sz w:val="18"/>
                <w:szCs w:val="18"/>
              </w:rPr>
            </w:pPr>
            <w:r w:rsidRPr="00661000">
              <w:rPr>
                <w:b/>
                <w:bCs/>
                <w:color w:val="FFFFFF"/>
                <w:sz w:val="18"/>
                <w:szCs w:val="18"/>
              </w:rPr>
              <w:t> </w:t>
            </w:r>
          </w:p>
        </w:tc>
        <w:tc>
          <w:tcPr>
            <w:tcW w:w="1060" w:type="dxa"/>
            <w:tcBorders>
              <w:top w:val="nil"/>
              <w:left w:val="nil"/>
              <w:right w:val="nil"/>
            </w:tcBorders>
            <w:shd w:val="clear" w:color="auto" w:fill="00A1DE"/>
            <w:noWrap/>
            <w:vAlign w:val="center"/>
          </w:tcPr>
          <w:p w:rsidR="002C41C1" w:rsidRPr="00661000" w:rsidRDefault="002C41C1" w:rsidP="00661000">
            <w:pPr>
              <w:keepNext/>
              <w:jc w:val="center"/>
              <w:rPr>
                <w:rFonts w:ascii="Arial" w:hAnsi="Arial" w:cs="Arial"/>
                <w:b/>
                <w:bCs/>
                <w:color w:val="FFFFFF"/>
                <w:sz w:val="18"/>
                <w:szCs w:val="18"/>
              </w:rPr>
            </w:pPr>
            <w:r w:rsidRPr="00661000">
              <w:rPr>
                <w:b/>
                <w:bCs/>
                <w:color w:val="FFFFFF"/>
                <w:sz w:val="18"/>
                <w:szCs w:val="18"/>
              </w:rPr>
              <w:t>Určitě ano</w:t>
            </w:r>
          </w:p>
        </w:tc>
        <w:tc>
          <w:tcPr>
            <w:tcW w:w="960" w:type="dxa"/>
            <w:tcBorders>
              <w:top w:val="nil"/>
              <w:left w:val="nil"/>
              <w:right w:val="nil"/>
            </w:tcBorders>
            <w:shd w:val="clear" w:color="auto" w:fill="00A1DE"/>
            <w:noWrap/>
            <w:vAlign w:val="center"/>
          </w:tcPr>
          <w:p w:rsidR="002C41C1" w:rsidRPr="00661000" w:rsidRDefault="002C41C1" w:rsidP="00661000">
            <w:pPr>
              <w:keepNext/>
              <w:jc w:val="center"/>
              <w:rPr>
                <w:rFonts w:ascii="Arial" w:hAnsi="Arial" w:cs="Arial"/>
                <w:b/>
                <w:bCs/>
                <w:color w:val="FFFFFF"/>
                <w:sz w:val="18"/>
                <w:szCs w:val="18"/>
              </w:rPr>
            </w:pPr>
            <w:r w:rsidRPr="00661000">
              <w:rPr>
                <w:b/>
                <w:bCs/>
                <w:color w:val="FFFFFF"/>
                <w:sz w:val="18"/>
                <w:szCs w:val="18"/>
              </w:rPr>
              <w:t>Spíše ano</w:t>
            </w:r>
          </w:p>
        </w:tc>
        <w:tc>
          <w:tcPr>
            <w:tcW w:w="960" w:type="dxa"/>
            <w:tcBorders>
              <w:top w:val="nil"/>
              <w:left w:val="nil"/>
              <w:right w:val="nil"/>
            </w:tcBorders>
            <w:shd w:val="clear" w:color="auto" w:fill="00A1DE"/>
            <w:noWrap/>
            <w:vAlign w:val="center"/>
          </w:tcPr>
          <w:p w:rsidR="002C41C1" w:rsidRPr="00661000" w:rsidRDefault="002C41C1" w:rsidP="00661000">
            <w:pPr>
              <w:keepNext/>
              <w:jc w:val="center"/>
              <w:rPr>
                <w:rFonts w:ascii="Arial" w:hAnsi="Arial" w:cs="Arial"/>
                <w:b/>
                <w:bCs/>
                <w:color w:val="FFFFFF"/>
                <w:sz w:val="18"/>
                <w:szCs w:val="18"/>
              </w:rPr>
            </w:pPr>
            <w:r w:rsidRPr="00661000">
              <w:rPr>
                <w:b/>
                <w:bCs/>
                <w:color w:val="FFFFFF"/>
                <w:sz w:val="18"/>
                <w:szCs w:val="18"/>
              </w:rPr>
              <w:t>Spíše ne</w:t>
            </w:r>
          </w:p>
        </w:tc>
        <w:tc>
          <w:tcPr>
            <w:tcW w:w="960" w:type="dxa"/>
            <w:tcBorders>
              <w:top w:val="nil"/>
              <w:left w:val="nil"/>
              <w:right w:val="nil"/>
            </w:tcBorders>
            <w:shd w:val="clear" w:color="auto" w:fill="00A1DE"/>
            <w:noWrap/>
            <w:vAlign w:val="center"/>
          </w:tcPr>
          <w:p w:rsidR="002C41C1" w:rsidRPr="00661000" w:rsidRDefault="002C41C1" w:rsidP="00661000">
            <w:pPr>
              <w:keepNext/>
              <w:jc w:val="center"/>
              <w:rPr>
                <w:rFonts w:ascii="Arial" w:hAnsi="Arial" w:cs="Arial"/>
                <w:b/>
                <w:bCs/>
                <w:color w:val="FFFFFF"/>
                <w:sz w:val="18"/>
                <w:szCs w:val="18"/>
              </w:rPr>
            </w:pPr>
            <w:r w:rsidRPr="00661000">
              <w:rPr>
                <w:b/>
                <w:bCs/>
                <w:color w:val="FFFFFF"/>
                <w:sz w:val="18"/>
                <w:szCs w:val="18"/>
              </w:rPr>
              <w:t>Určitě ne</w:t>
            </w:r>
          </w:p>
        </w:tc>
        <w:tc>
          <w:tcPr>
            <w:tcW w:w="1730" w:type="dxa"/>
            <w:tcBorders>
              <w:top w:val="nil"/>
              <w:left w:val="nil"/>
              <w:right w:val="nil"/>
            </w:tcBorders>
            <w:shd w:val="clear" w:color="auto" w:fill="00A1DE"/>
            <w:noWrap/>
            <w:vAlign w:val="center"/>
          </w:tcPr>
          <w:p w:rsidR="002C41C1" w:rsidRPr="00661000" w:rsidRDefault="002C41C1" w:rsidP="00661000">
            <w:pPr>
              <w:keepNext/>
              <w:jc w:val="center"/>
              <w:rPr>
                <w:rFonts w:ascii="Arial" w:hAnsi="Arial" w:cs="Arial"/>
                <w:b/>
                <w:bCs/>
                <w:color w:val="FFFFFF"/>
                <w:sz w:val="18"/>
                <w:szCs w:val="18"/>
              </w:rPr>
            </w:pPr>
            <w:r w:rsidRPr="00661000">
              <w:rPr>
                <w:b/>
                <w:bCs/>
                <w:color w:val="FFFFFF"/>
                <w:sz w:val="18"/>
                <w:szCs w:val="18"/>
              </w:rPr>
              <w:t>Typ nástroje</w:t>
            </w:r>
          </w:p>
        </w:tc>
        <w:tc>
          <w:tcPr>
            <w:tcW w:w="160" w:type="dxa"/>
            <w:tcBorders>
              <w:top w:val="nil"/>
              <w:left w:val="nil"/>
              <w:right w:val="nil"/>
            </w:tcBorders>
            <w:shd w:val="clear" w:color="auto" w:fill="00A1DE"/>
            <w:noWrap/>
          </w:tcPr>
          <w:p w:rsidR="002C41C1" w:rsidRPr="00661000" w:rsidRDefault="002C41C1" w:rsidP="00661000">
            <w:pPr>
              <w:keepNext/>
              <w:jc w:val="left"/>
              <w:rPr>
                <w:rFonts w:ascii="Arial" w:hAnsi="Arial" w:cs="Arial"/>
                <w:b/>
                <w:bCs/>
                <w:color w:val="000000"/>
                <w:sz w:val="18"/>
                <w:szCs w:val="18"/>
              </w:rPr>
            </w:pPr>
            <w:r w:rsidRPr="00661000">
              <w:rPr>
                <w:b/>
                <w:bCs/>
                <w:color w:val="000000"/>
                <w:sz w:val="18"/>
                <w:szCs w:val="18"/>
              </w:rPr>
              <w:t> </w:t>
            </w:r>
          </w:p>
        </w:tc>
      </w:tr>
      <w:tr w:rsidR="002C41C1" w:rsidRPr="00661000" w:rsidTr="00661000">
        <w:trPr>
          <w:trHeight w:val="300"/>
        </w:trPr>
        <w:tc>
          <w:tcPr>
            <w:tcW w:w="3289" w:type="dxa"/>
            <w:tcBorders>
              <w:left w:val="nil"/>
              <w:right w:val="nil"/>
            </w:tcBorders>
            <w:shd w:val="clear" w:color="auto" w:fill="FFFFFF"/>
            <w:noWrap/>
            <w:vAlign w:val="center"/>
          </w:tcPr>
          <w:p w:rsidR="002C41C1" w:rsidRPr="00661000" w:rsidRDefault="002C41C1" w:rsidP="00661000">
            <w:pPr>
              <w:keepNext/>
              <w:jc w:val="left"/>
              <w:rPr>
                <w:rFonts w:ascii="Arial" w:hAnsi="Arial" w:cs="Arial"/>
                <w:color w:val="000000"/>
                <w:sz w:val="18"/>
                <w:szCs w:val="18"/>
              </w:rPr>
            </w:pPr>
            <w:r w:rsidRPr="00661000">
              <w:rPr>
                <w:color w:val="000000"/>
                <w:sz w:val="18"/>
                <w:szCs w:val="18"/>
              </w:rPr>
              <w:t>Regenerace brownfieldů</w:t>
            </w:r>
          </w:p>
        </w:tc>
        <w:tc>
          <w:tcPr>
            <w:tcW w:w="1060" w:type="dxa"/>
            <w:tcBorders>
              <w:left w:val="nil"/>
              <w:right w:val="nil"/>
            </w:tcBorders>
            <w:shd w:val="clear" w:color="auto" w:fill="FFFFFF"/>
            <w:noWrap/>
            <w:vAlign w:val="center"/>
          </w:tcPr>
          <w:p w:rsidR="002C41C1" w:rsidRPr="00661000" w:rsidRDefault="002C41C1" w:rsidP="00661000">
            <w:pPr>
              <w:keepNext/>
              <w:jc w:val="right"/>
              <w:rPr>
                <w:rFonts w:ascii="Arial" w:hAnsi="Arial" w:cs="Arial"/>
                <w:color w:val="000000"/>
                <w:sz w:val="18"/>
                <w:szCs w:val="18"/>
              </w:rPr>
            </w:pPr>
            <w:r w:rsidRPr="00661000">
              <w:rPr>
                <w:color w:val="000000"/>
                <w:sz w:val="18"/>
                <w:szCs w:val="18"/>
              </w:rPr>
              <w:t>24 %</w:t>
            </w:r>
          </w:p>
        </w:tc>
        <w:tc>
          <w:tcPr>
            <w:tcW w:w="960" w:type="dxa"/>
            <w:tcBorders>
              <w:left w:val="nil"/>
              <w:right w:val="nil"/>
            </w:tcBorders>
            <w:shd w:val="clear" w:color="auto" w:fill="FFFFFF"/>
            <w:noWrap/>
            <w:vAlign w:val="center"/>
          </w:tcPr>
          <w:p w:rsidR="002C41C1" w:rsidRPr="00661000" w:rsidRDefault="002C41C1" w:rsidP="00661000">
            <w:pPr>
              <w:keepNext/>
              <w:jc w:val="right"/>
              <w:rPr>
                <w:rFonts w:ascii="Arial" w:hAnsi="Arial" w:cs="Arial"/>
                <w:color w:val="000000"/>
                <w:sz w:val="18"/>
                <w:szCs w:val="18"/>
              </w:rPr>
            </w:pPr>
            <w:r w:rsidRPr="00661000">
              <w:rPr>
                <w:color w:val="000000"/>
                <w:sz w:val="18"/>
                <w:szCs w:val="18"/>
              </w:rPr>
              <w:t>20 %</w:t>
            </w:r>
          </w:p>
        </w:tc>
        <w:tc>
          <w:tcPr>
            <w:tcW w:w="960" w:type="dxa"/>
            <w:tcBorders>
              <w:left w:val="nil"/>
              <w:right w:val="nil"/>
            </w:tcBorders>
            <w:shd w:val="clear" w:color="auto" w:fill="FFFFFF"/>
            <w:noWrap/>
            <w:vAlign w:val="center"/>
          </w:tcPr>
          <w:p w:rsidR="002C41C1" w:rsidRPr="00661000" w:rsidRDefault="002C41C1" w:rsidP="00661000">
            <w:pPr>
              <w:keepNext/>
              <w:jc w:val="right"/>
              <w:rPr>
                <w:rFonts w:ascii="Arial" w:hAnsi="Arial" w:cs="Arial"/>
                <w:color w:val="000000"/>
                <w:sz w:val="18"/>
                <w:szCs w:val="18"/>
              </w:rPr>
            </w:pPr>
            <w:r w:rsidRPr="00661000">
              <w:rPr>
                <w:color w:val="000000"/>
                <w:sz w:val="18"/>
                <w:szCs w:val="18"/>
              </w:rPr>
              <w:t>27 %</w:t>
            </w:r>
          </w:p>
        </w:tc>
        <w:tc>
          <w:tcPr>
            <w:tcW w:w="960" w:type="dxa"/>
            <w:tcBorders>
              <w:left w:val="nil"/>
              <w:right w:val="nil"/>
            </w:tcBorders>
            <w:shd w:val="clear" w:color="auto" w:fill="FFFFFF"/>
            <w:noWrap/>
            <w:vAlign w:val="center"/>
          </w:tcPr>
          <w:p w:rsidR="002C41C1" w:rsidRPr="00661000" w:rsidRDefault="002C41C1" w:rsidP="00661000">
            <w:pPr>
              <w:keepNext/>
              <w:jc w:val="right"/>
              <w:rPr>
                <w:rFonts w:ascii="Arial" w:hAnsi="Arial" w:cs="Arial"/>
                <w:color w:val="000000"/>
                <w:sz w:val="18"/>
                <w:szCs w:val="18"/>
              </w:rPr>
            </w:pPr>
            <w:r w:rsidRPr="00661000">
              <w:rPr>
                <w:color w:val="000000"/>
                <w:sz w:val="18"/>
                <w:szCs w:val="18"/>
              </w:rPr>
              <w:t>29 %</w:t>
            </w:r>
          </w:p>
        </w:tc>
        <w:tc>
          <w:tcPr>
            <w:tcW w:w="1890" w:type="dxa"/>
            <w:gridSpan w:val="2"/>
            <w:tcBorders>
              <w:left w:val="nil"/>
              <w:right w:val="nil"/>
            </w:tcBorders>
            <w:shd w:val="clear" w:color="auto" w:fill="FFFFFF"/>
            <w:noWrap/>
            <w:vAlign w:val="center"/>
          </w:tcPr>
          <w:p w:rsidR="002C41C1" w:rsidRPr="00661000" w:rsidRDefault="002C41C1" w:rsidP="00661000">
            <w:pPr>
              <w:keepNext/>
              <w:jc w:val="right"/>
              <w:rPr>
                <w:rFonts w:ascii="Arial" w:hAnsi="Arial" w:cs="Arial"/>
                <w:color w:val="000000"/>
                <w:sz w:val="18"/>
                <w:szCs w:val="18"/>
              </w:rPr>
            </w:pPr>
            <w:r w:rsidRPr="00661000">
              <w:rPr>
                <w:color w:val="000000"/>
                <w:sz w:val="18"/>
                <w:szCs w:val="18"/>
              </w:rPr>
              <w:t>Kapitálový vstup</w:t>
            </w:r>
          </w:p>
        </w:tc>
      </w:tr>
      <w:tr w:rsidR="002C41C1" w:rsidRPr="00661000" w:rsidTr="00661000">
        <w:trPr>
          <w:trHeight w:val="300"/>
        </w:trPr>
        <w:tc>
          <w:tcPr>
            <w:tcW w:w="3289" w:type="dxa"/>
            <w:tcBorders>
              <w:left w:val="nil"/>
              <w:right w:val="nil"/>
            </w:tcBorders>
            <w:shd w:val="clear" w:color="auto" w:fill="FFFFFF"/>
            <w:noWrap/>
            <w:vAlign w:val="center"/>
          </w:tcPr>
          <w:p w:rsidR="002C41C1" w:rsidRPr="00661000" w:rsidRDefault="002C41C1" w:rsidP="00661000">
            <w:pPr>
              <w:jc w:val="left"/>
              <w:rPr>
                <w:rFonts w:ascii="Arial" w:hAnsi="Arial" w:cs="Arial"/>
                <w:sz w:val="19"/>
                <w:szCs w:val="24"/>
                <w:lang w:eastAsia="en-US"/>
              </w:rPr>
            </w:pPr>
            <w:r w:rsidRPr="00661000">
              <w:rPr>
                <w:color w:val="000000"/>
                <w:sz w:val="18"/>
                <w:szCs w:val="18"/>
              </w:rPr>
              <w:t>Regenerace brownfieldů</w:t>
            </w:r>
          </w:p>
        </w:tc>
        <w:tc>
          <w:tcPr>
            <w:tcW w:w="1060" w:type="dxa"/>
            <w:tcBorders>
              <w:left w:val="nil"/>
              <w:right w:val="nil"/>
            </w:tcBorders>
            <w:shd w:val="clear" w:color="auto" w:fill="FFFFFF"/>
            <w:noWrap/>
            <w:vAlign w:val="center"/>
          </w:tcPr>
          <w:p w:rsidR="002C41C1" w:rsidRPr="00661000" w:rsidRDefault="002C41C1" w:rsidP="00661000">
            <w:pPr>
              <w:keepNext/>
              <w:jc w:val="right"/>
              <w:rPr>
                <w:rFonts w:ascii="Arial" w:hAnsi="Arial" w:cs="Arial"/>
                <w:color w:val="000000"/>
                <w:sz w:val="18"/>
                <w:szCs w:val="18"/>
              </w:rPr>
            </w:pPr>
            <w:r w:rsidRPr="00661000">
              <w:rPr>
                <w:color w:val="000000"/>
                <w:sz w:val="18"/>
                <w:szCs w:val="18"/>
              </w:rPr>
              <w:t>26%</w:t>
            </w:r>
          </w:p>
        </w:tc>
        <w:tc>
          <w:tcPr>
            <w:tcW w:w="960" w:type="dxa"/>
            <w:tcBorders>
              <w:left w:val="nil"/>
              <w:right w:val="nil"/>
            </w:tcBorders>
            <w:shd w:val="clear" w:color="auto" w:fill="FFFFFF"/>
            <w:noWrap/>
            <w:vAlign w:val="center"/>
          </w:tcPr>
          <w:p w:rsidR="002C41C1" w:rsidRPr="00661000" w:rsidRDefault="002C41C1" w:rsidP="00661000">
            <w:pPr>
              <w:keepNext/>
              <w:jc w:val="right"/>
              <w:rPr>
                <w:rFonts w:ascii="Arial" w:hAnsi="Arial" w:cs="Arial"/>
                <w:color w:val="000000"/>
                <w:sz w:val="18"/>
                <w:szCs w:val="18"/>
              </w:rPr>
            </w:pPr>
            <w:r w:rsidRPr="00661000">
              <w:rPr>
                <w:color w:val="000000"/>
                <w:sz w:val="18"/>
                <w:szCs w:val="18"/>
              </w:rPr>
              <w:t>33%</w:t>
            </w:r>
          </w:p>
        </w:tc>
        <w:tc>
          <w:tcPr>
            <w:tcW w:w="960" w:type="dxa"/>
            <w:tcBorders>
              <w:left w:val="nil"/>
              <w:right w:val="nil"/>
            </w:tcBorders>
            <w:shd w:val="clear" w:color="auto" w:fill="FFFFFF"/>
            <w:noWrap/>
            <w:vAlign w:val="center"/>
          </w:tcPr>
          <w:p w:rsidR="002C41C1" w:rsidRPr="00661000" w:rsidRDefault="002C41C1" w:rsidP="00661000">
            <w:pPr>
              <w:keepNext/>
              <w:jc w:val="right"/>
              <w:rPr>
                <w:rFonts w:ascii="Arial" w:hAnsi="Arial" w:cs="Arial"/>
                <w:color w:val="000000"/>
                <w:sz w:val="18"/>
                <w:szCs w:val="18"/>
              </w:rPr>
            </w:pPr>
            <w:r w:rsidRPr="00661000">
              <w:rPr>
                <w:color w:val="000000"/>
                <w:sz w:val="18"/>
                <w:szCs w:val="18"/>
              </w:rPr>
              <w:t>21%</w:t>
            </w:r>
          </w:p>
        </w:tc>
        <w:tc>
          <w:tcPr>
            <w:tcW w:w="960" w:type="dxa"/>
            <w:tcBorders>
              <w:left w:val="nil"/>
              <w:right w:val="nil"/>
            </w:tcBorders>
            <w:shd w:val="clear" w:color="auto" w:fill="FFFFFF"/>
            <w:noWrap/>
            <w:vAlign w:val="center"/>
          </w:tcPr>
          <w:p w:rsidR="002C41C1" w:rsidRPr="00661000" w:rsidRDefault="002C41C1" w:rsidP="00661000">
            <w:pPr>
              <w:keepNext/>
              <w:jc w:val="right"/>
              <w:rPr>
                <w:rFonts w:ascii="Arial" w:hAnsi="Arial" w:cs="Arial"/>
                <w:color w:val="000000"/>
                <w:sz w:val="18"/>
                <w:szCs w:val="18"/>
              </w:rPr>
            </w:pPr>
            <w:r w:rsidRPr="00661000">
              <w:rPr>
                <w:color w:val="000000"/>
                <w:sz w:val="18"/>
                <w:szCs w:val="18"/>
              </w:rPr>
              <w:t>20%</w:t>
            </w:r>
          </w:p>
        </w:tc>
        <w:tc>
          <w:tcPr>
            <w:tcW w:w="1890" w:type="dxa"/>
            <w:gridSpan w:val="2"/>
            <w:tcBorders>
              <w:left w:val="nil"/>
              <w:right w:val="nil"/>
            </w:tcBorders>
            <w:shd w:val="clear" w:color="auto" w:fill="FFFFFF"/>
            <w:noWrap/>
            <w:vAlign w:val="center"/>
          </w:tcPr>
          <w:p w:rsidR="002C41C1" w:rsidRPr="00661000" w:rsidRDefault="002C41C1" w:rsidP="00661000">
            <w:pPr>
              <w:keepNext/>
              <w:jc w:val="right"/>
              <w:rPr>
                <w:rFonts w:ascii="Arial" w:hAnsi="Arial" w:cs="Arial"/>
                <w:color w:val="000000"/>
                <w:sz w:val="18"/>
                <w:szCs w:val="18"/>
              </w:rPr>
            </w:pPr>
            <w:r w:rsidRPr="00661000">
              <w:rPr>
                <w:color w:val="000000"/>
                <w:sz w:val="18"/>
                <w:szCs w:val="18"/>
              </w:rPr>
              <w:t>Záruky</w:t>
            </w:r>
          </w:p>
        </w:tc>
      </w:tr>
      <w:tr w:rsidR="002C41C1" w:rsidRPr="00661000" w:rsidTr="00661000">
        <w:trPr>
          <w:trHeight w:val="300"/>
        </w:trPr>
        <w:tc>
          <w:tcPr>
            <w:tcW w:w="3289" w:type="dxa"/>
            <w:tcBorders>
              <w:left w:val="nil"/>
              <w:right w:val="nil"/>
            </w:tcBorders>
            <w:shd w:val="clear" w:color="auto" w:fill="FFFFFF"/>
            <w:noWrap/>
            <w:vAlign w:val="center"/>
          </w:tcPr>
          <w:p w:rsidR="002C41C1" w:rsidRPr="00661000" w:rsidRDefault="002C41C1" w:rsidP="00661000">
            <w:pPr>
              <w:jc w:val="left"/>
              <w:rPr>
                <w:rFonts w:ascii="Arial" w:hAnsi="Arial" w:cs="Arial"/>
                <w:sz w:val="19"/>
                <w:szCs w:val="24"/>
                <w:lang w:eastAsia="en-US"/>
              </w:rPr>
            </w:pPr>
            <w:r w:rsidRPr="00661000">
              <w:rPr>
                <w:color w:val="000000"/>
                <w:sz w:val="18"/>
                <w:szCs w:val="18"/>
              </w:rPr>
              <w:t>Regenerace brownfieldů</w:t>
            </w:r>
          </w:p>
        </w:tc>
        <w:tc>
          <w:tcPr>
            <w:tcW w:w="1060" w:type="dxa"/>
            <w:tcBorders>
              <w:left w:val="nil"/>
              <w:right w:val="nil"/>
            </w:tcBorders>
            <w:shd w:val="clear" w:color="auto" w:fill="FFFFFF"/>
            <w:noWrap/>
            <w:vAlign w:val="center"/>
          </w:tcPr>
          <w:p w:rsidR="002C41C1" w:rsidRPr="00661000" w:rsidRDefault="002C41C1" w:rsidP="00661000">
            <w:pPr>
              <w:keepNext/>
              <w:jc w:val="right"/>
              <w:rPr>
                <w:rFonts w:ascii="Arial" w:hAnsi="Arial" w:cs="Arial"/>
                <w:color w:val="000000"/>
                <w:sz w:val="18"/>
                <w:szCs w:val="18"/>
              </w:rPr>
            </w:pPr>
            <w:r w:rsidRPr="00661000">
              <w:rPr>
                <w:color w:val="000000"/>
                <w:sz w:val="18"/>
                <w:szCs w:val="18"/>
              </w:rPr>
              <w:t>39%</w:t>
            </w:r>
          </w:p>
        </w:tc>
        <w:tc>
          <w:tcPr>
            <w:tcW w:w="960" w:type="dxa"/>
            <w:tcBorders>
              <w:left w:val="nil"/>
              <w:right w:val="nil"/>
            </w:tcBorders>
            <w:shd w:val="clear" w:color="auto" w:fill="FFFFFF"/>
            <w:noWrap/>
            <w:vAlign w:val="center"/>
          </w:tcPr>
          <w:p w:rsidR="002C41C1" w:rsidRPr="00661000" w:rsidRDefault="002C41C1" w:rsidP="00661000">
            <w:pPr>
              <w:keepNext/>
              <w:jc w:val="right"/>
              <w:rPr>
                <w:rFonts w:ascii="Arial" w:hAnsi="Arial" w:cs="Arial"/>
                <w:color w:val="000000"/>
                <w:sz w:val="18"/>
                <w:szCs w:val="18"/>
              </w:rPr>
            </w:pPr>
            <w:r w:rsidRPr="00661000">
              <w:rPr>
                <w:color w:val="000000"/>
                <w:sz w:val="18"/>
                <w:szCs w:val="18"/>
              </w:rPr>
              <w:t>30%</w:t>
            </w:r>
          </w:p>
        </w:tc>
        <w:tc>
          <w:tcPr>
            <w:tcW w:w="960" w:type="dxa"/>
            <w:tcBorders>
              <w:left w:val="nil"/>
              <w:right w:val="nil"/>
            </w:tcBorders>
            <w:shd w:val="clear" w:color="auto" w:fill="FFFFFF"/>
            <w:noWrap/>
            <w:vAlign w:val="center"/>
          </w:tcPr>
          <w:p w:rsidR="002C41C1" w:rsidRPr="00661000" w:rsidRDefault="002C41C1" w:rsidP="00661000">
            <w:pPr>
              <w:keepNext/>
              <w:jc w:val="right"/>
              <w:rPr>
                <w:rFonts w:ascii="Arial" w:hAnsi="Arial" w:cs="Arial"/>
                <w:color w:val="000000"/>
                <w:sz w:val="18"/>
                <w:szCs w:val="18"/>
              </w:rPr>
            </w:pPr>
            <w:r w:rsidRPr="00661000">
              <w:rPr>
                <w:color w:val="000000"/>
                <w:sz w:val="18"/>
                <w:szCs w:val="18"/>
              </w:rPr>
              <w:t>17%</w:t>
            </w:r>
          </w:p>
        </w:tc>
        <w:tc>
          <w:tcPr>
            <w:tcW w:w="960" w:type="dxa"/>
            <w:tcBorders>
              <w:left w:val="nil"/>
              <w:right w:val="nil"/>
            </w:tcBorders>
            <w:shd w:val="clear" w:color="auto" w:fill="FFFFFF"/>
            <w:noWrap/>
            <w:vAlign w:val="center"/>
          </w:tcPr>
          <w:p w:rsidR="002C41C1" w:rsidRPr="00661000" w:rsidRDefault="002C41C1" w:rsidP="00661000">
            <w:pPr>
              <w:keepNext/>
              <w:jc w:val="right"/>
              <w:rPr>
                <w:rFonts w:ascii="Arial" w:hAnsi="Arial" w:cs="Arial"/>
                <w:color w:val="000000"/>
                <w:sz w:val="18"/>
                <w:szCs w:val="18"/>
              </w:rPr>
            </w:pPr>
            <w:r w:rsidRPr="00661000">
              <w:rPr>
                <w:color w:val="000000"/>
                <w:sz w:val="18"/>
                <w:szCs w:val="18"/>
              </w:rPr>
              <w:t>13%</w:t>
            </w:r>
          </w:p>
        </w:tc>
        <w:tc>
          <w:tcPr>
            <w:tcW w:w="1890" w:type="dxa"/>
            <w:gridSpan w:val="2"/>
            <w:tcBorders>
              <w:left w:val="nil"/>
              <w:right w:val="nil"/>
            </w:tcBorders>
            <w:shd w:val="clear" w:color="auto" w:fill="FFFFFF"/>
            <w:noWrap/>
            <w:vAlign w:val="center"/>
          </w:tcPr>
          <w:p w:rsidR="002C41C1" w:rsidRPr="00661000" w:rsidRDefault="002C41C1" w:rsidP="00661000">
            <w:pPr>
              <w:keepNext/>
              <w:jc w:val="right"/>
              <w:rPr>
                <w:rFonts w:ascii="Arial" w:hAnsi="Arial" w:cs="Arial"/>
                <w:color w:val="000000"/>
                <w:sz w:val="18"/>
                <w:szCs w:val="18"/>
              </w:rPr>
            </w:pPr>
            <w:r w:rsidRPr="00661000">
              <w:rPr>
                <w:color w:val="000000"/>
                <w:sz w:val="18"/>
                <w:szCs w:val="18"/>
              </w:rPr>
              <w:t>Zvýhodněný úvěr</w:t>
            </w:r>
          </w:p>
        </w:tc>
      </w:tr>
      <w:tr w:rsidR="002C41C1" w:rsidRPr="00661000" w:rsidTr="00661000">
        <w:trPr>
          <w:trHeight w:val="20"/>
        </w:trPr>
        <w:tc>
          <w:tcPr>
            <w:tcW w:w="9119" w:type="dxa"/>
            <w:gridSpan w:val="7"/>
            <w:tcBorders>
              <w:left w:val="nil"/>
              <w:right w:val="nil"/>
            </w:tcBorders>
            <w:shd w:val="clear" w:color="auto" w:fill="548DD4"/>
            <w:noWrap/>
            <w:vAlign w:val="center"/>
          </w:tcPr>
          <w:p w:rsidR="002C41C1" w:rsidRPr="00661000" w:rsidRDefault="002C41C1" w:rsidP="00661000">
            <w:pPr>
              <w:jc w:val="left"/>
              <w:rPr>
                <w:rFonts w:cs="Calibri"/>
                <w:color w:val="FFFFFF"/>
                <w:szCs w:val="22"/>
                <w:lang w:eastAsia="en-US"/>
              </w:rPr>
            </w:pPr>
            <w:r w:rsidRPr="00661000">
              <w:rPr>
                <w:b/>
                <w:bCs/>
                <w:color w:val="FFFFFF"/>
                <w:sz w:val="18"/>
                <w:szCs w:val="18"/>
              </w:rPr>
              <w:t>V případě, že jste odpověděli spíše ne/ne, změnila by se Vaše odpověď na minulou otázku, kdyby zvýhodněný úvěr obsahoval příslib omezené dotační podpory (např. 10% celkové investice) v případě, že jsou naplněny vybrané cíle projektu?</w:t>
            </w:r>
          </w:p>
          <w:p w:rsidR="002C41C1" w:rsidRPr="00661000" w:rsidRDefault="002C41C1" w:rsidP="00661000">
            <w:pPr>
              <w:keepNext/>
              <w:jc w:val="left"/>
              <w:rPr>
                <w:rFonts w:ascii="Arial" w:hAnsi="Arial" w:cs="Arial"/>
                <w:color w:val="FFFFFF"/>
                <w:sz w:val="18"/>
                <w:szCs w:val="18"/>
              </w:rPr>
            </w:pPr>
          </w:p>
        </w:tc>
      </w:tr>
      <w:tr w:rsidR="002C41C1" w:rsidRPr="00661000" w:rsidTr="00661000">
        <w:trPr>
          <w:trHeight w:val="20"/>
        </w:trPr>
        <w:tc>
          <w:tcPr>
            <w:tcW w:w="3289" w:type="dxa"/>
            <w:tcBorders>
              <w:left w:val="nil"/>
              <w:right w:val="nil"/>
            </w:tcBorders>
            <w:shd w:val="clear" w:color="auto" w:fill="548DD4"/>
            <w:noWrap/>
            <w:vAlign w:val="center"/>
          </w:tcPr>
          <w:p w:rsidR="002C41C1" w:rsidRPr="00661000" w:rsidRDefault="002C41C1" w:rsidP="00661000">
            <w:pPr>
              <w:jc w:val="left"/>
              <w:rPr>
                <w:rFonts w:ascii="Arial" w:hAnsi="Arial" w:cs="Arial"/>
                <w:color w:val="FFFFFF"/>
                <w:sz w:val="18"/>
                <w:szCs w:val="18"/>
              </w:rPr>
            </w:pPr>
          </w:p>
        </w:tc>
        <w:tc>
          <w:tcPr>
            <w:tcW w:w="1060" w:type="dxa"/>
            <w:tcBorders>
              <w:left w:val="nil"/>
              <w:right w:val="nil"/>
            </w:tcBorders>
            <w:shd w:val="clear" w:color="auto" w:fill="548DD4"/>
            <w:noWrap/>
            <w:vAlign w:val="center"/>
          </w:tcPr>
          <w:p w:rsidR="002C41C1" w:rsidRPr="00661000" w:rsidRDefault="002C41C1" w:rsidP="00661000">
            <w:pPr>
              <w:keepNext/>
              <w:jc w:val="center"/>
              <w:rPr>
                <w:rFonts w:ascii="Arial" w:hAnsi="Arial" w:cs="Arial"/>
                <w:b/>
                <w:bCs/>
                <w:color w:val="FFFFFF"/>
                <w:sz w:val="18"/>
                <w:szCs w:val="18"/>
              </w:rPr>
            </w:pPr>
            <w:r w:rsidRPr="00661000">
              <w:rPr>
                <w:b/>
                <w:bCs/>
                <w:color w:val="FFFFFF"/>
                <w:sz w:val="18"/>
                <w:szCs w:val="18"/>
              </w:rPr>
              <w:t>Určitě ano</w:t>
            </w:r>
          </w:p>
        </w:tc>
        <w:tc>
          <w:tcPr>
            <w:tcW w:w="960" w:type="dxa"/>
            <w:tcBorders>
              <w:left w:val="nil"/>
              <w:right w:val="nil"/>
            </w:tcBorders>
            <w:shd w:val="clear" w:color="auto" w:fill="548DD4"/>
            <w:noWrap/>
            <w:vAlign w:val="center"/>
          </w:tcPr>
          <w:p w:rsidR="002C41C1" w:rsidRPr="00661000" w:rsidRDefault="002C41C1" w:rsidP="00661000">
            <w:pPr>
              <w:keepNext/>
              <w:jc w:val="center"/>
              <w:rPr>
                <w:rFonts w:ascii="Arial" w:hAnsi="Arial" w:cs="Arial"/>
                <w:b/>
                <w:bCs/>
                <w:color w:val="FFFFFF"/>
                <w:sz w:val="18"/>
                <w:szCs w:val="18"/>
              </w:rPr>
            </w:pPr>
            <w:r w:rsidRPr="00661000">
              <w:rPr>
                <w:b/>
                <w:bCs/>
                <w:color w:val="FFFFFF"/>
                <w:sz w:val="18"/>
                <w:szCs w:val="18"/>
              </w:rPr>
              <w:t>Spíše ano</w:t>
            </w:r>
          </w:p>
        </w:tc>
        <w:tc>
          <w:tcPr>
            <w:tcW w:w="960" w:type="dxa"/>
            <w:tcBorders>
              <w:left w:val="nil"/>
              <w:right w:val="nil"/>
            </w:tcBorders>
            <w:shd w:val="clear" w:color="auto" w:fill="548DD4"/>
            <w:noWrap/>
            <w:vAlign w:val="center"/>
          </w:tcPr>
          <w:p w:rsidR="002C41C1" w:rsidRPr="00661000" w:rsidRDefault="002C41C1" w:rsidP="00661000">
            <w:pPr>
              <w:keepNext/>
              <w:jc w:val="center"/>
              <w:rPr>
                <w:rFonts w:ascii="Arial" w:hAnsi="Arial" w:cs="Arial"/>
                <w:b/>
                <w:bCs/>
                <w:color w:val="FFFFFF"/>
                <w:sz w:val="18"/>
                <w:szCs w:val="18"/>
              </w:rPr>
            </w:pPr>
            <w:r w:rsidRPr="00661000">
              <w:rPr>
                <w:b/>
                <w:bCs/>
                <w:color w:val="FFFFFF"/>
                <w:sz w:val="18"/>
                <w:szCs w:val="18"/>
              </w:rPr>
              <w:t>Spíše ne</w:t>
            </w:r>
          </w:p>
        </w:tc>
        <w:tc>
          <w:tcPr>
            <w:tcW w:w="960" w:type="dxa"/>
            <w:tcBorders>
              <w:left w:val="nil"/>
              <w:right w:val="nil"/>
            </w:tcBorders>
            <w:shd w:val="clear" w:color="auto" w:fill="548DD4"/>
            <w:noWrap/>
            <w:vAlign w:val="center"/>
          </w:tcPr>
          <w:p w:rsidR="002C41C1" w:rsidRPr="00661000" w:rsidRDefault="002C41C1" w:rsidP="00661000">
            <w:pPr>
              <w:keepNext/>
              <w:jc w:val="center"/>
              <w:rPr>
                <w:rFonts w:ascii="Arial" w:hAnsi="Arial" w:cs="Arial"/>
                <w:b/>
                <w:bCs/>
                <w:color w:val="FFFFFF"/>
                <w:sz w:val="18"/>
                <w:szCs w:val="18"/>
              </w:rPr>
            </w:pPr>
            <w:r w:rsidRPr="00661000">
              <w:rPr>
                <w:b/>
                <w:bCs/>
                <w:color w:val="FFFFFF"/>
                <w:sz w:val="18"/>
                <w:szCs w:val="18"/>
              </w:rPr>
              <w:t>Určitě ne</w:t>
            </w:r>
          </w:p>
        </w:tc>
        <w:tc>
          <w:tcPr>
            <w:tcW w:w="1890" w:type="dxa"/>
            <w:gridSpan w:val="2"/>
            <w:tcBorders>
              <w:left w:val="nil"/>
              <w:right w:val="nil"/>
            </w:tcBorders>
            <w:shd w:val="clear" w:color="auto" w:fill="548DD4"/>
            <w:noWrap/>
            <w:vAlign w:val="center"/>
          </w:tcPr>
          <w:p w:rsidR="002C41C1" w:rsidRPr="00661000" w:rsidRDefault="002C41C1" w:rsidP="00661000">
            <w:pPr>
              <w:keepNext/>
              <w:jc w:val="center"/>
              <w:rPr>
                <w:rFonts w:ascii="Arial" w:hAnsi="Arial" w:cs="Arial"/>
                <w:b/>
                <w:bCs/>
                <w:color w:val="FFFFFF"/>
                <w:sz w:val="18"/>
                <w:szCs w:val="18"/>
              </w:rPr>
            </w:pPr>
            <w:r w:rsidRPr="00661000">
              <w:rPr>
                <w:b/>
                <w:bCs/>
                <w:color w:val="FFFFFF"/>
                <w:sz w:val="18"/>
                <w:szCs w:val="18"/>
              </w:rPr>
              <w:t>Typ nástroje</w:t>
            </w:r>
          </w:p>
        </w:tc>
      </w:tr>
      <w:tr w:rsidR="002C41C1" w:rsidRPr="00661000" w:rsidTr="00661000">
        <w:trPr>
          <w:trHeight w:val="300"/>
        </w:trPr>
        <w:tc>
          <w:tcPr>
            <w:tcW w:w="3289" w:type="dxa"/>
            <w:tcBorders>
              <w:left w:val="nil"/>
              <w:right w:val="nil"/>
            </w:tcBorders>
            <w:shd w:val="clear" w:color="auto" w:fill="FFFFFF"/>
            <w:noWrap/>
            <w:vAlign w:val="center"/>
          </w:tcPr>
          <w:p w:rsidR="002C41C1" w:rsidRPr="00661000" w:rsidRDefault="002C41C1" w:rsidP="00661000">
            <w:pPr>
              <w:jc w:val="left"/>
              <w:rPr>
                <w:rFonts w:ascii="Arial" w:hAnsi="Arial" w:cs="Arial"/>
                <w:sz w:val="19"/>
                <w:szCs w:val="24"/>
                <w:lang w:eastAsia="en-US"/>
              </w:rPr>
            </w:pPr>
            <w:r w:rsidRPr="00661000">
              <w:rPr>
                <w:color w:val="000000"/>
                <w:sz w:val="18"/>
                <w:szCs w:val="18"/>
              </w:rPr>
              <w:t>Regenerace brownfieldů</w:t>
            </w:r>
          </w:p>
        </w:tc>
        <w:tc>
          <w:tcPr>
            <w:tcW w:w="1060" w:type="dxa"/>
            <w:tcBorders>
              <w:left w:val="nil"/>
              <w:right w:val="nil"/>
            </w:tcBorders>
            <w:shd w:val="clear" w:color="auto" w:fill="FFFFFF"/>
            <w:noWrap/>
            <w:vAlign w:val="center"/>
          </w:tcPr>
          <w:p w:rsidR="002C41C1" w:rsidRPr="00661000" w:rsidRDefault="002C41C1" w:rsidP="00661000">
            <w:pPr>
              <w:jc w:val="right"/>
              <w:rPr>
                <w:rFonts w:cs="Calibri"/>
                <w:color w:val="000000"/>
                <w:szCs w:val="22"/>
                <w:lang w:eastAsia="en-US"/>
              </w:rPr>
            </w:pPr>
            <w:r w:rsidRPr="00661000">
              <w:rPr>
                <w:rFonts w:cs="Calibri"/>
                <w:color w:val="000000"/>
                <w:szCs w:val="22"/>
              </w:rPr>
              <w:t>22%</w:t>
            </w:r>
          </w:p>
        </w:tc>
        <w:tc>
          <w:tcPr>
            <w:tcW w:w="960" w:type="dxa"/>
            <w:tcBorders>
              <w:left w:val="nil"/>
              <w:right w:val="nil"/>
            </w:tcBorders>
            <w:shd w:val="clear" w:color="auto" w:fill="FFFFFF"/>
            <w:noWrap/>
            <w:vAlign w:val="center"/>
          </w:tcPr>
          <w:p w:rsidR="002C41C1" w:rsidRPr="00661000" w:rsidRDefault="002C41C1" w:rsidP="00661000">
            <w:pPr>
              <w:jc w:val="right"/>
              <w:rPr>
                <w:rFonts w:cs="Calibri"/>
                <w:color w:val="000000"/>
                <w:szCs w:val="22"/>
                <w:lang w:eastAsia="en-US"/>
              </w:rPr>
            </w:pPr>
            <w:r w:rsidRPr="00661000">
              <w:rPr>
                <w:rFonts w:cs="Calibri"/>
                <w:color w:val="000000"/>
                <w:szCs w:val="22"/>
              </w:rPr>
              <w:t>31%</w:t>
            </w:r>
          </w:p>
        </w:tc>
        <w:tc>
          <w:tcPr>
            <w:tcW w:w="960" w:type="dxa"/>
            <w:tcBorders>
              <w:left w:val="nil"/>
              <w:right w:val="nil"/>
            </w:tcBorders>
            <w:shd w:val="clear" w:color="auto" w:fill="FFFFFF"/>
            <w:noWrap/>
            <w:vAlign w:val="center"/>
          </w:tcPr>
          <w:p w:rsidR="002C41C1" w:rsidRPr="00661000" w:rsidRDefault="002C41C1" w:rsidP="00661000">
            <w:pPr>
              <w:jc w:val="right"/>
              <w:rPr>
                <w:rFonts w:cs="Calibri"/>
                <w:color w:val="000000"/>
                <w:szCs w:val="22"/>
                <w:lang w:eastAsia="en-US"/>
              </w:rPr>
            </w:pPr>
            <w:r w:rsidRPr="00661000">
              <w:rPr>
                <w:rFonts w:cs="Calibri"/>
                <w:color w:val="000000"/>
                <w:szCs w:val="22"/>
              </w:rPr>
              <w:t>24%</w:t>
            </w:r>
          </w:p>
        </w:tc>
        <w:tc>
          <w:tcPr>
            <w:tcW w:w="960" w:type="dxa"/>
            <w:tcBorders>
              <w:left w:val="nil"/>
              <w:right w:val="nil"/>
            </w:tcBorders>
            <w:shd w:val="clear" w:color="auto" w:fill="FFFFFF"/>
            <w:noWrap/>
            <w:vAlign w:val="center"/>
          </w:tcPr>
          <w:p w:rsidR="002C41C1" w:rsidRPr="00661000" w:rsidRDefault="002C41C1" w:rsidP="00661000">
            <w:pPr>
              <w:jc w:val="right"/>
              <w:rPr>
                <w:rFonts w:cs="Calibri"/>
                <w:color w:val="000000"/>
                <w:szCs w:val="22"/>
                <w:lang w:eastAsia="en-US"/>
              </w:rPr>
            </w:pPr>
            <w:r w:rsidRPr="00661000">
              <w:rPr>
                <w:rFonts w:cs="Calibri"/>
                <w:color w:val="000000"/>
                <w:szCs w:val="22"/>
              </w:rPr>
              <w:t>23%</w:t>
            </w:r>
          </w:p>
        </w:tc>
        <w:tc>
          <w:tcPr>
            <w:tcW w:w="1890" w:type="dxa"/>
            <w:gridSpan w:val="2"/>
            <w:tcBorders>
              <w:left w:val="nil"/>
              <w:right w:val="nil"/>
            </w:tcBorders>
            <w:shd w:val="clear" w:color="auto" w:fill="FFFFFF"/>
            <w:noWrap/>
            <w:vAlign w:val="center"/>
          </w:tcPr>
          <w:p w:rsidR="002C41C1" w:rsidRPr="00661000" w:rsidRDefault="002C41C1" w:rsidP="00661000">
            <w:pPr>
              <w:keepNext/>
              <w:jc w:val="right"/>
              <w:rPr>
                <w:rFonts w:ascii="Arial" w:hAnsi="Arial" w:cs="Arial"/>
                <w:color w:val="000000"/>
                <w:sz w:val="18"/>
                <w:szCs w:val="18"/>
              </w:rPr>
            </w:pPr>
            <w:r w:rsidRPr="00661000">
              <w:rPr>
                <w:color w:val="000000"/>
                <w:sz w:val="18"/>
                <w:szCs w:val="18"/>
              </w:rPr>
              <w:t>Zvýhodněný úvěr + dotace</w:t>
            </w:r>
          </w:p>
        </w:tc>
      </w:tr>
    </w:tbl>
    <w:p w:rsidR="002C41C1" w:rsidRDefault="002C41C1" w:rsidP="001B56F4">
      <w:pPr>
        <w:pStyle w:val="Titulek"/>
        <w:jc w:val="center"/>
      </w:pPr>
      <w:r>
        <w:t>Tabulka 11: Aktivační potenciál finančních nástrojů</w:t>
      </w:r>
    </w:p>
    <w:p w:rsidR="002C41C1" w:rsidRPr="00004922" w:rsidRDefault="002C41C1" w:rsidP="00964166">
      <w:pPr>
        <w:pStyle w:val="Titulek"/>
        <w:jc w:val="center"/>
      </w:pPr>
      <w:r>
        <w:t xml:space="preserve">Zdroj: Dotazník ex ante FN </w:t>
      </w:r>
      <w:r w:rsidR="0084453C">
        <w:t>OP PIK</w:t>
      </w:r>
    </w:p>
    <w:p w:rsidR="002C41C1" w:rsidRDefault="002C41C1" w:rsidP="001B56F4">
      <w:pPr>
        <w:rPr>
          <w:lang w:eastAsia="en-US"/>
        </w:rPr>
      </w:pPr>
    </w:p>
    <w:p w:rsidR="002C41C1" w:rsidRPr="00DF6E0B" w:rsidRDefault="002C41C1" w:rsidP="00DF6E0B">
      <w:pPr>
        <w:pStyle w:val="Nadpis3"/>
        <w:rPr>
          <w:lang w:eastAsia="en-US"/>
        </w:rPr>
      </w:pPr>
      <w:bookmarkStart w:id="71" w:name="_Toc413824148"/>
      <w:bookmarkStart w:id="72" w:name="_Toc413831131"/>
      <w:bookmarkStart w:id="73" w:name="_Toc413831161"/>
      <w:bookmarkStart w:id="74" w:name="_Toc413854342"/>
      <w:bookmarkEnd w:id="71"/>
      <w:bookmarkEnd w:id="72"/>
      <w:bookmarkEnd w:id="73"/>
      <w:r w:rsidRPr="00DF6E0B">
        <w:rPr>
          <w:lang w:eastAsia="en-US"/>
        </w:rPr>
        <w:t xml:space="preserve">Specifický cíl 3.1- </w:t>
      </w:r>
      <w:r w:rsidRPr="00DF6E0B">
        <w:t>Zvýšit podíl výroby energie z obnovitelných zdrojů na hrubé konečné spotřebě ČR</w:t>
      </w:r>
      <w:bookmarkEnd w:id="74"/>
    </w:p>
    <w:p w:rsidR="002C41C1" w:rsidRDefault="002C41C1" w:rsidP="00EE0F25">
      <w:pPr>
        <w:pStyle w:val="Neslovannadpisy"/>
      </w:pPr>
      <w:r>
        <w:t>Podporované aktivity:</w:t>
      </w:r>
    </w:p>
    <w:p w:rsidR="002C41C1" w:rsidRDefault="002C41C1" w:rsidP="00DF6E0B">
      <w:pPr>
        <w:pStyle w:val="Odstavecseseznamem"/>
        <w:numPr>
          <w:ilvl w:val="0"/>
          <w:numId w:val="12"/>
        </w:numPr>
      </w:pPr>
      <w:r>
        <w:t>Výstavba nových a rekonstrukce / modernizace stávajících výroben elektřiny a tepla z OZE s tím, že vyrobená energie bude určena primárně pro distribuci, nikoli vlastní spotřebu; zejména se bude jednat o:</w:t>
      </w:r>
    </w:p>
    <w:p w:rsidR="002C41C1" w:rsidRDefault="002C41C1" w:rsidP="00DF6E0B">
      <w:pPr>
        <w:pStyle w:val="Odstavecseseznamem"/>
        <w:numPr>
          <w:ilvl w:val="1"/>
          <w:numId w:val="12"/>
        </w:numPr>
      </w:pPr>
      <w:r>
        <w:t>podporu výstavby a rekonstrukce / modernizace malých vodních elektráren (do 10 MWe instalovaného výkonu),</w:t>
      </w:r>
    </w:p>
    <w:p w:rsidR="002C41C1" w:rsidRDefault="002C41C1" w:rsidP="00DF6E0B">
      <w:pPr>
        <w:pStyle w:val="Odstavecseseznamem"/>
        <w:numPr>
          <w:ilvl w:val="1"/>
          <w:numId w:val="12"/>
        </w:numPr>
      </w:pPr>
      <w:r>
        <w:t>o vyvedení tepla ze stávajících bioplynových stanic pomocí tepelných rozvodných</w:t>
      </w:r>
      <w:r w:rsidR="005057AD">
        <w:t xml:space="preserve"> </w:t>
      </w:r>
      <w:r>
        <w:t xml:space="preserve">zařízení do místa spotřeby, </w:t>
      </w:r>
    </w:p>
    <w:p w:rsidR="002C41C1" w:rsidRDefault="002C41C1" w:rsidP="00DF6E0B">
      <w:pPr>
        <w:pStyle w:val="Odstavecseseznamem"/>
        <w:numPr>
          <w:ilvl w:val="1"/>
          <w:numId w:val="12"/>
        </w:numPr>
      </w:pPr>
      <w:r>
        <w:t>instalace vzdálené kogenerační jednotky využívající</w:t>
      </w:r>
      <w:r w:rsidR="005057AD">
        <w:t xml:space="preserve"> </w:t>
      </w:r>
      <w:r>
        <w:t>bioplyn ze stávající bioplynové stanice za účelem využití užitečného tepla v</w:t>
      </w:r>
      <w:r w:rsidR="005057AD">
        <w:t xml:space="preserve"> </w:t>
      </w:r>
      <w:r>
        <w:t>soustavě zásobování teplem či jiným vysoce efektivním způsobem,</w:t>
      </w:r>
    </w:p>
    <w:p w:rsidR="002C41C1" w:rsidRDefault="002C41C1" w:rsidP="00DF6E0B">
      <w:pPr>
        <w:pStyle w:val="Odstavecseseznamem"/>
        <w:numPr>
          <w:ilvl w:val="1"/>
          <w:numId w:val="12"/>
        </w:numPr>
      </w:pPr>
      <w:r>
        <w:t>o výstavbu a rekonstrukci zdrojů tepla a kombinované výroby elektřiny a tepla</w:t>
      </w:r>
      <w:r w:rsidR="005057AD">
        <w:t xml:space="preserve"> </w:t>
      </w:r>
      <w:r>
        <w:t>z biomasy a vyvedení tepla.</w:t>
      </w:r>
    </w:p>
    <w:p w:rsidR="002C41C1" w:rsidRDefault="002C41C1" w:rsidP="00DF6E0B">
      <w:pPr>
        <w:pStyle w:val="Neslovannadpisy"/>
        <w:ind w:left="720"/>
      </w:pPr>
    </w:p>
    <w:p w:rsidR="002C41C1" w:rsidRDefault="002C41C1" w:rsidP="00DF6E0B">
      <w:pPr>
        <w:pStyle w:val="Neslovannadpisy"/>
      </w:pPr>
      <w:r>
        <w:t xml:space="preserve">Hlavní cílová skupina: </w:t>
      </w:r>
    </w:p>
    <w:p w:rsidR="002C41C1" w:rsidRDefault="002C41C1" w:rsidP="00DF6E0B">
      <w:r w:rsidRPr="00397581">
        <w:t>Podnikatelské subjekty (malé, střední a případně velké podniky)</w:t>
      </w:r>
    </w:p>
    <w:p w:rsidR="002C41C1" w:rsidRDefault="002C41C1" w:rsidP="00DF6E0B">
      <w:pPr>
        <w:pStyle w:val="Neslovannadpisy"/>
      </w:pPr>
    </w:p>
    <w:p w:rsidR="002C41C1" w:rsidRDefault="002C41C1" w:rsidP="00DF6E0B">
      <w:pPr>
        <w:pStyle w:val="Neslovannadpisy"/>
      </w:pPr>
      <w:r>
        <w:t>Cílové území:</w:t>
      </w:r>
    </w:p>
    <w:p w:rsidR="002C41C1" w:rsidRDefault="002C41C1" w:rsidP="00DF6E0B">
      <w:r>
        <w:t>V</w:t>
      </w:r>
      <w:r w:rsidRPr="00397581">
        <w:t>šechny regiony v ČR kromě hl. m. Prahy</w:t>
      </w:r>
    </w:p>
    <w:p w:rsidR="002C41C1" w:rsidRDefault="002C41C1" w:rsidP="00DF6E0B"/>
    <w:p w:rsidR="002C41C1" w:rsidRDefault="002C41C1" w:rsidP="00EE0F25">
      <w:pPr>
        <w:pStyle w:val="Vtneslovannadpis"/>
      </w:pPr>
      <w:r>
        <w:t>Tržní analýza</w:t>
      </w:r>
    </w:p>
    <w:p w:rsidR="002C41C1" w:rsidRDefault="002C41C1" w:rsidP="00EE0F25">
      <w:r>
        <w:t xml:space="preserve">Dle tržních statistik se podíl výroby elektřiny z OZE na hrubé domácí spotřebě v ČR se v roce 2013 zvýšil na 14,53 %. Existující závazek ČR vůči EU ukládá dosáhnout do roku 2020 13%podílu, z čehož </w:t>
      </w:r>
      <w:r>
        <w:lastRenderedPageBreak/>
        <w:t>vyplývá, že byl cíl splněn se</w:t>
      </w:r>
      <w:r w:rsidR="005057AD">
        <w:t xml:space="preserve"> </w:t>
      </w:r>
      <w:r>
        <w:t>7 letým předstihem. Spotřeba energií v ČR každoročně klesá, což napomáhá růstu podílu spotřeby elektřiny vyrobené z OZE.</w:t>
      </w:r>
      <w:r>
        <w:rPr>
          <w:rStyle w:val="Znakapoznpodarou"/>
        </w:rPr>
        <w:footnoteReference w:id="17"/>
      </w:r>
      <w:r>
        <w:t xml:space="preserve"> S ohledem na další přijaté závazky EU v roce 2014 (cíle do roku 2030, celoevropský cíl 27 % vyrobené energie z OZE) bude i nadále evoluční a udržitelný růst produkce energie z OZE jedním z cílů ČR. Po překotném vývoji zejména v oblasti solární energie v minulých letech je spatřován potenciál především v oblasti malých vodních elektráren</w:t>
      </w:r>
      <w:r w:rsidR="00EA6531">
        <w:t xml:space="preserve"> (MVE)</w:t>
      </w:r>
      <w:r>
        <w:t>, biomasy a bioplynových stanic</w:t>
      </w:r>
      <w:r w:rsidR="00EA6531">
        <w:t xml:space="preserve"> (BPS)</w:t>
      </w:r>
      <w:r>
        <w:t>, obecně ve zefektivňování stávajících zařízení.</w:t>
      </w:r>
    </w:p>
    <w:p w:rsidR="002C41C1" w:rsidRDefault="002C41C1" w:rsidP="00EE0F25"/>
    <w:p w:rsidR="002C41C1" w:rsidRDefault="002C41C1" w:rsidP="00EE0F25">
      <w:r>
        <w:t xml:space="preserve">Prostor pro výstavbu velkých vodních elektráren v ČR byl vyčerpán a jejich další výstavba představuje velký zásah do životního prostředí, proto jsou podporovány malé vodní elektrárny (MVE), pro které stále existuji vhodné lokality. Největší prostor pro zvýšení instalovaného výkonu MVE představuje rekonstrukce stávajících zařízení. </w:t>
      </w:r>
      <w:r w:rsidRPr="00DF6E0B">
        <w:rPr>
          <w:b/>
        </w:rPr>
        <w:t>V prvním kvartálu 2014 bylo evidováno 1 572 MVE s celkovým výkonem 348 MW.</w:t>
      </w:r>
      <w:r>
        <w:t xml:space="preserve"> V roce 2013 se podíl MVE na výrobě elektřiny z OZE nacházel na úrovni 11,6 % a na celkové výrobě elektřiny pouze 1 %. </w:t>
      </w:r>
    </w:p>
    <w:p w:rsidR="002C41C1" w:rsidRDefault="002C41C1" w:rsidP="00EE0F25"/>
    <w:p w:rsidR="002C41C1" w:rsidRDefault="002C41C1" w:rsidP="00EE0F25">
      <w:r>
        <w:t xml:space="preserve">Druhým podporovaným okruhem SC 3.1 bude využití tepla z bioplynových stanic (BPS). V rámci </w:t>
      </w:r>
      <w:r w:rsidR="0084453C">
        <w:t>OP PIK</w:t>
      </w:r>
      <w:r>
        <w:t xml:space="preserve"> nebude podporována stavba nových BPS, nýbrž primárně úprava k využití tepla u stávajících.</w:t>
      </w:r>
      <w:r w:rsidR="005057AD">
        <w:t xml:space="preserve"> </w:t>
      </w:r>
      <w:r>
        <w:t>Mnoho bioplynových stanic (BPS) nyní nevhodným legislativním nastavením slouží pouze ke generování zisku z prodeje dotované elektřiny. Dochází k plýtvání vyrobeným teplem a nevyužívá se energetický potenciál často náročně pěstované biomasy. Podíl bioplynu na celkové výrobě elektřiny v roce 2013 byl 2,6 % a podíl BPS na výrobě elektřiny z OZE dosahuje až 22,1 %.</w:t>
      </w:r>
      <w:r>
        <w:rPr>
          <w:rStyle w:val="Znakapoznpodarou"/>
        </w:rPr>
        <w:footnoteReference w:id="18"/>
      </w:r>
      <w:r w:rsidR="005057AD">
        <w:t xml:space="preserve"> </w:t>
      </w:r>
      <w:r w:rsidRPr="00DF6E0B">
        <w:rPr>
          <w:b/>
        </w:rPr>
        <w:t>Výroba elektřiny z BPS v roce 2013 vzrostla o 47 %</w:t>
      </w:r>
      <w:r>
        <w:t>.</w:t>
      </w:r>
      <w:r>
        <w:rPr>
          <w:rStyle w:val="Znakapoznpodarou"/>
        </w:rPr>
        <w:footnoteReference w:id="19"/>
      </w:r>
      <w:r w:rsidR="005057AD">
        <w:t xml:space="preserve"> </w:t>
      </w:r>
      <w:r w:rsidRPr="00DF6E0B">
        <w:rPr>
          <w:b/>
        </w:rPr>
        <w:t>Počet BPS k 31. 12. 2013 byl 487</w:t>
      </w:r>
      <w:r>
        <w:t xml:space="preserve"> s celkovou produkcí 2 243 GWh (+ 837 GWh oproti 2012).  Plán do roku 2020 počítá s výrobou elektřiny na úrovni 3 000 GWh ročně, což bude s největší pravděpodobností překročeno, a očekávaná produkce tepla z BPS je 8500 TJ. </w:t>
      </w:r>
      <w:r w:rsidRPr="00DF6E0B">
        <w:rPr>
          <w:b/>
        </w:rPr>
        <w:t>BPS jsou lokalizovány v místech, kde není možné nalézt efektivní využití pro veškeré teplo</w:t>
      </w:r>
      <w:r>
        <w:t xml:space="preserve">. </w:t>
      </w:r>
      <w:r w:rsidRPr="00DF6E0B">
        <w:rPr>
          <w:b/>
        </w:rPr>
        <w:t>Dochází k nespotřebování až třetiny energie z bioplynu(převážně tepla)</w:t>
      </w:r>
      <w:r>
        <w:t xml:space="preserve"> a to z důvodu, že vstupní suroviny pro BPS jsou pěstovány na orné půdě odloučené od větších odběrných míst. Zamezení těmto únikům by proporčně snížilo nutný zábor orné půdy pro technické plodiny. Způsobem, jak zvýšit množství vyráběné elektřiny je zavedení kogenerační jednotky (KJ) přímo do stanice. Bez KJ by byla efektivita využití BPS pouze třetinová (cca 35 %).</w:t>
      </w:r>
    </w:p>
    <w:p w:rsidR="002C41C1" w:rsidRDefault="005F2B40" w:rsidP="00272B8D">
      <w:pPr>
        <w:keepNext/>
      </w:pPr>
      <w:r>
        <w:rPr>
          <w:noProof/>
        </w:rPr>
        <w:drawing>
          <wp:inline distT="0" distB="0" distL="0" distR="0" wp14:anchorId="3C03D8BF" wp14:editId="7A9EF2DF">
            <wp:extent cx="3315970" cy="1558290"/>
            <wp:effectExtent l="0" t="0" r="0" b="3810"/>
            <wp:docPr id="2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5970" cy="1558290"/>
                    </a:xfrm>
                    <a:prstGeom prst="rect">
                      <a:avLst/>
                    </a:prstGeom>
                    <a:noFill/>
                    <a:ln>
                      <a:noFill/>
                    </a:ln>
                  </pic:spPr>
                </pic:pic>
              </a:graphicData>
            </a:graphic>
          </wp:inline>
        </w:drawing>
      </w:r>
    </w:p>
    <w:p w:rsidR="002C41C1" w:rsidRDefault="002C41C1" w:rsidP="00272B8D">
      <w:pPr>
        <w:pStyle w:val="Titulek"/>
      </w:pPr>
      <w:r>
        <w:t xml:space="preserve">Obrázek </w:t>
      </w:r>
      <w:fldSimple w:instr=" SEQ Obrázek \* ARABIC ">
        <w:r>
          <w:rPr>
            <w:noProof/>
          </w:rPr>
          <w:t>1</w:t>
        </w:r>
      </w:fldSimple>
      <w:r>
        <w:t>:  zavedení kogenerační jednotky do BPS</w:t>
      </w:r>
    </w:p>
    <w:p w:rsidR="002C41C1" w:rsidRDefault="002C41C1" w:rsidP="00272B8D">
      <w:pPr>
        <w:pStyle w:val="Titulek"/>
      </w:pPr>
      <w:r>
        <w:t>Zdroj: Česká bioplynová asociace</w:t>
      </w:r>
    </w:p>
    <w:p w:rsidR="002C41C1" w:rsidRDefault="002C41C1" w:rsidP="00EE0F25"/>
    <w:p w:rsidR="002C41C1" w:rsidRDefault="002C41C1" w:rsidP="00272B8D">
      <w:r>
        <w:t>Druhou možností je vyvedení tepla teplovodem z kogenerační jednotky do sousedící obytné zóny nebo průmyslového areálu, který ale musí ležet v okruhu 1 km. Při větší vzdálenosti je dodávka tepla problematická kvůli vysokým investičním i provozním nákladům.</w:t>
      </w:r>
      <w:r w:rsidR="005057AD">
        <w:t xml:space="preserve"> </w:t>
      </w:r>
      <w:r>
        <w:t xml:space="preserve">Obě řešení zvýšení čisté energetické účinnosti BPS vyhovují </w:t>
      </w:r>
      <w:r w:rsidR="00EA6531">
        <w:t xml:space="preserve">zaměření podporovaných aktivit </w:t>
      </w:r>
      <w:r>
        <w:t>oblasti podpory SC 3.1.</w:t>
      </w:r>
    </w:p>
    <w:p w:rsidR="002C41C1" w:rsidRDefault="002C41C1" w:rsidP="00272B8D"/>
    <w:p w:rsidR="002C41C1" w:rsidRDefault="002C41C1" w:rsidP="00272B8D">
      <w:r>
        <w:t>Ne v</w:t>
      </w:r>
      <w:r w:rsidRPr="00DF6E0B">
        <w:t>šechny BPS jsou vhodné pro zavádění kogenerace a lokální vyvádění tepla. V</w:t>
      </w:r>
      <w:r w:rsidRPr="00D144BB">
        <w:t> </w:t>
      </w:r>
      <w:r w:rsidRPr="00DF6E0B">
        <w:t>mnoha případech neexistuje v</w:t>
      </w:r>
      <w:r w:rsidRPr="00D144BB">
        <w:t> </w:t>
      </w:r>
      <w:r w:rsidRPr="00DF6E0B">
        <w:t>okolí žádný vhodný odběratel. Výčet vytipovaných vhodných objektů je ke shlédnutí v</w:t>
      </w:r>
      <w:r w:rsidRPr="00D144BB">
        <w:t> </w:t>
      </w:r>
      <w:r w:rsidRPr="00DF6E0B">
        <w:t>tabulce 12, kt</w:t>
      </w:r>
      <w:r>
        <w:t>erá ohraničuje pravděpodobnou absorpční kapacitu v této oblasti.</w:t>
      </w:r>
    </w:p>
    <w:p w:rsidR="002C41C1" w:rsidRDefault="002C41C1" w:rsidP="00272B8D"/>
    <w:p w:rsidR="002C41C1" w:rsidRDefault="005F2B40">
      <w:pPr>
        <w:keepNext/>
      </w:pPr>
      <w:r>
        <w:rPr>
          <w:noProof/>
        </w:rPr>
        <w:drawing>
          <wp:inline distT="0" distB="0" distL="0" distR="0" wp14:anchorId="3ED84CE6" wp14:editId="0B0ADF03">
            <wp:extent cx="4643755" cy="2639695"/>
            <wp:effectExtent l="0" t="0" r="4445" b="8255"/>
            <wp:docPr id="25"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8"/>
                    <pic:cNvPicPr>
                      <a:picLocks noChangeAspect="1" noChangeArrowheads="1"/>
                    </pic:cNvPicPr>
                  </pic:nvPicPr>
                  <pic:blipFill>
                    <a:blip r:embed="rId27">
                      <a:extLst>
                        <a:ext uri="{28A0092B-C50C-407E-A947-70E740481C1C}">
                          <a14:useLocalDpi xmlns:a14="http://schemas.microsoft.com/office/drawing/2010/main" val="0"/>
                        </a:ext>
                      </a:extLst>
                    </a:blip>
                    <a:srcRect l="17125" t="45059" r="27625" b="16263"/>
                    <a:stretch>
                      <a:fillRect/>
                    </a:stretch>
                  </pic:blipFill>
                  <pic:spPr bwMode="auto">
                    <a:xfrm>
                      <a:off x="0" y="0"/>
                      <a:ext cx="4643755" cy="2639695"/>
                    </a:xfrm>
                    <a:prstGeom prst="rect">
                      <a:avLst/>
                    </a:prstGeom>
                    <a:noFill/>
                    <a:ln>
                      <a:noFill/>
                    </a:ln>
                  </pic:spPr>
                </pic:pic>
              </a:graphicData>
            </a:graphic>
          </wp:inline>
        </w:drawing>
      </w:r>
    </w:p>
    <w:p w:rsidR="002C41C1" w:rsidRDefault="002C41C1" w:rsidP="009E2316">
      <w:pPr>
        <w:pStyle w:val="Titulek"/>
      </w:pPr>
      <w:r>
        <w:t xml:space="preserve">Tabulka 12: Možnosti využití tepla / vzdálené kogenerace na stávajících bioplynových stanicích z hlediska jednotlivých krajů ČR (Zdroj: MPO, </w:t>
      </w:r>
      <w:r w:rsidR="0084453C">
        <w:t>OP PIK</w:t>
      </w:r>
      <w:r>
        <w:t>)</w:t>
      </w:r>
    </w:p>
    <w:p w:rsidR="002C41C1" w:rsidRDefault="002C41C1" w:rsidP="009E2316">
      <w:pPr>
        <w:pStyle w:val="Titulek"/>
      </w:pPr>
    </w:p>
    <w:p w:rsidR="002C41C1" w:rsidRDefault="002C41C1" w:rsidP="00F20A2F">
      <w:pPr>
        <w:pStyle w:val="Vtneslovannadpis"/>
        <w:rPr>
          <w:lang w:eastAsia="en-US"/>
        </w:rPr>
      </w:pPr>
      <w:r>
        <w:rPr>
          <w:lang w:eastAsia="en-US"/>
        </w:rPr>
        <w:t>Dosavadní podpora a analýza veřejných zdrojů financování</w:t>
      </w:r>
    </w:p>
    <w:p w:rsidR="002C41C1" w:rsidRDefault="002C41C1" w:rsidP="00272B8D">
      <w:pPr>
        <w:pStyle w:val="Neslovannadpisy"/>
      </w:pPr>
      <w:r>
        <w:t>Investiční podpora OZE</w:t>
      </w:r>
    </w:p>
    <w:p w:rsidR="002C41C1" w:rsidRPr="00C20B34" w:rsidRDefault="002C41C1" w:rsidP="00E4726C">
      <w:pPr>
        <w:pStyle w:val="BodyText1"/>
        <w:jc w:val="both"/>
      </w:pPr>
      <w:r w:rsidRPr="00DF6E0B">
        <w:rPr>
          <w:b/>
        </w:rPr>
        <w:t xml:space="preserve">OPPI EKO ENERGIE </w:t>
      </w:r>
      <w:r w:rsidRPr="00DF6E0B">
        <w:t>poskytoval podnikatelům kromě jiného i dotace na investice do OZE. Vzhledem k</w:t>
      </w:r>
      <w:r w:rsidRPr="00D144BB">
        <w:t> </w:t>
      </w:r>
      <w:r w:rsidRPr="00DF6E0B">
        <w:t>tomu, že aktuální oblasti veřejné podpory spadají technologicky pod zvýšení energetické účinností při výrobě elektřiny pomoci modernizace nebo výstavby nových výroben a technologických prvků, v</w:t>
      </w:r>
      <w:r w:rsidRPr="00D144BB">
        <w:t> </w:t>
      </w:r>
      <w:r w:rsidRPr="00DF6E0B">
        <w:t>tabulce níže je prezentovaná výše výdajů na projekty, které byly v</w:t>
      </w:r>
      <w:r w:rsidRPr="00D144BB">
        <w:t> </w:t>
      </w:r>
      <w:r w:rsidRPr="00DF6E0B">
        <w:t>tomto cíli podpořené.</w:t>
      </w:r>
    </w:p>
    <w:p w:rsidR="002C41C1" w:rsidRPr="00C20B34" w:rsidRDefault="002C41C1" w:rsidP="00E4726C">
      <w:pPr>
        <w:pStyle w:val="BodyText1"/>
        <w:jc w:val="both"/>
      </w:pPr>
    </w:p>
    <w:tbl>
      <w:tblPr>
        <w:tblpPr w:leftFromText="141" w:rightFromText="141" w:vertAnchor="text" w:horzAnchor="margin" w:tblpY="375"/>
        <w:tblW w:w="9213" w:type="dxa"/>
        <w:tblBorders>
          <w:bottom w:val="single" w:sz="4" w:space="0" w:color="00A1DE"/>
          <w:insideH w:val="single" w:sz="4" w:space="0" w:color="00A1DE"/>
        </w:tblBorders>
        <w:tblLayout w:type="fixed"/>
        <w:tblCellMar>
          <w:top w:w="28" w:type="dxa"/>
          <w:left w:w="28" w:type="dxa"/>
          <w:bottom w:w="28" w:type="dxa"/>
          <w:right w:w="28" w:type="dxa"/>
        </w:tblCellMar>
        <w:tblLook w:val="00A0" w:firstRow="1" w:lastRow="0" w:firstColumn="1" w:lastColumn="0" w:noHBand="0" w:noVBand="0"/>
      </w:tblPr>
      <w:tblGrid>
        <w:gridCol w:w="4252"/>
        <w:gridCol w:w="1984"/>
        <w:gridCol w:w="1560"/>
        <w:gridCol w:w="1417"/>
      </w:tblGrid>
      <w:tr w:rsidR="002C41C1" w:rsidRPr="00C20B34" w:rsidTr="002223E8">
        <w:trPr>
          <w:trHeight w:val="20"/>
        </w:trPr>
        <w:tc>
          <w:tcPr>
            <w:tcW w:w="4252" w:type="dxa"/>
            <w:shd w:val="clear" w:color="auto" w:fill="00A1DE"/>
          </w:tcPr>
          <w:p w:rsidR="002C41C1" w:rsidRPr="00C20B34" w:rsidRDefault="002C41C1" w:rsidP="002223E8">
            <w:pPr>
              <w:jc w:val="left"/>
              <w:rPr>
                <w:b/>
                <w:color w:val="000000"/>
                <w:sz w:val="18"/>
                <w:szCs w:val="18"/>
              </w:rPr>
            </w:pPr>
            <w:r w:rsidRPr="00C20B34">
              <w:rPr>
                <w:b/>
                <w:color w:val="000000"/>
                <w:sz w:val="18"/>
                <w:szCs w:val="18"/>
              </w:rPr>
              <w:t>Snižování energetické náročností/zvyšování energetické účinností výrobních a technologických procesů</w:t>
            </w:r>
          </w:p>
        </w:tc>
        <w:tc>
          <w:tcPr>
            <w:tcW w:w="1984" w:type="dxa"/>
            <w:shd w:val="clear" w:color="auto" w:fill="00A1DE"/>
          </w:tcPr>
          <w:p w:rsidR="002C41C1" w:rsidRPr="00C20B34" w:rsidRDefault="002C41C1" w:rsidP="002223E8">
            <w:pPr>
              <w:jc w:val="left"/>
              <w:rPr>
                <w:b/>
                <w:color w:val="000000"/>
                <w:sz w:val="18"/>
                <w:szCs w:val="18"/>
              </w:rPr>
            </w:pPr>
            <w:r w:rsidRPr="00C20B34">
              <w:rPr>
                <w:b/>
                <w:color w:val="000000"/>
                <w:sz w:val="18"/>
                <w:szCs w:val="18"/>
              </w:rPr>
              <w:t>Počet projektů s tímto převažujícím úsporným opatřením</w:t>
            </w:r>
          </w:p>
        </w:tc>
        <w:tc>
          <w:tcPr>
            <w:tcW w:w="1560" w:type="dxa"/>
            <w:shd w:val="clear" w:color="auto" w:fill="00A1DE"/>
          </w:tcPr>
          <w:p w:rsidR="002C41C1" w:rsidRPr="00C20B34" w:rsidRDefault="002C41C1" w:rsidP="002223E8">
            <w:pPr>
              <w:jc w:val="left"/>
              <w:rPr>
                <w:b/>
                <w:color w:val="000000"/>
                <w:sz w:val="18"/>
                <w:szCs w:val="18"/>
              </w:rPr>
            </w:pPr>
            <w:r w:rsidRPr="00C20B34">
              <w:rPr>
                <w:b/>
                <w:color w:val="000000"/>
                <w:sz w:val="18"/>
                <w:szCs w:val="18"/>
              </w:rPr>
              <w:t>Celkové způsobilé výdaje (tis. Kč)</w:t>
            </w:r>
          </w:p>
        </w:tc>
        <w:tc>
          <w:tcPr>
            <w:tcW w:w="1417" w:type="dxa"/>
            <w:shd w:val="clear" w:color="auto" w:fill="00A1DE"/>
          </w:tcPr>
          <w:p w:rsidR="002C41C1" w:rsidRPr="00C20B34" w:rsidRDefault="002C41C1" w:rsidP="002223E8">
            <w:pPr>
              <w:jc w:val="left"/>
              <w:rPr>
                <w:b/>
                <w:color w:val="000000"/>
                <w:sz w:val="18"/>
                <w:szCs w:val="18"/>
              </w:rPr>
            </w:pPr>
            <w:r w:rsidRPr="00C20B34">
              <w:rPr>
                <w:b/>
                <w:color w:val="000000"/>
                <w:sz w:val="18"/>
                <w:szCs w:val="18"/>
              </w:rPr>
              <w:t>Průměrné IRR před zdaněním při s.c.</w:t>
            </w:r>
          </w:p>
        </w:tc>
      </w:tr>
      <w:tr w:rsidR="002C41C1" w:rsidRPr="00C20B34" w:rsidTr="002223E8">
        <w:trPr>
          <w:trHeight w:val="20"/>
        </w:trPr>
        <w:tc>
          <w:tcPr>
            <w:tcW w:w="4252" w:type="dxa"/>
            <w:shd w:val="clear" w:color="auto" w:fill="FFFFFF"/>
            <w:noWrap/>
          </w:tcPr>
          <w:p w:rsidR="002C41C1" w:rsidRPr="00C20B34" w:rsidRDefault="002C41C1" w:rsidP="002223E8">
            <w:pPr>
              <w:jc w:val="left"/>
              <w:rPr>
                <w:color w:val="000000"/>
                <w:sz w:val="18"/>
                <w:szCs w:val="18"/>
              </w:rPr>
            </w:pPr>
            <w:r w:rsidRPr="00C20B34">
              <w:rPr>
                <w:color w:val="000000"/>
                <w:sz w:val="18"/>
                <w:szCs w:val="18"/>
              </w:rPr>
              <w:t>1. výzva</w:t>
            </w:r>
          </w:p>
        </w:tc>
        <w:tc>
          <w:tcPr>
            <w:tcW w:w="1984" w:type="dxa"/>
            <w:shd w:val="clear" w:color="auto" w:fill="FFFFFF"/>
            <w:noWrap/>
          </w:tcPr>
          <w:p w:rsidR="002C41C1" w:rsidRPr="00C20B34" w:rsidRDefault="002C41C1" w:rsidP="002223E8">
            <w:pPr>
              <w:jc w:val="right"/>
              <w:rPr>
                <w:color w:val="000000"/>
                <w:sz w:val="18"/>
                <w:szCs w:val="18"/>
              </w:rPr>
            </w:pPr>
            <w:r w:rsidRPr="00C20B34">
              <w:rPr>
                <w:color w:val="000000"/>
                <w:sz w:val="18"/>
                <w:szCs w:val="18"/>
              </w:rPr>
              <w:t>4</w:t>
            </w:r>
          </w:p>
        </w:tc>
        <w:tc>
          <w:tcPr>
            <w:tcW w:w="1560" w:type="dxa"/>
            <w:shd w:val="clear" w:color="auto" w:fill="FFFFFF"/>
            <w:noWrap/>
          </w:tcPr>
          <w:p w:rsidR="002C41C1" w:rsidRPr="00C20B34" w:rsidRDefault="002C41C1" w:rsidP="002223E8">
            <w:pPr>
              <w:jc w:val="right"/>
              <w:rPr>
                <w:color w:val="000000"/>
                <w:sz w:val="18"/>
                <w:szCs w:val="18"/>
              </w:rPr>
            </w:pPr>
            <w:r w:rsidRPr="00C20B34">
              <w:rPr>
                <w:color w:val="000000"/>
                <w:sz w:val="18"/>
                <w:szCs w:val="18"/>
              </w:rPr>
              <w:t>28 650</w:t>
            </w:r>
          </w:p>
        </w:tc>
        <w:tc>
          <w:tcPr>
            <w:tcW w:w="1417" w:type="dxa"/>
            <w:shd w:val="clear" w:color="auto" w:fill="FFFFFF"/>
            <w:noWrap/>
          </w:tcPr>
          <w:p w:rsidR="002C41C1" w:rsidRPr="00C20B34" w:rsidRDefault="002C41C1" w:rsidP="002223E8">
            <w:pPr>
              <w:jc w:val="right"/>
              <w:rPr>
                <w:color w:val="000000"/>
                <w:sz w:val="18"/>
                <w:szCs w:val="18"/>
              </w:rPr>
            </w:pPr>
            <w:r w:rsidRPr="00C20B34">
              <w:rPr>
                <w:color w:val="000000"/>
                <w:sz w:val="18"/>
                <w:szCs w:val="18"/>
              </w:rPr>
              <w:t>17,70 %</w:t>
            </w:r>
          </w:p>
        </w:tc>
      </w:tr>
      <w:tr w:rsidR="002C41C1" w:rsidRPr="00C20B34" w:rsidTr="002223E8">
        <w:trPr>
          <w:trHeight w:val="20"/>
        </w:trPr>
        <w:tc>
          <w:tcPr>
            <w:tcW w:w="4252" w:type="dxa"/>
            <w:shd w:val="clear" w:color="auto" w:fill="FFFFFF"/>
            <w:noWrap/>
          </w:tcPr>
          <w:p w:rsidR="002C41C1" w:rsidRPr="00C20B34" w:rsidRDefault="002C41C1" w:rsidP="002223E8">
            <w:pPr>
              <w:jc w:val="left"/>
              <w:rPr>
                <w:color w:val="000000"/>
                <w:sz w:val="18"/>
                <w:szCs w:val="18"/>
              </w:rPr>
            </w:pPr>
            <w:r w:rsidRPr="00C20B34">
              <w:rPr>
                <w:color w:val="000000"/>
                <w:sz w:val="18"/>
                <w:szCs w:val="18"/>
              </w:rPr>
              <w:t>2. výzva (konečná spotřeba)</w:t>
            </w:r>
          </w:p>
        </w:tc>
        <w:tc>
          <w:tcPr>
            <w:tcW w:w="1984" w:type="dxa"/>
            <w:shd w:val="clear" w:color="auto" w:fill="FFFFFF"/>
            <w:noWrap/>
          </w:tcPr>
          <w:p w:rsidR="002C41C1" w:rsidRPr="00C20B34" w:rsidRDefault="002C41C1" w:rsidP="002223E8">
            <w:pPr>
              <w:jc w:val="right"/>
              <w:rPr>
                <w:color w:val="000000"/>
                <w:sz w:val="18"/>
                <w:szCs w:val="18"/>
              </w:rPr>
            </w:pPr>
            <w:r w:rsidRPr="00C20B34">
              <w:rPr>
                <w:color w:val="000000"/>
                <w:sz w:val="18"/>
                <w:szCs w:val="18"/>
              </w:rPr>
              <w:t>24</w:t>
            </w:r>
          </w:p>
        </w:tc>
        <w:tc>
          <w:tcPr>
            <w:tcW w:w="1560" w:type="dxa"/>
            <w:shd w:val="clear" w:color="auto" w:fill="FFFFFF"/>
            <w:noWrap/>
          </w:tcPr>
          <w:p w:rsidR="002C41C1" w:rsidRPr="00C20B34" w:rsidRDefault="002C41C1" w:rsidP="002223E8">
            <w:pPr>
              <w:jc w:val="right"/>
              <w:rPr>
                <w:color w:val="000000"/>
                <w:sz w:val="18"/>
                <w:szCs w:val="18"/>
              </w:rPr>
            </w:pPr>
            <w:r w:rsidRPr="00C20B34">
              <w:rPr>
                <w:color w:val="000000"/>
                <w:sz w:val="18"/>
                <w:szCs w:val="18"/>
              </w:rPr>
              <w:t>1 081 778</w:t>
            </w:r>
          </w:p>
        </w:tc>
        <w:tc>
          <w:tcPr>
            <w:tcW w:w="1417" w:type="dxa"/>
            <w:shd w:val="clear" w:color="auto" w:fill="FFFFFF"/>
            <w:noWrap/>
          </w:tcPr>
          <w:p w:rsidR="002C41C1" w:rsidRPr="00C20B34" w:rsidRDefault="002C41C1" w:rsidP="002223E8">
            <w:pPr>
              <w:jc w:val="right"/>
              <w:rPr>
                <w:color w:val="000000"/>
                <w:sz w:val="18"/>
                <w:szCs w:val="18"/>
              </w:rPr>
            </w:pPr>
            <w:r w:rsidRPr="00C20B34">
              <w:rPr>
                <w:color w:val="000000"/>
                <w:sz w:val="18"/>
                <w:szCs w:val="18"/>
              </w:rPr>
              <w:t>19,62 %</w:t>
            </w:r>
          </w:p>
        </w:tc>
      </w:tr>
      <w:tr w:rsidR="002C41C1" w:rsidRPr="00C20B34" w:rsidTr="002223E8">
        <w:trPr>
          <w:trHeight w:val="20"/>
        </w:trPr>
        <w:tc>
          <w:tcPr>
            <w:tcW w:w="4252" w:type="dxa"/>
            <w:shd w:val="clear" w:color="auto" w:fill="FFFFFF"/>
            <w:noWrap/>
          </w:tcPr>
          <w:p w:rsidR="002C41C1" w:rsidRPr="00C20B34" w:rsidRDefault="002C41C1" w:rsidP="002223E8">
            <w:pPr>
              <w:jc w:val="left"/>
              <w:rPr>
                <w:color w:val="000000"/>
                <w:sz w:val="18"/>
                <w:szCs w:val="18"/>
              </w:rPr>
            </w:pPr>
            <w:r w:rsidRPr="00C20B34">
              <w:rPr>
                <w:color w:val="000000"/>
                <w:sz w:val="18"/>
                <w:szCs w:val="18"/>
              </w:rPr>
              <w:t>2. výzva (primární spotřeba)</w:t>
            </w:r>
          </w:p>
        </w:tc>
        <w:tc>
          <w:tcPr>
            <w:tcW w:w="1984" w:type="dxa"/>
            <w:shd w:val="clear" w:color="auto" w:fill="FFFFFF"/>
            <w:noWrap/>
          </w:tcPr>
          <w:p w:rsidR="002C41C1" w:rsidRPr="00C20B34" w:rsidRDefault="002C41C1" w:rsidP="002223E8">
            <w:pPr>
              <w:jc w:val="right"/>
              <w:rPr>
                <w:color w:val="000000"/>
                <w:sz w:val="18"/>
                <w:szCs w:val="18"/>
              </w:rPr>
            </w:pPr>
            <w:r w:rsidRPr="00C20B34">
              <w:rPr>
                <w:color w:val="000000"/>
                <w:sz w:val="18"/>
                <w:szCs w:val="18"/>
              </w:rPr>
              <w:t>1</w:t>
            </w:r>
          </w:p>
        </w:tc>
        <w:tc>
          <w:tcPr>
            <w:tcW w:w="1560" w:type="dxa"/>
            <w:shd w:val="clear" w:color="auto" w:fill="FFFFFF"/>
            <w:noWrap/>
          </w:tcPr>
          <w:p w:rsidR="002C41C1" w:rsidRPr="00C20B34" w:rsidRDefault="002C41C1" w:rsidP="002223E8">
            <w:pPr>
              <w:jc w:val="right"/>
              <w:rPr>
                <w:color w:val="000000"/>
                <w:sz w:val="18"/>
                <w:szCs w:val="18"/>
              </w:rPr>
            </w:pPr>
            <w:r w:rsidRPr="00C20B34">
              <w:rPr>
                <w:color w:val="000000"/>
                <w:sz w:val="18"/>
                <w:szCs w:val="18"/>
              </w:rPr>
              <w:t>205 150</w:t>
            </w:r>
          </w:p>
        </w:tc>
        <w:tc>
          <w:tcPr>
            <w:tcW w:w="1417" w:type="dxa"/>
            <w:shd w:val="clear" w:color="auto" w:fill="FFFFFF"/>
            <w:noWrap/>
          </w:tcPr>
          <w:p w:rsidR="002C41C1" w:rsidRPr="00C20B34" w:rsidRDefault="002C41C1" w:rsidP="002223E8">
            <w:pPr>
              <w:jc w:val="right"/>
              <w:rPr>
                <w:color w:val="000000"/>
                <w:sz w:val="18"/>
                <w:szCs w:val="18"/>
              </w:rPr>
            </w:pPr>
            <w:r w:rsidRPr="00C20B34">
              <w:rPr>
                <w:color w:val="000000"/>
                <w:sz w:val="18"/>
                <w:szCs w:val="18"/>
              </w:rPr>
              <w:t>16,42 %</w:t>
            </w:r>
          </w:p>
        </w:tc>
      </w:tr>
      <w:tr w:rsidR="002C41C1" w:rsidRPr="00C20B34" w:rsidTr="002223E8">
        <w:trPr>
          <w:trHeight w:val="20"/>
        </w:trPr>
        <w:tc>
          <w:tcPr>
            <w:tcW w:w="4252" w:type="dxa"/>
            <w:shd w:val="clear" w:color="auto" w:fill="FFFFFF"/>
            <w:noWrap/>
          </w:tcPr>
          <w:p w:rsidR="002C41C1" w:rsidRPr="00C20B34" w:rsidRDefault="002C41C1" w:rsidP="002223E8">
            <w:pPr>
              <w:jc w:val="left"/>
              <w:rPr>
                <w:color w:val="000000"/>
                <w:sz w:val="18"/>
                <w:szCs w:val="18"/>
              </w:rPr>
            </w:pPr>
            <w:r w:rsidRPr="00C20B34">
              <w:rPr>
                <w:color w:val="000000"/>
                <w:sz w:val="18"/>
                <w:szCs w:val="18"/>
              </w:rPr>
              <w:t>3. výzva (konečná spotřeba)</w:t>
            </w:r>
          </w:p>
        </w:tc>
        <w:tc>
          <w:tcPr>
            <w:tcW w:w="1984" w:type="dxa"/>
            <w:shd w:val="clear" w:color="auto" w:fill="FFFFFF"/>
            <w:noWrap/>
          </w:tcPr>
          <w:p w:rsidR="002C41C1" w:rsidRPr="00C20B34" w:rsidRDefault="002C41C1" w:rsidP="002223E8">
            <w:pPr>
              <w:jc w:val="right"/>
              <w:rPr>
                <w:color w:val="000000"/>
                <w:sz w:val="18"/>
                <w:szCs w:val="18"/>
              </w:rPr>
            </w:pPr>
            <w:r w:rsidRPr="00C20B34">
              <w:rPr>
                <w:color w:val="000000"/>
                <w:sz w:val="18"/>
                <w:szCs w:val="18"/>
              </w:rPr>
              <w:t>17</w:t>
            </w:r>
          </w:p>
        </w:tc>
        <w:tc>
          <w:tcPr>
            <w:tcW w:w="1560" w:type="dxa"/>
            <w:shd w:val="clear" w:color="auto" w:fill="FFFFFF"/>
            <w:noWrap/>
          </w:tcPr>
          <w:p w:rsidR="002C41C1" w:rsidRPr="00C20B34" w:rsidRDefault="002C41C1" w:rsidP="002223E8">
            <w:pPr>
              <w:jc w:val="right"/>
              <w:rPr>
                <w:color w:val="000000"/>
                <w:sz w:val="18"/>
                <w:szCs w:val="18"/>
              </w:rPr>
            </w:pPr>
            <w:r w:rsidRPr="00C20B34">
              <w:rPr>
                <w:color w:val="000000"/>
                <w:sz w:val="18"/>
                <w:szCs w:val="18"/>
              </w:rPr>
              <w:t>1 247 702</w:t>
            </w:r>
          </w:p>
        </w:tc>
        <w:tc>
          <w:tcPr>
            <w:tcW w:w="1417" w:type="dxa"/>
            <w:shd w:val="clear" w:color="auto" w:fill="FFFFFF"/>
            <w:noWrap/>
          </w:tcPr>
          <w:p w:rsidR="002C41C1" w:rsidRPr="00C20B34" w:rsidRDefault="002C41C1" w:rsidP="002223E8">
            <w:pPr>
              <w:jc w:val="right"/>
              <w:rPr>
                <w:color w:val="000000"/>
                <w:sz w:val="18"/>
                <w:szCs w:val="18"/>
              </w:rPr>
            </w:pPr>
            <w:r w:rsidRPr="00C20B34">
              <w:rPr>
                <w:color w:val="000000"/>
                <w:sz w:val="18"/>
                <w:szCs w:val="18"/>
              </w:rPr>
              <w:t>13,85 %</w:t>
            </w:r>
          </w:p>
        </w:tc>
      </w:tr>
      <w:tr w:rsidR="002C41C1" w:rsidRPr="00C20B34" w:rsidTr="002223E8">
        <w:trPr>
          <w:trHeight w:val="20"/>
        </w:trPr>
        <w:tc>
          <w:tcPr>
            <w:tcW w:w="4252" w:type="dxa"/>
            <w:shd w:val="clear" w:color="auto" w:fill="FFFFFF"/>
            <w:noWrap/>
          </w:tcPr>
          <w:p w:rsidR="002C41C1" w:rsidRPr="00C20B34" w:rsidRDefault="002C41C1" w:rsidP="002223E8">
            <w:pPr>
              <w:jc w:val="left"/>
              <w:rPr>
                <w:color w:val="000000"/>
                <w:sz w:val="18"/>
                <w:szCs w:val="18"/>
              </w:rPr>
            </w:pPr>
            <w:r w:rsidRPr="00C20B34">
              <w:rPr>
                <w:color w:val="000000"/>
                <w:sz w:val="18"/>
                <w:szCs w:val="18"/>
              </w:rPr>
              <w:t>3. výzva (primární spotřeba)</w:t>
            </w:r>
          </w:p>
        </w:tc>
        <w:tc>
          <w:tcPr>
            <w:tcW w:w="1984" w:type="dxa"/>
            <w:shd w:val="clear" w:color="auto" w:fill="FFFFFF"/>
            <w:noWrap/>
          </w:tcPr>
          <w:p w:rsidR="002C41C1" w:rsidRPr="00C20B34" w:rsidRDefault="002C41C1" w:rsidP="002223E8">
            <w:pPr>
              <w:jc w:val="right"/>
              <w:rPr>
                <w:color w:val="000000"/>
                <w:sz w:val="18"/>
                <w:szCs w:val="18"/>
              </w:rPr>
            </w:pPr>
            <w:r w:rsidRPr="00C20B34">
              <w:rPr>
                <w:color w:val="000000"/>
                <w:sz w:val="18"/>
                <w:szCs w:val="18"/>
              </w:rPr>
              <w:t>0</w:t>
            </w:r>
          </w:p>
        </w:tc>
        <w:tc>
          <w:tcPr>
            <w:tcW w:w="1560" w:type="dxa"/>
            <w:shd w:val="clear" w:color="auto" w:fill="FFFFFF"/>
            <w:noWrap/>
          </w:tcPr>
          <w:p w:rsidR="002C41C1" w:rsidRPr="00C20B34" w:rsidRDefault="002C41C1" w:rsidP="002223E8">
            <w:pPr>
              <w:jc w:val="right"/>
              <w:rPr>
                <w:color w:val="000000"/>
                <w:sz w:val="18"/>
                <w:szCs w:val="18"/>
              </w:rPr>
            </w:pPr>
            <w:r w:rsidRPr="00C20B34">
              <w:rPr>
                <w:color w:val="000000"/>
                <w:sz w:val="18"/>
                <w:szCs w:val="18"/>
              </w:rPr>
              <w:t>0</w:t>
            </w:r>
          </w:p>
        </w:tc>
        <w:tc>
          <w:tcPr>
            <w:tcW w:w="1417" w:type="dxa"/>
            <w:shd w:val="clear" w:color="auto" w:fill="FFFFFF"/>
            <w:noWrap/>
          </w:tcPr>
          <w:p w:rsidR="002C41C1" w:rsidRPr="00C20B34" w:rsidRDefault="002C41C1" w:rsidP="002223E8">
            <w:pPr>
              <w:keepNext/>
              <w:jc w:val="right"/>
              <w:rPr>
                <w:color w:val="000000"/>
                <w:sz w:val="18"/>
                <w:szCs w:val="18"/>
              </w:rPr>
            </w:pPr>
            <w:r w:rsidRPr="00C20B34">
              <w:rPr>
                <w:color w:val="000000"/>
                <w:sz w:val="18"/>
                <w:szCs w:val="18"/>
              </w:rPr>
              <w:t>n/a</w:t>
            </w:r>
          </w:p>
        </w:tc>
      </w:tr>
      <w:tr w:rsidR="002C41C1" w:rsidRPr="00C20B34" w:rsidTr="002223E8">
        <w:trPr>
          <w:trHeight w:val="20"/>
        </w:trPr>
        <w:tc>
          <w:tcPr>
            <w:tcW w:w="4252" w:type="dxa"/>
            <w:shd w:val="clear" w:color="auto" w:fill="92D050"/>
            <w:noWrap/>
          </w:tcPr>
          <w:p w:rsidR="002C41C1" w:rsidRPr="00C20B34" w:rsidRDefault="002C41C1" w:rsidP="002223E8">
            <w:pPr>
              <w:jc w:val="left"/>
              <w:rPr>
                <w:b/>
                <w:color w:val="000000"/>
                <w:sz w:val="18"/>
                <w:szCs w:val="18"/>
              </w:rPr>
            </w:pPr>
            <w:r w:rsidRPr="00C20B34">
              <w:rPr>
                <w:b/>
                <w:color w:val="000000"/>
                <w:sz w:val="18"/>
                <w:szCs w:val="18"/>
              </w:rPr>
              <w:t>Celkem</w:t>
            </w:r>
          </w:p>
        </w:tc>
        <w:tc>
          <w:tcPr>
            <w:tcW w:w="1984" w:type="dxa"/>
            <w:shd w:val="clear" w:color="auto" w:fill="92D050"/>
            <w:noWrap/>
          </w:tcPr>
          <w:p w:rsidR="002C41C1" w:rsidRPr="00C20B34" w:rsidRDefault="002C41C1" w:rsidP="002223E8">
            <w:pPr>
              <w:jc w:val="right"/>
              <w:rPr>
                <w:b/>
                <w:color w:val="000000"/>
                <w:sz w:val="18"/>
                <w:szCs w:val="18"/>
              </w:rPr>
            </w:pPr>
            <w:r w:rsidRPr="00C20B34">
              <w:rPr>
                <w:b/>
                <w:color w:val="000000"/>
                <w:sz w:val="18"/>
                <w:szCs w:val="18"/>
              </w:rPr>
              <w:t>46</w:t>
            </w:r>
          </w:p>
        </w:tc>
        <w:tc>
          <w:tcPr>
            <w:tcW w:w="1560" w:type="dxa"/>
            <w:shd w:val="clear" w:color="auto" w:fill="92D050"/>
            <w:noWrap/>
          </w:tcPr>
          <w:p w:rsidR="002C41C1" w:rsidRPr="00C20B34" w:rsidRDefault="002C41C1" w:rsidP="002223E8">
            <w:pPr>
              <w:jc w:val="right"/>
              <w:rPr>
                <w:b/>
                <w:color w:val="000000"/>
                <w:sz w:val="18"/>
                <w:szCs w:val="18"/>
              </w:rPr>
            </w:pPr>
            <w:r w:rsidRPr="00C20B34">
              <w:rPr>
                <w:b/>
                <w:color w:val="000000"/>
                <w:sz w:val="18"/>
                <w:szCs w:val="18"/>
              </w:rPr>
              <w:t>2 563 280</w:t>
            </w:r>
          </w:p>
        </w:tc>
        <w:tc>
          <w:tcPr>
            <w:tcW w:w="1417" w:type="dxa"/>
            <w:shd w:val="clear" w:color="auto" w:fill="92D050"/>
            <w:noWrap/>
          </w:tcPr>
          <w:p w:rsidR="002C41C1" w:rsidRPr="00C20B34" w:rsidRDefault="002C41C1" w:rsidP="002223E8">
            <w:pPr>
              <w:keepNext/>
              <w:jc w:val="right"/>
              <w:rPr>
                <w:b/>
                <w:color w:val="000000"/>
                <w:sz w:val="18"/>
                <w:szCs w:val="18"/>
              </w:rPr>
            </w:pPr>
            <w:r w:rsidRPr="00C20B34">
              <w:rPr>
                <w:b/>
                <w:color w:val="000000"/>
                <w:sz w:val="18"/>
                <w:szCs w:val="18"/>
              </w:rPr>
              <w:t>n/a</w:t>
            </w:r>
          </w:p>
        </w:tc>
      </w:tr>
    </w:tbl>
    <w:p w:rsidR="002C41C1" w:rsidRPr="00C20B34" w:rsidRDefault="002C41C1" w:rsidP="00C20B34"/>
    <w:p w:rsidR="002C41C1" w:rsidRPr="00C20B34" w:rsidRDefault="002C41C1" w:rsidP="00C20B34">
      <w:pPr>
        <w:pStyle w:val="Titulek"/>
      </w:pPr>
      <w:r w:rsidRPr="00C20B34">
        <w:t>Tabulka</w:t>
      </w:r>
      <w:r>
        <w:t xml:space="preserve"> 13</w:t>
      </w:r>
      <w:r w:rsidRPr="00C20B34">
        <w:t>: Celkové způsobile výdaje na projekty podpořené v oblasti OZE (počet projektů a IRR)</w:t>
      </w:r>
    </w:p>
    <w:p w:rsidR="002C41C1" w:rsidRPr="00C20B34" w:rsidRDefault="002C41C1" w:rsidP="00C20B34">
      <w:pPr>
        <w:pStyle w:val="Titulek"/>
        <w:rPr>
          <w:i/>
        </w:rPr>
      </w:pPr>
      <w:r w:rsidRPr="00C20B34">
        <w:rPr>
          <w:i/>
        </w:rPr>
        <w:t xml:space="preserve">Zdroj: MPO </w:t>
      </w:r>
    </w:p>
    <w:p w:rsidR="002C41C1" w:rsidRPr="00DF6E0B" w:rsidRDefault="002C41C1" w:rsidP="00DF6E0B"/>
    <w:p w:rsidR="002C41C1" w:rsidRDefault="002C41C1" w:rsidP="00C20B34">
      <w:r w:rsidRPr="00DF6E0B">
        <w:t>Investiční kapacita z</w:t>
      </w:r>
      <w:r w:rsidRPr="00D144BB">
        <w:t> </w:t>
      </w:r>
      <w:r w:rsidRPr="00DF6E0B">
        <w:t xml:space="preserve">programu EKO-ENERGIE se odhaduje poměrně náročně kvůli rozličné struktuře oproti prioritní osy 3 v </w:t>
      </w:r>
      <w:r w:rsidR="0084453C">
        <w:t>OP PIK</w:t>
      </w:r>
      <w:r w:rsidRPr="00DF6E0B">
        <w:t xml:space="preserve">. </w:t>
      </w:r>
      <w:r w:rsidRPr="007013B8">
        <w:t xml:space="preserve">Celkově bylo podpořeno 46 projektů OZE jak na straně konečné spotřeby, tak při primární spotřebě ve výši 2,5 mld. Kč. </w:t>
      </w:r>
    </w:p>
    <w:p w:rsidR="002C41C1" w:rsidRDefault="002C41C1" w:rsidP="00C20B34"/>
    <w:p w:rsidR="002C41C1" w:rsidRDefault="002C41C1" w:rsidP="00DC310F">
      <w:pPr>
        <w:jc w:val="left"/>
      </w:pPr>
      <w:r w:rsidRPr="00DC310F">
        <w:rPr>
          <w:b/>
        </w:rPr>
        <w:t>OP životní prostředí (OPŽP 2007 – 2013)</w:t>
      </w:r>
      <w:r>
        <w:rPr>
          <w:rStyle w:val="Znakapoznpodarou"/>
          <w:b/>
        </w:rPr>
        <w:footnoteReference w:id="20"/>
      </w:r>
      <w:r>
        <w:t xml:space="preserve"> - Problematice výroby elektřiny z OZE se věnovala Prioritní osa 3 – Udržitelné využívaní zdrojů energie v 2 specifických cílech zaměřených na: </w:t>
      </w:r>
    </w:p>
    <w:p w:rsidR="002C41C1" w:rsidRDefault="002C41C1" w:rsidP="00DC310F">
      <w:pPr>
        <w:pStyle w:val="Odstavecseseznamem"/>
        <w:numPr>
          <w:ilvl w:val="0"/>
          <w:numId w:val="10"/>
        </w:numPr>
      </w:pPr>
      <w:r>
        <w:t>rekonstrukci stávajících a výstavbu nových zařízení s cílem zvýšení využívání OZE pro výrobu tepla, elektřiny a kombinované výroby tepla a elektřiny;</w:t>
      </w:r>
    </w:p>
    <w:p w:rsidR="002C41C1" w:rsidRDefault="002C41C1" w:rsidP="00DC310F">
      <w:pPr>
        <w:pStyle w:val="Odstavecseseznamem"/>
        <w:numPr>
          <w:ilvl w:val="0"/>
          <w:numId w:val="10"/>
        </w:numPr>
      </w:pPr>
      <w:r>
        <w:t>realizaci úspor energie a využití odpadního tepla u nepodnikatelské sféry.</w:t>
      </w:r>
    </w:p>
    <w:p w:rsidR="002C41C1" w:rsidRDefault="002C41C1" w:rsidP="00DC310F"/>
    <w:p w:rsidR="002C41C1" w:rsidRDefault="002C41C1" w:rsidP="00DC310F">
      <w:r>
        <w:t>Celková alokace podpory pro oba cíle byla 20,7 mld. Kč a k 4. 1. 2014 byla výše proplacených prostředků 14,66 mld. Kč. Výše nákladů na schválené projekty snížené o úspory z investic dosahuje téměř 100 % alokace (20,2 mld. Kč). Je pravděpodobné, že alokace bude vyčerpána, protože poptávka po finančních zdrojích v podaných žádostech činí 61,67 mld. Kč. Tato hodnota vyčísluje stav investiční potřeby v čase spuštění OPŽP.</w:t>
      </w:r>
      <w:r w:rsidRPr="00167E3C">
        <w:t xml:space="preserve">O dotaci </w:t>
      </w:r>
      <w:r>
        <w:t>nicméně mohly na rozdíl od OPPI</w:t>
      </w:r>
      <w:r w:rsidRPr="00167E3C">
        <w:t xml:space="preserve"> zažádat zejména obce a města, kraje, příspěvkové organizace, vysoké školy, neziskové organizace a obchodní společnosti vlastněné obcemi.</w:t>
      </w:r>
      <w:r w:rsidR="00385FEA">
        <w:t xml:space="preserve"> </w:t>
      </w:r>
      <w:r>
        <w:t xml:space="preserve">Vzhledem k tomuto typu žadatelů tedy není u oblasti MVE a kogenerace z bioplynových stanic pravděpodobný velký výskyt a přesah do 3.1 </w:t>
      </w:r>
      <w:r w:rsidR="0084453C">
        <w:t>OP PIK</w:t>
      </w:r>
      <w:r>
        <w:t>.</w:t>
      </w:r>
    </w:p>
    <w:p w:rsidR="002C41C1" w:rsidRDefault="002C41C1" w:rsidP="00DC310F"/>
    <w:p w:rsidR="002C41C1" w:rsidRDefault="002C41C1" w:rsidP="00DC310F">
      <w:r w:rsidRPr="009A5E84">
        <w:rPr>
          <w:b/>
        </w:rPr>
        <w:t>Program EFEKT (MPO)</w:t>
      </w:r>
      <w:r>
        <w:t xml:space="preserve"> - Státní program na úsporu energie a využití obnovitelných zdrojů energie - V roce 2013 bylo z Programu EFEKT dotačně podpořeno 154 projektů v celkové výši 28 mil. Kč,</w:t>
      </w:r>
      <w:r w:rsidR="00385FEA">
        <w:t xml:space="preserve"> </w:t>
      </w:r>
      <w:r>
        <w:t>dotace vyvolaly investice ve výši 44 mil. Kč.</w:t>
      </w:r>
      <w:r w:rsidR="00385FEA">
        <w:t xml:space="preserve"> </w:t>
      </w:r>
      <w:r>
        <w:t xml:space="preserve">V období 2012 až 2013 byla výše neuspokojené poptávky po dotacích 211 mil. Kč ze strany 513 subjektů (projektů), pouze malá část z toho však zřejmě zasahuje do oblasti SC 3.1. Finanční prostředky byly uplatněny zejména na projekty s nepřímým vlivem na úsporu energie, jako je osvěta veřejnosti, vzdělávání odborníků, nebo bezplatné poradenství. </w:t>
      </w:r>
      <w:r w:rsidRPr="00DF6E0B">
        <w:rPr>
          <w:b/>
        </w:rPr>
        <w:t xml:space="preserve">Na podporu akcí s přímými úsporami energie bylo vyplaceno 11 mil. Kč. </w:t>
      </w:r>
      <w:r>
        <w:t xml:space="preserve">Pro roky 2014 a 2015 byla programu přidělena stejná alokace 30 mil. Kč. Vzhledem k její nízké výši a plánovaně souběžnému fungování </w:t>
      </w:r>
      <w:r w:rsidR="0084453C">
        <w:t>OP PIK</w:t>
      </w:r>
      <w:r>
        <w:t xml:space="preserve"> do programu Efekt již nebudu patřit MVE.</w:t>
      </w:r>
    </w:p>
    <w:p w:rsidR="002C41C1" w:rsidRDefault="002C41C1" w:rsidP="00DC310F"/>
    <w:p w:rsidR="002C41C1" w:rsidRDefault="002C41C1">
      <w:pPr>
        <w:pStyle w:val="Neslovannadpisy"/>
      </w:pPr>
      <w:r>
        <w:t>Provozní podpora</w:t>
      </w:r>
    </w:p>
    <w:p w:rsidR="002C41C1" w:rsidRDefault="002C41C1" w:rsidP="00E6270B">
      <w:r w:rsidRPr="00C74817">
        <w:rPr>
          <w:b/>
        </w:rPr>
        <w:t>MVE čerpají na rozdíl větrné a solární energie stále provozní podporu na elektřinu dodanou do sítě a podle aktuálního cenového rozhodnutí je výkupní cena pro nové zdroje zapojené do sítě 3,23/kWh</w:t>
      </w:r>
      <w:r>
        <w:t xml:space="preserve">. Je nutné zdůraznit, že současné </w:t>
      </w:r>
      <w:r w:rsidRPr="00C74817">
        <w:rPr>
          <w:b/>
        </w:rPr>
        <w:t>nastavení OP PIK neumožňuje zároveň čerpat investiční a provozní podporu</w:t>
      </w:r>
      <w:r>
        <w:t>.</w:t>
      </w:r>
      <w:r w:rsidR="005057AD">
        <w:t xml:space="preserve"> </w:t>
      </w:r>
      <w:r>
        <w:t xml:space="preserve">Vzhledem k výši současné provozní podpory toto ustanovení zásadním způsobem </w:t>
      </w:r>
      <w:r w:rsidRPr="00DF6E0B">
        <w:rPr>
          <w:b/>
        </w:rPr>
        <w:t>omezuje absorpční kapacitu nejen pro finanční nástroje, ale i pro dotace</w:t>
      </w:r>
      <w:r>
        <w:t xml:space="preserve"> v limitu veřejné podpory. Také žadatelé o investiční dotaci z národních programů mají krácenou maximální míru dotace, chtějí-li provozní podporu čerpat.</w:t>
      </w:r>
      <w:r w:rsidR="005057AD">
        <w:t xml:space="preserve"> </w:t>
      </w:r>
      <w:r>
        <w:t>Procentuální krácení podpory provozovatelům, kteří přijali dotaci na výstavbu MVE je vyšší, než např. při KVET, která vyrábí energii z fosilního paliva - plynu.</w:t>
      </w:r>
    </w:p>
    <w:p w:rsidR="002C41C1" w:rsidRDefault="002C41C1" w:rsidP="00E6270B"/>
    <w:p w:rsidR="002C41C1" w:rsidRDefault="002C41C1" w:rsidP="00DC310F">
      <w:r>
        <w:t xml:space="preserve">Provozní podporu na výkup elektřiny odebírá i většina BPS. U podpory investic do kogenerační výroby tepla z BPS ale v </w:t>
      </w:r>
      <w:r w:rsidR="0084453C">
        <w:t>OP PIK</w:t>
      </w:r>
      <w:r>
        <w:t xml:space="preserve"> nenastává konflikt s provozní podporou jako u MVE. Ta se totiž vztahuje na odkup elektřiny, nikoli tepla.</w:t>
      </w:r>
    </w:p>
    <w:p w:rsidR="002C41C1" w:rsidRDefault="002C41C1" w:rsidP="00DC310F"/>
    <w:p w:rsidR="002C41C1" w:rsidRDefault="002C41C1" w:rsidP="00AC4ED5">
      <w:pPr>
        <w:pStyle w:val="Vtneslovannadpis"/>
      </w:pPr>
      <w:r>
        <w:t>Vyčíslení potenciální absorpční kapacity</w:t>
      </w:r>
    </w:p>
    <w:p w:rsidR="002C41C1" w:rsidRDefault="002C41C1" w:rsidP="00AC4ED5">
      <w:pPr>
        <w:rPr>
          <w:b/>
        </w:rPr>
      </w:pPr>
      <w:r w:rsidRPr="00DF6E0B">
        <w:t>V dotazníkovém šetření pro tuto analýzu vyjádřilo 109 společností svůj plánovaný investiční záměr k SC 3.1. Uvažované investiční záměry dosahují výše 1,2 mld. Kč. S</w:t>
      </w:r>
      <w:r w:rsidRPr="00D144BB">
        <w:t> </w:t>
      </w:r>
      <w:r w:rsidRPr="00DF6E0B">
        <w:t>přihlédnutím k</w:t>
      </w:r>
      <w:r w:rsidRPr="00D144BB">
        <w:t> </w:t>
      </w:r>
      <w:r w:rsidRPr="00DF6E0B">
        <w:t>dosavadním zkušenostem s</w:t>
      </w:r>
      <w:r w:rsidRPr="00D144BB">
        <w:t> </w:t>
      </w:r>
      <w:r w:rsidRPr="00DF6E0B">
        <w:t xml:space="preserve">podporou (především OPPI) a počtu dnes aktivních zařízení typu MVE a BPS lze tuto poptávku extrapolovat na </w:t>
      </w:r>
      <w:r>
        <w:t>8</w:t>
      </w:r>
      <w:r w:rsidRPr="00DF6E0B">
        <w:t xml:space="preserve">násobný vzorek. </w:t>
      </w:r>
      <w:r w:rsidRPr="00AD5A9E">
        <w:rPr>
          <w:b/>
        </w:rPr>
        <w:t xml:space="preserve">Výslednou investiční poptávku odhadujeme na </w:t>
      </w:r>
      <w:r>
        <w:rPr>
          <w:b/>
        </w:rPr>
        <w:t>9,6</w:t>
      </w:r>
      <w:r w:rsidRPr="00AD5A9E">
        <w:rPr>
          <w:b/>
        </w:rPr>
        <w:t xml:space="preserve"> mld.</w:t>
      </w:r>
      <w:r w:rsidRPr="00DF6E0B">
        <w:rPr>
          <w:b/>
        </w:rPr>
        <w:t>Kč</w:t>
      </w:r>
      <w:r w:rsidRPr="00DF6E0B">
        <w:t xml:space="preserve">. Pouze 14 % dotázaných by investiční projekt realizovalo bez podpory. 64 % má projektů by mělo zájem o zvýhodněné úvěry. </w:t>
      </w:r>
      <w:r w:rsidRPr="00AD5A9E">
        <w:rPr>
          <w:b/>
        </w:rPr>
        <w:t>Absorpční kapacitu úvěrového nástroje tedy odhadujeme na</w:t>
      </w:r>
      <w:r>
        <w:rPr>
          <w:b/>
        </w:rPr>
        <w:t xml:space="preserve"> max.6</w:t>
      </w:r>
      <w:r w:rsidRPr="00AD5A9E">
        <w:rPr>
          <w:b/>
        </w:rPr>
        <w:t>,</w:t>
      </w:r>
      <w:r>
        <w:rPr>
          <w:b/>
        </w:rPr>
        <w:t>1</w:t>
      </w:r>
      <w:r w:rsidRPr="00AD5A9E">
        <w:rPr>
          <w:b/>
        </w:rPr>
        <w:t xml:space="preserve"> mld. Kč</w:t>
      </w:r>
      <w:r>
        <w:rPr>
          <w:b/>
        </w:rPr>
        <w:t>, v závislosti na jeho parametrech</w:t>
      </w:r>
      <w:r w:rsidRPr="00AD5A9E">
        <w:rPr>
          <w:b/>
        </w:rPr>
        <w:t>.</w:t>
      </w:r>
    </w:p>
    <w:p w:rsidR="002C41C1" w:rsidRDefault="002C41C1" w:rsidP="00AC4ED5">
      <w:pPr>
        <w:rPr>
          <w:b/>
        </w:rPr>
      </w:pPr>
    </w:p>
    <w:p w:rsidR="002C41C1" w:rsidRPr="00DF6E0B" w:rsidRDefault="002C41C1" w:rsidP="00AC4ED5">
      <w:r w:rsidRPr="00DF6E0B">
        <w:t>Investiční poptávka  v</w:t>
      </w:r>
      <w:r w:rsidRPr="00D144BB">
        <w:t> </w:t>
      </w:r>
      <w:r w:rsidRPr="00DF6E0B">
        <w:t>oblasti BPS, která je v</w:t>
      </w:r>
      <w:r w:rsidRPr="00D144BB">
        <w:t> </w:t>
      </w:r>
      <w:r w:rsidRPr="00DF6E0B">
        <w:t>tomto od</w:t>
      </w:r>
      <w:r w:rsidR="005057AD">
        <w:t>hadu obsažena, tvoří dle analýzy</w:t>
      </w:r>
      <w:r w:rsidRPr="00DF6E0B">
        <w:t xml:space="preserve"> MPO/Nova</w:t>
      </w:r>
      <w:r w:rsidR="005057AD">
        <w:t xml:space="preserve"> </w:t>
      </w:r>
      <w:r w:rsidRPr="00DF6E0B">
        <w:t>Energo max</w:t>
      </w:r>
      <w:r>
        <w:t>.</w:t>
      </w:r>
      <w:r w:rsidRPr="00DF6E0B">
        <w:t>3,2 mld. Kč, jak vyplývá z</w:t>
      </w:r>
      <w:r w:rsidRPr="00D144BB">
        <w:t> </w:t>
      </w:r>
      <w:r w:rsidRPr="00DF6E0B">
        <w:t>počtu BPS vhodných k</w:t>
      </w:r>
      <w:r w:rsidRPr="00D144BB">
        <w:t> </w:t>
      </w:r>
      <w:r w:rsidRPr="00DF6E0B">
        <w:t>lokálnímu vyvádění tepla. Větší část alokace 3.1</w:t>
      </w:r>
      <w:r>
        <w:t xml:space="preserve"> (až 2/3)</w:t>
      </w:r>
      <w:r w:rsidRPr="00DF6E0B">
        <w:t xml:space="preserve"> obsáhnou MVE.</w:t>
      </w:r>
    </w:p>
    <w:p w:rsidR="002C41C1" w:rsidRDefault="002C41C1" w:rsidP="00AC4ED5">
      <w:pPr>
        <w:rPr>
          <w:b/>
        </w:rPr>
      </w:pPr>
    </w:p>
    <w:p w:rsidR="002C41C1" w:rsidRDefault="00EA6531" w:rsidP="001D1877">
      <w:pPr>
        <w:pStyle w:val="Vtneslovannadpis"/>
      </w:pPr>
      <w:r>
        <w:t>Analýza</w:t>
      </w:r>
      <w:r w:rsidR="002C41C1">
        <w:t xml:space="preserve"> tržních selhání</w:t>
      </w:r>
      <w:r>
        <w:t xml:space="preserve"> a suboptimálních investičních situací</w:t>
      </w:r>
    </w:p>
    <w:p w:rsidR="002C41C1" w:rsidRDefault="002C41C1" w:rsidP="001D1877">
      <w:r>
        <w:lastRenderedPageBreak/>
        <w:t>Tržních selhání při výrobě elektřiny z OZE spatřujeme hned několik. Nejdůležitější z nich je spojené s legislativou a s investičním rizikem ze strany financujících subjektů. Ze strany financujícího subjektu se často klade důraz na historii firmy a její zkušenosti v daném oboru. Přemrštěná podpora OZE v minulých letech silně pokřivila trh s výrobou energií. Bylo postaveno mnoho nových, ve skutečnosti však neefektivních zařízení. Potenciál investování do energetické účinnosti při výrobě tepla a výstavbě nových zařízení pro výrobu elektřiny z OZE má proto pro nové programové období vysoký potenciál, pokud se jedná o zefektivnění stávajících provozoven.</w:t>
      </w:r>
    </w:p>
    <w:p w:rsidR="002C41C1" w:rsidRDefault="002C41C1" w:rsidP="001D1877"/>
    <w:p w:rsidR="002C41C1" w:rsidRDefault="002C41C1" w:rsidP="001D1877">
      <w:r>
        <w:t>Významným rizikem zůstává regulace cen elektřiny, regulace výkupních cen, podpora výroby elektřiny z OZE, procentuální krácení dotace, náročné uzavíraní kontraktů s distributory, kapacita připojení a jiné. Nedostatečně právně pokryté oblasti, jsou rizikem pro banky, protože jim subjekt nedokáže zaručit jistotu spuštění byznys modelu. Dalším selháním je riziko technologické – poruchovost technologie, nedosažení plánované úspory či efektivnosti, vyšší náklady na údržbu. Zvýšení cen energie vede postupně k snižování spotřeby.</w:t>
      </w:r>
    </w:p>
    <w:p w:rsidR="002C41C1" w:rsidRDefault="002C41C1" w:rsidP="001A387B"/>
    <w:p w:rsidR="002C41C1" w:rsidRDefault="002C41C1" w:rsidP="001A387B">
      <w:r>
        <w:t>Trh výroby elektřiny a tepla z OZE se v ČR postupně uklidnil po boomu zapříčiněném výraznou dotační politikou. Cíle pro výrobu elektřiny z OZE, které ČR stanovila EK k naplnění do roku 2020, byly naplněny předčasně. Není dostatek prostor pro výstavbu nových MVE a je částečně nežádoucí budovat další BPS kvůli ekologické zátěži a zvýšenému podílu pěstovaní technických plodin na orné půdě. Z nepokryté poptávky potenciálních žadatelů o dotace z OPŽP jsou jasně patrné nedostatky nastavení energetické legislativy ze strany vlády a špatná regulace ze strany ERÚ. Veškeré tyto faktory způsobily růst cen energii, zrušení velkého množství dotačních programů a tlak na pokles spotřeby elektřiny.</w:t>
      </w:r>
    </w:p>
    <w:p w:rsidR="002C41C1" w:rsidRDefault="002C41C1" w:rsidP="001A387B"/>
    <w:p w:rsidR="002C41C1" w:rsidRDefault="002C41C1" w:rsidP="001A387B">
      <w:r>
        <w:t xml:space="preserve">Další programové období je příležitostí zefektivnit účinnost výroby elektřiny a tepla z OZE, posunout podíl OZE na celkové výrobě elektřiny na ještě vyšší úroveň, čímž by se ČR postupně přiblížila k cíli zbavit se závislosti na energetických surovinách (ropa, plyn, uhlí). Potřebné je ale změnit nastavení energetické legislativy, nastavit finanční nástroje a strukturu financováni obecně tak, aby projekty, které můžou být financovaný za komerčních podmínek, nebyly finančními institucemi opomíjené. </w:t>
      </w:r>
    </w:p>
    <w:p w:rsidR="002C41C1" w:rsidRDefault="002C41C1" w:rsidP="001D1877"/>
    <w:p w:rsidR="002C41C1" w:rsidRDefault="002C41C1" w:rsidP="001D1877">
      <w:pPr>
        <w:pStyle w:val="Vtneslovannadpis"/>
      </w:pPr>
      <w:r>
        <w:t>Návrh opatření</w:t>
      </w:r>
    </w:p>
    <w:p w:rsidR="002C41C1" w:rsidRDefault="002C41C1" w:rsidP="001D1877">
      <w:r>
        <w:t xml:space="preserve">Při návrhu vhodného řešení SC 3.1 je nutno přihlédnout k veřejnému zájmu udržitelného rozvoje OZE v příštích letech. Cílem je tedy nákladově efektivní cestou maximalizovat investiční aktivitu v této oblasti, zejména do zefektivňování stávajících zařízení. Důležité je též vzít v úvahu pravidlo neslučitelnosti podpory investiční a provozní v rámci </w:t>
      </w:r>
      <w:r w:rsidR="0084453C">
        <w:t>OP PIK</w:t>
      </w:r>
      <w:r>
        <w:t>, která se týká výroby elektřiny z MVE a kogenerace. Za těchto okolností je absorpční kapacita MVE, jichž se omezení týká především, blízko nule (pokud nebude míra dotace 80-100 % a nevynahradí tak provozní podporu).</w:t>
      </w:r>
    </w:p>
    <w:p w:rsidR="002C41C1" w:rsidRDefault="002C41C1" w:rsidP="001D1877"/>
    <w:p w:rsidR="002C41C1" w:rsidRDefault="002C41C1" w:rsidP="001D1877">
      <w:r>
        <w:t xml:space="preserve">I z toho důvodu </w:t>
      </w:r>
      <w:r w:rsidR="003F31B1">
        <w:rPr>
          <w:b/>
        </w:rPr>
        <w:t>navrhuje Deloitte Advisory</w:t>
      </w:r>
      <w:r w:rsidRPr="00DF6E0B">
        <w:rPr>
          <w:b/>
        </w:rPr>
        <w:t xml:space="preserve"> primárně přehodnotit pravidlo</w:t>
      </w:r>
      <w:r>
        <w:rPr>
          <w:b/>
        </w:rPr>
        <w:t xml:space="preserve"> </w:t>
      </w:r>
      <w:r w:rsidR="0084453C">
        <w:rPr>
          <w:b/>
        </w:rPr>
        <w:t>OP PIK</w:t>
      </w:r>
      <w:r w:rsidRPr="00DF6E0B">
        <w:rPr>
          <w:b/>
        </w:rPr>
        <w:t xml:space="preserve"> </w:t>
      </w:r>
      <w:r w:rsidR="003F31B1">
        <w:rPr>
          <w:b/>
        </w:rPr>
        <w:t xml:space="preserve">stanovené Komisí </w:t>
      </w:r>
      <w:r w:rsidRPr="00DF6E0B">
        <w:rPr>
          <w:b/>
        </w:rPr>
        <w:t>o slučitelnosti s</w:t>
      </w:r>
      <w:r w:rsidRPr="00D144BB">
        <w:rPr>
          <w:b/>
        </w:rPr>
        <w:t> </w:t>
      </w:r>
      <w:r w:rsidRPr="00DF6E0B">
        <w:rPr>
          <w:b/>
        </w:rPr>
        <w:t>provozní podporou pro návratné finanční nástroje</w:t>
      </w:r>
      <w:r>
        <w:t>. Využití zvýhodněného úvěrů s prodlouženou dobou splatnosti v kombinaci s příspěvkem na přípravu projektu a dokumentaci může vhodně incentivizovat investiční kapacitu a zároveň motivovat ekonomickou racionalitu a udržitelnost projektů nákladově efektivní cestou.</w:t>
      </w:r>
    </w:p>
    <w:p w:rsidR="002C41C1" w:rsidRDefault="002C41C1" w:rsidP="001D1877"/>
    <w:p w:rsidR="002C41C1" w:rsidRDefault="002C41C1" w:rsidP="0061784B">
      <w:r>
        <w:t>Spatřujeme ekonomický potenciál pro využití úvěrového nástroje také u kogenerace a vyvádění tepla z BPS. Tyto projekty mohou dosahovat IRR až kolem 15 % s návratností do 10 let.</w:t>
      </w:r>
      <w:r w:rsidR="003F31B1">
        <w:t xml:space="preserve"> </w:t>
      </w:r>
      <w:r>
        <w:t>S příspěvkem na fázi přípravy investice, kdy je projekt nejrizikovější, může tedy úvěr se sníženým úrokem taktéž investiční poptávce vhodně pomoci. Vzhledem k veřejnému zájmu</w:t>
      </w:r>
      <w:r w:rsidR="003F31B1">
        <w:t xml:space="preserve"> </w:t>
      </w:r>
      <w:r>
        <w:t>na rozvoji tohoto odvětví je nicméně i přes relativně ziskový potenciál typových investic opodstatnitelné využít v této oblasti nadále dotační podpory na zvýšení efektivnosti a využívání tepla.</w:t>
      </w:r>
    </w:p>
    <w:p w:rsidR="002C41C1" w:rsidRDefault="002C41C1" w:rsidP="001D1877"/>
    <w:p w:rsidR="002C41C1" w:rsidRDefault="002C41C1">
      <w:pPr>
        <w:pStyle w:val="Vtneslovannadpis"/>
      </w:pPr>
      <w:r>
        <w:lastRenderedPageBreak/>
        <w:t>Aktivování investičního potenciálu</w:t>
      </w:r>
    </w:p>
    <w:p w:rsidR="002C41C1" w:rsidRDefault="005F2B40" w:rsidP="00DF6E0B">
      <w:pPr>
        <w:pStyle w:val="Titulek"/>
      </w:pPr>
      <w:r>
        <w:rPr>
          <w:b w:val="0"/>
          <w:bCs w:val="0"/>
          <w:noProof/>
          <w:lang w:eastAsia="cs-CZ"/>
        </w:rPr>
        <w:drawing>
          <wp:anchor distT="0" distB="0" distL="114300" distR="114300" simplePos="0" relativeHeight="251662336" behindDoc="1" locked="0" layoutInCell="1" allowOverlap="1" wp14:anchorId="3B1A2632" wp14:editId="7538172A">
            <wp:simplePos x="0" y="0"/>
            <wp:positionH relativeFrom="column">
              <wp:posOffset>-16510</wp:posOffset>
            </wp:positionH>
            <wp:positionV relativeFrom="paragraph">
              <wp:posOffset>322580</wp:posOffset>
            </wp:positionV>
            <wp:extent cx="2743200" cy="2025650"/>
            <wp:effectExtent l="0" t="0" r="0" b="0"/>
            <wp:wrapTopAndBottom/>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2025650"/>
                    </a:xfrm>
                    <a:prstGeom prst="rect">
                      <a:avLst/>
                    </a:prstGeom>
                    <a:noFill/>
                  </pic:spPr>
                </pic:pic>
              </a:graphicData>
            </a:graphic>
            <wp14:sizeRelH relativeFrom="page">
              <wp14:pctWidth>0</wp14:pctWidth>
            </wp14:sizeRelH>
            <wp14:sizeRelV relativeFrom="page">
              <wp14:pctHeight>0</wp14:pctHeight>
            </wp14:sizeRelV>
          </wp:anchor>
        </w:drawing>
      </w:r>
      <w:r w:rsidR="002C41C1">
        <w:t xml:space="preserve">Graf č. 13: Očekávaná doba návratnosti, </w:t>
      </w:r>
    </w:p>
    <w:p w:rsidR="002C41C1" w:rsidRDefault="002C41C1" w:rsidP="00DF6E0B">
      <w:pPr>
        <w:pStyle w:val="Titulek"/>
      </w:pPr>
      <w:r>
        <w:t>Zdroj: Dotazník</w:t>
      </w:r>
    </w:p>
    <w:p w:rsidR="002C41C1" w:rsidRDefault="002C41C1" w:rsidP="00DF6E0B"/>
    <w:p w:rsidR="002C41C1" w:rsidRDefault="002C41C1" w:rsidP="00DF6E0B">
      <w:r w:rsidRPr="00D03ACF">
        <w:t xml:space="preserve">V grafu 9 je vidět, že návratnost u investic do výroby energie z OZE je více než 5 let až u 61 % investičních záměrů. Z dotazníku vychází průměrná návratnost 7,5 roku. Běžný projekt dosahuje relativně krátkou návratnost (méně než 10 let) díky garantovaným výkupným cenám elektřiny z OZE. Projekty zaměřené na vývod tepla mají nižší návratnost z důvodu náročnosti investice na vybudování soustavy tepla (teplovodů).  </w:t>
      </w:r>
    </w:p>
    <w:p w:rsidR="002C41C1" w:rsidRDefault="002C41C1" w:rsidP="00DF6E0B"/>
    <w:p w:rsidR="002C41C1" w:rsidRDefault="002C41C1" w:rsidP="00DF6E0B">
      <w:r w:rsidRPr="00D03ACF">
        <w:t>Až 63 % subjektů se vyjádřilo v dotazníku, že by je zvýhodněný úvěr podpořil v aktivaci investičního záměru v plné nebo částečné výši (viz tabulka 12). V případě poskytnutí finančního nástroje ve formě záruky by investiční záměr realizovalo 51 % subjektů. Kdyby neexistovala žádná forma veřejné podpory (IFN), tak by v plném rozsahu realizovalo projekt pouze 12 % tázaných subjektů.</w:t>
      </w:r>
    </w:p>
    <w:p w:rsidR="002C41C1" w:rsidRPr="00D03ACF" w:rsidRDefault="002C41C1" w:rsidP="00CC1774"/>
    <w:tbl>
      <w:tblPr>
        <w:tblW w:w="9119" w:type="dxa"/>
        <w:tblBorders>
          <w:bottom w:val="single" w:sz="4" w:space="0" w:color="00A1DE"/>
          <w:insideH w:val="single" w:sz="4" w:space="0" w:color="00A1DE"/>
        </w:tblBorders>
        <w:tblCellMar>
          <w:top w:w="28" w:type="dxa"/>
          <w:left w:w="28" w:type="dxa"/>
          <w:bottom w:w="28" w:type="dxa"/>
          <w:right w:w="28" w:type="dxa"/>
        </w:tblCellMar>
        <w:tblLook w:val="00A0" w:firstRow="1" w:lastRow="0" w:firstColumn="1" w:lastColumn="0" w:noHBand="0" w:noVBand="0"/>
      </w:tblPr>
      <w:tblGrid>
        <w:gridCol w:w="3289"/>
        <w:gridCol w:w="1060"/>
        <w:gridCol w:w="960"/>
        <w:gridCol w:w="960"/>
        <w:gridCol w:w="960"/>
        <w:gridCol w:w="1730"/>
        <w:gridCol w:w="160"/>
      </w:tblGrid>
      <w:tr w:rsidR="002C41C1" w:rsidRPr="00D03ACF" w:rsidTr="004C2D90">
        <w:trPr>
          <w:trHeight w:val="20"/>
        </w:trPr>
        <w:tc>
          <w:tcPr>
            <w:tcW w:w="3289" w:type="dxa"/>
            <w:shd w:val="clear" w:color="auto" w:fill="00A1DE"/>
            <w:noWrap/>
          </w:tcPr>
          <w:p w:rsidR="002C41C1" w:rsidRPr="00D03ACF" w:rsidRDefault="002C41C1" w:rsidP="004C2D90">
            <w:pPr>
              <w:keepNext/>
              <w:jc w:val="left"/>
              <w:rPr>
                <w:b/>
                <w:bCs/>
                <w:color w:val="000000"/>
                <w:sz w:val="18"/>
                <w:szCs w:val="18"/>
              </w:rPr>
            </w:pPr>
            <w:r w:rsidRPr="00D03ACF">
              <w:rPr>
                <w:b/>
                <w:bCs/>
                <w:color w:val="000000"/>
                <w:sz w:val="18"/>
                <w:szCs w:val="18"/>
              </w:rPr>
              <w:t> </w:t>
            </w:r>
          </w:p>
        </w:tc>
        <w:tc>
          <w:tcPr>
            <w:tcW w:w="1060" w:type="dxa"/>
            <w:shd w:val="clear" w:color="auto" w:fill="00A1DE"/>
            <w:noWrap/>
            <w:vAlign w:val="center"/>
          </w:tcPr>
          <w:p w:rsidR="002C41C1" w:rsidRPr="00D03ACF" w:rsidRDefault="002C41C1" w:rsidP="004C2D90">
            <w:pPr>
              <w:keepNext/>
              <w:jc w:val="center"/>
              <w:rPr>
                <w:b/>
                <w:bCs/>
                <w:color w:val="FFFFFF"/>
                <w:sz w:val="18"/>
                <w:szCs w:val="18"/>
              </w:rPr>
            </w:pPr>
            <w:r w:rsidRPr="00D03ACF">
              <w:rPr>
                <w:b/>
                <w:bCs/>
                <w:color w:val="FFFFFF"/>
                <w:sz w:val="18"/>
                <w:szCs w:val="18"/>
              </w:rPr>
              <w:t>Určitě ano</w:t>
            </w:r>
          </w:p>
        </w:tc>
        <w:tc>
          <w:tcPr>
            <w:tcW w:w="960" w:type="dxa"/>
            <w:shd w:val="clear" w:color="auto" w:fill="00A1DE"/>
            <w:noWrap/>
            <w:vAlign w:val="center"/>
          </w:tcPr>
          <w:p w:rsidR="002C41C1" w:rsidRPr="00D03ACF" w:rsidRDefault="002C41C1" w:rsidP="004C2D90">
            <w:pPr>
              <w:keepNext/>
              <w:jc w:val="center"/>
              <w:rPr>
                <w:b/>
                <w:bCs/>
                <w:color w:val="FFFFFF"/>
                <w:sz w:val="18"/>
                <w:szCs w:val="18"/>
              </w:rPr>
            </w:pPr>
            <w:r w:rsidRPr="00D03ACF">
              <w:rPr>
                <w:b/>
                <w:bCs/>
                <w:color w:val="FFFFFF"/>
                <w:sz w:val="18"/>
                <w:szCs w:val="18"/>
              </w:rPr>
              <w:t>Spíše ano</w:t>
            </w:r>
          </w:p>
        </w:tc>
        <w:tc>
          <w:tcPr>
            <w:tcW w:w="960" w:type="dxa"/>
            <w:shd w:val="clear" w:color="auto" w:fill="00A1DE"/>
            <w:noWrap/>
            <w:vAlign w:val="center"/>
          </w:tcPr>
          <w:p w:rsidR="002C41C1" w:rsidRPr="00D03ACF" w:rsidRDefault="002C41C1" w:rsidP="004C2D90">
            <w:pPr>
              <w:keepNext/>
              <w:jc w:val="center"/>
              <w:rPr>
                <w:b/>
                <w:bCs/>
                <w:color w:val="FFFFFF"/>
                <w:sz w:val="18"/>
                <w:szCs w:val="18"/>
              </w:rPr>
            </w:pPr>
            <w:r w:rsidRPr="00D03ACF">
              <w:rPr>
                <w:b/>
                <w:bCs/>
                <w:color w:val="FFFFFF"/>
                <w:sz w:val="18"/>
                <w:szCs w:val="18"/>
              </w:rPr>
              <w:t>Spíše ne</w:t>
            </w:r>
          </w:p>
        </w:tc>
        <w:tc>
          <w:tcPr>
            <w:tcW w:w="960" w:type="dxa"/>
            <w:shd w:val="clear" w:color="auto" w:fill="00A1DE"/>
            <w:noWrap/>
            <w:vAlign w:val="center"/>
          </w:tcPr>
          <w:p w:rsidR="002C41C1" w:rsidRPr="00D03ACF" w:rsidRDefault="002C41C1" w:rsidP="004C2D90">
            <w:pPr>
              <w:keepNext/>
              <w:jc w:val="center"/>
              <w:rPr>
                <w:b/>
                <w:bCs/>
                <w:color w:val="FFFFFF"/>
                <w:sz w:val="18"/>
                <w:szCs w:val="18"/>
              </w:rPr>
            </w:pPr>
            <w:r w:rsidRPr="00D03ACF">
              <w:rPr>
                <w:b/>
                <w:bCs/>
                <w:color w:val="FFFFFF"/>
                <w:sz w:val="18"/>
                <w:szCs w:val="18"/>
              </w:rPr>
              <w:t>Určitě ne</w:t>
            </w:r>
          </w:p>
        </w:tc>
        <w:tc>
          <w:tcPr>
            <w:tcW w:w="1730" w:type="dxa"/>
            <w:shd w:val="clear" w:color="auto" w:fill="00A1DE"/>
            <w:noWrap/>
            <w:vAlign w:val="center"/>
          </w:tcPr>
          <w:p w:rsidR="002C41C1" w:rsidRPr="00D03ACF" w:rsidRDefault="002C41C1" w:rsidP="004C2D90">
            <w:pPr>
              <w:keepNext/>
              <w:jc w:val="center"/>
              <w:rPr>
                <w:b/>
                <w:bCs/>
                <w:color w:val="000000"/>
                <w:sz w:val="18"/>
                <w:szCs w:val="18"/>
              </w:rPr>
            </w:pPr>
            <w:r w:rsidRPr="00D03ACF">
              <w:rPr>
                <w:b/>
                <w:bCs/>
                <w:color w:val="FFFFFF"/>
                <w:sz w:val="18"/>
                <w:szCs w:val="18"/>
              </w:rPr>
              <w:t>Typ nástroje</w:t>
            </w:r>
          </w:p>
        </w:tc>
        <w:tc>
          <w:tcPr>
            <w:tcW w:w="160" w:type="dxa"/>
            <w:shd w:val="clear" w:color="auto" w:fill="00A1DE"/>
            <w:noWrap/>
          </w:tcPr>
          <w:p w:rsidR="002C41C1" w:rsidRPr="00D03ACF" w:rsidRDefault="002C41C1" w:rsidP="004C2D90">
            <w:pPr>
              <w:keepNext/>
              <w:jc w:val="left"/>
              <w:rPr>
                <w:b/>
                <w:bCs/>
                <w:color w:val="000000"/>
                <w:sz w:val="18"/>
                <w:szCs w:val="18"/>
              </w:rPr>
            </w:pPr>
            <w:r w:rsidRPr="00D03ACF">
              <w:rPr>
                <w:b/>
                <w:bCs/>
                <w:color w:val="000000"/>
                <w:sz w:val="18"/>
                <w:szCs w:val="18"/>
              </w:rPr>
              <w:t> </w:t>
            </w:r>
          </w:p>
        </w:tc>
      </w:tr>
      <w:tr w:rsidR="002C41C1" w:rsidRPr="00D03ACF" w:rsidTr="004C2D90">
        <w:trPr>
          <w:trHeight w:val="20"/>
        </w:trPr>
        <w:tc>
          <w:tcPr>
            <w:tcW w:w="3289" w:type="dxa"/>
            <w:vMerge w:val="restart"/>
            <w:shd w:val="clear" w:color="auto" w:fill="FFFFFF"/>
            <w:noWrap/>
            <w:vAlign w:val="center"/>
          </w:tcPr>
          <w:p w:rsidR="002C41C1" w:rsidRPr="00D03ACF" w:rsidRDefault="002C41C1" w:rsidP="004C2D90">
            <w:pPr>
              <w:keepNext/>
              <w:jc w:val="left"/>
              <w:rPr>
                <w:color w:val="000000"/>
                <w:sz w:val="18"/>
                <w:szCs w:val="18"/>
              </w:rPr>
            </w:pPr>
            <w:r w:rsidRPr="00D03ACF">
              <w:rPr>
                <w:color w:val="000000"/>
                <w:sz w:val="18"/>
                <w:szCs w:val="18"/>
              </w:rPr>
              <w:t>Energie z</w:t>
            </w:r>
            <w:r>
              <w:rPr>
                <w:color w:val="000000"/>
                <w:sz w:val="18"/>
                <w:szCs w:val="18"/>
              </w:rPr>
              <w:t> </w:t>
            </w:r>
            <w:r w:rsidRPr="00D03ACF">
              <w:rPr>
                <w:color w:val="000000"/>
                <w:sz w:val="18"/>
                <w:szCs w:val="18"/>
              </w:rPr>
              <w:t>OZE</w:t>
            </w:r>
          </w:p>
        </w:tc>
        <w:tc>
          <w:tcPr>
            <w:tcW w:w="1060" w:type="dxa"/>
            <w:shd w:val="clear" w:color="auto" w:fill="FFFFFF"/>
            <w:noWrap/>
          </w:tcPr>
          <w:p w:rsidR="002C41C1" w:rsidRPr="00D03ACF" w:rsidRDefault="002C41C1" w:rsidP="004C2D90">
            <w:pPr>
              <w:keepNext/>
              <w:jc w:val="right"/>
              <w:rPr>
                <w:color w:val="000000"/>
                <w:sz w:val="18"/>
                <w:szCs w:val="18"/>
              </w:rPr>
            </w:pPr>
            <w:r w:rsidRPr="00D03ACF">
              <w:rPr>
                <w:sz w:val="18"/>
                <w:szCs w:val="18"/>
              </w:rPr>
              <w:t>22%</w:t>
            </w:r>
          </w:p>
        </w:tc>
        <w:tc>
          <w:tcPr>
            <w:tcW w:w="960" w:type="dxa"/>
            <w:shd w:val="clear" w:color="auto" w:fill="FFFFFF"/>
            <w:noWrap/>
          </w:tcPr>
          <w:p w:rsidR="002C41C1" w:rsidRPr="00D03ACF" w:rsidRDefault="002C41C1" w:rsidP="004C2D90">
            <w:pPr>
              <w:keepNext/>
              <w:jc w:val="right"/>
              <w:rPr>
                <w:color w:val="000000"/>
                <w:sz w:val="18"/>
                <w:szCs w:val="18"/>
              </w:rPr>
            </w:pPr>
            <w:r w:rsidRPr="00D03ACF">
              <w:rPr>
                <w:sz w:val="18"/>
                <w:szCs w:val="18"/>
              </w:rPr>
              <w:t>18%</w:t>
            </w:r>
          </w:p>
        </w:tc>
        <w:tc>
          <w:tcPr>
            <w:tcW w:w="960" w:type="dxa"/>
            <w:shd w:val="clear" w:color="auto" w:fill="FFFFFF"/>
            <w:noWrap/>
          </w:tcPr>
          <w:p w:rsidR="002C41C1" w:rsidRPr="00D03ACF" w:rsidRDefault="002C41C1" w:rsidP="004C2D90">
            <w:pPr>
              <w:keepNext/>
              <w:jc w:val="right"/>
              <w:rPr>
                <w:color w:val="000000"/>
                <w:sz w:val="18"/>
                <w:szCs w:val="18"/>
              </w:rPr>
            </w:pPr>
            <w:r w:rsidRPr="00D03ACF">
              <w:rPr>
                <w:sz w:val="18"/>
                <w:szCs w:val="18"/>
              </w:rPr>
              <w:t>23%</w:t>
            </w:r>
          </w:p>
        </w:tc>
        <w:tc>
          <w:tcPr>
            <w:tcW w:w="960" w:type="dxa"/>
            <w:shd w:val="clear" w:color="auto" w:fill="FFFFFF"/>
            <w:noWrap/>
          </w:tcPr>
          <w:p w:rsidR="002C41C1" w:rsidRPr="00D03ACF" w:rsidRDefault="002C41C1" w:rsidP="004C2D90">
            <w:pPr>
              <w:keepNext/>
              <w:jc w:val="right"/>
              <w:rPr>
                <w:color w:val="000000"/>
                <w:sz w:val="18"/>
                <w:szCs w:val="18"/>
              </w:rPr>
            </w:pPr>
            <w:r w:rsidRPr="00D03ACF">
              <w:rPr>
                <w:sz w:val="18"/>
                <w:szCs w:val="18"/>
              </w:rPr>
              <w:t>36%</w:t>
            </w:r>
          </w:p>
        </w:tc>
        <w:tc>
          <w:tcPr>
            <w:tcW w:w="1890" w:type="dxa"/>
            <w:gridSpan w:val="2"/>
            <w:shd w:val="clear" w:color="auto" w:fill="FFFFFF"/>
            <w:noWrap/>
            <w:vAlign w:val="center"/>
          </w:tcPr>
          <w:p w:rsidR="002C41C1" w:rsidRPr="00D03ACF" w:rsidRDefault="002C41C1" w:rsidP="004C2D90">
            <w:pPr>
              <w:keepNext/>
              <w:jc w:val="right"/>
              <w:rPr>
                <w:color w:val="000000"/>
                <w:sz w:val="18"/>
                <w:szCs w:val="18"/>
              </w:rPr>
            </w:pPr>
            <w:r w:rsidRPr="00D03ACF">
              <w:rPr>
                <w:color w:val="000000"/>
                <w:sz w:val="18"/>
                <w:szCs w:val="18"/>
              </w:rPr>
              <w:t>Kapitálový vstup</w:t>
            </w:r>
          </w:p>
        </w:tc>
      </w:tr>
      <w:tr w:rsidR="002C41C1" w:rsidRPr="00D03ACF" w:rsidTr="004C2D90">
        <w:trPr>
          <w:trHeight w:val="20"/>
        </w:trPr>
        <w:tc>
          <w:tcPr>
            <w:tcW w:w="3289" w:type="dxa"/>
            <w:vMerge/>
            <w:shd w:val="clear" w:color="auto" w:fill="FFFFFF"/>
            <w:noWrap/>
            <w:vAlign w:val="center"/>
          </w:tcPr>
          <w:p w:rsidR="002C41C1" w:rsidRPr="00D03ACF" w:rsidRDefault="002C41C1" w:rsidP="004C2D90">
            <w:pPr>
              <w:jc w:val="left"/>
              <w:rPr>
                <w:sz w:val="18"/>
                <w:szCs w:val="18"/>
              </w:rPr>
            </w:pPr>
          </w:p>
        </w:tc>
        <w:tc>
          <w:tcPr>
            <w:tcW w:w="1060" w:type="dxa"/>
            <w:shd w:val="clear" w:color="auto" w:fill="FFFFFF"/>
            <w:noWrap/>
          </w:tcPr>
          <w:p w:rsidR="002C41C1" w:rsidRPr="00D03ACF" w:rsidRDefault="002C41C1" w:rsidP="004C2D90">
            <w:pPr>
              <w:keepNext/>
              <w:jc w:val="right"/>
              <w:rPr>
                <w:color w:val="000000"/>
                <w:sz w:val="18"/>
                <w:szCs w:val="18"/>
              </w:rPr>
            </w:pPr>
            <w:r w:rsidRPr="00D03ACF">
              <w:rPr>
                <w:sz w:val="18"/>
                <w:szCs w:val="18"/>
              </w:rPr>
              <w:t>21%</w:t>
            </w:r>
          </w:p>
        </w:tc>
        <w:tc>
          <w:tcPr>
            <w:tcW w:w="960" w:type="dxa"/>
            <w:shd w:val="clear" w:color="auto" w:fill="FFFFFF"/>
            <w:noWrap/>
          </w:tcPr>
          <w:p w:rsidR="002C41C1" w:rsidRPr="00D03ACF" w:rsidRDefault="002C41C1" w:rsidP="004C2D90">
            <w:pPr>
              <w:keepNext/>
              <w:jc w:val="right"/>
              <w:rPr>
                <w:color w:val="000000"/>
                <w:sz w:val="18"/>
                <w:szCs w:val="18"/>
              </w:rPr>
            </w:pPr>
            <w:r w:rsidRPr="00D03ACF">
              <w:rPr>
                <w:sz w:val="18"/>
                <w:szCs w:val="18"/>
              </w:rPr>
              <w:t>30%</w:t>
            </w:r>
          </w:p>
        </w:tc>
        <w:tc>
          <w:tcPr>
            <w:tcW w:w="960" w:type="dxa"/>
            <w:shd w:val="clear" w:color="auto" w:fill="FFFFFF"/>
            <w:noWrap/>
          </w:tcPr>
          <w:p w:rsidR="002C41C1" w:rsidRPr="00D03ACF" w:rsidRDefault="002C41C1" w:rsidP="004C2D90">
            <w:pPr>
              <w:keepNext/>
              <w:jc w:val="right"/>
              <w:rPr>
                <w:color w:val="000000"/>
                <w:sz w:val="18"/>
                <w:szCs w:val="18"/>
              </w:rPr>
            </w:pPr>
            <w:r w:rsidRPr="00D03ACF">
              <w:rPr>
                <w:sz w:val="18"/>
                <w:szCs w:val="18"/>
              </w:rPr>
              <w:t>20%</w:t>
            </w:r>
          </w:p>
        </w:tc>
        <w:tc>
          <w:tcPr>
            <w:tcW w:w="960" w:type="dxa"/>
            <w:shd w:val="clear" w:color="auto" w:fill="FFFFFF"/>
            <w:noWrap/>
          </w:tcPr>
          <w:p w:rsidR="002C41C1" w:rsidRPr="00D03ACF" w:rsidRDefault="002C41C1" w:rsidP="004C2D90">
            <w:pPr>
              <w:keepNext/>
              <w:jc w:val="right"/>
              <w:rPr>
                <w:color w:val="000000"/>
                <w:sz w:val="18"/>
                <w:szCs w:val="18"/>
              </w:rPr>
            </w:pPr>
            <w:r w:rsidRPr="00D03ACF">
              <w:rPr>
                <w:sz w:val="18"/>
                <w:szCs w:val="18"/>
              </w:rPr>
              <w:t>30%</w:t>
            </w:r>
          </w:p>
        </w:tc>
        <w:tc>
          <w:tcPr>
            <w:tcW w:w="1890" w:type="dxa"/>
            <w:gridSpan w:val="2"/>
            <w:shd w:val="clear" w:color="auto" w:fill="FFFFFF"/>
            <w:noWrap/>
            <w:vAlign w:val="center"/>
          </w:tcPr>
          <w:p w:rsidR="002C41C1" w:rsidRPr="00D03ACF" w:rsidRDefault="002C41C1" w:rsidP="004C2D90">
            <w:pPr>
              <w:keepNext/>
              <w:jc w:val="right"/>
              <w:rPr>
                <w:color w:val="000000"/>
                <w:sz w:val="18"/>
                <w:szCs w:val="18"/>
              </w:rPr>
            </w:pPr>
            <w:r w:rsidRPr="00D03ACF">
              <w:rPr>
                <w:color w:val="000000"/>
                <w:sz w:val="18"/>
                <w:szCs w:val="18"/>
              </w:rPr>
              <w:t>Záruky</w:t>
            </w:r>
          </w:p>
        </w:tc>
      </w:tr>
      <w:tr w:rsidR="002C41C1" w:rsidRPr="00D03ACF" w:rsidTr="004C2D90">
        <w:trPr>
          <w:trHeight w:val="20"/>
        </w:trPr>
        <w:tc>
          <w:tcPr>
            <w:tcW w:w="3289" w:type="dxa"/>
            <w:vMerge/>
            <w:shd w:val="clear" w:color="auto" w:fill="FFFFFF"/>
            <w:noWrap/>
            <w:vAlign w:val="center"/>
          </w:tcPr>
          <w:p w:rsidR="002C41C1" w:rsidRPr="00D03ACF" w:rsidRDefault="002C41C1" w:rsidP="004C2D90">
            <w:pPr>
              <w:jc w:val="left"/>
              <w:rPr>
                <w:sz w:val="18"/>
                <w:szCs w:val="18"/>
              </w:rPr>
            </w:pPr>
          </w:p>
        </w:tc>
        <w:tc>
          <w:tcPr>
            <w:tcW w:w="1060" w:type="dxa"/>
            <w:shd w:val="clear" w:color="auto" w:fill="FFFFFF"/>
            <w:noWrap/>
          </w:tcPr>
          <w:p w:rsidR="002C41C1" w:rsidRPr="00D03ACF" w:rsidRDefault="002C41C1" w:rsidP="004C2D90">
            <w:pPr>
              <w:keepNext/>
              <w:jc w:val="right"/>
              <w:rPr>
                <w:color w:val="000000"/>
                <w:sz w:val="18"/>
                <w:szCs w:val="18"/>
              </w:rPr>
            </w:pPr>
            <w:r w:rsidRPr="00D03ACF">
              <w:rPr>
                <w:sz w:val="18"/>
                <w:szCs w:val="18"/>
              </w:rPr>
              <w:t>35%</w:t>
            </w:r>
          </w:p>
        </w:tc>
        <w:tc>
          <w:tcPr>
            <w:tcW w:w="960" w:type="dxa"/>
            <w:shd w:val="clear" w:color="auto" w:fill="FFFFFF"/>
            <w:noWrap/>
          </w:tcPr>
          <w:p w:rsidR="002C41C1" w:rsidRPr="00D03ACF" w:rsidRDefault="002C41C1" w:rsidP="004C2D90">
            <w:pPr>
              <w:keepNext/>
              <w:jc w:val="right"/>
              <w:rPr>
                <w:color w:val="000000"/>
                <w:sz w:val="18"/>
                <w:szCs w:val="18"/>
              </w:rPr>
            </w:pPr>
            <w:r w:rsidRPr="00D03ACF">
              <w:rPr>
                <w:sz w:val="18"/>
                <w:szCs w:val="18"/>
              </w:rPr>
              <w:t>28%</w:t>
            </w:r>
          </w:p>
        </w:tc>
        <w:tc>
          <w:tcPr>
            <w:tcW w:w="960" w:type="dxa"/>
            <w:shd w:val="clear" w:color="auto" w:fill="FFFFFF"/>
            <w:noWrap/>
          </w:tcPr>
          <w:p w:rsidR="002C41C1" w:rsidRPr="00D03ACF" w:rsidRDefault="002C41C1" w:rsidP="004C2D90">
            <w:pPr>
              <w:keepNext/>
              <w:jc w:val="right"/>
              <w:rPr>
                <w:color w:val="000000"/>
                <w:sz w:val="18"/>
                <w:szCs w:val="18"/>
              </w:rPr>
            </w:pPr>
            <w:r w:rsidRPr="00D03ACF">
              <w:rPr>
                <w:sz w:val="18"/>
                <w:szCs w:val="18"/>
              </w:rPr>
              <w:t>18%</w:t>
            </w:r>
          </w:p>
        </w:tc>
        <w:tc>
          <w:tcPr>
            <w:tcW w:w="960" w:type="dxa"/>
            <w:shd w:val="clear" w:color="auto" w:fill="FFFFFF"/>
            <w:noWrap/>
          </w:tcPr>
          <w:p w:rsidR="002C41C1" w:rsidRPr="00D03ACF" w:rsidRDefault="002C41C1" w:rsidP="004C2D90">
            <w:pPr>
              <w:keepNext/>
              <w:jc w:val="right"/>
              <w:rPr>
                <w:color w:val="000000"/>
                <w:sz w:val="18"/>
                <w:szCs w:val="18"/>
              </w:rPr>
            </w:pPr>
            <w:r w:rsidRPr="00D03ACF">
              <w:rPr>
                <w:sz w:val="18"/>
                <w:szCs w:val="18"/>
              </w:rPr>
              <w:t>18%</w:t>
            </w:r>
          </w:p>
        </w:tc>
        <w:tc>
          <w:tcPr>
            <w:tcW w:w="1890" w:type="dxa"/>
            <w:gridSpan w:val="2"/>
            <w:shd w:val="clear" w:color="auto" w:fill="FFFFFF"/>
            <w:noWrap/>
            <w:vAlign w:val="center"/>
          </w:tcPr>
          <w:p w:rsidR="002C41C1" w:rsidRPr="00D03ACF" w:rsidRDefault="002C41C1" w:rsidP="004C2D90">
            <w:pPr>
              <w:keepNext/>
              <w:jc w:val="right"/>
              <w:rPr>
                <w:color w:val="000000"/>
                <w:sz w:val="18"/>
                <w:szCs w:val="18"/>
              </w:rPr>
            </w:pPr>
            <w:r w:rsidRPr="00D03ACF">
              <w:rPr>
                <w:color w:val="000000"/>
                <w:sz w:val="18"/>
                <w:szCs w:val="18"/>
              </w:rPr>
              <w:t>Zvýhodněný úvěr</w:t>
            </w:r>
          </w:p>
        </w:tc>
      </w:tr>
      <w:tr w:rsidR="002C41C1" w:rsidRPr="00D03ACF" w:rsidTr="004C2D90">
        <w:trPr>
          <w:trHeight w:val="20"/>
        </w:trPr>
        <w:tc>
          <w:tcPr>
            <w:tcW w:w="9119" w:type="dxa"/>
            <w:gridSpan w:val="7"/>
            <w:shd w:val="clear" w:color="auto" w:fill="6295FF"/>
            <w:noWrap/>
            <w:vAlign w:val="center"/>
          </w:tcPr>
          <w:p w:rsidR="002C41C1" w:rsidRPr="00D03ACF" w:rsidRDefault="002C41C1" w:rsidP="004C2D90">
            <w:pPr>
              <w:jc w:val="left"/>
              <w:rPr>
                <w:rFonts w:cs="Calibri"/>
                <w:color w:val="000000"/>
                <w:sz w:val="18"/>
                <w:szCs w:val="18"/>
              </w:rPr>
            </w:pPr>
            <w:r w:rsidRPr="00D03ACF">
              <w:rPr>
                <w:b/>
                <w:bCs/>
                <w:color w:val="FFFFFF"/>
                <w:sz w:val="18"/>
                <w:szCs w:val="18"/>
              </w:rPr>
              <w:t>V případě, že jste odpověděli spíše ne/ne, změnila by se Vaše odpověď na minulou otázku, kdyby zvýhodněný úvěr obsahoval příslib omezené dotační podpory (např. 10% celkové investice) v případě, že jsou naplněny vybrané cíle projektu?</w:t>
            </w:r>
          </w:p>
          <w:p w:rsidR="002C41C1" w:rsidRPr="00D03ACF" w:rsidRDefault="002C41C1" w:rsidP="004C2D90">
            <w:pPr>
              <w:keepNext/>
              <w:jc w:val="left"/>
              <w:rPr>
                <w:color w:val="000000"/>
                <w:sz w:val="18"/>
                <w:szCs w:val="18"/>
              </w:rPr>
            </w:pPr>
          </w:p>
        </w:tc>
      </w:tr>
      <w:tr w:rsidR="002C41C1" w:rsidRPr="00D03ACF" w:rsidTr="004C2D90">
        <w:trPr>
          <w:trHeight w:val="20"/>
        </w:trPr>
        <w:tc>
          <w:tcPr>
            <w:tcW w:w="3289" w:type="dxa"/>
            <w:shd w:val="clear" w:color="auto" w:fill="6295FF"/>
            <w:noWrap/>
            <w:vAlign w:val="center"/>
          </w:tcPr>
          <w:p w:rsidR="002C41C1" w:rsidRPr="00D03ACF" w:rsidRDefault="002C41C1" w:rsidP="004C2D90">
            <w:pPr>
              <w:jc w:val="left"/>
              <w:rPr>
                <w:color w:val="000000"/>
                <w:sz w:val="18"/>
                <w:szCs w:val="18"/>
              </w:rPr>
            </w:pPr>
          </w:p>
        </w:tc>
        <w:tc>
          <w:tcPr>
            <w:tcW w:w="1060" w:type="dxa"/>
            <w:shd w:val="clear" w:color="auto" w:fill="6295FF"/>
            <w:noWrap/>
            <w:vAlign w:val="center"/>
          </w:tcPr>
          <w:p w:rsidR="002C41C1" w:rsidRPr="00D03ACF" w:rsidRDefault="002C41C1" w:rsidP="004C2D90">
            <w:pPr>
              <w:keepNext/>
              <w:jc w:val="center"/>
              <w:rPr>
                <w:b/>
                <w:bCs/>
                <w:color w:val="FFFFFF"/>
                <w:sz w:val="18"/>
                <w:szCs w:val="18"/>
              </w:rPr>
            </w:pPr>
            <w:r w:rsidRPr="00D03ACF">
              <w:rPr>
                <w:b/>
                <w:bCs/>
                <w:color w:val="FFFFFF"/>
                <w:sz w:val="18"/>
                <w:szCs w:val="18"/>
              </w:rPr>
              <w:t>Určitě ano</w:t>
            </w:r>
          </w:p>
        </w:tc>
        <w:tc>
          <w:tcPr>
            <w:tcW w:w="960" w:type="dxa"/>
            <w:shd w:val="clear" w:color="auto" w:fill="6295FF"/>
            <w:noWrap/>
            <w:vAlign w:val="center"/>
          </w:tcPr>
          <w:p w:rsidR="002C41C1" w:rsidRPr="00D03ACF" w:rsidRDefault="002C41C1" w:rsidP="004C2D90">
            <w:pPr>
              <w:keepNext/>
              <w:jc w:val="center"/>
              <w:rPr>
                <w:b/>
                <w:bCs/>
                <w:color w:val="FFFFFF"/>
                <w:sz w:val="18"/>
                <w:szCs w:val="18"/>
              </w:rPr>
            </w:pPr>
            <w:r w:rsidRPr="00D03ACF">
              <w:rPr>
                <w:b/>
                <w:bCs/>
                <w:color w:val="FFFFFF"/>
                <w:sz w:val="18"/>
                <w:szCs w:val="18"/>
              </w:rPr>
              <w:t>Spíše ano</w:t>
            </w:r>
          </w:p>
        </w:tc>
        <w:tc>
          <w:tcPr>
            <w:tcW w:w="960" w:type="dxa"/>
            <w:shd w:val="clear" w:color="auto" w:fill="6295FF"/>
            <w:noWrap/>
            <w:vAlign w:val="center"/>
          </w:tcPr>
          <w:p w:rsidR="002C41C1" w:rsidRPr="00D03ACF" w:rsidRDefault="002C41C1" w:rsidP="004C2D90">
            <w:pPr>
              <w:keepNext/>
              <w:jc w:val="center"/>
              <w:rPr>
                <w:b/>
                <w:bCs/>
                <w:color w:val="FFFFFF"/>
                <w:sz w:val="18"/>
                <w:szCs w:val="18"/>
              </w:rPr>
            </w:pPr>
            <w:r w:rsidRPr="00D03ACF">
              <w:rPr>
                <w:b/>
                <w:bCs/>
                <w:color w:val="FFFFFF"/>
                <w:sz w:val="18"/>
                <w:szCs w:val="18"/>
              </w:rPr>
              <w:t>Spíše ne</w:t>
            </w:r>
          </w:p>
        </w:tc>
        <w:tc>
          <w:tcPr>
            <w:tcW w:w="960" w:type="dxa"/>
            <w:shd w:val="clear" w:color="auto" w:fill="6295FF"/>
            <w:noWrap/>
            <w:vAlign w:val="center"/>
          </w:tcPr>
          <w:p w:rsidR="002C41C1" w:rsidRPr="00D03ACF" w:rsidRDefault="002C41C1" w:rsidP="004C2D90">
            <w:pPr>
              <w:keepNext/>
              <w:jc w:val="center"/>
              <w:rPr>
                <w:b/>
                <w:bCs/>
                <w:color w:val="FFFFFF"/>
                <w:sz w:val="18"/>
                <w:szCs w:val="18"/>
              </w:rPr>
            </w:pPr>
            <w:r w:rsidRPr="00D03ACF">
              <w:rPr>
                <w:b/>
                <w:bCs/>
                <w:color w:val="FFFFFF"/>
                <w:sz w:val="18"/>
                <w:szCs w:val="18"/>
              </w:rPr>
              <w:t>Určitě ne</w:t>
            </w:r>
          </w:p>
        </w:tc>
        <w:tc>
          <w:tcPr>
            <w:tcW w:w="1890" w:type="dxa"/>
            <w:gridSpan w:val="2"/>
            <w:shd w:val="clear" w:color="auto" w:fill="6295FF"/>
            <w:noWrap/>
            <w:vAlign w:val="center"/>
          </w:tcPr>
          <w:p w:rsidR="002C41C1" w:rsidRPr="00D03ACF" w:rsidRDefault="002C41C1" w:rsidP="004C2D90">
            <w:pPr>
              <w:keepNext/>
              <w:jc w:val="center"/>
              <w:rPr>
                <w:b/>
                <w:bCs/>
                <w:color w:val="FFFFFF"/>
                <w:sz w:val="18"/>
                <w:szCs w:val="18"/>
              </w:rPr>
            </w:pPr>
            <w:r w:rsidRPr="00D03ACF">
              <w:rPr>
                <w:b/>
                <w:bCs/>
                <w:color w:val="FFFFFF"/>
                <w:sz w:val="18"/>
                <w:szCs w:val="18"/>
              </w:rPr>
              <w:t>Typ nástroje</w:t>
            </w:r>
          </w:p>
        </w:tc>
      </w:tr>
      <w:tr w:rsidR="002C41C1" w:rsidRPr="00D03ACF" w:rsidTr="004C2D90">
        <w:trPr>
          <w:trHeight w:val="20"/>
        </w:trPr>
        <w:tc>
          <w:tcPr>
            <w:tcW w:w="3289" w:type="dxa"/>
            <w:shd w:val="clear" w:color="auto" w:fill="FFFFFF"/>
            <w:noWrap/>
            <w:vAlign w:val="center"/>
          </w:tcPr>
          <w:p w:rsidR="002C41C1" w:rsidRPr="00D03ACF" w:rsidRDefault="002C41C1" w:rsidP="004C2D90">
            <w:pPr>
              <w:jc w:val="left"/>
              <w:rPr>
                <w:sz w:val="18"/>
                <w:szCs w:val="18"/>
              </w:rPr>
            </w:pPr>
            <w:r w:rsidRPr="00D03ACF">
              <w:rPr>
                <w:color w:val="000000"/>
                <w:sz w:val="18"/>
                <w:szCs w:val="18"/>
              </w:rPr>
              <w:t>Energie z</w:t>
            </w:r>
            <w:r>
              <w:rPr>
                <w:color w:val="000000"/>
                <w:sz w:val="18"/>
                <w:szCs w:val="18"/>
              </w:rPr>
              <w:t> </w:t>
            </w:r>
            <w:r w:rsidRPr="00D03ACF">
              <w:rPr>
                <w:color w:val="000000"/>
                <w:sz w:val="18"/>
                <w:szCs w:val="18"/>
              </w:rPr>
              <w:t>OZE</w:t>
            </w:r>
          </w:p>
        </w:tc>
        <w:tc>
          <w:tcPr>
            <w:tcW w:w="1060" w:type="dxa"/>
            <w:shd w:val="clear" w:color="auto" w:fill="FFFFFF"/>
            <w:noWrap/>
            <w:vAlign w:val="center"/>
          </w:tcPr>
          <w:p w:rsidR="002C41C1" w:rsidRPr="00D03ACF" w:rsidRDefault="002C41C1" w:rsidP="004C2D90">
            <w:pPr>
              <w:keepNext/>
              <w:jc w:val="right"/>
              <w:rPr>
                <w:sz w:val="18"/>
                <w:szCs w:val="18"/>
              </w:rPr>
            </w:pPr>
            <w:r w:rsidRPr="00D03ACF">
              <w:rPr>
                <w:sz w:val="18"/>
                <w:szCs w:val="18"/>
              </w:rPr>
              <w:t>11%</w:t>
            </w:r>
          </w:p>
        </w:tc>
        <w:tc>
          <w:tcPr>
            <w:tcW w:w="960" w:type="dxa"/>
            <w:shd w:val="clear" w:color="auto" w:fill="FFFFFF"/>
            <w:noWrap/>
            <w:vAlign w:val="center"/>
          </w:tcPr>
          <w:p w:rsidR="002C41C1" w:rsidRPr="00D03ACF" w:rsidRDefault="002C41C1" w:rsidP="004C2D90">
            <w:pPr>
              <w:keepNext/>
              <w:jc w:val="right"/>
              <w:rPr>
                <w:sz w:val="18"/>
                <w:szCs w:val="18"/>
              </w:rPr>
            </w:pPr>
            <w:r w:rsidRPr="00D03ACF">
              <w:rPr>
                <w:sz w:val="18"/>
                <w:szCs w:val="18"/>
              </w:rPr>
              <w:t>18%</w:t>
            </w:r>
          </w:p>
        </w:tc>
        <w:tc>
          <w:tcPr>
            <w:tcW w:w="960" w:type="dxa"/>
            <w:shd w:val="clear" w:color="auto" w:fill="FFFFFF"/>
            <w:noWrap/>
            <w:vAlign w:val="center"/>
          </w:tcPr>
          <w:p w:rsidR="002C41C1" w:rsidRPr="00D03ACF" w:rsidRDefault="002C41C1" w:rsidP="004C2D90">
            <w:pPr>
              <w:keepNext/>
              <w:jc w:val="right"/>
              <w:rPr>
                <w:sz w:val="18"/>
                <w:szCs w:val="18"/>
              </w:rPr>
            </w:pPr>
            <w:r w:rsidRPr="00D03ACF">
              <w:rPr>
                <w:sz w:val="18"/>
                <w:szCs w:val="18"/>
              </w:rPr>
              <w:t>16%</w:t>
            </w:r>
          </w:p>
        </w:tc>
        <w:tc>
          <w:tcPr>
            <w:tcW w:w="960" w:type="dxa"/>
            <w:shd w:val="clear" w:color="auto" w:fill="FFFFFF"/>
            <w:noWrap/>
            <w:vAlign w:val="center"/>
          </w:tcPr>
          <w:p w:rsidR="002C41C1" w:rsidRPr="00D03ACF" w:rsidRDefault="002C41C1" w:rsidP="004C2D90">
            <w:pPr>
              <w:keepNext/>
              <w:jc w:val="right"/>
              <w:rPr>
                <w:sz w:val="18"/>
                <w:szCs w:val="18"/>
              </w:rPr>
            </w:pPr>
            <w:r w:rsidRPr="00D03ACF">
              <w:rPr>
                <w:sz w:val="18"/>
                <w:szCs w:val="18"/>
              </w:rPr>
              <w:t>18%</w:t>
            </w:r>
          </w:p>
        </w:tc>
        <w:tc>
          <w:tcPr>
            <w:tcW w:w="1890" w:type="dxa"/>
            <w:gridSpan w:val="2"/>
            <w:shd w:val="clear" w:color="auto" w:fill="FFFFFF"/>
            <w:noWrap/>
            <w:vAlign w:val="center"/>
          </w:tcPr>
          <w:p w:rsidR="002C41C1" w:rsidRPr="00D03ACF" w:rsidRDefault="002C41C1" w:rsidP="004C2D90">
            <w:pPr>
              <w:keepNext/>
              <w:jc w:val="right"/>
              <w:rPr>
                <w:color w:val="000000"/>
                <w:sz w:val="18"/>
                <w:szCs w:val="18"/>
              </w:rPr>
            </w:pPr>
            <w:r w:rsidRPr="00D03ACF">
              <w:rPr>
                <w:color w:val="000000"/>
                <w:sz w:val="18"/>
                <w:szCs w:val="18"/>
              </w:rPr>
              <w:t>Zvýhodněný úvěr + dotace</w:t>
            </w:r>
          </w:p>
        </w:tc>
      </w:tr>
    </w:tbl>
    <w:p w:rsidR="002C41C1" w:rsidRDefault="002C41C1" w:rsidP="00DF6E0B">
      <w:pPr>
        <w:pStyle w:val="Titulek"/>
      </w:pPr>
      <w:r w:rsidRPr="00D03ACF">
        <w:t xml:space="preserve">Tabulka </w:t>
      </w:r>
      <w:fldSimple w:instr=" SEQ Tabulka \* ARABIC ">
        <w:r>
          <w:rPr>
            <w:noProof/>
          </w:rPr>
          <w:t>1</w:t>
        </w:r>
      </w:fldSimple>
      <w:r>
        <w:t>4</w:t>
      </w:r>
      <w:r w:rsidRPr="00D03ACF">
        <w:t>: Aktivační potenciál finančních nástrojů</w:t>
      </w:r>
    </w:p>
    <w:p w:rsidR="002C41C1" w:rsidRPr="00DF6E0B" w:rsidRDefault="002C41C1" w:rsidP="00DF6E0B">
      <w:pPr>
        <w:pStyle w:val="Titulek"/>
      </w:pPr>
      <w:r w:rsidRPr="00DF6E0B">
        <w:t xml:space="preserve">Zdroj: Dotazníkové šetření Ex ante </w:t>
      </w:r>
      <w:r w:rsidR="0084453C">
        <w:t>OP PIK</w:t>
      </w:r>
    </w:p>
    <w:p w:rsidR="002C41C1" w:rsidRDefault="002C41C1" w:rsidP="001D1877"/>
    <w:p w:rsidR="002C41C1" w:rsidRPr="00DF6E0B" w:rsidRDefault="002C41C1" w:rsidP="00DF6E0B">
      <w:pPr>
        <w:pStyle w:val="Nadpis3"/>
        <w:rPr>
          <w:lang w:eastAsia="en-US"/>
        </w:rPr>
      </w:pPr>
      <w:bookmarkStart w:id="75" w:name="_Toc413854343"/>
      <w:r w:rsidRPr="00DF6E0B">
        <w:rPr>
          <w:lang w:eastAsia="en-US"/>
        </w:rPr>
        <w:t>Specifický cíl 3.2</w:t>
      </w:r>
      <w:r w:rsidR="00F75FB4">
        <w:rPr>
          <w:lang w:eastAsia="en-US"/>
        </w:rPr>
        <w:t xml:space="preserve"> </w:t>
      </w:r>
      <w:r w:rsidRPr="00DF6E0B">
        <w:rPr>
          <w:lang w:eastAsia="en-US"/>
        </w:rPr>
        <w:t>- Snižování energetické náročnosti podnikatelského sektoru a rozvíjení energetických služeb</w:t>
      </w:r>
      <w:bookmarkEnd w:id="75"/>
    </w:p>
    <w:p w:rsidR="002C41C1" w:rsidRDefault="002C41C1" w:rsidP="00DF6E0B">
      <w:pPr>
        <w:rPr>
          <w:lang w:eastAsia="en-US"/>
        </w:rPr>
      </w:pPr>
    </w:p>
    <w:p w:rsidR="002C41C1" w:rsidRDefault="002C41C1" w:rsidP="008674AE">
      <w:pPr>
        <w:pStyle w:val="Neslovannadpisy"/>
      </w:pPr>
      <w:r>
        <w:t xml:space="preserve">Hlavní cílová skupina: </w:t>
      </w:r>
    </w:p>
    <w:p w:rsidR="002C41C1" w:rsidRDefault="002C41C1" w:rsidP="008674AE">
      <w:r w:rsidRPr="00397581">
        <w:t>Podnikatelské subjekty (malé, střední a případně velké podniky)</w:t>
      </w:r>
    </w:p>
    <w:p w:rsidR="002C41C1" w:rsidRDefault="002C41C1" w:rsidP="008674AE">
      <w:pPr>
        <w:pStyle w:val="Neslovannadpisy"/>
      </w:pPr>
    </w:p>
    <w:p w:rsidR="002C41C1" w:rsidRDefault="002C41C1" w:rsidP="008674AE">
      <w:pPr>
        <w:pStyle w:val="Neslovannadpisy"/>
      </w:pPr>
      <w:r>
        <w:t>Cílové území:</w:t>
      </w:r>
    </w:p>
    <w:p w:rsidR="002C41C1" w:rsidRDefault="002C41C1" w:rsidP="008674AE">
      <w:r>
        <w:lastRenderedPageBreak/>
        <w:t>V</w:t>
      </w:r>
      <w:r w:rsidRPr="00397581">
        <w:t>šechny regiony v ČR kromě hl. m. Prahy</w:t>
      </w:r>
    </w:p>
    <w:p w:rsidR="002C41C1" w:rsidRPr="009B1D9D" w:rsidRDefault="002C41C1" w:rsidP="00DF6E0B">
      <w:pPr>
        <w:rPr>
          <w:lang w:eastAsia="en-US"/>
        </w:rPr>
      </w:pPr>
    </w:p>
    <w:p w:rsidR="002C41C1" w:rsidRDefault="002C41C1" w:rsidP="008425CE">
      <w:pPr>
        <w:pStyle w:val="Vtneslovannadpis"/>
        <w:rPr>
          <w:lang w:eastAsia="en-US"/>
        </w:rPr>
      </w:pPr>
      <w:r>
        <w:rPr>
          <w:lang w:eastAsia="en-US"/>
        </w:rPr>
        <w:t>Tržní analýza</w:t>
      </w:r>
    </w:p>
    <w:p w:rsidR="002C41C1" w:rsidRDefault="002C41C1" w:rsidP="00DF6E0B">
      <w:pPr>
        <w:rPr>
          <w:lang w:eastAsia="en-US"/>
        </w:rPr>
      </w:pPr>
      <w:r>
        <w:rPr>
          <w:lang w:eastAsia="en-US"/>
        </w:rPr>
        <w:t xml:space="preserve">Financování projektů energetických úspor je v současné době rostoucím byznysem. Velkého potenciálu technologického rozvoje a energetických úspor využívá řada subjektů na trhu (tzv. energetické servisní společnosti – </w:t>
      </w:r>
      <w:r w:rsidRPr="00DF6E0B">
        <w:rPr>
          <w:b/>
          <w:lang w:eastAsia="en-US"/>
        </w:rPr>
        <w:t>ESCO</w:t>
      </w:r>
      <w:r>
        <w:rPr>
          <w:lang w:eastAsia="en-US"/>
        </w:rPr>
        <w:t>)k realizaci úprav organizačních, technických i stavebních, které vedou ke snížení spotřeby energie a tedy i snížení nákladů pro konečného spotřebitele. Tento rozvoj je zapříčiněn nejen dotační podporou, financování energetických úspor je ekonomicky racionální i na čistě tržním principu.</w:t>
      </w:r>
    </w:p>
    <w:p w:rsidR="002C41C1" w:rsidRDefault="002C41C1" w:rsidP="00DF6E0B">
      <w:pPr>
        <w:rPr>
          <w:lang w:eastAsia="en-US"/>
        </w:rPr>
      </w:pPr>
    </w:p>
    <w:p w:rsidR="002C41C1" w:rsidRDefault="002C41C1" w:rsidP="00E07015">
      <w:pPr>
        <w:rPr>
          <w:lang w:eastAsia="en-US"/>
        </w:rPr>
      </w:pPr>
      <w:r w:rsidRPr="00E07015">
        <w:rPr>
          <w:lang w:eastAsia="en-US"/>
        </w:rPr>
        <w:t>Z rozhovorů se zainteresovanými subjekty vyplynulo, že mechanismy financování investic do snížení energetické náročnosti podniků jsou poměrně vyspělé a efektivní, jako například</w:t>
      </w:r>
      <w:r>
        <w:rPr>
          <w:lang w:eastAsia="en-US"/>
        </w:rPr>
        <w:t xml:space="preserve"> metoda zaručených energetických služeb</w:t>
      </w:r>
      <w:r w:rsidR="005057AD">
        <w:rPr>
          <w:lang w:eastAsia="en-US"/>
        </w:rPr>
        <w:t xml:space="preserve"> </w:t>
      </w:r>
      <w:r w:rsidRPr="00DF6E0B">
        <w:rPr>
          <w:b/>
          <w:lang w:eastAsia="en-US"/>
        </w:rPr>
        <w:t>Energy Performance Contracting</w:t>
      </w:r>
      <w:r w:rsidRPr="00E07015">
        <w:rPr>
          <w:lang w:eastAsia="en-US"/>
        </w:rPr>
        <w:t>, skrze kterou se od přelomu milénia investice</w:t>
      </w:r>
      <w:r>
        <w:rPr>
          <w:lang w:eastAsia="en-US"/>
        </w:rPr>
        <w:t xml:space="preserve"> na tržním principu</w:t>
      </w:r>
      <w:r w:rsidRPr="00E07015">
        <w:rPr>
          <w:lang w:eastAsia="en-US"/>
        </w:rPr>
        <w:t xml:space="preserve"> financují nejčastěji.</w:t>
      </w:r>
      <w:r w:rsidR="005057AD">
        <w:rPr>
          <w:lang w:eastAsia="en-US"/>
        </w:rPr>
        <w:t xml:space="preserve"> </w:t>
      </w:r>
      <w:r>
        <w:rPr>
          <w:lang w:eastAsia="en-US"/>
        </w:rPr>
        <w:t xml:space="preserve">Metoda EPC je nicméně obvyklá především u veřejných subjektů. V podnikatelské oblasti je její rozvoj zatím pomalejší, realizované EPC projekty zde dosáhly od svého rozšíření na přelomu milénia úhrnné výše přibližně 210 mil. Kč. </w:t>
      </w:r>
      <w:r w:rsidRPr="00DF6E0B">
        <w:rPr>
          <w:b/>
          <w:lang w:eastAsia="en-US"/>
        </w:rPr>
        <w:t>Experti České Spořitelny odhadují absorpční kapacitu investic MSP do energetických úspor na 18,3 mld. Kč</w:t>
      </w:r>
      <w:r>
        <w:rPr>
          <w:lang w:eastAsia="en-US"/>
        </w:rPr>
        <w:t xml:space="preserve"> v průběhu příštích pěti let. Klíčová bude pro reálné investice schopnost aktivace této potenciální poptávky, jelikož v podnikatelském sektoru větší investiční aktivitě brání několik bariér (viz Tržní selhání).</w:t>
      </w:r>
    </w:p>
    <w:p w:rsidR="002C41C1" w:rsidRDefault="002C41C1" w:rsidP="00E07015">
      <w:pPr>
        <w:rPr>
          <w:lang w:eastAsia="en-US"/>
        </w:rPr>
      </w:pPr>
    </w:p>
    <w:p w:rsidR="002C41C1" w:rsidRDefault="002C41C1" w:rsidP="00E07015">
      <w:pPr>
        <w:rPr>
          <w:lang w:eastAsia="en-US"/>
        </w:rPr>
      </w:pPr>
      <w:r>
        <w:rPr>
          <w:lang w:eastAsia="en-US"/>
        </w:rPr>
        <w:t>Banky jsou s ohledem na rozvoj těchto aktivit na základě energetických auditů otevřené jejich úvěrování. Fungují také bankovní faktoringové nástroje na odkup pohledávek za ESCO provádějící EPC. Bariérou mohou být v některých případech nestandardní řešení a opatření, na která banky nemají připravený hodnotící mechanizmus.</w:t>
      </w:r>
    </w:p>
    <w:p w:rsidR="002C41C1" w:rsidRDefault="002C41C1" w:rsidP="00E07015">
      <w:pPr>
        <w:rPr>
          <w:lang w:eastAsia="en-US"/>
        </w:rPr>
      </w:pPr>
    </w:p>
    <w:p w:rsidR="002C41C1" w:rsidRDefault="002C41C1" w:rsidP="00E07015">
      <w:pPr>
        <w:rPr>
          <w:lang w:eastAsia="en-US"/>
        </w:rPr>
      </w:pPr>
      <w:r>
        <w:rPr>
          <w:lang w:eastAsia="en-US"/>
        </w:rPr>
        <w:t>Vzhledem důrazu na energetické úspory ve stávající i chystané nové energetické koncepci ČR i s ohledem na závazný evropský cíl dosáhnout do roku 2020 o 20 % vyšší energetické účinnosti jsou investice do této oblasti důležitým veřejným zájmem, který je podporován na evropské i národní úrovni.</w:t>
      </w:r>
    </w:p>
    <w:p w:rsidR="002C41C1" w:rsidRDefault="002C41C1" w:rsidP="00E07015">
      <w:pPr>
        <w:rPr>
          <w:lang w:eastAsia="en-US"/>
        </w:rPr>
      </w:pPr>
    </w:p>
    <w:p w:rsidR="002C41C1" w:rsidRDefault="002C41C1" w:rsidP="00F20A2F">
      <w:pPr>
        <w:pStyle w:val="Vtneslovannadpis"/>
        <w:rPr>
          <w:lang w:eastAsia="en-US"/>
        </w:rPr>
      </w:pPr>
      <w:r>
        <w:rPr>
          <w:lang w:eastAsia="en-US"/>
        </w:rPr>
        <w:t>Dosavadní podpora a analýza veřejných zdrojů financování</w:t>
      </w:r>
    </w:p>
    <w:p w:rsidR="002C41C1" w:rsidRDefault="002C41C1" w:rsidP="00545716">
      <w:pPr>
        <w:pStyle w:val="Neslovannadpisy"/>
        <w:rPr>
          <w:lang w:eastAsia="en-US"/>
        </w:rPr>
      </w:pPr>
      <w:r w:rsidRPr="00545716">
        <w:rPr>
          <w:lang w:eastAsia="en-US"/>
        </w:rPr>
        <w:t>Veřejné</w:t>
      </w:r>
      <w:r>
        <w:rPr>
          <w:lang w:eastAsia="en-US"/>
        </w:rPr>
        <w:t xml:space="preserve"> zdroje financování</w:t>
      </w:r>
    </w:p>
    <w:p w:rsidR="002C41C1" w:rsidRDefault="002C41C1" w:rsidP="00545716">
      <w:pPr>
        <w:rPr>
          <w:lang w:eastAsia="en-US"/>
        </w:rPr>
      </w:pPr>
      <w:r w:rsidRPr="00545716">
        <w:rPr>
          <w:b/>
          <w:lang w:eastAsia="en-US"/>
        </w:rPr>
        <w:t>OPPI - Program Eko-energie</w:t>
      </w:r>
      <w:r>
        <w:rPr>
          <w:lang w:eastAsia="en-US"/>
        </w:rPr>
        <w:t xml:space="preserve"> se zaměřoval na podporu využití energie z OZE a druhotných zdrojů, rekonstrukce stávajících zařízení na výrobu elektrické energie a tepla a zařízení na výrobu pelet a briket z obnovitelných a druhotných zdrojů.  Energetická úspornost byla podporována prostřednictvím podpory zvyšování účinnosti při výrobě, přenosu a spotřebě energie formou modernizace stávajících zařízení, zavádění nových výrobních a monitorovacích systémů a v neposlední řadě zlepšování tepelných vlastností budov (s výjimkou rodinných a bytových domů), využití odpadní energie v průmyslu, to vše na základě 12% alokace OPPI se zaměřením na MSP. Mezirezortní překryvy byly řešeny dohodou, že MPO nepodpoří projekty subjektů podnikající v zemědělství (PRV, MZe), ani projekty mimo podnikatelských sektor (OPŽP, MŽP). </w:t>
      </w:r>
      <w:r w:rsidRPr="00545716">
        <w:rPr>
          <w:b/>
          <w:lang w:eastAsia="en-US"/>
        </w:rPr>
        <w:t>Celková alokace PO3 počítala s pokrytím celkových způsobilých výdajů na projekty ve výši 471,5 mil. €</w:t>
      </w:r>
      <w:r>
        <w:rPr>
          <w:lang w:eastAsia="en-US"/>
        </w:rPr>
        <w:t xml:space="preserve"> (příspěvek ERDF 400 mil. €). </w:t>
      </w:r>
    </w:p>
    <w:p w:rsidR="002C41C1" w:rsidRDefault="002C41C1" w:rsidP="00545716">
      <w:pPr>
        <w:rPr>
          <w:lang w:eastAsia="en-US"/>
        </w:rPr>
      </w:pPr>
    </w:p>
    <w:p w:rsidR="002C41C1" w:rsidRDefault="002C41C1" w:rsidP="00545716">
      <w:pPr>
        <w:rPr>
          <w:lang w:eastAsia="en-US"/>
        </w:rPr>
      </w:pPr>
      <w:r>
        <w:rPr>
          <w:lang w:eastAsia="en-US"/>
        </w:rPr>
        <w:t>V</w:t>
      </w:r>
      <w:r w:rsidRPr="00691942">
        <w:rPr>
          <w:lang w:eastAsia="en-US"/>
        </w:rPr>
        <w:t xml:space="preserve"> oblasti podpory 3.1 Úspory energie a obnovitelné zdroje energie bylo v rámci programovéh</w:t>
      </w:r>
      <w:r>
        <w:rPr>
          <w:lang w:eastAsia="en-US"/>
        </w:rPr>
        <w:t>o období 2007 – 2013 alokováno</w:t>
      </w:r>
      <w:r w:rsidRPr="00691942">
        <w:rPr>
          <w:lang w:eastAsia="en-US"/>
        </w:rPr>
        <w:t xml:space="preserve">9 970 mil. Kč (12,4 % podíl na celkové alokaci). </w:t>
      </w:r>
      <w:r w:rsidRPr="00691942">
        <w:rPr>
          <w:b/>
          <w:lang w:eastAsia="en-US"/>
        </w:rPr>
        <w:t>K 30. 6. 2014 bylo přijato 2 177 žádostí o dotace na investiční projekty do energetické efektivnosti. Celková požadovaná suma zdrojů činila 20 406 mil. Kč, což znamená, že poptávka převýšila nabídku zdrojů o téměř 105 %</w:t>
      </w:r>
      <w:r w:rsidRPr="00691942">
        <w:rPr>
          <w:lang w:eastAsia="en-US"/>
        </w:rPr>
        <w:t xml:space="preserve">. Projekty s vydaným rozhodnutím nebo podepsanou smlouvou, čili schválené žádosti, </w:t>
      </w:r>
      <w:r w:rsidRPr="00691942">
        <w:rPr>
          <w:lang w:eastAsia="en-US"/>
        </w:rPr>
        <w:lastRenderedPageBreak/>
        <w:t xml:space="preserve">dosáhly počtu 1 223 projektů při celkové sumě 9 511 mil. Kč na pokrytí způsobilých nákladů. Vytěžení prioritní osy v programu OPPI po 2. kvartálu v roce 2014 dosahovalo skoro 96 % úrovně. </w:t>
      </w:r>
    </w:p>
    <w:p w:rsidR="002C41C1" w:rsidRDefault="002C41C1" w:rsidP="00545716">
      <w:pPr>
        <w:rPr>
          <w:lang w:eastAsia="en-US"/>
        </w:rPr>
      </w:pPr>
    </w:p>
    <w:p w:rsidR="003F31B1" w:rsidRDefault="002C41C1" w:rsidP="003315B6">
      <w:pPr>
        <w:jc w:val="left"/>
        <w:rPr>
          <w:b/>
          <w:lang w:eastAsia="en-US"/>
        </w:rPr>
      </w:pPr>
      <w:r w:rsidRPr="001A5636">
        <w:rPr>
          <w:b/>
          <w:lang w:eastAsia="en-US"/>
        </w:rPr>
        <w:t>Na konci roku 2013 byly prostřednictvím PO3 zazáv</w:t>
      </w:r>
      <w:r w:rsidR="003F31B1">
        <w:rPr>
          <w:b/>
          <w:lang w:eastAsia="en-US"/>
        </w:rPr>
        <w:t>azkovány zdroje v celkové výši 383 mil</w:t>
      </w:r>
      <w:r w:rsidRPr="001A5636">
        <w:rPr>
          <w:b/>
          <w:lang w:eastAsia="en-US"/>
        </w:rPr>
        <w:t>. €</w:t>
      </w:r>
      <w:r w:rsidR="003F31B1">
        <w:rPr>
          <w:b/>
          <w:lang w:eastAsia="en-US"/>
        </w:rPr>
        <w:t xml:space="preserve"> na 1223 projektů</w:t>
      </w:r>
      <w:r>
        <w:rPr>
          <w:lang w:eastAsia="en-US"/>
        </w:rPr>
        <w:t xml:space="preserve">. Z alokovaných zdrojů bylo proplaceno 231 mil. € (58% alokace), certifikováno 221 mil. € (50% alokace). </w:t>
      </w:r>
      <w:r w:rsidRPr="001A5636">
        <w:rPr>
          <w:b/>
          <w:lang w:eastAsia="en-US"/>
        </w:rPr>
        <w:t>V roce 2013 bylo vyřazeno 153 žádostí, z nichž některé byly vyřazeny proto, že projekt vykazoval vnitřní výnosové procento vyšší než 20 %</w:t>
      </w:r>
      <w:r>
        <w:rPr>
          <w:lang w:eastAsia="en-US"/>
        </w:rPr>
        <w:t xml:space="preserve">. </w:t>
      </w:r>
      <w:r w:rsidR="003F31B1">
        <w:rPr>
          <w:b/>
          <w:lang w:eastAsia="en-US"/>
        </w:rPr>
        <w:t>Za</w:t>
      </w:r>
      <w:r w:rsidRPr="00BD4CA2">
        <w:rPr>
          <w:b/>
          <w:lang w:eastAsia="en-US"/>
        </w:rPr>
        <w:t xml:space="preserve">mítnuto bylo </w:t>
      </w:r>
      <w:r w:rsidR="003F31B1">
        <w:rPr>
          <w:b/>
          <w:lang w:eastAsia="en-US"/>
        </w:rPr>
        <w:t>2287</w:t>
      </w:r>
    </w:p>
    <w:p w:rsidR="002C41C1" w:rsidRDefault="002C41C1" w:rsidP="003315B6">
      <w:pPr>
        <w:jc w:val="left"/>
        <w:rPr>
          <w:lang w:eastAsia="en-US"/>
        </w:rPr>
      </w:pPr>
      <w:r w:rsidRPr="00BD4CA2">
        <w:rPr>
          <w:b/>
          <w:lang w:eastAsia="en-US"/>
        </w:rPr>
        <w:t xml:space="preserve"> žádostí o úhrnném objemu </w:t>
      </w:r>
      <w:r w:rsidR="003F31B1">
        <w:rPr>
          <w:b/>
          <w:lang w:eastAsia="en-US"/>
        </w:rPr>
        <w:t>539 mil. €</w:t>
      </w:r>
      <w:r>
        <w:rPr>
          <w:lang w:eastAsia="en-US"/>
        </w:rPr>
        <w:t xml:space="preserve">. </w:t>
      </w:r>
    </w:p>
    <w:p w:rsidR="002C41C1" w:rsidRDefault="002C41C1" w:rsidP="00545716">
      <w:pPr>
        <w:rPr>
          <w:lang w:eastAsia="en-US"/>
        </w:rPr>
      </w:pPr>
    </w:p>
    <w:p w:rsidR="002C41C1" w:rsidRDefault="002C41C1" w:rsidP="00545716">
      <w:pPr>
        <w:rPr>
          <w:lang w:eastAsia="en-US"/>
        </w:rPr>
      </w:pPr>
      <w:r w:rsidRPr="00DF6E0B">
        <w:rPr>
          <w:b/>
          <w:lang w:eastAsia="en-US"/>
        </w:rPr>
        <w:t>EFEKT</w:t>
      </w:r>
      <w:r>
        <w:rPr>
          <w:lang w:eastAsia="en-US"/>
        </w:rPr>
        <w:t xml:space="preserve"> - V rámci státního programu na podporu úspor energie a využití obnovitelných zdrojů energie </w:t>
      </w:r>
      <w:r w:rsidRPr="00DF6E0B">
        <w:rPr>
          <w:lang w:eastAsia="en-US"/>
        </w:rPr>
        <w:t>EFEKT</w:t>
      </w:r>
      <w:r>
        <w:rPr>
          <w:lang w:eastAsia="en-US"/>
        </w:rPr>
        <w:t xml:space="preserve"> 2013 vyhlášeném vládou ČR v pro rok 2013 podnikající subjekty vyčerpaly 8,1 mil. Kč neinvestiční podpory (27% celkové alokace, která je společná pro podniky a další typy subjektů). Pro roky 2014 a 2015 byla programu přidělena stejná alokace 30 mil. Kč. Podle všeho je nedostatečná. </w:t>
      </w:r>
    </w:p>
    <w:p w:rsidR="002C41C1" w:rsidRDefault="002C41C1" w:rsidP="00545716">
      <w:pPr>
        <w:rPr>
          <w:b/>
        </w:rPr>
      </w:pPr>
    </w:p>
    <w:p w:rsidR="002C41C1" w:rsidRDefault="002C41C1" w:rsidP="00545716">
      <w:pPr>
        <w:rPr>
          <w:lang w:eastAsia="en-US"/>
        </w:rPr>
      </w:pPr>
      <w:r w:rsidRPr="00DF6E0B">
        <w:t>Program EFEKT 2013</w:t>
      </w:r>
      <w:r>
        <w:t xml:space="preserve"> rovněž indikuje </w:t>
      </w:r>
      <w:r w:rsidRPr="00DF6E0B">
        <w:rPr>
          <w:b/>
        </w:rPr>
        <w:t>výrazný převis poptávky</w:t>
      </w:r>
      <w:r>
        <w:t>, kdy bylo z žádaných 127 mil. Kč podpořeno pouze 28 mil. Kč. Vzhledem k plánovanému zachování výše alokace 30 mil. Kč nelze předpokládat saturaci poptávky tímto nástrojem.</w:t>
      </w:r>
    </w:p>
    <w:p w:rsidR="002C41C1" w:rsidRDefault="002C41C1" w:rsidP="00545716">
      <w:pPr>
        <w:pStyle w:val="Neslovannadpisy"/>
        <w:rPr>
          <w:lang w:eastAsia="en-US"/>
        </w:rPr>
      </w:pPr>
    </w:p>
    <w:p w:rsidR="002C41C1" w:rsidRDefault="002C41C1" w:rsidP="00545716">
      <w:pPr>
        <w:rPr>
          <w:lang w:eastAsia="en-US"/>
        </w:rPr>
      </w:pPr>
      <w:r w:rsidRPr="00B2265B">
        <w:rPr>
          <w:b/>
          <w:lang w:eastAsia="en-US"/>
        </w:rPr>
        <w:t>LIFE – Financial Instrument for</w:t>
      </w:r>
      <w:r w:rsidR="005057AD">
        <w:rPr>
          <w:b/>
          <w:lang w:eastAsia="en-US"/>
        </w:rPr>
        <w:t xml:space="preserve"> </w:t>
      </w:r>
      <w:r w:rsidRPr="00B2265B">
        <w:rPr>
          <w:b/>
          <w:lang w:eastAsia="en-US"/>
        </w:rPr>
        <w:t>the</w:t>
      </w:r>
      <w:r w:rsidR="005057AD">
        <w:rPr>
          <w:b/>
          <w:lang w:eastAsia="en-US"/>
        </w:rPr>
        <w:t xml:space="preserve"> </w:t>
      </w:r>
      <w:r w:rsidRPr="00B2265B">
        <w:rPr>
          <w:b/>
          <w:lang w:eastAsia="en-US"/>
        </w:rPr>
        <w:t>Environment</w:t>
      </w:r>
      <w:r>
        <w:rPr>
          <w:lang w:eastAsia="en-US"/>
        </w:rPr>
        <w:t xml:space="preserve"> – Program podporuje aktivity pro naplňování strategie Evropa 2020 při snižování uhlíkové náročnosti ekonomiky. Program LIFE má napomoci, aby do roku 2020 až 12 % všech regionů nakládalo s odpady adekvátním způsobem, až o 10 % více obyvatel EU mělo prospěch z lepší kvality ovzduší a aby došlo k posílení adaptačních opatření na změnu klimatu a zavádění nových inovativních technologií, sdílení dovedností a šíření osvědčených metod. Finanční prostředky vyčleněné na implementaci programu činí cca 3,5 mld. € rozdělených do podprogramů: Podprogram pro životní prostředí obhospodařuje cca 2,6 mld. € a pro Podprogram pro oblast klimatu činí alokace 0,9 mld. €. Granty jsou poskytovány až do výše 75 % způsobilých nákladů (60 % způsobilých nákladů v případě integrovaných projektů). Možné jsou i granty na pokrytí provozních nákladů do výše 70 % pro nevládní neziskové organizace, jakož i všechny další formy (veřejné zakázky, příspěvky do finančních nástrojů a veškeré ostatní zásahy naplňující cíle programu LIFE).</w:t>
      </w:r>
    </w:p>
    <w:p w:rsidR="002C41C1" w:rsidRDefault="002C41C1" w:rsidP="00545716">
      <w:pPr>
        <w:pStyle w:val="Neslovannadpisy"/>
        <w:rPr>
          <w:lang w:eastAsia="en-US"/>
        </w:rPr>
      </w:pPr>
    </w:p>
    <w:p w:rsidR="002C41C1" w:rsidRDefault="002C41C1" w:rsidP="00545716">
      <w:pPr>
        <w:pStyle w:val="Neslovannadpisy"/>
        <w:rPr>
          <w:lang w:eastAsia="en-US"/>
        </w:rPr>
      </w:pPr>
      <w:r>
        <w:rPr>
          <w:lang w:eastAsia="en-US"/>
        </w:rPr>
        <w:t>Finanční nástroje EIB</w:t>
      </w:r>
    </w:p>
    <w:p w:rsidR="002C41C1" w:rsidRDefault="002C41C1" w:rsidP="00557F94">
      <w:pPr>
        <w:rPr>
          <w:lang w:eastAsia="en-US"/>
        </w:rPr>
      </w:pPr>
      <w:r w:rsidRPr="003315B6">
        <w:rPr>
          <w:b/>
          <w:lang w:eastAsia="en-US"/>
        </w:rPr>
        <w:t>Globální úvěr Zelená energie</w:t>
      </w:r>
      <w:r w:rsidRPr="003315B6">
        <w:rPr>
          <w:lang w:eastAsia="en-US"/>
        </w:rPr>
        <w:t xml:space="preserve"> (ČS) a </w:t>
      </w:r>
      <w:r w:rsidRPr="003315B6">
        <w:rPr>
          <w:b/>
          <w:lang w:eastAsia="en-US"/>
        </w:rPr>
        <w:t xml:space="preserve">Zelený úvěr </w:t>
      </w:r>
      <w:r w:rsidRPr="003315B6">
        <w:rPr>
          <w:lang w:eastAsia="en-US"/>
        </w:rPr>
        <w:t xml:space="preserve">(Raiffeisen) jsou úvěrové produkty určené pro MSP do 250 zaměstnanců s ročním obratem menším než 50 mil. € a bilanční sumou menší než 43 mil. €, prostřednictvím kterého je možné získat úvěr až 300 mil. Kč </w:t>
      </w:r>
      <w:r w:rsidRPr="003315B6">
        <w:rPr>
          <w:b/>
          <w:lang w:eastAsia="en-US"/>
        </w:rPr>
        <w:t>s desetiprocentní dotací EIB</w:t>
      </w:r>
      <w:r w:rsidRPr="003315B6">
        <w:rPr>
          <w:lang w:eastAsia="en-US"/>
        </w:rPr>
        <w:t>. Typickými projekty jsou instalace kogenerační jednotek. Za prvních 8 měsíců fungování byly jen v ČS rozpracovány projekty za 690 mil. Kč s očekávanou dotací ve výši 47 mil. Kč. Jako o zprostředkovaných úvěrech lze uvažovat o podnikových úvěrech na pracovní kapitál a hmotný majetek pro podniky zabývající se instalacemi energeticky úsporných zařízení, které poskytují klientům dodavatelské úvěry.</w:t>
      </w:r>
      <w:r>
        <w:rPr>
          <w:lang w:eastAsia="en-US"/>
        </w:rPr>
        <w:t xml:space="preserve"> Dodavatelé úsporných technologii, kteří inklinuji k uzavírání EPC smluv, jsou tedy také součástí bankovního uvěřování.</w:t>
      </w:r>
    </w:p>
    <w:p w:rsidR="002C41C1" w:rsidRDefault="002C41C1" w:rsidP="00557F94">
      <w:pPr>
        <w:rPr>
          <w:lang w:eastAsia="en-US"/>
        </w:rPr>
      </w:pPr>
    </w:p>
    <w:p w:rsidR="002C41C1" w:rsidRDefault="002C41C1" w:rsidP="00884BD3">
      <w:pPr>
        <w:pStyle w:val="Vtneslovannadpis"/>
        <w:rPr>
          <w:lang w:eastAsia="en-US"/>
        </w:rPr>
      </w:pPr>
      <w:r>
        <w:rPr>
          <w:lang w:eastAsia="en-US"/>
        </w:rPr>
        <w:t>V</w:t>
      </w:r>
      <w:r w:rsidRPr="00884BD3">
        <w:rPr>
          <w:lang w:eastAsia="en-US"/>
        </w:rPr>
        <w:t>yčíslení potenciální absorpční kapacity</w:t>
      </w:r>
    </w:p>
    <w:p w:rsidR="002C41C1" w:rsidRDefault="002C41C1" w:rsidP="00884BD3">
      <w:pPr>
        <w:pStyle w:val="Neslovannadpisy"/>
        <w:rPr>
          <w:lang w:eastAsia="en-US"/>
        </w:rPr>
      </w:pPr>
      <w:r>
        <w:rPr>
          <w:lang w:eastAsia="en-US"/>
        </w:rPr>
        <w:t>Nezávislé studie</w:t>
      </w:r>
    </w:p>
    <w:p w:rsidR="002C41C1" w:rsidRDefault="002C41C1" w:rsidP="00884BD3">
      <w:pPr>
        <w:jc w:val="left"/>
        <w:rPr>
          <w:lang w:eastAsia="en-US"/>
        </w:rPr>
      </w:pPr>
      <w:r>
        <w:rPr>
          <w:lang w:eastAsia="en-US"/>
        </w:rPr>
        <w:t xml:space="preserve">Rámcovou představu o aktuální investiční potřebě po financování poskytují výrazné převisy poptávky v rámci programů Eko-energie a Efekt 2013. </w:t>
      </w:r>
      <w:r w:rsidRPr="00DF6E0B">
        <w:rPr>
          <w:b/>
          <w:lang w:eastAsia="en-US"/>
        </w:rPr>
        <w:t>Studie společnosti Seven</w:t>
      </w:r>
      <w:r w:rsidRPr="00D144BB">
        <w:rPr>
          <w:rStyle w:val="Znakapoznpodarou"/>
          <w:b/>
        </w:rPr>
        <w:footnoteReference w:id="21"/>
      </w:r>
      <w:r w:rsidRPr="00DF6E0B">
        <w:rPr>
          <w:b/>
          <w:lang w:eastAsia="en-US"/>
        </w:rPr>
        <w:t>odhaduje absorpční kapacitu na základě projektů realizovaných v minulém programovém období na 20 mld. Kč</w:t>
      </w:r>
      <w:r>
        <w:rPr>
          <w:lang w:eastAsia="en-US"/>
        </w:rPr>
        <w:t>.</w:t>
      </w:r>
    </w:p>
    <w:p w:rsidR="002C41C1" w:rsidRDefault="002C41C1" w:rsidP="00884BD3">
      <w:pPr>
        <w:jc w:val="left"/>
        <w:rPr>
          <w:lang w:eastAsia="en-US"/>
        </w:rPr>
      </w:pPr>
    </w:p>
    <w:p w:rsidR="002C41C1" w:rsidRDefault="002C41C1" w:rsidP="00884BD3">
      <w:pPr>
        <w:jc w:val="left"/>
        <w:rPr>
          <w:lang w:eastAsia="en-US"/>
        </w:rPr>
      </w:pPr>
      <w:r w:rsidRPr="00004922">
        <w:rPr>
          <w:b/>
          <w:lang w:eastAsia="en-US"/>
        </w:rPr>
        <w:t>Experti České Spořitelny odhadují absorpční kapacitu investic MSP do energetických úspor na 18,3 mld. Kč</w:t>
      </w:r>
      <w:r>
        <w:rPr>
          <w:lang w:eastAsia="en-US"/>
        </w:rPr>
        <w:t xml:space="preserve"> v průběhu příštích pěti let.</w:t>
      </w:r>
    </w:p>
    <w:p w:rsidR="002C41C1" w:rsidRDefault="002C41C1" w:rsidP="00884BD3">
      <w:pPr>
        <w:jc w:val="left"/>
        <w:rPr>
          <w:lang w:eastAsia="en-US"/>
        </w:rPr>
      </w:pPr>
    </w:p>
    <w:p w:rsidR="002C41C1" w:rsidRPr="00D542C6" w:rsidRDefault="002C41C1" w:rsidP="00BF704B">
      <w:pPr>
        <w:pStyle w:val="Neslovannadpisy"/>
        <w:rPr>
          <w:lang w:eastAsia="en-US"/>
        </w:rPr>
      </w:pPr>
      <w:r w:rsidRPr="00BF704B">
        <w:rPr>
          <w:lang w:eastAsia="en-US"/>
        </w:rPr>
        <w:t>Dotazníko</w:t>
      </w:r>
      <w:r w:rsidRPr="00DF6E0B">
        <w:rPr>
          <w:lang w:eastAsia="en-US"/>
        </w:rPr>
        <w:t>vé šetření</w:t>
      </w:r>
    </w:p>
    <w:p w:rsidR="002C41C1" w:rsidRPr="00D542C6" w:rsidRDefault="002C41C1" w:rsidP="00BF704B">
      <w:pPr>
        <w:rPr>
          <w:lang w:eastAsia="en-US"/>
        </w:rPr>
      </w:pPr>
      <w:r w:rsidRPr="00DF6E0B">
        <w:rPr>
          <w:lang w:eastAsia="en-US"/>
        </w:rPr>
        <w:t xml:space="preserve">Výsledky dotazníkového šetření, jehož se mimo MSP účastnily i velké podniky, indikují k tomuto okamžiku připravenou investiční kapacitu investic vedoucích ke snížení energetické náročnosti firem okolo 2 mld. Kč. Při analogickém přepočtení se zohledněním nižší předpokládané ziskovosti a tedy i schopnosti zajistit financování </w:t>
      </w:r>
      <w:r w:rsidRPr="00DF6E0B">
        <w:rPr>
          <w:b/>
          <w:lang w:eastAsia="en-US"/>
        </w:rPr>
        <w:t xml:space="preserve">odhaduje </w:t>
      </w:r>
      <w:r>
        <w:rPr>
          <w:b/>
          <w:lang w:eastAsia="en-US"/>
        </w:rPr>
        <w:t xml:space="preserve">Deloitte Advisory, s.r.o. </w:t>
      </w:r>
      <w:r w:rsidRPr="00DF6E0B">
        <w:rPr>
          <w:b/>
          <w:lang w:eastAsia="en-US"/>
        </w:rPr>
        <w:t>celkovou absorpční kapacitu na 20 mld. Kč</w:t>
      </w:r>
      <w:r w:rsidRPr="00DF6E0B">
        <w:rPr>
          <w:lang w:eastAsia="en-US"/>
        </w:rPr>
        <w:t>.</w:t>
      </w:r>
    </w:p>
    <w:p w:rsidR="002C41C1" w:rsidRPr="00D542C6" w:rsidRDefault="002C41C1" w:rsidP="00BF704B">
      <w:pPr>
        <w:pStyle w:val="Neslovannadpisy"/>
        <w:rPr>
          <w:lang w:eastAsia="en-US"/>
        </w:rPr>
      </w:pPr>
    </w:p>
    <w:p w:rsidR="002C41C1" w:rsidRPr="009B1D9D" w:rsidRDefault="002C41C1" w:rsidP="00DF6E0B">
      <w:pPr>
        <w:rPr>
          <w:lang w:eastAsia="en-US"/>
        </w:rPr>
      </w:pPr>
      <w:r w:rsidRPr="00DF6E0B">
        <w:rPr>
          <w:lang w:eastAsia="en-US"/>
        </w:rPr>
        <w:t>S</w:t>
      </w:r>
      <w:r w:rsidRPr="00D144BB">
        <w:rPr>
          <w:lang w:eastAsia="en-US"/>
        </w:rPr>
        <w:t> </w:t>
      </w:r>
      <w:r w:rsidRPr="00DF6E0B">
        <w:rPr>
          <w:lang w:eastAsia="en-US"/>
        </w:rPr>
        <w:t>ohledem na výrazný p</w:t>
      </w:r>
      <w:r>
        <w:rPr>
          <w:lang w:eastAsia="en-US"/>
        </w:rPr>
        <w:t xml:space="preserve">řesah poptávky po podpoře nad nabídkou v minulém období, expertní odhady Seven a České Spořitelny i udávané připravené investice v dotazníku k ex ante vyhodnocení považujeme předložené odhady za adekvátní a </w:t>
      </w:r>
      <w:r w:rsidRPr="00DF6E0B">
        <w:rPr>
          <w:b/>
          <w:lang w:eastAsia="en-US"/>
        </w:rPr>
        <w:t>odhadujeme minimální investiční poptávku v</w:t>
      </w:r>
      <w:r w:rsidRPr="00D144BB">
        <w:rPr>
          <w:b/>
          <w:lang w:eastAsia="en-US"/>
        </w:rPr>
        <w:t> </w:t>
      </w:r>
      <w:r w:rsidRPr="00DF6E0B">
        <w:rPr>
          <w:b/>
          <w:lang w:eastAsia="en-US"/>
        </w:rPr>
        <w:t>oblasti energetických úspor na 20 mld. Kč</w:t>
      </w:r>
      <w:r>
        <w:rPr>
          <w:b/>
          <w:lang w:eastAsia="en-US"/>
        </w:rPr>
        <w:t xml:space="preserve">, </w:t>
      </w:r>
      <w:r w:rsidRPr="00DF6E0B">
        <w:rPr>
          <w:lang w:eastAsia="en-US"/>
        </w:rPr>
        <w:t>která bude při vhodné incentivizaci finančním nástrojem odpovídat i absorpční kapacitě</w:t>
      </w:r>
      <w:r>
        <w:rPr>
          <w:lang w:eastAsia="en-US"/>
        </w:rPr>
        <w:t xml:space="preserve"> IFN</w:t>
      </w:r>
      <w:r w:rsidRPr="00DF6E0B">
        <w:rPr>
          <w:lang w:eastAsia="en-US"/>
        </w:rPr>
        <w:t>.</w:t>
      </w:r>
    </w:p>
    <w:p w:rsidR="002C41C1" w:rsidRDefault="002C41C1" w:rsidP="00BF704B">
      <w:pPr>
        <w:pStyle w:val="Neslovannadpisy"/>
        <w:rPr>
          <w:lang w:eastAsia="en-US"/>
        </w:rPr>
      </w:pPr>
    </w:p>
    <w:p w:rsidR="002C41C1" w:rsidRDefault="002C41C1" w:rsidP="00F61ADE">
      <w:pPr>
        <w:pStyle w:val="Vtneslovannadpis"/>
        <w:rPr>
          <w:lang w:eastAsia="en-US"/>
        </w:rPr>
      </w:pPr>
      <w:r>
        <w:rPr>
          <w:lang w:eastAsia="en-US"/>
        </w:rPr>
        <w:t>Analýza tržních selhání a suboptimální investiční situace</w:t>
      </w:r>
    </w:p>
    <w:p w:rsidR="002C41C1" w:rsidRDefault="002C41C1" w:rsidP="00F61ADE">
      <w:pPr>
        <w:rPr>
          <w:lang w:eastAsia="en-US"/>
        </w:rPr>
      </w:pPr>
      <w:r w:rsidRPr="00F61ADE">
        <w:rPr>
          <w:b/>
          <w:lang w:eastAsia="en-US"/>
        </w:rPr>
        <w:t>Výrazný převis poptávky nad nabídkou indikuje významné tržní selhání</w:t>
      </w:r>
      <w:r>
        <w:rPr>
          <w:lang w:eastAsia="en-US"/>
        </w:rPr>
        <w:t xml:space="preserve">. Vzhledem k ziskovosti neuspokojených projektů se ovšem domníváme, že korekce tohoto převisu do značné míry proběhne v důsledku působení přirozených tržních mechanismů. </w:t>
      </w:r>
      <w:r w:rsidRPr="00DF6E0B">
        <w:rPr>
          <w:lang w:eastAsia="en-US"/>
        </w:rPr>
        <w:t>Počítáme nicméně</w:t>
      </w:r>
      <w:r w:rsidR="005057AD">
        <w:rPr>
          <w:lang w:eastAsia="en-US"/>
        </w:rPr>
        <w:t xml:space="preserve"> </w:t>
      </w:r>
      <w:r w:rsidRPr="00DF6E0B">
        <w:rPr>
          <w:lang w:eastAsia="en-US"/>
        </w:rPr>
        <w:t>s</w:t>
      </w:r>
      <w:r w:rsidRPr="00F61ADE">
        <w:rPr>
          <w:b/>
          <w:lang w:eastAsia="en-US"/>
        </w:rPr>
        <w:t xml:space="preserve"> přetrváním tržního selhání v případě podniků s vysokou průměrnou požadovanou výnosností investic nebo napjatým investičním schématem</w:t>
      </w:r>
      <w:r>
        <w:rPr>
          <w:lang w:eastAsia="en-US"/>
        </w:rPr>
        <w:t>.</w:t>
      </w:r>
    </w:p>
    <w:p w:rsidR="002C41C1" w:rsidRDefault="002C41C1" w:rsidP="00F61ADE">
      <w:pPr>
        <w:rPr>
          <w:lang w:eastAsia="en-US"/>
        </w:rPr>
      </w:pPr>
    </w:p>
    <w:p w:rsidR="002C41C1" w:rsidRDefault="002C41C1" w:rsidP="00F61ADE">
      <w:pPr>
        <w:rPr>
          <w:lang w:eastAsia="en-US"/>
        </w:rPr>
      </w:pPr>
      <w:r>
        <w:rPr>
          <w:lang w:eastAsia="en-US"/>
        </w:rPr>
        <w:t xml:space="preserve">Pokud už podnik přistoupí k investicím do úspory energií, </w:t>
      </w:r>
      <w:r w:rsidRPr="00DF6E0B">
        <w:rPr>
          <w:b/>
          <w:lang w:eastAsia="en-US"/>
        </w:rPr>
        <w:t>vyhledává za tržních podmínek zejména rychlonávratné aktivity</w:t>
      </w:r>
      <w:r>
        <w:rPr>
          <w:lang w:eastAsia="en-US"/>
        </w:rPr>
        <w:t>, nikoli komplexní nákladné projekty s celkově vyšším potenciálem úspor. Ty se vyznačují v porovnání s jednoduchými technickými inovacemi (LED osvětlení) delší návratností a vyššími náklady na přípravu projektu. To je v současné době i jedna z </w:t>
      </w:r>
      <w:r w:rsidRPr="00DF6E0B">
        <w:rPr>
          <w:b/>
          <w:lang w:eastAsia="en-US"/>
        </w:rPr>
        <w:t>bariér většího využívání metody EPC v</w:t>
      </w:r>
      <w:r w:rsidRPr="00D144BB">
        <w:rPr>
          <w:b/>
          <w:lang w:eastAsia="en-US"/>
        </w:rPr>
        <w:t> </w:t>
      </w:r>
      <w:r w:rsidRPr="00DF6E0B">
        <w:rPr>
          <w:b/>
          <w:lang w:eastAsia="en-US"/>
        </w:rPr>
        <w:t>podnikatelském sektoru</w:t>
      </w:r>
      <w:r>
        <w:rPr>
          <w:lang w:eastAsia="en-US"/>
        </w:rPr>
        <w:t>, EPC se svou náročností na přípravu projektu vyplácí spíše větším a komplexnějším projektům s delší návratností.</w:t>
      </w:r>
    </w:p>
    <w:p w:rsidR="002C41C1" w:rsidRDefault="002C41C1" w:rsidP="00F61ADE">
      <w:pPr>
        <w:rPr>
          <w:lang w:eastAsia="en-US"/>
        </w:rPr>
      </w:pPr>
    </w:p>
    <w:p w:rsidR="002C41C1" w:rsidRDefault="002C41C1" w:rsidP="00F61ADE">
      <w:pPr>
        <w:rPr>
          <w:lang w:eastAsia="en-US"/>
        </w:rPr>
      </w:pPr>
      <w:r w:rsidRPr="006F42A5">
        <w:rPr>
          <w:lang w:eastAsia="en-US"/>
        </w:rPr>
        <w:t xml:space="preserve">Přes ziskový profil investic do snížení energetické náročnosti firem nelze předpokládat, že by měly prioritu v investičním plánu podniku, zejména pokud se tento nachází v růstové fázi. Pro toto období životního cyklu firmy jsou typické investice do rozšiřování výroby, které jsou z velké části financovány dluhově, a podniky budou tedy pravděpodobně čelit problémům se zajištěním či přeúvěrováním. Rostoucí podnik pak nebude ochoten do investice fixovat nákladné vlastní zdroje. </w:t>
      </w:r>
    </w:p>
    <w:p w:rsidR="002C41C1" w:rsidRDefault="002C41C1" w:rsidP="00F61ADE">
      <w:pPr>
        <w:rPr>
          <w:lang w:eastAsia="en-US"/>
        </w:rPr>
      </w:pPr>
    </w:p>
    <w:p w:rsidR="002C41C1" w:rsidRDefault="002C41C1" w:rsidP="00F61ADE">
      <w:pPr>
        <w:rPr>
          <w:lang w:eastAsia="en-US"/>
        </w:rPr>
      </w:pPr>
      <w:r>
        <w:rPr>
          <w:lang w:eastAsia="en-US"/>
        </w:rPr>
        <w:t>Častou překážkou realizace ekonomicky smysluplného projektu jsou také počáteční náklady, které mohou být tak vysoké, že převáží úsporný efekt projektu samotného. Nákladné jsou i samotné energetické audity, které jsou prerekvizitou podpory úsporných opatření i samotné</w:t>
      </w:r>
      <w:r w:rsidR="005057AD">
        <w:rPr>
          <w:lang w:eastAsia="en-US"/>
        </w:rPr>
        <w:t xml:space="preserve"> </w:t>
      </w:r>
      <w:r>
        <w:rPr>
          <w:lang w:eastAsia="en-US"/>
        </w:rPr>
        <w:t>kvantifikace úsporného potenciálu. Mezi počáteční náklady můžeme řadit i časový náklad na získání informací, který mnoho subjektů přiměje o investici do energetické úspory ani neuvažovat. Úsporný potenciál, a tedy i atraktivitu úsporných investic snižují i uměle nízké ceny elektřiny v důsledku deformace evropského trhu</w:t>
      </w:r>
      <w:r w:rsidR="005057AD">
        <w:rPr>
          <w:lang w:eastAsia="en-US"/>
        </w:rPr>
        <w:t xml:space="preserve"> </w:t>
      </w:r>
      <w:r>
        <w:rPr>
          <w:lang w:eastAsia="en-US"/>
        </w:rPr>
        <w:t xml:space="preserve">podporou OZE. </w:t>
      </w:r>
    </w:p>
    <w:p w:rsidR="002C41C1" w:rsidRDefault="002C41C1" w:rsidP="00F61ADE">
      <w:pPr>
        <w:rPr>
          <w:lang w:eastAsia="en-US"/>
        </w:rPr>
      </w:pPr>
    </w:p>
    <w:p w:rsidR="002C41C1" w:rsidRDefault="002C41C1" w:rsidP="00F61ADE">
      <w:pPr>
        <w:rPr>
          <w:lang w:eastAsia="en-US"/>
        </w:rPr>
      </w:pPr>
      <w:r w:rsidRPr="00DF6E0B">
        <w:rPr>
          <w:lang w:eastAsia="en-US"/>
        </w:rPr>
        <w:t>Investice do snížení energetické náročnosti firem jsou v porovnání se zavedenými typy projektů pro některé bankovní domy hůře uchopitelné a ty jim proto přiřazují horší rizikové skóre a tedy i horší podmínky financování.</w:t>
      </w:r>
    </w:p>
    <w:p w:rsidR="002C41C1" w:rsidRDefault="002C41C1" w:rsidP="00F61ADE">
      <w:pPr>
        <w:rPr>
          <w:lang w:eastAsia="en-US"/>
        </w:rPr>
      </w:pPr>
    </w:p>
    <w:p w:rsidR="002C41C1" w:rsidRDefault="002C41C1" w:rsidP="00605487">
      <w:pPr>
        <w:pStyle w:val="Vtneslovannadpis"/>
        <w:rPr>
          <w:lang w:eastAsia="en-US"/>
        </w:rPr>
      </w:pPr>
      <w:r w:rsidRPr="00605487">
        <w:rPr>
          <w:lang w:eastAsia="en-US"/>
        </w:rPr>
        <w:lastRenderedPageBreak/>
        <w:t>Návrh opatření</w:t>
      </w:r>
    </w:p>
    <w:p w:rsidR="002C41C1" w:rsidRDefault="002C41C1" w:rsidP="00605487">
      <w:pPr>
        <w:rPr>
          <w:lang w:eastAsia="en-US"/>
        </w:rPr>
      </w:pPr>
      <w:r w:rsidRPr="00605487">
        <w:rPr>
          <w:lang w:eastAsia="en-US"/>
        </w:rPr>
        <w:t xml:space="preserve">Ziskový potenciál je u investic do snížení energetické náročnosti zřejmý, avšak doba návratnosti těchto projektů se pohybuje na poměrně velké škále. Rovněž je nutno vzít v potaz pozitivní externalitu, kdy kromě přímého komerčního benefitu pro žadatele má realizace investice pozitivní dopad v podobě celospolečenského užitku. Z toho důvodu </w:t>
      </w:r>
      <w:r w:rsidRPr="00605487">
        <w:rPr>
          <w:b/>
          <w:lang w:eastAsia="en-US"/>
        </w:rPr>
        <w:t>doporučujeme využití dluhového finančního nástroje v kombinaci s finančním příspěvkem na úhradu úroků a zpracování energetického auditu</w:t>
      </w:r>
      <w:r w:rsidRPr="00605487">
        <w:rPr>
          <w:lang w:eastAsia="en-US"/>
        </w:rPr>
        <w:t>. Z dotazníkového šetření vyplynula průměrná doba návratnosti investic 8 let, úvěrování proto považujeme za přiměřenou formu podpory. Dotazníkové šetření navíc ukázalo, že právě zpřístupnění úvěru a zmírnění jeho podmínek potenciální žadatelé o podporu preferují. Úvěrem mohou být podporovány i EPC firmy, které tak vyřeší potřebu financování pracovního kapitálu</w:t>
      </w:r>
      <w:r>
        <w:rPr>
          <w:lang w:eastAsia="en-US"/>
        </w:rPr>
        <w:t>.</w:t>
      </w:r>
    </w:p>
    <w:p w:rsidR="002C41C1" w:rsidRDefault="002C41C1" w:rsidP="00605487">
      <w:pPr>
        <w:rPr>
          <w:lang w:eastAsia="en-US"/>
        </w:rPr>
      </w:pPr>
    </w:p>
    <w:p w:rsidR="002C41C1" w:rsidRDefault="002C41C1" w:rsidP="0035620F">
      <w:pPr>
        <w:rPr>
          <w:lang w:eastAsia="en-US"/>
        </w:rPr>
      </w:pPr>
      <w:r w:rsidRPr="008425CE">
        <w:rPr>
          <w:lang w:eastAsia="en-US"/>
        </w:rPr>
        <w:t>Poskytování úvěrů doporučujeme aplikovat při konfliktu profilu žadatele s kritérii komerčních bank v jiných oblastech než ziskovost a zajištění, tedy např. velikosti, délky působení, kreditní historie. Úvěrové financování je též vhodný stimul pro podporu realizace záměrů, které jsou ekonomicky objektivně smysluplné, ale s pro daný podnik neatraktivní dobou návratnosti. Dotační podpora je vhodná v podobě úhrady nákladů na přípravu projektu a energetický audit.</w:t>
      </w:r>
    </w:p>
    <w:p w:rsidR="002C41C1" w:rsidRDefault="002C41C1" w:rsidP="0035620F">
      <w:pPr>
        <w:rPr>
          <w:lang w:eastAsia="en-US"/>
        </w:rPr>
      </w:pPr>
    </w:p>
    <w:p w:rsidR="002C41C1" w:rsidRDefault="002C41C1" w:rsidP="0035620F">
      <w:pPr>
        <w:rPr>
          <w:lang w:eastAsia="en-US"/>
        </w:rPr>
      </w:pPr>
      <w:r>
        <w:rPr>
          <w:lang w:eastAsia="en-US"/>
        </w:rPr>
        <w:t xml:space="preserve">Přes </w:t>
      </w:r>
      <w:r w:rsidRPr="00DF6E0B">
        <w:rPr>
          <w:b/>
          <w:lang w:eastAsia="en-US"/>
        </w:rPr>
        <w:t>vysoký potenciál finančních nástrojů v</w:t>
      </w:r>
      <w:r w:rsidRPr="00D144BB">
        <w:rPr>
          <w:b/>
          <w:lang w:eastAsia="en-US"/>
        </w:rPr>
        <w:t> </w:t>
      </w:r>
      <w:r w:rsidRPr="00DF6E0B">
        <w:rPr>
          <w:b/>
          <w:lang w:eastAsia="en-US"/>
        </w:rPr>
        <w:t xml:space="preserve">této oblasti </w:t>
      </w:r>
      <w:r>
        <w:rPr>
          <w:lang w:eastAsia="en-US"/>
        </w:rPr>
        <w:t>doporučujeme vzhledem k dosavadnímu téměř výlučně dotačnímu charakteru podpory realizovat implementaci úvěrových nástrojů</w:t>
      </w:r>
      <w:r w:rsidR="005057AD">
        <w:rPr>
          <w:lang w:eastAsia="en-US"/>
        </w:rPr>
        <w:t xml:space="preserve"> </w:t>
      </w:r>
      <w:r w:rsidRPr="00DF6E0B">
        <w:rPr>
          <w:b/>
          <w:lang w:eastAsia="en-US"/>
        </w:rPr>
        <w:t>pilotním projektem s</w:t>
      </w:r>
      <w:r w:rsidRPr="00D144BB">
        <w:rPr>
          <w:b/>
          <w:lang w:eastAsia="en-US"/>
        </w:rPr>
        <w:t> </w:t>
      </w:r>
      <w:r w:rsidRPr="00DF6E0B">
        <w:rPr>
          <w:b/>
          <w:lang w:eastAsia="en-US"/>
        </w:rPr>
        <w:t>menší alokací</w:t>
      </w:r>
      <w:r>
        <w:rPr>
          <w:lang w:eastAsia="en-US"/>
        </w:rPr>
        <w:t>, který bude doplňkem ke stávající dotační podpoře. V budoucnu je dle našeho názoru možné a vhodné podíl FN na podpoře energetických úspor výrazně navýšit, doporučujeme tak však činit evoluční cestou – i s ohledem na velmi vysoké evropské závazky České republiky ke zvýšení energetické účinnosti do roku 2020.</w:t>
      </w:r>
    </w:p>
    <w:p w:rsidR="002C41C1" w:rsidRDefault="002C41C1" w:rsidP="0035620F">
      <w:pPr>
        <w:rPr>
          <w:lang w:eastAsia="en-US"/>
        </w:rPr>
      </w:pPr>
    </w:p>
    <w:p w:rsidR="002C41C1" w:rsidRDefault="002C41C1" w:rsidP="0035620F">
      <w:pPr>
        <w:rPr>
          <w:lang w:eastAsia="en-US"/>
        </w:rPr>
      </w:pPr>
      <w:r>
        <w:rPr>
          <w:lang w:eastAsia="en-US"/>
        </w:rPr>
        <w:t xml:space="preserve">Při výběru projektů a rozdělení dotační a úvěrové podpory doporučujeme nastavit taková kritéria, která budou subjekty motivovat k realizaci co nejkomplexnějších a nejúspornějších projektů. V této souvislosti lze uvažovat např. o </w:t>
      </w:r>
      <w:r w:rsidRPr="00DF6E0B">
        <w:rPr>
          <w:b/>
          <w:lang w:eastAsia="en-US"/>
        </w:rPr>
        <w:t>kritériu IRR projektů</w:t>
      </w:r>
      <w:r>
        <w:rPr>
          <w:lang w:eastAsia="en-US"/>
        </w:rPr>
        <w:t>, i vzhledem k tomu, že v minulém období bylo nemálo projektů kvůli přílišné ziskovosti z přístupu k podpoře vyřazeno.</w:t>
      </w:r>
    </w:p>
    <w:p w:rsidR="002C41C1" w:rsidRDefault="002C41C1" w:rsidP="00605487">
      <w:pPr>
        <w:rPr>
          <w:lang w:eastAsia="en-US"/>
        </w:rPr>
      </w:pPr>
    </w:p>
    <w:p w:rsidR="002C41C1" w:rsidRDefault="002C41C1" w:rsidP="006F42A5">
      <w:pPr>
        <w:rPr>
          <w:lang w:eastAsia="en-US"/>
        </w:rPr>
      </w:pPr>
      <w:r w:rsidRPr="006F42A5">
        <w:rPr>
          <w:b/>
          <w:lang w:eastAsia="en-US"/>
        </w:rPr>
        <w:t>Energetická účinnost</w:t>
      </w:r>
      <w:r>
        <w:rPr>
          <w:lang w:eastAsia="en-US"/>
        </w:rPr>
        <w:t xml:space="preserve"> – Zvýhodněný úvěr se sníženou úrokovou sazbou a prodlouženou dobou splatnosti s finančním příspěvkem na úhradu úroků a nákladů na energetický audit a ověření úspory.</w:t>
      </w:r>
    </w:p>
    <w:p w:rsidR="002C41C1" w:rsidRDefault="002C41C1" w:rsidP="00605487">
      <w:pPr>
        <w:rPr>
          <w:lang w:eastAsia="en-US"/>
        </w:rPr>
      </w:pPr>
    </w:p>
    <w:tbl>
      <w:tblPr>
        <w:tblW w:w="7119" w:type="dxa"/>
        <w:tblInd w:w="1346" w:type="dxa"/>
        <w:tblCellMar>
          <w:left w:w="70" w:type="dxa"/>
          <w:right w:w="70" w:type="dxa"/>
        </w:tblCellMar>
        <w:tblLook w:val="00A0" w:firstRow="1" w:lastRow="0" w:firstColumn="1" w:lastColumn="0" w:noHBand="0" w:noVBand="0"/>
      </w:tblPr>
      <w:tblGrid>
        <w:gridCol w:w="1834"/>
        <w:gridCol w:w="964"/>
        <w:gridCol w:w="4321"/>
      </w:tblGrid>
      <w:tr w:rsidR="002C41C1" w:rsidRPr="00661000" w:rsidTr="006F42A5">
        <w:trPr>
          <w:cantSplit/>
          <w:trHeight w:val="23"/>
        </w:trPr>
        <w:tc>
          <w:tcPr>
            <w:tcW w:w="1834" w:type="dxa"/>
            <w:noWrap/>
            <w:vAlign w:val="bottom"/>
          </w:tcPr>
          <w:p w:rsidR="002C41C1" w:rsidRDefault="002C41C1">
            <w:pPr>
              <w:jc w:val="left"/>
              <w:rPr>
                <w:rFonts w:ascii="Arial" w:hAnsi="Arial" w:cs="Arial"/>
                <w:color w:val="000000"/>
                <w:sz w:val="18"/>
                <w:szCs w:val="18"/>
              </w:rPr>
            </w:pPr>
            <w:r w:rsidRPr="00661000">
              <w:rPr>
                <w:color w:val="000000"/>
                <w:sz w:val="18"/>
                <w:szCs w:val="18"/>
              </w:rPr>
              <w:t> </w:t>
            </w:r>
          </w:p>
        </w:tc>
        <w:tc>
          <w:tcPr>
            <w:tcW w:w="964" w:type="dxa"/>
            <w:tcBorders>
              <w:top w:val="nil"/>
              <w:left w:val="nil"/>
              <w:bottom w:val="nil"/>
              <w:right w:val="single" w:sz="4" w:space="0" w:color="auto"/>
            </w:tcBorders>
            <w:noWrap/>
            <w:vAlign w:val="bottom"/>
          </w:tcPr>
          <w:p w:rsidR="002C41C1" w:rsidRDefault="002C41C1">
            <w:pPr>
              <w:jc w:val="left"/>
              <w:rPr>
                <w:rFonts w:ascii="Arial" w:hAnsi="Arial" w:cs="Arial"/>
                <w:color w:val="000000"/>
                <w:sz w:val="18"/>
                <w:szCs w:val="18"/>
              </w:rPr>
            </w:pPr>
            <w:r w:rsidRPr="00661000">
              <w:rPr>
                <w:color w:val="000000"/>
                <w:sz w:val="18"/>
                <w:szCs w:val="18"/>
              </w:rPr>
              <w:t> </w:t>
            </w:r>
          </w:p>
        </w:tc>
        <w:tc>
          <w:tcPr>
            <w:tcW w:w="4321" w:type="dxa"/>
            <w:vMerge w:val="restart"/>
            <w:tcBorders>
              <w:top w:val="single" w:sz="8" w:space="0" w:color="auto"/>
              <w:left w:val="single" w:sz="4" w:space="0" w:color="auto"/>
              <w:bottom w:val="single" w:sz="4" w:space="0" w:color="000000"/>
              <w:right w:val="single" w:sz="8" w:space="0" w:color="auto"/>
            </w:tcBorders>
            <w:shd w:val="clear" w:color="auto" w:fill="CCC0D9"/>
            <w:vAlign w:val="center"/>
          </w:tcPr>
          <w:p w:rsidR="002C41C1" w:rsidRDefault="002C41C1">
            <w:pPr>
              <w:jc w:val="center"/>
              <w:rPr>
                <w:rFonts w:ascii="Arial" w:hAnsi="Arial" w:cs="Arial"/>
                <w:b/>
                <w:bCs/>
                <w:color w:val="000000"/>
                <w:sz w:val="18"/>
                <w:szCs w:val="18"/>
              </w:rPr>
            </w:pPr>
            <w:r w:rsidRPr="00661000">
              <w:rPr>
                <w:b/>
                <w:bCs/>
                <w:color w:val="000000"/>
                <w:sz w:val="18"/>
                <w:szCs w:val="18"/>
              </w:rPr>
              <w:t>Zvýhodněný úvěr s finančním příspěvkem</w:t>
            </w:r>
          </w:p>
        </w:tc>
      </w:tr>
      <w:tr w:rsidR="002C41C1" w:rsidRPr="00661000" w:rsidTr="006F42A5">
        <w:trPr>
          <w:cantSplit/>
          <w:trHeight w:val="23"/>
        </w:trPr>
        <w:tc>
          <w:tcPr>
            <w:tcW w:w="1834" w:type="dxa"/>
            <w:tcBorders>
              <w:top w:val="nil"/>
              <w:left w:val="nil"/>
              <w:bottom w:val="single" w:sz="4" w:space="0" w:color="auto"/>
              <w:right w:val="nil"/>
            </w:tcBorders>
            <w:noWrap/>
            <w:vAlign w:val="bottom"/>
          </w:tcPr>
          <w:p w:rsidR="002C41C1" w:rsidRDefault="002C41C1">
            <w:pPr>
              <w:jc w:val="left"/>
              <w:rPr>
                <w:rFonts w:ascii="Arial" w:hAnsi="Arial" w:cs="Arial"/>
                <w:color w:val="000000"/>
                <w:sz w:val="18"/>
                <w:szCs w:val="18"/>
              </w:rPr>
            </w:pPr>
            <w:r w:rsidRPr="00661000">
              <w:rPr>
                <w:color w:val="000000"/>
                <w:sz w:val="18"/>
                <w:szCs w:val="18"/>
              </w:rPr>
              <w:t> </w:t>
            </w:r>
          </w:p>
        </w:tc>
        <w:tc>
          <w:tcPr>
            <w:tcW w:w="964" w:type="dxa"/>
            <w:tcBorders>
              <w:top w:val="nil"/>
              <w:left w:val="nil"/>
              <w:bottom w:val="single" w:sz="4" w:space="0" w:color="auto"/>
              <w:right w:val="single" w:sz="4" w:space="0" w:color="auto"/>
            </w:tcBorders>
            <w:noWrap/>
            <w:vAlign w:val="bottom"/>
          </w:tcPr>
          <w:p w:rsidR="002C41C1" w:rsidRDefault="002C41C1">
            <w:pPr>
              <w:jc w:val="left"/>
              <w:rPr>
                <w:rFonts w:ascii="Times New Roman" w:hAnsi="Times New Roman"/>
                <w:sz w:val="20"/>
              </w:rPr>
            </w:pPr>
          </w:p>
        </w:tc>
        <w:tc>
          <w:tcPr>
            <w:tcW w:w="0" w:type="auto"/>
            <w:vMerge/>
            <w:tcBorders>
              <w:top w:val="single" w:sz="8" w:space="0" w:color="auto"/>
              <w:left w:val="single" w:sz="4" w:space="0" w:color="auto"/>
              <w:bottom w:val="single" w:sz="4" w:space="0" w:color="000000"/>
              <w:right w:val="single" w:sz="8" w:space="0" w:color="auto"/>
            </w:tcBorders>
            <w:vAlign w:val="center"/>
          </w:tcPr>
          <w:p w:rsidR="002C41C1" w:rsidRDefault="002C41C1">
            <w:pPr>
              <w:jc w:val="left"/>
              <w:rPr>
                <w:rFonts w:ascii="Arial" w:hAnsi="Arial" w:cs="Arial"/>
                <w:b/>
                <w:bCs/>
                <w:color w:val="000000"/>
                <w:sz w:val="18"/>
                <w:szCs w:val="18"/>
              </w:rPr>
            </w:pPr>
          </w:p>
        </w:tc>
      </w:tr>
      <w:tr w:rsidR="002C41C1" w:rsidRPr="00661000" w:rsidTr="006F42A5">
        <w:trPr>
          <w:cantSplit/>
          <w:trHeight w:val="23"/>
        </w:trPr>
        <w:tc>
          <w:tcPr>
            <w:tcW w:w="1834" w:type="dxa"/>
            <w:vMerge w:val="restart"/>
            <w:tcBorders>
              <w:top w:val="single" w:sz="4" w:space="0" w:color="auto"/>
              <w:left w:val="single" w:sz="8" w:space="0" w:color="auto"/>
              <w:bottom w:val="single" w:sz="4" w:space="0" w:color="auto"/>
              <w:right w:val="single" w:sz="4" w:space="0" w:color="auto"/>
            </w:tcBorders>
            <w:shd w:val="clear" w:color="auto" w:fill="B6DDE8"/>
            <w:noWrap/>
            <w:textDirection w:val="btLr"/>
            <w:vAlign w:val="center"/>
          </w:tcPr>
          <w:p w:rsidR="002C41C1" w:rsidRDefault="003F31B1">
            <w:pPr>
              <w:jc w:val="center"/>
              <w:rPr>
                <w:rFonts w:ascii="Arial" w:hAnsi="Arial" w:cs="Arial"/>
                <w:b/>
                <w:bCs/>
                <w:color w:val="000000"/>
                <w:sz w:val="18"/>
                <w:szCs w:val="18"/>
              </w:rPr>
            </w:pPr>
            <w:r>
              <w:rPr>
                <w:b/>
                <w:bCs/>
                <w:color w:val="000000"/>
                <w:sz w:val="18"/>
                <w:szCs w:val="18"/>
              </w:rPr>
              <w:t>Přidaná hodnota</w:t>
            </w:r>
          </w:p>
        </w:tc>
        <w:tc>
          <w:tcPr>
            <w:tcW w:w="964" w:type="dxa"/>
            <w:vMerge w:val="restart"/>
            <w:tcBorders>
              <w:top w:val="single" w:sz="4" w:space="0" w:color="auto"/>
              <w:left w:val="single" w:sz="4" w:space="0" w:color="auto"/>
              <w:bottom w:val="single" w:sz="4" w:space="0" w:color="000000"/>
              <w:right w:val="nil"/>
            </w:tcBorders>
            <w:shd w:val="clear" w:color="auto" w:fill="B6DDE8"/>
            <w:noWrap/>
            <w:textDirection w:val="btLr"/>
            <w:vAlign w:val="center"/>
          </w:tcPr>
          <w:p w:rsidR="002C41C1" w:rsidRDefault="003F31B1" w:rsidP="003F31B1">
            <w:pPr>
              <w:jc w:val="center"/>
              <w:rPr>
                <w:rFonts w:ascii="Arial" w:hAnsi="Arial" w:cs="Arial"/>
                <w:b/>
                <w:bCs/>
                <w:color w:val="000000"/>
                <w:sz w:val="18"/>
                <w:szCs w:val="18"/>
              </w:rPr>
            </w:pPr>
            <w:r>
              <w:rPr>
                <w:b/>
                <w:bCs/>
                <w:color w:val="000000"/>
                <w:sz w:val="18"/>
                <w:szCs w:val="18"/>
              </w:rPr>
              <w:t>Konečný p</w:t>
            </w:r>
            <w:r w:rsidR="002C41C1" w:rsidRPr="00661000">
              <w:rPr>
                <w:b/>
                <w:bCs/>
                <w:color w:val="000000"/>
                <w:sz w:val="18"/>
                <w:szCs w:val="18"/>
              </w:rPr>
              <w:t>říjemce</w:t>
            </w:r>
          </w:p>
        </w:tc>
        <w:tc>
          <w:tcPr>
            <w:tcW w:w="4321" w:type="dxa"/>
            <w:tcBorders>
              <w:top w:val="nil"/>
              <w:left w:val="single" w:sz="4" w:space="0" w:color="auto"/>
              <w:bottom w:val="nil"/>
              <w:right w:val="single" w:sz="8" w:space="0" w:color="auto"/>
            </w:tcBorders>
            <w:shd w:val="clear" w:color="auto" w:fill="B6DDE8"/>
            <w:vAlign w:val="center"/>
          </w:tcPr>
          <w:p w:rsidR="002C41C1" w:rsidRDefault="002C41C1">
            <w:pPr>
              <w:jc w:val="center"/>
              <w:rPr>
                <w:rFonts w:ascii="Arial" w:hAnsi="Arial" w:cs="Arial"/>
                <w:color w:val="000000"/>
                <w:sz w:val="18"/>
                <w:szCs w:val="18"/>
              </w:rPr>
            </w:pPr>
            <w:r w:rsidRPr="00661000">
              <w:rPr>
                <w:color w:val="000000"/>
                <w:sz w:val="18"/>
                <w:szCs w:val="18"/>
              </w:rPr>
              <w:t>Prodloužení doby splatnosti</w:t>
            </w:r>
          </w:p>
        </w:tc>
      </w:tr>
      <w:tr w:rsidR="002C41C1" w:rsidRPr="00661000" w:rsidTr="006F42A5">
        <w:trPr>
          <w:cantSplit/>
          <w:trHeight w:val="23"/>
        </w:trPr>
        <w:tc>
          <w:tcPr>
            <w:tcW w:w="0" w:type="auto"/>
            <w:vMerge/>
            <w:tcBorders>
              <w:top w:val="single" w:sz="4" w:space="0" w:color="auto"/>
              <w:left w:val="single" w:sz="8" w:space="0" w:color="auto"/>
              <w:bottom w:val="single" w:sz="4" w:space="0" w:color="auto"/>
              <w:right w:val="single" w:sz="4" w:space="0" w:color="auto"/>
            </w:tcBorders>
            <w:vAlign w:val="center"/>
          </w:tcPr>
          <w:p w:rsidR="002C41C1" w:rsidRDefault="002C41C1">
            <w:pPr>
              <w:jc w:val="left"/>
              <w:rPr>
                <w:rFonts w:ascii="Arial" w:hAnsi="Arial" w:cs="Arial"/>
                <w:b/>
                <w:bCs/>
                <w:color w:val="000000"/>
                <w:sz w:val="18"/>
                <w:szCs w:val="18"/>
              </w:rPr>
            </w:pPr>
          </w:p>
        </w:tc>
        <w:tc>
          <w:tcPr>
            <w:tcW w:w="0" w:type="auto"/>
            <w:vMerge/>
            <w:tcBorders>
              <w:top w:val="single" w:sz="4" w:space="0" w:color="auto"/>
              <w:left w:val="single" w:sz="4" w:space="0" w:color="auto"/>
              <w:bottom w:val="single" w:sz="4" w:space="0" w:color="000000"/>
              <w:right w:val="nil"/>
            </w:tcBorders>
            <w:vAlign w:val="center"/>
          </w:tcPr>
          <w:p w:rsidR="002C41C1" w:rsidRDefault="002C41C1">
            <w:pPr>
              <w:jc w:val="left"/>
              <w:rPr>
                <w:rFonts w:ascii="Arial" w:hAnsi="Arial" w:cs="Arial"/>
                <w:b/>
                <w:bCs/>
                <w:color w:val="000000"/>
                <w:sz w:val="18"/>
                <w:szCs w:val="18"/>
              </w:rPr>
            </w:pPr>
          </w:p>
        </w:tc>
        <w:tc>
          <w:tcPr>
            <w:tcW w:w="4321" w:type="dxa"/>
            <w:tcBorders>
              <w:top w:val="nil"/>
              <w:left w:val="single" w:sz="4" w:space="0" w:color="auto"/>
              <w:bottom w:val="nil"/>
              <w:right w:val="single" w:sz="8" w:space="0" w:color="auto"/>
            </w:tcBorders>
            <w:shd w:val="clear" w:color="auto" w:fill="B6DDE8"/>
            <w:vAlign w:val="center"/>
          </w:tcPr>
          <w:p w:rsidR="002C41C1" w:rsidRDefault="002C41C1">
            <w:pPr>
              <w:jc w:val="center"/>
              <w:rPr>
                <w:rFonts w:ascii="Arial" w:hAnsi="Arial" w:cs="Arial"/>
                <w:color w:val="000000"/>
                <w:sz w:val="18"/>
                <w:szCs w:val="18"/>
              </w:rPr>
            </w:pPr>
            <w:r w:rsidRPr="00661000">
              <w:rPr>
                <w:color w:val="000000"/>
                <w:sz w:val="18"/>
                <w:szCs w:val="18"/>
              </w:rPr>
              <w:t>Snížení úrokové sazby</w:t>
            </w:r>
          </w:p>
        </w:tc>
      </w:tr>
      <w:tr w:rsidR="002C41C1" w:rsidRPr="00661000" w:rsidTr="006F42A5">
        <w:trPr>
          <w:cantSplit/>
          <w:trHeight w:val="23"/>
        </w:trPr>
        <w:tc>
          <w:tcPr>
            <w:tcW w:w="0" w:type="auto"/>
            <w:vMerge/>
            <w:tcBorders>
              <w:top w:val="single" w:sz="4" w:space="0" w:color="auto"/>
              <w:left w:val="single" w:sz="8" w:space="0" w:color="auto"/>
              <w:bottom w:val="single" w:sz="4" w:space="0" w:color="auto"/>
              <w:right w:val="single" w:sz="4" w:space="0" w:color="auto"/>
            </w:tcBorders>
            <w:vAlign w:val="center"/>
          </w:tcPr>
          <w:p w:rsidR="002C41C1" w:rsidRDefault="002C41C1">
            <w:pPr>
              <w:jc w:val="left"/>
              <w:rPr>
                <w:rFonts w:ascii="Arial" w:hAnsi="Arial" w:cs="Arial"/>
                <w:b/>
                <w:bCs/>
                <w:color w:val="000000"/>
                <w:sz w:val="18"/>
                <w:szCs w:val="18"/>
              </w:rPr>
            </w:pPr>
          </w:p>
        </w:tc>
        <w:tc>
          <w:tcPr>
            <w:tcW w:w="0" w:type="auto"/>
            <w:vMerge/>
            <w:tcBorders>
              <w:top w:val="single" w:sz="4" w:space="0" w:color="auto"/>
              <w:left w:val="single" w:sz="4" w:space="0" w:color="auto"/>
              <w:bottom w:val="single" w:sz="4" w:space="0" w:color="000000"/>
              <w:right w:val="nil"/>
            </w:tcBorders>
            <w:vAlign w:val="center"/>
          </w:tcPr>
          <w:p w:rsidR="002C41C1" w:rsidRDefault="002C41C1">
            <w:pPr>
              <w:jc w:val="left"/>
              <w:rPr>
                <w:rFonts w:ascii="Arial" w:hAnsi="Arial" w:cs="Arial"/>
                <w:b/>
                <w:bCs/>
                <w:color w:val="000000"/>
                <w:sz w:val="18"/>
                <w:szCs w:val="18"/>
              </w:rPr>
            </w:pPr>
          </w:p>
        </w:tc>
        <w:tc>
          <w:tcPr>
            <w:tcW w:w="4321" w:type="dxa"/>
            <w:tcBorders>
              <w:top w:val="nil"/>
              <w:left w:val="single" w:sz="4" w:space="0" w:color="auto"/>
              <w:bottom w:val="nil"/>
              <w:right w:val="single" w:sz="8" w:space="0" w:color="auto"/>
            </w:tcBorders>
            <w:shd w:val="clear" w:color="auto" w:fill="B6DDE8"/>
            <w:vAlign w:val="center"/>
          </w:tcPr>
          <w:p w:rsidR="002C41C1" w:rsidRDefault="002C41C1">
            <w:pPr>
              <w:jc w:val="center"/>
              <w:rPr>
                <w:rFonts w:ascii="Arial" w:hAnsi="Arial" w:cs="Arial"/>
                <w:color w:val="000000"/>
                <w:sz w:val="18"/>
                <w:szCs w:val="18"/>
              </w:rPr>
            </w:pPr>
            <w:r>
              <w:rPr>
                <w:color w:val="000000"/>
                <w:sz w:val="18"/>
                <w:szCs w:val="18"/>
              </w:rPr>
              <w:t>Platba v předstihu</w:t>
            </w:r>
          </w:p>
        </w:tc>
      </w:tr>
      <w:tr w:rsidR="002C41C1" w:rsidRPr="00661000" w:rsidTr="006F42A5">
        <w:trPr>
          <w:cantSplit/>
          <w:trHeight w:val="23"/>
        </w:trPr>
        <w:tc>
          <w:tcPr>
            <w:tcW w:w="0" w:type="auto"/>
            <w:vMerge/>
            <w:tcBorders>
              <w:top w:val="single" w:sz="4" w:space="0" w:color="auto"/>
              <w:left w:val="single" w:sz="8" w:space="0" w:color="auto"/>
              <w:bottom w:val="single" w:sz="4" w:space="0" w:color="auto"/>
              <w:right w:val="single" w:sz="4" w:space="0" w:color="auto"/>
            </w:tcBorders>
            <w:vAlign w:val="center"/>
          </w:tcPr>
          <w:p w:rsidR="002C41C1" w:rsidRDefault="002C41C1">
            <w:pPr>
              <w:jc w:val="left"/>
              <w:rPr>
                <w:rFonts w:ascii="Arial" w:hAnsi="Arial" w:cs="Arial"/>
                <w:b/>
                <w:bCs/>
                <w:color w:val="000000"/>
                <w:sz w:val="18"/>
                <w:szCs w:val="18"/>
              </w:rPr>
            </w:pPr>
          </w:p>
        </w:tc>
        <w:tc>
          <w:tcPr>
            <w:tcW w:w="0" w:type="auto"/>
            <w:vMerge/>
            <w:tcBorders>
              <w:top w:val="single" w:sz="4" w:space="0" w:color="auto"/>
              <w:left w:val="single" w:sz="4" w:space="0" w:color="auto"/>
              <w:bottom w:val="single" w:sz="4" w:space="0" w:color="000000"/>
              <w:right w:val="nil"/>
            </w:tcBorders>
            <w:vAlign w:val="center"/>
          </w:tcPr>
          <w:p w:rsidR="002C41C1" w:rsidRDefault="002C41C1">
            <w:pPr>
              <w:jc w:val="left"/>
              <w:rPr>
                <w:rFonts w:ascii="Arial" w:hAnsi="Arial" w:cs="Arial"/>
                <w:b/>
                <w:bCs/>
                <w:color w:val="000000"/>
                <w:sz w:val="18"/>
                <w:szCs w:val="18"/>
              </w:rPr>
            </w:pPr>
          </w:p>
        </w:tc>
        <w:tc>
          <w:tcPr>
            <w:tcW w:w="4321" w:type="dxa"/>
            <w:tcBorders>
              <w:top w:val="nil"/>
              <w:left w:val="single" w:sz="4" w:space="0" w:color="auto"/>
              <w:bottom w:val="nil"/>
              <w:right w:val="single" w:sz="8" w:space="0" w:color="auto"/>
            </w:tcBorders>
            <w:shd w:val="clear" w:color="auto" w:fill="B6DDE8"/>
            <w:vAlign w:val="center"/>
          </w:tcPr>
          <w:p w:rsidR="002C41C1" w:rsidRDefault="002C41C1">
            <w:pPr>
              <w:jc w:val="center"/>
              <w:rPr>
                <w:rFonts w:ascii="Arial" w:hAnsi="Arial" w:cs="Arial"/>
                <w:color w:val="000000"/>
                <w:sz w:val="18"/>
                <w:szCs w:val="18"/>
              </w:rPr>
            </w:pPr>
            <w:r w:rsidRPr="00661000">
              <w:rPr>
                <w:color w:val="000000"/>
                <w:sz w:val="18"/>
                <w:szCs w:val="18"/>
              </w:rPr>
              <w:t>Nízká administrativní náročnost</w:t>
            </w:r>
          </w:p>
        </w:tc>
      </w:tr>
      <w:tr w:rsidR="002C41C1" w:rsidRPr="00661000" w:rsidTr="006F42A5">
        <w:trPr>
          <w:cantSplit/>
          <w:trHeight w:val="23"/>
        </w:trPr>
        <w:tc>
          <w:tcPr>
            <w:tcW w:w="0" w:type="auto"/>
            <w:vMerge/>
            <w:tcBorders>
              <w:top w:val="single" w:sz="4" w:space="0" w:color="auto"/>
              <w:left w:val="single" w:sz="8" w:space="0" w:color="auto"/>
              <w:bottom w:val="single" w:sz="4" w:space="0" w:color="auto"/>
              <w:right w:val="single" w:sz="4" w:space="0" w:color="auto"/>
            </w:tcBorders>
            <w:vAlign w:val="center"/>
          </w:tcPr>
          <w:p w:rsidR="002C41C1" w:rsidRDefault="002C41C1">
            <w:pPr>
              <w:jc w:val="left"/>
              <w:rPr>
                <w:rFonts w:ascii="Arial" w:hAnsi="Arial" w:cs="Arial"/>
                <w:b/>
                <w:bCs/>
                <w:color w:val="000000"/>
                <w:sz w:val="18"/>
                <w:szCs w:val="18"/>
              </w:rPr>
            </w:pPr>
          </w:p>
        </w:tc>
        <w:tc>
          <w:tcPr>
            <w:tcW w:w="0" w:type="auto"/>
            <w:vMerge/>
            <w:tcBorders>
              <w:top w:val="single" w:sz="4" w:space="0" w:color="auto"/>
              <w:left w:val="single" w:sz="4" w:space="0" w:color="auto"/>
              <w:bottom w:val="single" w:sz="4" w:space="0" w:color="000000"/>
              <w:right w:val="nil"/>
            </w:tcBorders>
            <w:vAlign w:val="center"/>
          </w:tcPr>
          <w:p w:rsidR="002C41C1" w:rsidRDefault="002C41C1">
            <w:pPr>
              <w:jc w:val="left"/>
              <w:rPr>
                <w:rFonts w:ascii="Arial" w:hAnsi="Arial" w:cs="Arial"/>
                <w:b/>
                <w:bCs/>
                <w:color w:val="000000"/>
                <w:sz w:val="18"/>
                <w:szCs w:val="18"/>
              </w:rPr>
            </w:pPr>
          </w:p>
        </w:tc>
        <w:tc>
          <w:tcPr>
            <w:tcW w:w="4321" w:type="dxa"/>
            <w:tcBorders>
              <w:top w:val="nil"/>
              <w:left w:val="single" w:sz="4" w:space="0" w:color="auto"/>
              <w:bottom w:val="single" w:sz="4" w:space="0" w:color="auto"/>
              <w:right w:val="single" w:sz="8" w:space="0" w:color="auto"/>
            </w:tcBorders>
            <w:shd w:val="clear" w:color="auto" w:fill="B6DDE8"/>
            <w:vAlign w:val="center"/>
          </w:tcPr>
          <w:p w:rsidR="002C41C1" w:rsidRDefault="002C41C1">
            <w:pPr>
              <w:jc w:val="center"/>
              <w:rPr>
                <w:rFonts w:ascii="Arial" w:hAnsi="Arial" w:cs="Arial"/>
                <w:color w:val="000000"/>
                <w:sz w:val="18"/>
                <w:szCs w:val="18"/>
              </w:rPr>
            </w:pPr>
            <w:r w:rsidRPr="00661000">
              <w:rPr>
                <w:color w:val="000000"/>
                <w:sz w:val="18"/>
                <w:szCs w:val="18"/>
              </w:rPr>
              <w:t>Eliminace utopených nákladů na energetický audit</w:t>
            </w:r>
          </w:p>
        </w:tc>
      </w:tr>
      <w:tr w:rsidR="002C41C1" w:rsidRPr="00661000" w:rsidTr="006F42A5">
        <w:trPr>
          <w:cantSplit/>
          <w:trHeight w:val="482"/>
        </w:trPr>
        <w:tc>
          <w:tcPr>
            <w:tcW w:w="0" w:type="auto"/>
            <w:vMerge/>
            <w:tcBorders>
              <w:top w:val="single" w:sz="4" w:space="0" w:color="auto"/>
              <w:left w:val="single" w:sz="8" w:space="0" w:color="auto"/>
              <w:bottom w:val="single" w:sz="4" w:space="0" w:color="auto"/>
              <w:right w:val="single" w:sz="4" w:space="0" w:color="auto"/>
            </w:tcBorders>
            <w:vAlign w:val="center"/>
          </w:tcPr>
          <w:p w:rsidR="002C41C1" w:rsidRDefault="002C41C1">
            <w:pPr>
              <w:jc w:val="left"/>
              <w:rPr>
                <w:rFonts w:ascii="Arial" w:hAnsi="Arial" w:cs="Arial"/>
                <w:b/>
                <w:bCs/>
                <w:color w:val="000000"/>
                <w:sz w:val="18"/>
                <w:szCs w:val="18"/>
              </w:rPr>
            </w:pPr>
          </w:p>
        </w:tc>
        <w:tc>
          <w:tcPr>
            <w:tcW w:w="964" w:type="dxa"/>
            <w:tcBorders>
              <w:top w:val="nil"/>
              <w:left w:val="single" w:sz="4" w:space="0" w:color="auto"/>
              <w:bottom w:val="single" w:sz="4" w:space="0" w:color="auto"/>
              <w:right w:val="nil"/>
            </w:tcBorders>
            <w:shd w:val="clear" w:color="auto" w:fill="B6DDE8"/>
            <w:noWrap/>
            <w:textDirection w:val="btLr"/>
            <w:vAlign w:val="center"/>
          </w:tcPr>
          <w:p w:rsidR="002C41C1" w:rsidRDefault="002C41C1">
            <w:pPr>
              <w:jc w:val="center"/>
              <w:rPr>
                <w:rFonts w:ascii="Arial" w:hAnsi="Arial" w:cs="Arial"/>
                <w:b/>
                <w:bCs/>
                <w:color w:val="000000"/>
                <w:sz w:val="18"/>
                <w:szCs w:val="18"/>
              </w:rPr>
            </w:pPr>
            <w:r w:rsidRPr="00661000">
              <w:rPr>
                <w:b/>
                <w:bCs/>
                <w:color w:val="000000"/>
                <w:sz w:val="18"/>
                <w:szCs w:val="18"/>
              </w:rPr>
              <w:t>ŘO</w:t>
            </w:r>
          </w:p>
        </w:tc>
        <w:tc>
          <w:tcPr>
            <w:tcW w:w="4321" w:type="dxa"/>
            <w:tcBorders>
              <w:top w:val="nil"/>
              <w:left w:val="single" w:sz="4" w:space="0" w:color="auto"/>
              <w:bottom w:val="single" w:sz="4" w:space="0" w:color="auto"/>
              <w:right w:val="single" w:sz="8" w:space="0" w:color="auto"/>
            </w:tcBorders>
            <w:shd w:val="clear" w:color="auto" w:fill="B6DDE8"/>
            <w:vAlign w:val="center"/>
          </w:tcPr>
          <w:p w:rsidR="002C41C1" w:rsidRDefault="002C41C1">
            <w:pPr>
              <w:jc w:val="center"/>
              <w:rPr>
                <w:rFonts w:ascii="Arial" w:hAnsi="Arial" w:cs="Arial"/>
                <w:color w:val="000000"/>
                <w:sz w:val="18"/>
                <w:szCs w:val="18"/>
              </w:rPr>
            </w:pPr>
            <w:r w:rsidRPr="00661000">
              <w:rPr>
                <w:color w:val="000000"/>
                <w:sz w:val="18"/>
                <w:szCs w:val="18"/>
              </w:rPr>
              <w:t>Predikovatelné splátky</w:t>
            </w:r>
          </w:p>
        </w:tc>
      </w:tr>
    </w:tbl>
    <w:p w:rsidR="002C41C1" w:rsidRDefault="002C41C1" w:rsidP="006F42A5">
      <w:pPr>
        <w:pStyle w:val="Vtneslovannadpis"/>
        <w:rPr>
          <w:lang w:eastAsia="en-US"/>
        </w:rPr>
      </w:pPr>
    </w:p>
    <w:p w:rsidR="002C41C1" w:rsidRDefault="002C41C1" w:rsidP="006F42A5">
      <w:pPr>
        <w:pStyle w:val="Vtneslovannadpis"/>
        <w:rPr>
          <w:lang w:eastAsia="en-US"/>
        </w:rPr>
      </w:pPr>
      <w:r>
        <w:rPr>
          <w:lang w:eastAsia="en-US"/>
        </w:rPr>
        <w:t>Aktivování investičního potenciálu</w:t>
      </w:r>
    </w:p>
    <w:p w:rsidR="002C41C1" w:rsidRDefault="002C41C1" w:rsidP="00605487">
      <w:pPr>
        <w:rPr>
          <w:lang w:eastAsia="en-US"/>
        </w:rPr>
      </w:pPr>
      <w:r w:rsidRPr="006F42A5">
        <w:rPr>
          <w:lang w:eastAsia="en-US"/>
        </w:rPr>
        <w:t xml:space="preserve">V textu výše bylo zmíněno, že některé projekty byly vyřazeny z dotačního řízení kvůli přílišné ziskovosti – vnitřnímu výnosovému procentu přesahujícímu 20 %. Bylo by s podivem, kdyby projekty podobných ekonomických parametrů nedosáhly na běžné komerční financování, zejména s ohledem na fakt, že žadatelé zpravidla mohou nabídnout dostatečné zajištění úvěru v podobě budovy, v níž má být instalace provedena. Investice do energetických úspor zvažované subjekty dotazovanými v </w:t>
      </w:r>
      <w:r w:rsidRPr="006F42A5">
        <w:rPr>
          <w:lang w:eastAsia="en-US"/>
        </w:rPr>
        <w:lastRenderedPageBreak/>
        <w:t>rámci dotazníkového šetření spadají ve velké většině z hlediska návratnosti do oblasti běžně financovatelné na tržním principu.</w:t>
      </w:r>
    </w:p>
    <w:p w:rsidR="002C41C1" w:rsidRDefault="00733F9C" w:rsidP="00605487">
      <w:pPr>
        <w:rPr>
          <w:lang w:eastAsia="en-US"/>
        </w:rPr>
      </w:pPr>
      <w:r>
        <w:rPr>
          <w:noProof/>
        </w:rPr>
        <w:drawing>
          <wp:inline distT="0" distB="0" distL="0" distR="0" wp14:anchorId="03DD9FA5" wp14:editId="68423A4E">
            <wp:extent cx="3584575" cy="1938655"/>
            <wp:effectExtent l="0" t="0" r="0" b="444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4575" cy="1938655"/>
                    </a:xfrm>
                    <a:prstGeom prst="rect">
                      <a:avLst/>
                    </a:prstGeom>
                    <a:noFill/>
                  </pic:spPr>
                </pic:pic>
              </a:graphicData>
            </a:graphic>
          </wp:inline>
        </w:drawing>
      </w:r>
    </w:p>
    <w:p w:rsidR="002C41C1" w:rsidRDefault="002C41C1" w:rsidP="00DF6E0B">
      <w:pPr>
        <w:pStyle w:val="Titulek"/>
      </w:pPr>
      <w:r>
        <w:t>Graf 14 - Očekávaná návratnost investic do energetické účinnosti</w:t>
      </w:r>
    </w:p>
    <w:p w:rsidR="002C41C1" w:rsidRDefault="002C41C1" w:rsidP="00DF6E0B">
      <w:pPr>
        <w:pStyle w:val="Titulek"/>
      </w:pPr>
      <w:r>
        <w:t xml:space="preserve">(Zdroj: </w:t>
      </w:r>
      <w:r w:rsidRPr="00004922">
        <w:t xml:space="preserve">Dotazníkové šetření Ex ante </w:t>
      </w:r>
      <w:r w:rsidR="0084453C">
        <w:t>OP PIK</w:t>
      </w:r>
      <w:r>
        <w:t>)</w:t>
      </w:r>
    </w:p>
    <w:p w:rsidR="002C41C1" w:rsidRDefault="002C41C1" w:rsidP="006F42A5">
      <w:pPr>
        <w:rPr>
          <w:lang w:eastAsia="en-US"/>
        </w:rPr>
      </w:pPr>
    </w:p>
    <w:p w:rsidR="002C41C1" w:rsidRDefault="002C41C1" w:rsidP="006F42A5">
      <w:pPr>
        <w:rPr>
          <w:lang w:eastAsia="en-US"/>
        </w:rPr>
      </w:pPr>
      <w:r w:rsidRPr="006F42A5">
        <w:rPr>
          <w:lang w:eastAsia="en-US"/>
        </w:rPr>
        <w:t>Stimulační efekt jednotlivých forem finančních nástrojů plynoucí z výsledků dotazníkového šetření uvádí násled</w:t>
      </w:r>
      <w:r w:rsidRPr="00DF6E0B">
        <w:rPr>
          <w:lang w:eastAsia="en-US"/>
        </w:rPr>
        <w:t>ující Tabulka 15.</w:t>
      </w:r>
    </w:p>
    <w:p w:rsidR="002C41C1" w:rsidRDefault="002C41C1" w:rsidP="006F42A5">
      <w:pPr>
        <w:rPr>
          <w:lang w:eastAsia="en-US"/>
        </w:rPr>
      </w:pPr>
    </w:p>
    <w:tbl>
      <w:tblPr>
        <w:tblW w:w="9119" w:type="dxa"/>
        <w:tblBorders>
          <w:bottom w:val="single" w:sz="4" w:space="0" w:color="00A1DE"/>
          <w:insideH w:val="single" w:sz="4" w:space="0" w:color="00A1DE"/>
        </w:tblBorders>
        <w:tblCellMar>
          <w:top w:w="28" w:type="dxa"/>
          <w:left w:w="28" w:type="dxa"/>
          <w:bottom w:w="28" w:type="dxa"/>
          <w:right w:w="28" w:type="dxa"/>
        </w:tblCellMar>
        <w:tblLook w:val="00A0" w:firstRow="1" w:lastRow="0" w:firstColumn="1" w:lastColumn="0" w:noHBand="0" w:noVBand="0"/>
      </w:tblPr>
      <w:tblGrid>
        <w:gridCol w:w="3208"/>
        <w:gridCol w:w="1093"/>
        <w:gridCol w:w="990"/>
        <w:gridCol w:w="990"/>
        <w:gridCol w:w="990"/>
        <w:gridCol w:w="1217"/>
        <w:gridCol w:w="631"/>
      </w:tblGrid>
      <w:tr w:rsidR="002C41C1" w:rsidRPr="00661000" w:rsidTr="00661000">
        <w:trPr>
          <w:trHeight w:val="194"/>
        </w:trPr>
        <w:tc>
          <w:tcPr>
            <w:tcW w:w="3208" w:type="dxa"/>
            <w:tcBorders>
              <w:top w:val="nil"/>
              <w:left w:val="nil"/>
              <w:right w:val="nil"/>
            </w:tcBorders>
            <w:shd w:val="clear" w:color="auto" w:fill="00A1DE"/>
            <w:noWrap/>
          </w:tcPr>
          <w:p w:rsidR="002C41C1" w:rsidRPr="00661000" w:rsidRDefault="002C41C1" w:rsidP="00661000">
            <w:pPr>
              <w:jc w:val="left"/>
              <w:rPr>
                <w:rFonts w:ascii="Arial" w:hAnsi="Arial" w:cs="Arial"/>
                <w:b/>
                <w:bCs/>
                <w:color w:val="000000"/>
                <w:szCs w:val="22"/>
              </w:rPr>
            </w:pPr>
            <w:r w:rsidRPr="00661000">
              <w:rPr>
                <w:b/>
                <w:bCs/>
                <w:color w:val="000000"/>
                <w:szCs w:val="22"/>
              </w:rPr>
              <w:t> </w:t>
            </w:r>
          </w:p>
        </w:tc>
        <w:tc>
          <w:tcPr>
            <w:tcW w:w="1093" w:type="dxa"/>
            <w:tcBorders>
              <w:top w:val="nil"/>
              <w:left w:val="nil"/>
              <w:right w:val="nil"/>
            </w:tcBorders>
            <w:shd w:val="clear" w:color="auto" w:fill="00A1DE"/>
            <w:noWrap/>
            <w:vAlign w:val="center"/>
          </w:tcPr>
          <w:p w:rsidR="002C41C1" w:rsidRPr="00661000" w:rsidRDefault="002C41C1" w:rsidP="00661000">
            <w:pPr>
              <w:jc w:val="center"/>
              <w:rPr>
                <w:rFonts w:ascii="Arial" w:hAnsi="Arial" w:cs="Arial"/>
                <w:b/>
                <w:bCs/>
                <w:color w:val="FFFFFF"/>
                <w:sz w:val="18"/>
                <w:szCs w:val="22"/>
              </w:rPr>
            </w:pPr>
            <w:r w:rsidRPr="00661000">
              <w:rPr>
                <w:b/>
                <w:bCs/>
                <w:color w:val="FFFFFF"/>
                <w:sz w:val="18"/>
                <w:szCs w:val="22"/>
              </w:rPr>
              <w:t>Určitě ano</w:t>
            </w:r>
          </w:p>
        </w:tc>
        <w:tc>
          <w:tcPr>
            <w:tcW w:w="990" w:type="dxa"/>
            <w:tcBorders>
              <w:top w:val="nil"/>
              <w:left w:val="nil"/>
              <w:right w:val="nil"/>
            </w:tcBorders>
            <w:shd w:val="clear" w:color="auto" w:fill="00A1DE"/>
            <w:noWrap/>
            <w:vAlign w:val="center"/>
          </w:tcPr>
          <w:p w:rsidR="002C41C1" w:rsidRPr="00661000" w:rsidRDefault="002C41C1" w:rsidP="00661000">
            <w:pPr>
              <w:jc w:val="center"/>
              <w:rPr>
                <w:rFonts w:ascii="Arial" w:hAnsi="Arial" w:cs="Arial"/>
                <w:b/>
                <w:bCs/>
                <w:color w:val="FFFFFF"/>
                <w:sz w:val="18"/>
                <w:szCs w:val="22"/>
              </w:rPr>
            </w:pPr>
            <w:r w:rsidRPr="00661000">
              <w:rPr>
                <w:b/>
                <w:bCs/>
                <w:color w:val="FFFFFF"/>
                <w:sz w:val="18"/>
                <w:szCs w:val="22"/>
              </w:rPr>
              <w:t>Spíše ano</w:t>
            </w:r>
          </w:p>
        </w:tc>
        <w:tc>
          <w:tcPr>
            <w:tcW w:w="990" w:type="dxa"/>
            <w:tcBorders>
              <w:top w:val="nil"/>
              <w:left w:val="nil"/>
              <w:right w:val="nil"/>
            </w:tcBorders>
            <w:shd w:val="clear" w:color="auto" w:fill="00A1DE"/>
            <w:noWrap/>
            <w:vAlign w:val="center"/>
          </w:tcPr>
          <w:p w:rsidR="002C41C1" w:rsidRPr="00661000" w:rsidRDefault="002C41C1" w:rsidP="00661000">
            <w:pPr>
              <w:jc w:val="center"/>
              <w:rPr>
                <w:rFonts w:ascii="Arial" w:hAnsi="Arial" w:cs="Arial"/>
                <w:b/>
                <w:bCs/>
                <w:color w:val="FFFFFF"/>
                <w:sz w:val="18"/>
                <w:szCs w:val="22"/>
              </w:rPr>
            </w:pPr>
            <w:r w:rsidRPr="00661000">
              <w:rPr>
                <w:b/>
                <w:bCs/>
                <w:color w:val="FFFFFF"/>
                <w:sz w:val="18"/>
                <w:szCs w:val="22"/>
              </w:rPr>
              <w:t>Spíše ne</w:t>
            </w:r>
          </w:p>
        </w:tc>
        <w:tc>
          <w:tcPr>
            <w:tcW w:w="990" w:type="dxa"/>
            <w:tcBorders>
              <w:top w:val="nil"/>
              <w:left w:val="nil"/>
              <w:right w:val="nil"/>
            </w:tcBorders>
            <w:shd w:val="clear" w:color="auto" w:fill="00A1DE"/>
            <w:noWrap/>
            <w:vAlign w:val="center"/>
          </w:tcPr>
          <w:p w:rsidR="002C41C1" w:rsidRPr="00661000" w:rsidRDefault="002C41C1" w:rsidP="00661000">
            <w:pPr>
              <w:jc w:val="center"/>
              <w:rPr>
                <w:rFonts w:ascii="Arial" w:hAnsi="Arial" w:cs="Arial"/>
                <w:b/>
                <w:bCs/>
                <w:color w:val="FFFFFF"/>
                <w:sz w:val="18"/>
                <w:szCs w:val="22"/>
              </w:rPr>
            </w:pPr>
            <w:r w:rsidRPr="00661000">
              <w:rPr>
                <w:b/>
                <w:bCs/>
                <w:color w:val="FFFFFF"/>
                <w:sz w:val="18"/>
                <w:szCs w:val="22"/>
              </w:rPr>
              <w:t>Určitě ne</w:t>
            </w:r>
          </w:p>
        </w:tc>
        <w:tc>
          <w:tcPr>
            <w:tcW w:w="1217" w:type="dxa"/>
            <w:tcBorders>
              <w:top w:val="nil"/>
              <w:left w:val="nil"/>
              <w:right w:val="nil"/>
            </w:tcBorders>
            <w:shd w:val="clear" w:color="auto" w:fill="00A1DE"/>
            <w:noWrap/>
          </w:tcPr>
          <w:p w:rsidR="002C41C1" w:rsidRPr="00661000" w:rsidRDefault="002C41C1" w:rsidP="00661000">
            <w:pPr>
              <w:jc w:val="center"/>
              <w:rPr>
                <w:rFonts w:ascii="Arial" w:hAnsi="Arial" w:cs="Arial"/>
                <w:b/>
                <w:bCs/>
                <w:color w:val="FFFFFF"/>
                <w:szCs w:val="22"/>
              </w:rPr>
            </w:pPr>
            <w:r w:rsidRPr="00661000">
              <w:rPr>
                <w:b/>
                <w:bCs/>
                <w:color w:val="FFFFFF"/>
                <w:szCs w:val="22"/>
              </w:rPr>
              <w:t> </w:t>
            </w:r>
            <w:r w:rsidRPr="00661000">
              <w:rPr>
                <w:b/>
                <w:bCs/>
                <w:color w:val="FFFFFF"/>
                <w:sz w:val="18"/>
                <w:szCs w:val="22"/>
              </w:rPr>
              <w:t>Typ nástroje</w:t>
            </w:r>
          </w:p>
        </w:tc>
        <w:tc>
          <w:tcPr>
            <w:tcW w:w="630" w:type="dxa"/>
            <w:tcBorders>
              <w:top w:val="nil"/>
              <w:left w:val="nil"/>
              <w:right w:val="nil"/>
            </w:tcBorders>
            <w:shd w:val="clear" w:color="auto" w:fill="00A1DE"/>
            <w:noWrap/>
          </w:tcPr>
          <w:p w:rsidR="002C41C1" w:rsidRPr="00661000" w:rsidRDefault="002C41C1" w:rsidP="00661000">
            <w:pPr>
              <w:jc w:val="left"/>
              <w:rPr>
                <w:rFonts w:ascii="Arial" w:hAnsi="Arial" w:cs="Arial"/>
                <w:b/>
                <w:bCs/>
                <w:color w:val="000000"/>
                <w:szCs w:val="22"/>
              </w:rPr>
            </w:pPr>
            <w:r w:rsidRPr="00661000">
              <w:rPr>
                <w:b/>
                <w:bCs/>
                <w:color w:val="000000"/>
                <w:szCs w:val="22"/>
              </w:rPr>
              <w:t> </w:t>
            </w:r>
          </w:p>
        </w:tc>
      </w:tr>
      <w:tr w:rsidR="002C41C1" w:rsidRPr="00661000" w:rsidTr="00661000">
        <w:trPr>
          <w:trHeight w:val="203"/>
        </w:trPr>
        <w:tc>
          <w:tcPr>
            <w:tcW w:w="3208" w:type="dxa"/>
            <w:vMerge w:val="restart"/>
            <w:tcBorders>
              <w:left w:val="nil"/>
              <w:right w:val="nil"/>
            </w:tcBorders>
            <w:shd w:val="clear" w:color="auto" w:fill="FFFFFF"/>
            <w:noWrap/>
            <w:vAlign w:val="center"/>
          </w:tcPr>
          <w:p w:rsidR="002C41C1" w:rsidRPr="00661000" w:rsidRDefault="002C41C1" w:rsidP="00661000">
            <w:pPr>
              <w:jc w:val="center"/>
              <w:rPr>
                <w:rFonts w:ascii="Arial" w:hAnsi="Arial" w:cs="Arial"/>
                <w:color w:val="000000"/>
                <w:sz w:val="18"/>
                <w:szCs w:val="18"/>
              </w:rPr>
            </w:pPr>
            <w:r w:rsidRPr="00661000">
              <w:rPr>
                <w:color w:val="000000"/>
                <w:sz w:val="18"/>
                <w:szCs w:val="18"/>
              </w:rPr>
              <w:t>Investice do snížení energetické náročnosti</w:t>
            </w:r>
          </w:p>
        </w:tc>
        <w:tc>
          <w:tcPr>
            <w:tcW w:w="1093" w:type="dxa"/>
            <w:tcBorders>
              <w:left w:val="nil"/>
              <w:right w:val="nil"/>
            </w:tcBorders>
            <w:shd w:val="clear" w:color="auto" w:fill="FFFFFF"/>
            <w:noWrap/>
            <w:vAlign w:val="center"/>
          </w:tcPr>
          <w:p w:rsidR="002C41C1" w:rsidRPr="00661000" w:rsidRDefault="002C41C1" w:rsidP="00661000">
            <w:pPr>
              <w:jc w:val="center"/>
              <w:rPr>
                <w:rFonts w:ascii="Arial" w:hAnsi="Arial" w:cs="Arial"/>
                <w:color w:val="000000"/>
                <w:sz w:val="18"/>
                <w:szCs w:val="18"/>
              </w:rPr>
            </w:pPr>
            <w:r w:rsidRPr="00661000">
              <w:rPr>
                <w:color w:val="000000"/>
                <w:sz w:val="18"/>
                <w:szCs w:val="18"/>
              </w:rPr>
              <w:t>18%</w:t>
            </w:r>
          </w:p>
        </w:tc>
        <w:tc>
          <w:tcPr>
            <w:tcW w:w="990" w:type="dxa"/>
            <w:tcBorders>
              <w:left w:val="nil"/>
              <w:right w:val="nil"/>
            </w:tcBorders>
            <w:shd w:val="clear" w:color="auto" w:fill="FFFFFF"/>
            <w:noWrap/>
            <w:vAlign w:val="center"/>
          </w:tcPr>
          <w:p w:rsidR="002C41C1" w:rsidRPr="00661000" w:rsidRDefault="002C41C1" w:rsidP="00661000">
            <w:pPr>
              <w:jc w:val="center"/>
              <w:rPr>
                <w:rFonts w:ascii="Arial" w:hAnsi="Arial" w:cs="Arial"/>
                <w:color w:val="000000"/>
                <w:sz w:val="18"/>
                <w:szCs w:val="18"/>
              </w:rPr>
            </w:pPr>
            <w:r w:rsidRPr="00661000">
              <w:rPr>
                <w:color w:val="000000"/>
                <w:sz w:val="18"/>
                <w:szCs w:val="18"/>
              </w:rPr>
              <w:t>19%</w:t>
            </w:r>
          </w:p>
        </w:tc>
        <w:tc>
          <w:tcPr>
            <w:tcW w:w="990" w:type="dxa"/>
            <w:tcBorders>
              <w:left w:val="nil"/>
              <w:right w:val="nil"/>
            </w:tcBorders>
            <w:shd w:val="clear" w:color="auto" w:fill="FFFFFF"/>
            <w:noWrap/>
            <w:vAlign w:val="center"/>
          </w:tcPr>
          <w:p w:rsidR="002C41C1" w:rsidRPr="00661000" w:rsidRDefault="002C41C1" w:rsidP="00661000">
            <w:pPr>
              <w:jc w:val="center"/>
              <w:rPr>
                <w:rFonts w:ascii="Arial" w:hAnsi="Arial" w:cs="Arial"/>
                <w:color w:val="000000"/>
                <w:sz w:val="18"/>
                <w:szCs w:val="18"/>
              </w:rPr>
            </w:pPr>
            <w:r w:rsidRPr="00661000">
              <w:rPr>
                <w:color w:val="000000"/>
                <w:sz w:val="18"/>
                <w:szCs w:val="18"/>
              </w:rPr>
              <w:t>28%</w:t>
            </w:r>
          </w:p>
        </w:tc>
        <w:tc>
          <w:tcPr>
            <w:tcW w:w="990" w:type="dxa"/>
            <w:tcBorders>
              <w:left w:val="nil"/>
              <w:right w:val="nil"/>
            </w:tcBorders>
            <w:shd w:val="clear" w:color="auto" w:fill="FFFFFF"/>
            <w:noWrap/>
            <w:vAlign w:val="center"/>
          </w:tcPr>
          <w:p w:rsidR="002C41C1" w:rsidRPr="00661000" w:rsidRDefault="002C41C1" w:rsidP="00661000">
            <w:pPr>
              <w:jc w:val="center"/>
              <w:rPr>
                <w:rFonts w:ascii="Arial" w:hAnsi="Arial" w:cs="Arial"/>
                <w:color w:val="000000"/>
                <w:sz w:val="18"/>
                <w:szCs w:val="18"/>
              </w:rPr>
            </w:pPr>
            <w:r w:rsidRPr="00661000">
              <w:rPr>
                <w:color w:val="000000"/>
                <w:sz w:val="18"/>
                <w:szCs w:val="18"/>
              </w:rPr>
              <w:t>34%</w:t>
            </w:r>
          </w:p>
        </w:tc>
        <w:tc>
          <w:tcPr>
            <w:tcW w:w="1848" w:type="dxa"/>
            <w:gridSpan w:val="2"/>
            <w:tcBorders>
              <w:left w:val="nil"/>
              <w:right w:val="nil"/>
            </w:tcBorders>
            <w:shd w:val="clear" w:color="auto" w:fill="FFFFFF"/>
            <w:noWrap/>
            <w:vAlign w:val="center"/>
          </w:tcPr>
          <w:p w:rsidR="002C41C1" w:rsidRPr="00661000" w:rsidRDefault="002C41C1" w:rsidP="00661000">
            <w:pPr>
              <w:jc w:val="center"/>
              <w:rPr>
                <w:rFonts w:ascii="Arial" w:hAnsi="Arial" w:cs="Arial"/>
                <w:color w:val="000000"/>
                <w:sz w:val="18"/>
                <w:szCs w:val="18"/>
              </w:rPr>
            </w:pPr>
            <w:r w:rsidRPr="00661000">
              <w:rPr>
                <w:color w:val="000000"/>
                <w:sz w:val="18"/>
                <w:szCs w:val="18"/>
              </w:rPr>
              <w:t>Kapitálový vstup</w:t>
            </w:r>
          </w:p>
        </w:tc>
      </w:tr>
      <w:tr w:rsidR="002C41C1" w:rsidRPr="00661000" w:rsidTr="00661000">
        <w:trPr>
          <w:trHeight w:val="203"/>
        </w:trPr>
        <w:tc>
          <w:tcPr>
            <w:tcW w:w="0" w:type="auto"/>
            <w:vMerge/>
            <w:tcBorders>
              <w:left w:val="nil"/>
              <w:right w:val="nil"/>
            </w:tcBorders>
            <w:shd w:val="clear" w:color="auto" w:fill="FFFFFF"/>
            <w:vAlign w:val="center"/>
          </w:tcPr>
          <w:p w:rsidR="002C41C1" w:rsidRPr="00661000" w:rsidRDefault="002C41C1" w:rsidP="00661000">
            <w:pPr>
              <w:jc w:val="left"/>
              <w:rPr>
                <w:rFonts w:ascii="Arial" w:hAnsi="Arial" w:cs="Arial"/>
                <w:color w:val="000000"/>
                <w:sz w:val="18"/>
                <w:szCs w:val="18"/>
              </w:rPr>
            </w:pPr>
          </w:p>
        </w:tc>
        <w:tc>
          <w:tcPr>
            <w:tcW w:w="1093" w:type="dxa"/>
            <w:tcBorders>
              <w:left w:val="nil"/>
              <w:right w:val="nil"/>
            </w:tcBorders>
            <w:shd w:val="clear" w:color="auto" w:fill="FFFFFF"/>
            <w:noWrap/>
            <w:vAlign w:val="center"/>
          </w:tcPr>
          <w:p w:rsidR="002C41C1" w:rsidRPr="00661000" w:rsidRDefault="002C41C1" w:rsidP="00661000">
            <w:pPr>
              <w:jc w:val="center"/>
              <w:rPr>
                <w:rFonts w:ascii="Arial" w:hAnsi="Arial" w:cs="Arial"/>
                <w:color w:val="000000"/>
                <w:sz w:val="18"/>
                <w:szCs w:val="18"/>
              </w:rPr>
            </w:pPr>
            <w:r w:rsidRPr="00661000">
              <w:rPr>
                <w:color w:val="000000"/>
                <w:sz w:val="18"/>
                <w:szCs w:val="18"/>
              </w:rPr>
              <w:t>19%</w:t>
            </w:r>
          </w:p>
        </w:tc>
        <w:tc>
          <w:tcPr>
            <w:tcW w:w="990" w:type="dxa"/>
            <w:tcBorders>
              <w:left w:val="nil"/>
              <w:right w:val="nil"/>
            </w:tcBorders>
            <w:shd w:val="clear" w:color="auto" w:fill="FFFFFF"/>
            <w:noWrap/>
            <w:vAlign w:val="center"/>
          </w:tcPr>
          <w:p w:rsidR="002C41C1" w:rsidRPr="00661000" w:rsidRDefault="002C41C1" w:rsidP="00661000">
            <w:pPr>
              <w:jc w:val="center"/>
              <w:rPr>
                <w:rFonts w:ascii="Arial" w:hAnsi="Arial" w:cs="Arial"/>
                <w:color w:val="000000"/>
                <w:sz w:val="18"/>
                <w:szCs w:val="18"/>
              </w:rPr>
            </w:pPr>
            <w:r w:rsidRPr="00661000">
              <w:rPr>
                <w:color w:val="000000"/>
                <w:sz w:val="18"/>
                <w:szCs w:val="18"/>
              </w:rPr>
              <w:t>32%</w:t>
            </w:r>
          </w:p>
        </w:tc>
        <w:tc>
          <w:tcPr>
            <w:tcW w:w="990" w:type="dxa"/>
            <w:tcBorders>
              <w:left w:val="nil"/>
              <w:right w:val="nil"/>
            </w:tcBorders>
            <w:shd w:val="clear" w:color="auto" w:fill="FFFFFF"/>
            <w:noWrap/>
            <w:vAlign w:val="center"/>
          </w:tcPr>
          <w:p w:rsidR="002C41C1" w:rsidRPr="00661000" w:rsidRDefault="002C41C1" w:rsidP="00661000">
            <w:pPr>
              <w:jc w:val="center"/>
              <w:rPr>
                <w:rFonts w:ascii="Arial" w:hAnsi="Arial" w:cs="Arial"/>
                <w:color w:val="000000"/>
                <w:sz w:val="18"/>
                <w:szCs w:val="18"/>
              </w:rPr>
            </w:pPr>
            <w:r w:rsidRPr="00661000">
              <w:rPr>
                <w:color w:val="000000"/>
                <w:sz w:val="18"/>
                <w:szCs w:val="18"/>
              </w:rPr>
              <w:t>26%</w:t>
            </w:r>
          </w:p>
        </w:tc>
        <w:tc>
          <w:tcPr>
            <w:tcW w:w="990" w:type="dxa"/>
            <w:tcBorders>
              <w:left w:val="nil"/>
              <w:right w:val="nil"/>
            </w:tcBorders>
            <w:shd w:val="clear" w:color="auto" w:fill="FFFFFF"/>
            <w:noWrap/>
            <w:vAlign w:val="center"/>
          </w:tcPr>
          <w:p w:rsidR="002C41C1" w:rsidRPr="00661000" w:rsidRDefault="002C41C1" w:rsidP="00661000">
            <w:pPr>
              <w:jc w:val="center"/>
              <w:rPr>
                <w:rFonts w:ascii="Arial" w:hAnsi="Arial" w:cs="Arial"/>
                <w:color w:val="000000"/>
                <w:sz w:val="18"/>
                <w:szCs w:val="18"/>
              </w:rPr>
            </w:pPr>
            <w:r w:rsidRPr="00661000">
              <w:rPr>
                <w:color w:val="000000"/>
                <w:sz w:val="18"/>
                <w:szCs w:val="18"/>
              </w:rPr>
              <w:t>23%</w:t>
            </w:r>
          </w:p>
        </w:tc>
        <w:tc>
          <w:tcPr>
            <w:tcW w:w="1848" w:type="dxa"/>
            <w:gridSpan w:val="2"/>
            <w:tcBorders>
              <w:left w:val="nil"/>
              <w:right w:val="nil"/>
            </w:tcBorders>
            <w:shd w:val="clear" w:color="auto" w:fill="FFFFFF"/>
            <w:noWrap/>
            <w:vAlign w:val="center"/>
          </w:tcPr>
          <w:p w:rsidR="002C41C1" w:rsidRPr="00661000" w:rsidRDefault="002C41C1" w:rsidP="00661000">
            <w:pPr>
              <w:jc w:val="center"/>
              <w:rPr>
                <w:rFonts w:ascii="Arial" w:hAnsi="Arial" w:cs="Arial"/>
                <w:color w:val="000000"/>
                <w:sz w:val="18"/>
                <w:szCs w:val="18"/>
              </w:rPr>
            </w:pPr>
            <w:r w:rsidRPr="00661000">
              <w:rPr>
                <w:color w:val="000000"/>
                <w:sz w:val="18"/>
                <w:szCs w:val="18"/>
              </w:rPr>
              <w:t>Záruky</w:t>
            </w:r>
          </w:p>
        </w:tc>
      </w:tr>
      <w:tr w:rsidR="002C41C1" w:rsidRPr="00661000" w:rsidTr="00661000">
        <w:trPr>
          <w:trHeight w:val="203"/>
        </w:trPr>
        <w:tc>
          <w:tcPr>
            <w:tcW w:w="0" w:type="auto"/>
            <w:vMerge/>
            <w:tcBorders>
              <w:left w:val="nil"/>
              <w:right w:val="nil"/>
            </w:tcBorders>
            <w:shd w:val="clear" w:color="auto" w:fill="FFFFFF"/>
            <w:vAlign w:val="center"/>
          </w:tcPr>
          <w:p w:rsidR="002C41C1" w:rsidRPr="00661000" w:rsidRDefault="002C41C1" w:rsidP="00661000">
            <w:pPr>
              <w:jc w:val="left"/>
              <w:rPr>
                <w:rFonts w:ascii="Arial" w:hAnsi="Arial" w:cs="Arial"/>
                <w:color w:val="000000"/>
                <w:sz w:val="18"/>
                <w:szCs w:val="18"/>
              </w:rPr>
            </w:pPr>
          </w:p>
        </w:tc>
        <w:tc>
          <w:tcPr>
            <w:tcW w:w="1093" w:type="dxa"/>
            <w:tcBorders>
              <w:left w:val="nil"/>
              <w:right w:val="nil"/>
            </w:tcBorders>
            <w:shd w:val="clear" w:color="auto" w:fill="FFFFFF"/>
            <w:noWrap/>
            <w:vAlign w:val="center"/>
          </w:tcPr>
          <w:p w:rsidR="002C41C1" w:rsidRPr="00661000" w:rsidRDefault="002C41C1" w:rsidP="00661000">
            <w:pPr>
              <w:jc w:val="center"/>
              <w:rPr>
                <w:rFonts w:ascii="Arial" w:hAnsi="Arial" w:cs="Arial"/>
                <w:color w:val="000000"/>
                <w:sz w:val="18"/>
                <w:szCs w:val="18"/>
              </w:rPr>
            </w:pPr>
            <w:r w:rsidRPr="00661000">
              <w:rPr>
                <w:color w:val="000000"/>
                <w:sz w:val="18"/>
                <w:szCs w:val="18"/>
              </w:rPr>
              <w:t>36%</w:t>
            </w:r>
          </w:p>
        </w:tc>
        <w:tc>
          <w:tcPr>
            <w:tcW w:w="990" w:type="dxa"/>
            <w:tcBorders>
              <w:left w:val="nil"/>
              <w:right w:val="nil"/>
            </w:tcBorders>
            <w:shd w:val="clear" w:color="auto" w:fill="FFFFFF"/>
            <w:noWrap/>
            <w:vAlign w:val="center"/>
          </w:tcPr>
          <w:p w:rsidR="002C41C1" w:rsidRPr="00661000" w:rsidRDefault="002C41C1" w:rsidP="00661000">
            <w:pPr>
              <w:jc w:val="center"/>
              <w:rPr>
                <w:rFonts w:ascii="Arial" w:hAnsi="Arial" w:cs="Arial"/>
                <w:color w:val="000000"/>
                <w:sz w:val="18"/>
                <w:szCs w:val="18"/>
              </w:rPr>
            </w:pPr>
            <w:r w:rsidRPr="00661000">
              <w:rPr>
                <w:color w:val="000000"/>
                <w:sz w:val="18"/>
                <w:szCs w:val="18"/>
              </w:rPr>
              <w:t>35%</w:t>
            </w:r>
          </w:p>
        </w:tc>
        <w:tc>
          <w:tcPr>
            <w:tcW w:w="990" w:type="dxa"/>
            <w:tcBorders>
              <w:left w:val="nil"/>
              <w:right w:val="nil"/>
            </w:tcBorders>
            <w:shd w:val="clear" w:color="auto" w:fill="FFFFFF"/>
            <w:noWrap/>
            <w:vAlign w:val="center"/>
          </w:tcPr>
          <w:p w:rsidR="002C41C1" w:rsidRPr="00661000" w:rsidRDefault="002C41C1" w:rsidP="00661000">
            <w:pPr>
              <w:jc w:val="center"/>
              <w:rPr>
                <w:rFonts w:ascii="Arial" w:hAnsi="Arial" w:cs="Arial"/>
                <w:color w:val="000000"/>
                <w:sz w:val="18"/>
                <w:szCs w:val="18"/>
              </w:rPr>
            </w:pPr>
            <w:r w:rsidRPr="00661000">
              <w:rPr>
                <w:color w:val="000000"/>
                <w:sz w:val="18"/>
                <w:szCs w:val="18"/>
              </w:rPr>
              <w:t>17%</w:t>
            </w:r>
          </w:p>
        </w:tc>
        <w:tc>
          <w:tcPr>
            <w:tcW w:w="990" w:type="dxa"/>
            <w:tcBorders>
              <w:left w:val="nil"/>
              <w:right w:val="nil"/>
            </w:tcBorders>
            <w:shd w:val="clear" w:color="auto" w:fill="FFFFFF"/>
            <w:noWrap/>
            <w:vAlign w:val="center"/>
          </w:tcPr>
          <w:p w:rsidR="002C41C1" w:rsidRPr="00661000" w:rsidRDefault="002C41C1" w:rsidP="00661000">
            <w:pPr>
              <w:jc w:val="center"/>
              <w:rPr>
                <w:rFonts w:ascii="Arial" w:hAnsi="Arial" w:cs="Arial"/>
                <w:color w:val="000000"/>
                <w:sz w:val="18"/>
                <w:szCs w:val="18"/>
              </w:rPr>
            </w:pPr>
            <w:r w:rsidRPr="00661000">
              <w:rPr>
                <w:color w:val="000000"/>
                <w:sz w:val="18"/>
                <w:szCs w:val="18"/>
              </w:rPr>
              <w:t>12%</w:t>
            </w:r>
          </w:p>
        </w:tc>
        <w:tc>
          <w:tcPr>
            <w:tcW w:w="1848" w:type="dxa"/>
            <w:gridSpan w:val="2"/>
            <w:tcBorders>
              <w:left w:val="nil"/>
              <w:right w:val="nil"/>
            </w:tcBorders>
            <w:shd w:val="clear" w:color="auto" w:fill="FFFFFF"/>
            <w:noWrap/>
            <w:vAlign w:val="center"/>
          </w:tcPr>
          <w:p w:rsidR="002C41C1" w:rsidRPr="00661000" w:rsidRDefault="002C41C1" w:rsidP="00661000">
            <w:pPr>
              <w:jc w:val="center"/>
              <w:rPr>
                <w:rFonts w:ascii="Arial" w:hAnsi="Arial" w:cs="Arial"/>
                <w:color w:val="000000"/>
                <w:sz w:val="18"/>
                <w:szCs w:val="18"/>
              </w:rPr>
            </w:pPr>
            <w:r w:rsidRPr="00661000">
              <w:rPr>
                <w:color w:val="000000"/>
                <w:sz w:val="18"/>
                <w:szCs w:val="18"/>
              </w:rPr>
              <w:t>Zvýhodněný úvěr</w:t>
            </w:r>
          </w:p>
        </w:tc>
      </w:tr>
    </w:tbl>
    <w:p w:rsidR="002C41C1" w:rsidRDefault="002C41C1" w:rsidP="00DF6E0B">
      <w:pPr>
        <w:pStyle w:val="Titulek"/>
      </w:pPr>
      <w:r>
        <w:t xml:space="preserve">Tabulka </w:t>
      </w:r>
      <w:fldSimple w:instr=" SEQ Tabulka \* ARABIC ">
        <w:r>
          <w:rPr>
            <w:noProof/>
          </w:rPr>
          <w:t>15</w:t>
        </w:r>
      </w:fldSimple>
      <w:r>
        <w:t xml:space="preserve">: Aktivační potenciál finančních nástrojů (Zdroj: </w:t>
      </w:r>
      <w:r w:rsidRPr="00004922">
        <w:t xml:space="preserve">Dotazníkové šetření Ex ante </w:t>
      </w:r>
      <w:r w:rsidR="0084453C">
        <w:t>OP PIK</w:t>
      </w:r>
      <w:r>
        <w:t>)</w:t>
      </w:r>
    </w:p>
    <w:p w:rsidR="002C41C1" w:rsidRDefault="002C41C1" w:rsidP="006F42A5">
      <w:pPr>
        <w:rPr>
          <w:lang w:eastAsia="en-US"/>
        </w:rPr>
      </w:pPr>
    </w:p>
    <w:p w:rsidR="002C41C1" w:rsidRPr="00DF6E0B" w:rsidRDefault="002C41C1" w:rsidP="00DF6E0B">
      <w:pPr>
        <w:pStyle w:val="Nadpis3"/>
        <w:rPr>
          <w:lang w:eastAsia="en-US"/>
        </w:rPr>
      </w:pPr>
      <w:bookmarkStart w:id="76" w:name="_Toc413824151"/>
      <w:bookmarkStart w:id="77" w:name="_Toc413831134"/>
      <w:bookmarkStart w:id="78" w:name="_Toc413831164"/>
      <w:bookmarkStart w:id="79" w:name="_Toc413824152"/>
      <w:bookmarkStart w:id="80" w:name="_Toc413831135"/>
      <w:bookmarkStart w:id="81" w:name="_Toc413831165"/>
      <w:bookmarkStart w:id="82" w:name="_Toc413854344"/>
      <w:bookmarkEnd w:id="76"/>
      <w:bookmarkEnd w:id="77"/>
      <w:bookmarkEnd w:id="78"/>
      <w:bookmarkEnd w:id="79"/>
      <w:bookmarkEnd w:id="80"/>
      <w:bookmarkEnd w:id="81"/>
      <w:r w:rsidRPr="00DF6E0B">
        <w:rPr>
          <w:lang w:eastAsia="en-US"/>
        </w:rPr>
        <w:t>Specifický cíl 3.5</w:t>
      </w:r>
      <w:r>
        <w:rPr>
          <w:lang w:eastAsia="en-US"/>
        </w:rPr>
        <w:t xml:space="preserve"> </w:t>
      </w:r>
      <w:r w:rsidRPr="00DF6E0B">
        <w:t>Zvýšit účinnost soustav zásobování teplem</w:t>
      </w:r>
      <w:bookmarkEnd w:id="82"/>
    </w:p>
    <w:p w:rsidR="002C41C1" w:rsidRDefault="002C41C1" w:rsidP="009F0422">
      <w:pPr>
        <w:pStyle w:val="Neslovannadpisy"/>
        <w:rPr>
          <w:lang w:eastAsia="en-US"/>
        </w:rPr>
      </w:pPr>
      <w:r w:rsidRPr="008A38AA">
        <w:rPr>
          <w:lang w:eastAsia="en-US"/>
        </w:rPr>
        <w:t>Podpor</w:t>
      </w:r>
      <w:r>
        <w:rPr>
          <w:lang w:eastAsia="en-US"/>
        </w:rPr>
        <w:t>ované aktivity:</w:t>
      </w:r>
    </w:p>
    <w:p w:rsidR="002C41C1" w:rsidRDefault="002C41C1" w:rsidP="009F0422">
      <w:pPr>
        <w:pStyle w:val="Odstavecseseznamem"/>
        <w:numPr>
          <w:ilvl w:val="0"/>
          <w:numId w:val="9"/>
        </w:numPr>
        <w:rPr>
          <w:lang w:eastAsia="en-US"/>
        </w:rPr>
      </w:pPr>
      <w:r>
        <w:rPr>
          <w:lang w:eastAsia="en-US"/>
        </w:rPr>
        <w:t>Instalace vysokoúčinných (plynových) kogeneračních jednotek v soustavách</w:t>
      </w:r>
    </w:p>
    <w:p w:rsidR="002C41C1" w:rsidRDefault="002C41C1" w:rsidP="009F0422">
      <w:pPr>
        <w:rPr>
          <w:lang w:eastAsia="en-US"/>
        </w:rPr>
      </w:pPr>
      <w:r>
        <w:rPr>
          <w:lang w:eastAsia="en-US"/>
        </w:rPr>
        <w:t>zásobování teplem, včetně rozvoje a propojování existujících soustav za účelem vyššího využití</w:t>
      </w:r>
    </w:p>
    <w:p w:rsidR="002C41C1" w:rsidRDefault="002C41C1" w:rsidP="009F0422">
      <w:pPr>
        <w:rPr>
          <w:lang w:eastAsia="en-US"/>
        </w:rPr>
      </w:pPr>
      <w:r>
        <w:rPr>
          <w:lang w:eastAsia="en-US"/>
        </w:rPr>
        <w:t>kombinované výroby elektřiny a tepla s cílem dosažení úspor primární energie.</w:t>
      </w:r>
    </w:p>
    <w:p w:rsidR="002C41C1" w:rsidRDefault="002C41C1" w:rsidP="009F0422">
      <w:pPr>
        <w:pStyle w:val="Odstavecseseznamem"/>
        <w:numPr>
          <w:ilvl w:val="0"/>
          <w:numId w:val="9"/>
        </w:numPr>
        <w:rPr>
          <w:lang w:eastAsia="en-US"/>
        </w:rPr>
      </w:pPr>
      <w:r>
        <w:rPr>
          <w:lang w:eastAsia="en-US"/>
        </w:rPr>
        <w:t>Instalace vysokoúčinné (plynové) kogenerační jednotky za účelem lokální spotřeby</w:t>
      </w:r>
    </w:p>
    <w:p w:rsidR="002C41C1" w:rsidRDefault="002C41C1" w:rsidP="009F0422">
      <w:pPr>
        <w:rPr>
          <w:lang w:eastAsia="en-US"/>
        </w:rPr>
      </w:pPr>
      <w:r>
        <w:rPr>
          <w:lang w:eastAsia="en-US"/>
        </w:rPr>
        <w:t>tepelné energie.</w:t>
      </w:r>
    </w:p>
    <w:p w:rsidR="002C41C1" w:rsidRDefault="002C41C1" w:rsidP="009F0422">
      <w:pPr>
        <w:pStyle w:val="Odstavecseseznamem"/>
        <w:numPr>
          <w:ilvl w:val="0"/>
          <w:numId w:val="9"/>
        </w:numPr>
        <w:rPr>
          <w:lang w:eastAsia="en-US"/>
        </w:rPr>
      </w:pPr>
      <w:r>
        <w:rPr>
          <w:lang w:eastAsia="en-US"/>
        </w:rPr>
        <w:t>Rekonstrukce stávajících zařízení s kombinovanou výrobou elektřiny a tepla s cílem</w:t>
      </w:r>
    </w:p>
    <w:p w:rsidR="002C41C1" w:rsidRDefault="002C41C1" w:rsidP="009F0422">
      <w:pPr>
        <w:rPr>
          <w:lang w:eastAsia="en-US"/>
        </w:rPr>
      </w:pPr>
      <w:r>
        <w:rPr>
          <w:lang w:eastAsia="en-US"/>
        </w:rPr>
        <w:t>dosažení úspory primární energie díky zlepšení technických parametrů zařízení.</w:t>
      </w:r>
    </w:p>
    <w:p w:rsidR="002C41C1" w:rsidRDefault="002C41C1" w:rsidP="009F0422">
      <w:pPr>
        <w:pStyle w:val="Odstavecseseznamem"/>
        <w:numPr>
          <w:ilvl w:val="0"/>
          <w:numId w:val="9"/>
        </w:numPr>
        <w:rPr>
          <w:lang w:eastAsia="en-US"/>
        </w:rPr>
      </w:pPr>
      <w:r>
        <w:rPr>
          <w:lang w:eastAsia="en-US"/>
        </w:rPr>
        <w:t>Výstavba a rozvoj stávajících soustav zásobování teplem včetně předávacích stanic s</w:t>
      </w:r>
    </w:p>
    <w:p w:rsidR="002C41C1" w:rsidRDefault="002C41C1" w:rsidP="009F0422">
      <w:pPr>
        <w:rPr>
          <w:lang w:eastAsia="en-US"/>
        </w:rPr>
      </w:pPr>
      <w:r>
        <w:rPr>
          <w:lang w:eastAsia="en-US"/>
        </w:rPr>
        <w:t>cílem maximálního využití tepla z vysokoúčinné kombinované výroby elektřiny a tepla</w:t>
      </w:r>
    </w:p>
    <w:p w:rsidR="002C41C1" w:rsidRDefault="002C41C1" w:rsidP="009F0422">
      <w:pPr>
        <w:rPr>
          <w:lang w:eastAsia="en-US"/>
        </w:rPr>
      </w:pPr>
      <w:r>
        <w:rPr>
          <w:lang w:eastAsia="en-US"/>
        </w:rPr>
        <w:t>případně odpadního tepla z průmyslových procesů a dosažení úspor primární energie.</w:t>
      </w:r>
    </w:p>
    <w:p w:rsidR="002C41C1" w:rsidRDefault="002C41C1" w:rsidP="009F0422">
      <w:pPr>
        <w:rPr>
          <w:lang w:eastAsia="en-US"/>
        </w:rPr>
      </w:pPr>
    </w:p>
    <w:p w:rsidR="002C41C1" w:rsidRDefault="002C41C1">
      <w:pPr>
        <w:pStyle w:val="Neslovannadpisy"/>
        <w:rPr>
          <w:lang w:eastAsia="en-US"/>
        </w:rPr>
      </w:pPr>
      <w:r>
        <w:rPr>
          <w:lang w:eastAsia="en-US"/>
        </w:rPr>
        <w:t xml:space="preserve">Hlavní cílová skupina: </w:t>
      </w:r>
    </w:p>
    <w:p w:rsidR="002C41C1" w:rsidRDefault="002C41C1" w:rsidP="00831C64">
      <w:pPr>
        <w:rPr>
          <w:lang w:eastAsia="en-US"/>
        </w:rPr>
      </w:pPr>
      <w:r>
        <w:rPr>
          <w:lang w:eastAsia="en-US"/>
        </w:rPr>
        <w:t>Podnikatelské subjekty (velké podniky, ale i střední a případně malépodniky) které se soustředí na výrobu a dodávku tepla do systému zásobování teplem zkombinované výroby elektřiny a tepla.</w:t>
      </w:r>
    </w:p>
    <w:p w:rsidR="002C41C1" w:rsidRDefault="002C41C1" w:rsidP="009F0422">
      <w:pPr>
        <w:rPr>
          <w:lang w:eastAsia="en-US"/>
        </w:rPr>
      </w:pPr>
    </w:p>
    <w:p w:rsidR="002C41C1" w:rsidRDefault="002C41C1">
      <w:pPr>
        <w:pStyle w:val="Neslovannadpisy"/>
        <w:rPr>
          <w:lang w:eastAsia="en-US"/>
        </w:rPr>
      </w:pPr>
      <w:r>
        <w:rPr>
          <w:lang w:eastAsia="en-US"/>
        </w:rPr>
        <w:t>Cílové území:</w:t>
      </w:r>
    </w:p>
    <w:p w:rsidR="002C41C1" w:rsidRPr="00DF6E0B" w:rsidRDefault="002C41C1" w:rsidP="009F0422">
      <w:pPr>
        <w:rPr>
          <w:lang w:eastAsia="en-US"/>
        </w:rPr>
      </w:pPr>
      <w:r w:rsidRPr="00DF6E0B">
        <w:rPr>
          <w:lang w:eastAsia="en-US"/>
        </w:rPr>
        <w:t>Území České republiky, mimo území hl. m. Prahy.</w:t>
      </w:r>
    </w:p>
    <w:p w:rsidR="002C41C1" w:rsidRDefault="002C41C1" w:rsidP="009F0422">
      <w:pPr>
        <w:rPr>
          <w:color w:val="FF0000"/>
          <w:lang w:eastAsia="en-US"/>
        </w:rPr>
      </w:pPr>
    </w:p>
    <w:p w:rsidR="002C41C1" w:rsidRDefault="002C41C1">
      <w:pPr>
        <w:pStyle w:val="Vtneslovannadpis"/>
        <w:rPr>
          <w:lang w:eastAsia="en-US"/>
        </w:rPr>
      </w:pPr>
      <w:r>
        <w:rPr>
          <w:lang w:eastAsia="en-US"/>
        </w:rPr>
        <w:t>Tržní analýza</w:t>
      </w:r>
    </w:p>
    <w:p w:rsidR="002C41C1" w:rsidRPr="00DF6E0B" w:rsidRDefault="002C41C1" w:rsidP="009F0422">
      <w:pPr>
        <w:rPr>
          <w:lang w:eastAsia="en-US"/>
        </w:rPr>
      </w:pPr>
      <w:r w:rsidRPr="00DF6E0B">
        <w:rPr>
          <w:lang w:eastAsia="en-US"/>
        </w:rPr>
        <w:lastRenderedPageBreak/>
        <w:t>Oblast SC 3.5 je zaměřena na podporu podnikatelských aktivit v</w:t>
      </w:r>
      <w:r w:rsidRPr="00D144BB">
        <w:rPr>
          <w:lang w:eastAsia="en-US"/>
        </w:rPr>
        <w:t> </w:t>
      </w:r>
      <w:r w:rsidRPr="00DF6E0B">
        <w:rPr>
          <w:lang w:eastAsia="en-US"/>
        </w:rPr>
        <w:t>oblasti KVET, zahrnující kombinovanou výrobu elektřiny a tepla a rekonstrukci a budování tepelných rozvodu. Na rozdíl od kogenerace v</w:t>
      </w:r>
      <w:r w:rsidRPr="00D144BB">
        <w:rPr>
          <w:lang w:eastAsia="en-US"/>
        </w:rPr>
        <w:t> </w:t>
      </w:r>
      <w:r w:rsidRPr="00DF6E0B">
        <w:rPr>
          <w:lang w:eastAsia="en-US"/>
        </w:rPr>
        <w:t xml:space="preserve">3.2 (kogenerace pro vlastní spotřebu), je 3.5 určena pro </w:t>
      </w:r>
      <w:r w:rsidRPr="00DF6E0B">
        <w:rPr>
          <w:b/>
          <w:lang w:eastAsia="en-US"/>
        </w:rPr>
        <w:t>kogeneraci tepla, jejímž účelem je též prodej třetím subjektům</w:t>
      </w:r>
      <w:r w:rsidRPr="00DF6E0B">
        <w:rPr>
          <w:lang w:eastAsia="en-US"/>
        </w:rPr>
        <w:t>. Aktivita neobsahuje též kogeneraci v</w:t>
      </w:r>
      <w:r w:rsidRPr="00D144BB">
        <w:rPr>
          <w:lang w:eastAsia="en-US"/>
        </w:rPr>
        <w:t> </w:t>
      </w:r>
      <w:r w:rsidRPr="00DF6E0B">
        <w:rPr>
          <w:lang w:eastAsia="en-US"/>
        </w:rPr>
        <w:t>bio-plynových stanicích zahrnutou v</w:t>
      </w:r>
      <w:r w:rsidRPr="00D144BB">
        <w:rPr>
          <w:lang w:eastAsia="en-US"/>
        </w:rPr>
        <w:t> </w:t>
      </w:r>
      <w:r w:rsidRPr="00DF6E0B">
        <w:rPr>
          <w:lang w:eastAsia="en-US"/>
        </w:rPr>
        <w:t>SC 3.1</w:t>
      </w:r>
      <w:r>
        <w:rPr>
          <w:lang w:eastAsia="en-US"/>
        </w:rPr>
        <w:t xml:space="preserve"> a na rozdíl od OP ŽP podporuje OPPI pouze podnikatelské subjekty, včetně firem ve 100% veřejném vlastnictví</w:t>
      </w:r>
      <w:r w:rsidRPr="00DF6E0B">
        <w:rPr>
          <w:lang w:eastAsia="en-US"/>
        </w:rPr>
        <w:t>.</w:t>
      </w:r>
    </w:p>
    <w:p w:rsidR="002C41C1" w:rsidRDefault="002C41C1" w:rsidP="009F0422">
      <w:pPr>
        <w:rPr>
          <w:lang w:eastAsia="en-US"/>
        </w:rPr>
      </w:pPr>
    </w:p>
    <w:p w:rsidR="002C41C1" w:rsidRDefault="002C41C1" w:rsidP="00FE5BCE">
      <w:pPr>
        <w:rPr>
          <w:lang w:eastAsia="en-US"/>
        </w:rPr>
      </w:pPr>
      <w:r>
        <w:rPr>
          <w:lang w:eastAsia="en-US"/>
        </w:rPr>
        <w:t>Cílem poskytování podpory je snížit energetickou náročnost na jednotku produkce při zachování dlouhodobé stability a dostupnosti energie pro podnikatelskou sféru, zmenšit závislost tuzemské ekonomiky na dovozu energetických komodit, snížit spotřebu fosilních primárních energetických zdrojů a podporovat MSP a také velké podniky v oblasti využití obnovitelných zdrojů energie. Záměrem je využít i významný potenciál energetických úspor a využití obnovitelných zdrojů energie.</w:t>
      </w:r>
    </w:p>
    <w:p w:rsidR="002C41C1" w:rsidRDefault="002C41C1" w:rsidP="00D2362B">
      <w:pPr>
        <w:jc w:val="left"/>
        <w:rPr>
          <w:lang w:eastAsia="en-US"/>
        </w:rPr>
      </w:pPr>
    </w:p>
    <w:p w:rsidR="002C41C1" w:rsidRDefault="002C41C1" w:rsidP="00DF6E0B">
      <w:pPr>
        <w:rPr>
          <w:lang w:eastAsia="en-US"/>
        </w:rPr>
      </w:pPr>
      <w:r>
        <w:rPr>
          <w:lang w:eastAsia="en-US"/>
        </w:rPr>
        <w:t>Kombinovaná výroba elektřiny a tepla (KVET nebo kogenerace) je nejúčinnější cestou přeměny energie paliva na využitelnou energii, díky které se šetří palivo i životní prostředí pomocí recyklace tepla z výroby elektřiny. Pokrývá téměř 2/3 dodávek tepla pro soustavy zásobování teplem v ČR a při její výrobě lze využít téměř všechna dostupná paliva. Zatímco při výrobě elektřiny v kondenzační elektrárně je větší část energie paliva (až 2/3)</w:t>
      </w:r>
      <w:r>
        <w:rPr>
          <w:rStyle w:val="Znakapoznpodarou"/>
        </w:rPr>
        <w:footnoteReference w:id="22"/>
      </w:r>
      <w:r>
        <w:rPr>
          <w:lang w:eastAsia="en-US"/>
        </w:rPr>
        <w:t xml:space="preserve"> z fyzikální podstaty odvedena ve formě nízkopotenciálního tepla (pára) z chladicích věží do okolí, v případě kombinované výroby v teplárně je toto teplo recyklováno a dále využito v soustavách zásobování teplem pro vytápění budov a přípravu teplé vody nebo v technologických procesech průmyslových podniků. Tím se ušetří až 1/3 primárního paliva. Proto je tento nejefektivnější a nejekologičtější způsob výroby elektřiny a tepla v EU podporován – a v současnosti v ČR stále čerpá provozní podporu na prodej elektřiny.</w:t>
      </w:r>
    </w:p>
    <w:p w:rsidR="002C41C1" w:rsidRDefault="002C41C1" w:rsidP="00D2362B">
      <w:pPr>
        <w:jc w:val="left"/>
        <w:rPr>
          <w:lang w:eastAsia="en-US"/>
        </w:rPr>
      </w:pPr>
    </w:p>
    <w:p w:rsidR="002C41C1" w:rsidRDefault="002C41C1" w:rsidP="009F71DE">
      <w:pPr>
        <w:rPr>
          <w:lang w:eastAsia="en-US"/>
        </w:rPr>
      </w:pPr>
      <w:r>
        <w:rPr>
          <w:lang w:eastAsia="en-US"/>
        </w:rPr>
        <w:t xml:space="preserve">Přibližně 70 % podíl paliv na KVET jsou tuhá paliva (hnědé a černé uhlí). </w:t>
      </w:r>
      <w:r w:rsidRPr="005F1974">
        <w:rPr>
          <w:b/>
          <w:lang w:eastAsia="en-US"/>
        </w:rPr>
        <w:t>Závodní výrobci měli v roce 2010 podíl na výrobě elektřiny a tepla z kogenerace kolem 35 %, zbytek připadal na veřejné subjekty produkující elektřinu a teplo</w:t>
      </w:r>
      <w:r>
        <w:rPr>
          <w:rStyle w:val="Znakapoznpodarou"/>
        </w:rPr>
        <w:footnoteReference w:id="23"/>
      </w:r>
      <w:r>
        <w:rPr>
          <w:lang w:eastAsia="en-US"/>
        </w:rPr>
        <w:t>.  Státní energetický plán ČR do roku 2030</w:t>
      </w:r>
      <w:r>
        <w:rPr>
          <w:rStyle w:val="Znakapoznpodarou"/>
        </w:rPr>
        <w:footnoteReference w:id="24"/>
      </w:r>
      <w:r>
        <w:rPr>
          <w:lang w:eastAsia="en-US"/>
        </w:rPr>
        <w:t xml:space="preserve"> má za úkol snižovat skleníková plyny a zvyšovat energetickou účinnost. V roce 2012 bylo 13 % z celkové hrubé výroby elektřiny z kogenerace. Cíl do roku 2030 je zvýšit tento podíl o 30 % a pokrýt více než 25 % koncové spotřeby elektřiny a stát se vedle jaderné energie a ostatních obnovitelných zdrojů důležitým pilířem dodávek elektrické energie v České republice.</w:t>
      </w:r>
    </w:p>
    <w:p w:rsidR="002C41C1" w:rsidRDefault="002C41C1" w:rsidP="009F71DE">
      <w:pPr>
        <w:rPr>
          <w:lang w:eastAsia="en-US"/>
        </w:rPr>
      </w:pPr>
    </w:p>
    <w:p w:rsidR="002C41C1" w:rsidRDefault="002C41C1">
      <w:pPr>
        <w:rPr>
          <w:lang w:eastAsia="en-US"/>
        </w:rPr>
      </w:pPr>
      <w:r w:rsidRPr="00DF6E0B">
        <w:rPr>
          <w:b/>
          <w:lang w:eastAsia="en-US"/>
        </w:rPr>
        <w:t>V</w:t>
      </w:r>
      <w:r w:rsidRPr="00D144BB">
        <w:rPr>
          <w:b/>
          <w:lang w:eastAsia="en-US"/>
        </w:rPr>
        <w:t> </w:t>
      </w:r>
      <w:r w:rsidRPr="00DF6E0B">
        <w:rPr>
          <w:b/>
          <w:lang w:eastAsia="en-US"/>
        </w:rPr>
        <w:t>ČR existuje stále velký potenciál pro zvýšení a zefektivnění výroby tepla formou KVET. Výroba elektřiny v ČR je spojena s vysokými ztrátami kolem 500 PJ energie ročně.</w:t>
      </w:r>
      <w:r>
        <w:rPr>
          <w:lang w:eastAsia="en-US"/>
        </w:rPr>
        <w:t xml:space="preserve"> Rozvodná tepelná zařízení, která umožňují existenci a rozvoj kombinované výroby elektřiny a tepla již v některých případech nevyhovují současným technickým požadavkům a docházím ke zvýšeným ztrátám energie. V některých případech bude nutno počítat s řízeným přechodem některých velkých soustav na větší množství menších systémů využívajících menší kogenerační jednotky.</w:t>
      </w:r>
    </w:p>
    <w:p w:rsidR="002C41C1" w:rsidRDefault="002C41C1" w:rsidP="00DF6E0B">
      <w:pPr>
        <w:rPr>
          <w:lang w:eastAsia="en-US"/>
        </w:rPr>
      </w:pPr>
    </w:p>
    <w:p w:rsidR="002C41C1" w:rsidRDefault="002C41C1" w:rsidP="00DF6E0B">
      <w:pPr>
        <w:rPr>
          <w:lang w:eastAsia="en-US"/>
        </w:rPr>
      </w:pPr>
      <w:r>
        <w:rPr>
          <w:lang w:eastAsia="en-US"/>
        </w:rPr>
        <w:t>Zásadním problémem pro české centrální soustavy zásobování teplem, jichž se podpora SC 3.5 týká, je zastarávání.</w:t>
      </w:r>
      <w:r w:rsidR="005057AD">
        <w:rPr>
          <w:lang w:eastAsia="en-US"/>
        </w:rPr>
        <w:t xml:space="preserve"> </w:t>
      </w:r>
      <w:r w:rsidRPr="00DF6E0B">
        <w:rPr>
          <w:b/>
          <w:lang w:eastAsia="en-US"/>
        </w:rPr>
        <w:t xml:space="preserve">Velká část </w:t>
      </w:r>
      <w:r>
        <w:rPr>
          <w:b/>
          <w:lang w:eastAsia="en-US"/>
        </w:rPr>
        <w:t xml:space="preserve">potrubí </w:t>
      </w:r>
      <w:r w:rsidRPr="00DF6E0B">
        <w:rPr>
          <w:b/>
          <w:lang w:eastAsia="en-US"/>
        </w:rPr>
        <w:t>byla budovaná v</w:t>
      </w:r>
      <w:r w:rsidRPr="00D144BB">
        <w:rPr>
          <w:b/>
          <w:lang w:eastAsia="en-US"/>
        </w:rPr>
        <w:t> </w:t>
      </w:r>
      <w:r w:rsidRPr="00DF6E0B">
        <w:rPr>
          <w:b/>
          <w:lang w:eastAsia="en-US"/>
        </w:rPr>
        <w:t>70. a 80. letech a čelí konci své životnosti a souvisejícím tepelným ztrátám.</w:t>
      </w:r>
      <w:r w:rsidR="005057AD">
        <w:rPr>
          <w:b/>
          <w:lang w:eastAsia="en-US"/>
        </w:rPr>
        <w:t xml:space="preserve"> </w:t>
      </w:r>
      <w:r w:rsidRPr="00AD3B4B">
        <w:rPr>
          <w:lang w:eastAsia="en-US"/>
        </w:rPr>
        <w:t xml:space="preserve">Životnost potrubí je 30 – 40 let po rekonstrukci, během které se mění z parovodů na efektivnější horkovodní či teplovodní. </w:t>
      </w:r>
    </w:p>
    <w:p w:rsidR="002C41C1" w:rsidRDefault="002C41C1" w:rsidP="00087DE7">
      <w:pPr>
        <w:jc w:val="left"/>
        <w:rPr>
          <w:lang w:eastAsia="en-US"/>
        </w:rPr>
      </w:pPr>
    </w:p>
    <w:p w:rsidR="002C41C1" w:rsidRDefault="002C41C1" w:rsidP="009638E3">
      <w:r w:rsidRPr="00064FB2">
        <w:rPr>
          <w:b/>
          <w:lang w:eastAsia="en-US"/>
        </w:rPr>
        <w:t>V roce 2014 se vyměnilo cca 19 km potrubí za více než půl miliardy Kč</w:t>
      </w:r>
      <w:r>
        <w:rPr>
          <w:rStyle w:val="Znakapoznpodarou"/>
          <w:b/>
          <w:szCs w:val="48"/>
        </w:rPr>
        <w:footnoteReference w:id="25"/>
      </w:r>
      <w:r w:rsidRPr="00AD3B4B">
        <w:rPr>
          <w:lang w:eastAsia="en-US"/>
        </w:rPr>
        <w:t xml:space="preserve">.  V </w:t>
      </w:r>
      <w:r w:rsidRPr="00064FB2">
        <w:rPr>
          <w:b/>
          <w:lang w:eastAsia="en-US"/>
        </w:rPr>
        <w:t>ČR stále zůstává asi 1500 km parovodů</w:t>
      </w:r>
      <w:r w:rsidRPr="00AD3B4B">
        <w:rPr>
          <w:lang w:eastAsia="en-US"/>
        </w:rPr>
        <w:t>, j</w:t>
      </w:r>
      <w:r w:rsidRPr="00DF6E0B">
        <w:rPr>
          <w:b/>
          <w:lang w:eastAsia="en-US"/>
        </w:rPr>
        <w:t>ejichž rekonstrukce je nezbytná</w:t>
      </w:r>
      <w:r w:rsidRPr="00AD3B4B">
        <w:rPr>
          <w:lang w:eastAsia="en-US"/>
        </w:rPr>
        <w:t xml:space="preserve"> z důvodů vysokých úniků tepla. Pouze dvě třetiny z nich lze rekonstrukc</w:t>
      </w:r>
      <w:r>
        <w:rPr>
          <w:lang w:eastAsia="en-US"/>
        </w:rPr>
        <w:t>í</w:t>
      </w:r>
      <w:r w:rsidRPr="00AD3B4B">
        <w:rPr>
          <w:lang w:eastAsia="en-US"/>
        </w:rPr>
        <w:t xml:space="preserve"> předělat na vodní potrubí, což </w:t>
      </w:r>
      <w:r w:rsidRPr="00064FB2">
        <w:rPr>
          <w:b/>
          <w:lang w:eastAsia="en-US"/>
        </w:rPr>
        <w:t>vyžaduje</w:t>
      </w:r>
      <w:r>
        <w:rPr>
          <w:b/>
          <w:lang w:eastAsia="en-US"/>
        </w:rPr>
        <w:t xml:space="preserve"> podle odhadů Teplárenského sdružení</w:t>
      </w:r>
      <w:r w:rsidR="005057AD">
        <w:rPr>
          <w:b/>
          <w:lang w:eastAsia="en-US"/>
        </w:rPr>
        <w:t xml:space="preserve"> </w:t>
      </w:r>
      <w:r>
        <w:rPr>
          <w:b/>
          <w:lang w:eastAsia="en-US"/>
        </w:rPr>
        <w:lastRenderedPageBreak/>
        <w:t xml:space="preserve">ČR </w:t>
      </w:r>
      <w:r w:rsidRPr="00064FB2">
        <w:rPr>
          <w:b/>
          <w:lang w:eastAsia="en-US"/>
        </w:rPr>
        <w:t>náklady ve výši 27 mld. Kč</w:t>
      </w:r>
      <w:r>
        <w:rPr>
          <w:rStyle w:val="Znakapoznpodarou"/>
          <w:b/>
          <w:szCs w:val="48"/>
        </w:rPr>
        <w:footnoteReference w:id="26"/>
      </w:r>
      <w:r w:rsidRPr="00AD3B4B">
        <w:rPr>
          <w:lang w:eastAsia="en-US"/>
        </w:rPr>
        <w:t>.</w:t>
      </w:r>
      <w:r>
        <w:rPr>
          <w:lang w:eastAsia="en-US"/>
        </w:rPr>
        <w:t xml:space="preserve"> Zvýšené nároky na výstavbu a rekonstrukci parovodů přinesou jistě i investice do kogeneračních jednotek.</w:t>
      </w:r>
      <w:r w:rsidR="005057AD">
        <w:rPr>
          <w:lang w:eastAsia="en-US"/>
        </w:rPr>
        <w:t xml:space="preserve"> </w:t>
      </w:r>
      <w:r>
        <w:t>Při modernizaci všech parních rozvodů určených k rekonstrukci by dle Teplárenského sdružení ČR došlo k úspoře primární energie ve výši7,33 PJ/rok. Průměrná životnost opatření je 30 let, tzn. za dobu živostnosti se jedná o úsporu</w:t>
      </w:r>
      <w:r w:rsidR="00E8581D">
        <w:t xml:space="preserve"> </w:t>
      </w:r>
      <w:r>
        <w:t>219 PJ primární energie.</w:t>
      </w:r>
    </w:p>
    <w:p w:rsidR="002C41C1" w:rsidRDefault="002C41C1" w:rsidP="00BA5DF2"/>
    <w:p w:rsidR="002C41C1" w:rsidRDefault="002C41C1" w:rsidP="00BA5DF2">
      <w:pPr>
        <w:jc w:val="left"/>
      </w:pPr>
      <w:r w:rsidRPr="00DF6E0B">
        <w:rPr>
          <w:b/>
        </w:rPr>
        <w:t xml:space="preserve">Doba návratnosti pro projekty SC 3.5 činí dle </w:t>
      </w:r>
      <w:r>
        <w:rPr>
          <w:b/>
        </w:rPr>
        <w:t>Deloitte Advisory</w:t>
      </w:r>
      <w:r w:rsidRPr="00DF6E0B">
        <w:rPr>
          <w:b/>
        </w:rPr>
        <w:t xml:space="preserve"> v průměru kolem 7, 5 roku</w:t>
      </w:r>
      <w:r>
        <w:t xml:space="preserve">. Tato informace je relativně zkreslující, protože </w:t>
      </w:r>
      <w:r w:rsidRPr="00DF6E0B">
        <w:t>v minulém období se více investovalo do instalace nebo rekonstrukce technologie</w:t>
      </w:r>
      <w:r>
        <w:t xml:space="preserve"> KVET</w:t>
      </w:r>
      <w:r w:rsidR="005057AD">
        <w:t xml:space="preserve"> </w:t>
      </w:r>
      <w:r>
        <w:t>než</w:t>
      </w:r>
      <w:r w:rsidRPr="00DF6E0B">
        <w:t xml:space="preserve"> do rozvodů a právě proto tvoří nejméně 70 %</w:t>
      </w:r>
      <w:r>
        <w:t xml:space="preserve"> dnešní</w:t>
      </w:r>
      <w:r w:rsidRPr="00DF6E0B">
        <w:t xml:space="preserve"> investiční potřeby rekonstrukce potrubí.</w:t>
      </w:r>
    </w:p>
    <w:p w:rsidR="002C41C1" w:rsidRDefault="002C41C1" w:rsidP="00BA5DF2">
      <w:pPr>
        <w:jc w:val="left"/>
      </w:pPr>
    </w:p>
    <w:p w:rsidR="002C41C1" w:rsidRDefault="002C41C1" w:rsidP="00FE5BCE">
      <w:pPr>
        <w:rPr>
          <w:lang w:eastAsia="en-US"/>
        </w:rPr>
      </w:pPr>
      <w:r>
        <w:rPr>
          <w:lang w:eastAsia="en-US"/>
        </w:rPr>
        <w:t xml:space="preserve">Oblast 3.5 vykazuje z hlediska ziskovosti a stabilního odvětví dobré parametry pro úvěrování bankami, komplikací však může být otázka ručení, vzhledem k nemožnosti poskytovat teplovody jako kolaterál. Podniky v této oblasti jsou jednak </w:t>
      </w:r>
      <w:r w:rsidRPr="00DF6E0B">
        <w:rPr>
          <w:b/>
          <w:lang w:eastAsia="en-US"/>
        </w:rPr>
        <w:t>velké společnosti zaměřené na KVET</w:t>
      </w:r>
      <w:r>
        <w:rPr>
          <w:lang w:eastAsia="en-US"/>
        </w:rPr>
        <w:t xml:space="preserve">, zároveň ale i </w:t>
      </w:r>
      <w:r w:rsidRPr="00DF6E0B">
        <w:rPr>
          <w:b/>
          <w:lang w:eastAsia="en-US"/>
        </w:rPr>
        <w:t>množství menších lokálních producentů, často v</w:t>
      </w:r>
      <w:r w:rsidRPr="00D144BB">
        <w:rPr>
          <w:b/>
          <w:lang w:eastAsia="en-US"/>
        </w:rPr>
        <w:t> </w:t>
      </w:r>
      <w:r w:rsidRPr="00DF6E0B">
        <w:rPr>
          <w:b/>
          <w:lang w:eastAsia="en-US"/>
        </w:rPr>
        <w:t xml:space="preserve">podobě společností </w:t>
      </w:r>
      <w:r>
        <w:rPr>
          <w:b/>
          <w:lang w:eastAsia="en-US"/>
        </w:rPr>
        <w:t>ve vlastnictví obce</w:t>
      </w:r>
      <w:r>
        <w:rPr>
          <w:lang w:eastAsia="en-US"/>
        </w:rPr>
        <w:t>, které nemají dostatek prostředků na modernizaci.</w:t>
      </w:r>
    </w:p>
    <w:p w:rsidR="002C41C1" w:rsidRDefault="002C41C1" w:rsidP="00F20A2F">
      <w:pPr>
        <w:pStyle w:val="Vtneslovannadpis"/>
        <w:rPr>
          <w:lang w:eastAsia="en-US"/>
        </w:rPr>
      </w:pPr>
    </w:p>
    <w:p w:rsidR="002C41C1" w:rsidRDefault="002C41C1" w:rsidP="00F20A2F">
      <w:pPr>
        <w:pStyle w:val="Vtneslovannadpis"/>
        <w:rPr>
          <w:lang w:eastAsia="en-US"/>
        </w:rPr>
      </w:pPr>
      <w:r>
        <w:rPr>
          <w:lang w:eastAsia="en-US"/>
        </w:rPr>
        <w:t>Dosavadní podpora a analýza veřejných zdrojů financování</w:t>
      </w:r>
    </w:p>
    <w:p w:rsidR="002C41C1" w:rsidRDefault="002C41C1" w:rsidP="00FE5BCE">
      <w:pPr>
        <w:pStyle w:val="Neslovannadpisy"/>
        <w:rPr>
          <w:lang w:eastAsia="en-US"/>
        </w:rPr>
      </w:pPr>
      <w:r>
        <w:rPr>
          <w:lang w:eastAsia="en-US"/>
        </w:rPr>
        <w:t>Veřejné zahraniční financování</w:t>
      </w:r>
    </w:p>
    <w:p w:rsidR="002C41C1" w:rsidRDefault="002C41C1" w:rsidP="00CF29B1">
      <w:r>
        <w:rPr>
          <w:b/>
          <w:lang w:eastAsia="en-US"/>
        </w:rPr>
        <w:t>OPPI (2007-2013)</w:t>
      </w:r>
      <w:r w:rsidRPr="00D144BB">
        <w:rPr>
          <w:b/>
          <w:lang w:eastAsia="en-US"/>
        </w:rPr>
        <w:t>–</w:t>
      </w:r>
      <w:r w:rsidRPr="00DF6E0B">
        <w:rPr>
          <w:b/>
          <w:lang w:eastAsia="en-US"/>
        </w:rPr>
        <w:t xml:space="preserve"> </w:t>
      </w:r>
      <w:r w:rsidRPr="00545716">
        <w:rPr>
          <w:b/>
          <w:lang w:eastAsia="en-US"/>
        </w:rPr>
        <w:t>Program Eko-energie</w:t>
      </w:r>
      <w:r>
        <w:rPr>
          <w:b/>
          <w:lang w:eastAsia="en-US"/>
        </w:rPr>
        <w:t>:</w:t>
      </w:r>
      <w:r w:rsidR="005057AD">
        <w:rPr>
          <w:b/>
          <w:lang w:eastAsia="en-US"/>
        </w:rPr>
        <w:t xml:space="preserve"> </w:t>
      </w:r>
      <w:r>
        <w:rPr>
          <w:lang w:eastAsia="en-US"/>
        </w:rPr>
        <w:t>V oblasti podpory 3.1 Úspory energie a obnovitelné zdroje energie bylo v rámci programového období 2007 – 2013 alokovaných 9 970 mil. Kč (12,4 % podíl na celkové alokaci). K 30. 6. 2014 bylo přijato 2 177 žádostí o dotace na investiční projekty do energetické efektivnosti. Celková požadovaná suma zdrojů činila 20 406 mil. Kč, což znamená, že poptávka převýšila nabídku zdrojů o téměř 105 %. Projekty s vydaným rozhodnutím nebo podepsanou smlouvou, čili schválené žádosti, dosáhly počtu 1 223 projektů při celkové sumě 9 511 mil. Kč na pokrytí způsobilých nákladů. Vytěžení prioritní osy v programu OPPI po 2. kvartálu v roce 2014 dosahovalo skoro 96 % úrovně.</w:t>
      </w:r>
      <w:r w:rsidR="005057AD">
        <w:rPr>
          <w:lang w:eastAsia="en-US"/>
        </w:rPr>
        <w:t xml:space="preserve"> </w:t>
      </w:r>
      <w:r>
        <w:t xml:space="preserve">Zamítnutých nebo neschválených žádostí bylo k 30. 6. 2014 celkově 954 (téměř 44%) a jejích potřeba finančních prostředků nebyla naplněná ve výši 10 436 mil. Kč (51,1%). Je nutné dodat, že program Eko-energie agregovala veškeré aktivity PO 3 </w:t>
      </w:r>
      <w:r w:rsidR="0084453C">
        <w:t>OP PIK</w:t>
      </w:r>
      <w:r>
        <w:t xml:space="preserve"> do jednoho cíle a aktivity příslušející k SC 3.5 tedy tvoří pouze menší část.</w:t>
      </w:r>
    </w:p>
    <w:p w:rsidR="002C41C1" w:rsidRDefault="002C41C1" w:rsidP="00CF29B1"/>
    <w:p w:rsidR="002C41C1" w:rsidRDefault="002C41C1" w:rsidP="00CF29B1">
      <w:r>
        <w:t xml:space="preserve">Dle materiálu „Příprava podkladů pro akční plán energetické efektivnosti“ </w:t>
      </w:r>
      <w:r w:rsidRPr="00DF6E0B">
        <w:rPr>
          <w:b/>
        </w:rPr>
        <w:t>požádalo o financování úsporných opatření snižování ztrát v rozvodech elektřiny a tepla až 31 subjektů v 3. výzvách v celkové výši 1,41 mld. Kč</w:t>
      </w:r>
      <w:r w:rsidRPr="00DF6E0B">
        <w:t xml:space="preserve"> (viz tabulka č. 16).</w:t>
      </w:r>
    </w:p>
    <w:p w:rsidR="002C41C1" w:rsidRDefault="002C41C1" w:rsidP="00CF29B1"/>
    <w:tbl>
      <w:tblPr>
        <w:tblW w:w="7580" w:type="dxa"/>
        <w:tblBorders>
          <w:bottom w:val="single" w:sz="4" w:space="0" w:color="00A1DE"/>
          <w:insideH w:val="single" w:sz="4" w:space="0" w:color="00A1DE"/>
        </w:tblBorders>
        <w:tblCellMar>
          <w:top w:w="28" w:type="dxa"/>
          <w:left w:w="28" w:type="dxa"/>
          <w:bottom w:w="28" w:type="dxa"/>
          <w:right w:w="28" w:type="dxa"/>
        </w:tblCellMar>
        <w:tblLook w:val="00A0" w:firstRow="1" w:lastRow="0" w:firstColumn="1" w:lastColumn="0" w:noHBand="0" w:noVBand="0"/>
      </w:tblPr>
      <w:tblGrid>
        <w:gridCol w:w="2763"/>
        <w:gridCol w:w="2370"/>
        <w:gridCol w:w="2447"/>
      </w:tblGrid>
      <w:tr w:rsidR="002C41C1" w:rsidRPr="00661000" w:rsidTr="007B669C">
        <w:trPr>
          <w:trHeight w:val="20"/>
        </w:trPr>
        <w:tc>
          <w:tcPr>
            <w:tcW w:w="2763" w:type="dxa"/>
            <w:tcBorders>
              <w:top w:val="nil"/>
              <w:left w:val="nil"/>
              <w:right w:val="nil"/>
            </w:tcBorders>
            <w:shd w:val="clear" w:color="auto" w:fill="00A1DE"/>
            <w:vAlign w:val="center"/>
          </w:tcPr>
          <w:p w:rsidR="002C41C1" w:rsidRPr="00661000" w:rsidRDefault="002C41C1" w:rsidP="007B669C">
            <w:pPr>
              <w:jc w:val="center"/>
              <w:rPr>
                <w:rFonts w:ascii="Arial" w:hAnsi="Arial" w:cs="Arial"/>
                <w:b/>
                <w:color w:val="000000"/>
                <w:sz w:val="18"/>
                <w:szCs w:val="18"/>
              </w:rPr>
            </w:pPr>
            <w:r w:rsidRPr="00661000">
              <w:rPr>
                <w:b/>
                <w:color w:val="000000"/>
                <w:sz w:val="18"/>
                <w:szCs w:val="18"/>
              </w:rPr>
              <w:t>Modernizace, rekonstrukce a</w:t>
            </w:r>
            <w:r w:rsidRPr="00661000">
              <w:rPr>
                <w:b/>
                <w:color w:val="000000"/>
                <w:sz w:val="18"/>
                <w:szCs w:val="18"/>
              </w:rPr>
              <w:br/>
              <w:t>snižování ztrát v rozvodech</w:t>
            </w:r>
            <w:r w:rsidRPr="00661000">
              <w:rPr>
                <w:b/>
                <w:color w:val="000000"/>
                <w:sz w:val="18"/>
                <w:szCs w:val="18"/>
              </w:rPr>
              <w:br/>
              <w:t>elektřiny a tepla</w:t>
            </w:r>
          </w:p>
        </w:tc>
        <w:tc>
          <w:tcPr>
            <w:tcW w:w="2370" w:type="dxa"/>
            <w:tcBorders>
              <w:top w:val="nil"/>
              <w:left w:val="nil"/>
              <w:right w:val="nil"/>
            </w:tcBorders>
            <w:shd w:val="clear" w:color="auto" w:fill="00A1DE"/>
            <w:vAlign w:val="center"/>
          </w:tcPr>
          <w:p w:rsidR="002C41C1" w:rsidRPr="00661000" w:rsidRDefault="002C41C1" w:rsidP="007B669C">
            <w:pPr>
              <w:jc w:val="center"/>
              <w:rPr>
                <w:rFonts w:ascii="Arial" w:hAnsi="Arial" w:cs="Arial"/>
                <w:b/>
                <w:color w:val="000000"/>
                <w:sz w:val="18"/>
                <w:szCs w:val="18"/>
              </w:rPr>
            </w:pPr>
            <w:r w:rsidRPr="00661000">
              <w:rPr>
                <w:b/>
                <w:color w:val="000000"/>
                <w:sz w:val="18"/>
                <w:szCs w:val="18"/>
              </w:rPr>
              <w:t>Počet projektů s tímto převažujícím úsporným opatřením</w:t>
            </w:r>
          </w:p>
        </w:tc>
        <w:tc>
          <w:tcPr>
            <w:tcW w:w="2447" w:type="dxa"/>
            <w:tcBorders>
              <w:top w:val="nil"/>
              <w:left w:val="nil"/>
              <w:right w:val="nil"/>
            </w:tcBorders>
            <w:shd w:val="clear" w:color="auto" w:fill="00A1DE"/>
            <w:vAlign w:val="center"/>
          </w:tcPr>
          <w:p w:rsidR="002C41C1" w:rsidRPr="00661000" w:rsidRDefault="002C41C1" w:rsidP="007B669C">
            <w:pPr>
              <w:jc w:val="center"/>
              <w:rPr>
                <w:rFonts w:ascii="Arial" w:hAnsi="Arial" w:cs="Arial"/>
                <w:b/>
                <w:color w:val="000000"/>
                <w:sz w:val="18"/>
                <w:szCs w:val="18"/>
              </w:rPr>
            </w:pPr>
            <w:r w:rsidRPr="00661000">
              <w:rPr>
                <w:b/>
                <w:color w:val="000000"/>
                <w:sz w:val="18"/>
                <w:szCs w:val="18"/>
              </w:rPr>
              <w:t>Celkové způsobilé výdaje (v tis. Kč)</w:t>
            </w:r>
          </w:p>
        </w:tc>
      </w:tr>
      <w:tr w:rsidR="002C41C1" w:rsidRPr="00661000" w:rsidTr="007B669C">
        <w:trPr>
          <w:trHeight w:val="20"/>
        </w:trPr>
        <w:tc>
          <w:tcPr>
            <w:tcW w:w="2763" w:type="dxa"/>
            <w:tcBorders>
              <w:left w:val="nil"/>
              <w:right w:val="nil"/>
            </w:tcBorders>
            <w:shd w:val="clear" w:color="auto" w:fill="FFFFFF"/>
            <w:noWrap/>
          </w:tcPr>
          <w:p w:rsidR="002C41C1" w:rsidRPr="00661000" w:rsidRDefault="002C41C1" w:rsidP="007B669C">
            <w:pPr>
              <w:jc w:val="left"/>
              <w:rPr>
                <w:rFonts w:ascii="Arial" w:hAnsi="Arial" w:cs="Arial"/>
                <w:color w:val="000000"/>
                <w:sz w:val="18"/>
                <w:szCs w:val="18"/>
              </w:rPr>
            </w:pPr>
            <w:r w:rsidRPr="00661000">
              <w:rPr>
                <w:color w:val="000000"/>
                <w:sz w:val="18"/>
                <w:szCs w:val="18"/>
              </w:rPr>
              <w:t>1. výzva</w:t>
            </w:r>
          </w:p>
        </w:tc>
        <w:tc>
          <w:tcPr>
            <w:tcW w:w="2370" w:type="dxa"/>
            <w:tcBorders>
              <w:left w:val="nil"/>
              <w:right w:val="nil"/>
            </w:tcBorders>
            <w:shd w:val="clear" w:color="auto" w:fill="FFFFFF"/>
            <w:noWrap/>
          </w:tcPr>
          <w:p w:rsidR="002C41C1" w:rsidRPr="00661000" w:rsidRDefault="002C41C1" w:rsidP="007B669C">
            <w:pPr>
              <w:jc w:val="right"/>
              <w:rPr>
                <w:rFonts w:ascii="Arial" w:hAnsi="Arial" w:cs="Arial"/>
                <w:color w:val="000000"/>
                <w:sz w:val="18"/>
                <w:szCs w:val="18"/>
              </w:rPr>
            </w:pPr>
            <w:r w:rsidRPr="00661000">
              <w:rPr>
                <w:color w:val="000000"/>
                <w:sz w:val="18"/>
                <w:szCs w:val="18"/>
              </w:rPr>
              <w:t>1</w:t>
            </w:r>
          </w:p>
        </w:tc>
        <w:tc>
          <w:tcPr>
            <w:tcW w:w="2447" w:type="dxa"/>
            <w:tcBorders>
              <w:left w:val="nil"/>
              <w:right w:val="nil"/>
            </w:tcBorders>
            <w:shd w:val="clear" w:color="auto" w:fill="FFFFFF"/>
            <w:noWrap/>
          </w:tcPr>
          <w:p w:rsidR="002C41C1" w:rsidRPr="00661000" w:rsidRDefault="002C41C1" w:rsidP="007B669C">
            <w:pPr>
              <w:jc w:val="right"/>
              <w:rPr>
                <w:rFonts w:ascii="Arial" w:hAnsi="Arial" w:cs="Arial"/>
                <w:color w:val="000000"/>
                <w:sz w:val="18"/>
                <w:szCs w:val="18"/>
              </w:rPr>
            </w:pPr>
            <w:r w:rsidRPr="00661000">
              <w:rPr>
                <w:color w:val="000000"/>
                <w:sz w:val="18"/>
                <w:szCs w:val="18"/>
              </w:rPr>
              <w:t>4 000</w:t>
            </w:r>
          </w:p>
        </w:tc>
      </w:tr>
      <w:tr w:rsidR="002C41C1" w:rsidRPr="00661000" w:rsidTr="007B669C">
        <w:trPr>
          <w:trHeight w:val="20"/>
        </w:trPr>
        <w:tc>
          <w:tcPr>
            <w:tcW w:w="2763" w:type="dxa"/>
            <w:tcBorders>
              <w:left w:val="nil"/>
              <w:right w:val="nil"/>
            </w:tcBorders>
            <w:shd w:val="clear" w:color="auto" w:fill="FFFFFF"/>
            <w:noWrap/>
          </w:tcPr>
          <w:p w:rsidR="002C41C1" w:rsidRPr="00661000" w:rsidRDefault="002C41C1" w:rsidP="007B669C">
            <w:pPr>
              <w:jc w:val="left"/>
              <w:rPr>
                <w:rFonts w:ascii="Arial" w:hAnsi="Arial" w:cs="Arial"/>
                <w:color w:val="000000"/>
                <w:sz w:val="18"/>
                <w:szCs w:val="18"/>
              </w:rPr>
            </w:pPr>
            <w:r w:rsidRPr="00661000">
              <w:rPr>
                <w:color w:val="000000"/>
                <w:sz w:val="18"/>
                <w:szCs w:val="18"/>
              </w:rPr>
              <w:t>2. výzva (konečná spotřeba)</w:t>
            </w:r>
          </w:p>
        </w:tc>
        <w:tc>
          <w:tcPr>
            <w:tcW w:w="2370" w:type="dxa"/>
            <w:tcBorders>
              <w:left w:val="nil"/>
              <w:right w:val="nil"/>
            </w:tcBorders>
            <w:shd w:val="clear" w:color="auto" w:fill="FFFFFF"/>
            <w:noWrap/>
          </w:tcPr>
          <w:p w:rsidR="002C41C1" w:rsidRPr="00661000" w:rsidRDefault="002C41C1" w:rsidP="007B669C">
            <w:pPr>
              <w:jc w:val="right"/>
              <w:rPr>
                <w:rFonts w:ascii="Arial" w:hAnsi="Arial" w:cs="Arial"/>
                <w:color w:val="000000"/>
                <w:sz w:val="18"/>
                <w:szCs w:val="18"/>
              </w:rPr>
            </w:pPr>
            <w:r w:rsidRPr="00661000">
              <w:rPr>
                <w:color w:val="000000"/>
                <w:sz w:val="18"/>
                <w:szCs w:val="18"/>
              </w:rPr>
              <w:t>12</w:t>
            </w:r>
          </w:p>
        </w:tc>
        <w:tc>
          <w:tcPr>
            <w:tcW w:w="2447" w:type="dxa"/>
            <w:tcBorders>
              <w:left w:val="nil"/>
              <w:right w:val="nil"/>
            </w:tcBorders>
            <w:shd w:val="clear" w:color="auto" w:fill="FFFFFF"/>
            <w:noWrap/>
          </w:tcPr>
          <w:p w:rsidR="002C41C1" w:rsidRPr="00661000" w:rsidRDefault="002C41C1" w:rsidP="007B669C">
            <w:pPr>
              <w:jc w:val="right"/>
              <w:rPr>
                <w:rFonts w:ascii="Arial" w:hAnsi="Arial" w:cs="Arial"/>
                <w:color w:val="000000"/>
                <w:sz w:val="18"/>
                <w:szCs w:val="18"/>
              </w:rPr>
            </w:pPr>
            <w:r w:rsidRPr="00661000">
              <w:rPr>
                <w:color w:val="000000"/>
                <w:sz w:val="18"/>
                <w:szCs w:val="18"/>
              </w:rPr>
              <w:t>434 964</w:t>
            </w:r>
          </w:p>
        </w:tc>
      </w:tr>
      <w:tr w:rsidR="002C41C1" w:rsidRPr="00661000" w:rsidTr="007B669C">
        <w:trPr>
          <w:trHeight w:val="20"/>
        </w:trPr>
        <w:tc>
          <w:tcPr>
            <w:tcW w:w="2763" w:type="dxa"/>
            <w:tcBorders>
              <w:left w:val="nil"/>
              <w:right w:val="nil"/>
            </w:tcBorders>
            <w:shd w:val="clear" w:color="auto" w:fill="FFFFFF"/>
            <w:noWrap/>
          </w:tcPr>
          <w:p w:rsidR="002C41C1" w:rsidRPr="00661000" w:rsidRDefault="002C41C1" w:rsidP="007B669C">
            <w:pPr>
              <w:jc w:val="left"/>
              <w:rPr>
                <w:rFonts w:ascii="Arial" w:hAnsi="Arial" w:cs="Arial"/>
                <w:color w:val="000000"/>
                <w:sz w:val="18"/>
                <w:szCs w:val="18"/>
              </w:rPr>
            </w:pPr>
            <w:r w:rsidRPr="00661000">
              <w:rPr>
                <w:color w:val="000000"/>
                <w:sz w:val="18"/>
                <w:szCs w:val="18"/>
              </w:rPr>
              <w:t>2. výzva (primární spotřeba)</w:t>
            </w:r>
          </w:p>
        </w:tc>
        <w:tc>
          <w:tcPr>
            <w:tcW w:w="2370" w:type="dxa"/>
            <w:tcBorders>
              <w:left w:val="nil"/>
              <w:right w:val="nil"/>
            </w:tcBorders>
            <w:shd w:val="clear" w:color="auto" w:fill="FFFFFF"/>
            <w:noWrap/>
          </w:tcPr>
          <w:p w:rsidR="002C41C1" w:rsidRPr="00661000" w:rsidRDefault="002C41C1" w:rsidP="007B669C">
            <w:pPr>
              <w:jc w:val="right"/>
              <w:rPr>
                <w:rFonts w:ascii="Arial" w:hAnsi="Arial" w:cs="Arial"/>
                <w:color w:val="000000"/>
                <w:sz w:val="18"/>
                <w:szCs w:val="18"/>
              </w:rPr>
            </w:pPr>
            <w:r w:rsidRPr="00661000">
              <w:rPr>
                <w:color w:val="000000"/>
                <w:sz w:val="18"/>
                <w:szCs w:val="18"/>
              </w:rPr>
              <w:t>6</w:t>
            </w:r>
          </w:p>
        </w:tc>
        <w:tc>
          <w:tcPr>
            <w:tcW w:w="2447" w:type="dxa"/>
            <w:tcBorders>
              <w:left w:val="nil"/>
              <w:right w:val="nil"/>
            </w:tcBorders>
            <w:shd w:val="clear" w:color="auto" w:fill="FFFFFF"/>
            <w:noWrap/>
          </w:tcPr>
          <w:p w:rsidR="002C41C1" w:rsidRPr="00661000" w:rsidRDefault="002C41C1" w:rsidP="007B669C">
            <w:pPr>
              <w:jc w:val="right"/>
              <w:rPr>
                <w:rFonts w:ascii="Arial" w:hAnsi="Arial" w:cs="Arial"/>
                <w:color w:val="000000"/>
                <w:sz w:val="18"/>
                <w:szCs w:val="18"/>
              </w:rPr>
            </w:pPr>
            <w:r w:rsidRPr="00661000">
              <w:rPr>
                <w:color w:val="000000"/>
                <w:sz w:val="18"/>
                <w:szCs w:val="18"/>
              </w:rPr>
              <w:t>509 475</w:t>
            </w:r>
          </w:p>
        </w:tc>
      </w:tr>
      <w:tr w:rsidR="002C41C1" w:rsidRPr="00661000" w:rsidTr="007B669C">
        <w:trPr>
          <w:trHeight w:val="20"/>
        </w:trPr>
        <w:tc>
          <w:tcPr>
            <w:tcW w:w="2763" w:type="dxa"/>
            <w:tcBorders>
              <w:left w:val="nil"/>
              <w:right w:val="nil"/>
            </w:tcBorders>
            <w:shd w:val="clear" w:color="auto" w:fill="FFFFFF"/>
            <w:noWrap/>
          </w:tcPr>
          <w:p w:rsidR="002C41C1" w:rsidRPr="00661000" w:rsidRDefault="002C41C1" w:rsidP="007B669C">
            <w:pPr>
              <w:jc w:val="left"/>
              <w:rPr>
                <w:rFonts w:ascii="Arial" w:hAnsi="Arial" w:cs="Arial"/>
                <w:color w:val="000000"/>
                <w:sz w:val="18"/>
                <w:szCs w:val="18"/>
              </w:rPr>
            </w:pPr>
            <w:r w:rsidRPr="00661000">
              <w:rPr>
                <w:color w:val="000000"/>
                <w:sz w:val="18"/>
                <w:szCs w:val="18"/>
              </w:rPr>
              <w:t>3. výzva (konečná spotřeba)</w:t>
            </w:r>
          </w:p>
        </w:tc>
        <w:tc>
          <w:tcPr>
            <w:tcW w:w="2370" w:type="dxa"/>
            <w:tcBorders>
              <w:left w:val="nil"/>
              <w:right w:val="nil"/>
            </w:tcBorders>
            <w:shd w:val="clear" w:color="auto" w:fill="FFFFFF"/>
            <w:noWrap/>
          </w:tcPr>
          <w:p w:rsidR="002C41C1" w:rsidRPr="00661000" w:rsidRDefault="002C41C1" w:rsidP="007B669C">
            <w:pPr>
              <w:jc w:val="right"/>
              <w:rPr>
                <w:rFonts w:ascii="Arial" w:hAnsi="Arial" w:cs="Arial"/>
                <w:color w:val="000000"/>
                <w:sz w:val="18"/>
                <w:szCs w:val="18"/>
              </w:rPr>
            </w:pPr>
            <w:r w:rsidRPr="00661000">
              <w:rPr>
                <w:color w:val="000000"/>
                <w:sz w:val="18"/>
                <w:szCs w:val="18"/>
              </w:rPr>
              <w:t>4</w:t>
            </w:r>
          </w:p>
        </w:tc>
        <w:tc>
          <w:tcPr>
            <w:tcW w:w="2447" w:type="dxa"/>
            <w:tcBorders>
              <w:left w:val="nil"/>
              <w:right w:val="nil"/>
            </w:tcBorders>
            <w:shd w:val="clear" w:color="auto" w:fill="FFFFFF"/>
            <w:noWrap/>
          </w:tcPr>
          <w:p w:rsidR="002C41C1" w:rsidRPr="00661000" w:rsidRDefault="002C41C1" w:rsidP="007B669C">
            <w:pPr>
              <w:jc w:val="right"/>
              <w:rPr>
                <w:rFonts w:ascii="Arial" w:hAnsi="Arial" w:cs="Arial"/>
                <w:color w:val="000000"/>
                <w:sz w:val="18"/>
                <w:szCs w:val="18"/>
              </w:rPr>
            </w:pPr>
            <w:r w:rsidRPr="00661000">
              <w:rPr>
                <w:color w:val="000000"/>
                <w:sz w:val="18"/>
                <w:szCs w:val="18"/>
              </w:rPr>
              <w:t>121 153</w:t>
            </w:r>
          </w:p>
        </w:tc>
      </w:tr>
      <w:tr w:rsidR="002C41C1" w:rsidRPr="00661000" w:rsidTr="007B669C">
        <w:trPr>
          <w:trHeight w:val="20"/>
        </w:trPr>
        <w:tc>
          <w:tcPr>
            <w:tcW w:w="2763" w:type="dxa"/>
            <w:tcBorders>
              <w:left w:val="nil"/>
              <w:right w:val="nil"/>
            </w:tcBorders>
            <w:shd w:val="clear" w:color="auto" w:fill="FFFFFF"/>
            <w:noWrap/>
          </w:tcPr>
          <w:p w:rsidR="002C41C1" w:rsidRPr="00661000" w:rsidRDefault="002C41C1" w:rsidP="007B669C">
            <w:pPr>
              <w:jc w:val="left"/>
              <w:rPr>
                <w:rFonts w:ascii="Arial" w:hAnsi="Arial" w:cs="Arial"/>
                <w:color w:val="000000"/>
                <w:sz w:val="18"/>
                <w:szCs w:val="18"/>
              </w:rPr>
            </w:pPr>
            <w:r w:rsidRPr="00661000">
              <w:rPr>
                <w:color w:val="000000"/>
                <w:sz w:val="18"/>
                <w:szCs w:val="18"/>
              </w:rPr>
              <w:t>3. výzva (primární spotřeba)</w:t>
            </w:r>
          </w:p>
        </w:tc>
        <w:tc>
          <w:tcPr>
            <w:tcW w:w="2370" w:type="dxa"/>
            <w:tcBorders>
              <w:left w:val="nil"/>
              <w:right w:val="nil"/>
            </w:tcBorders>
            <w:shd w:val="clear" w:color="auto" w:fill="FFFFFF"/>
            <w:noWrap/>
          </w:tcPr>
          <w:p w:rsidR="002C41C1" w:rsidRPr="00661000" w:rsidRDefault="002C41C1" w:rsidP="007B669C">
            <w:pPr>
              <w:jc w:val="right"/>
              <w:rPr>
                <w:rFonts w:ascii="Arial" w:hAnsi="Arial" w:cs="Arial"/>
                <w:color w:val="000000"/>
                <w:sz w:val="18"/>
                <w:szCs w:val="18"/>
              </w:rPr>
            </w:pPr>
            <w:r w:rsidRPr="00661000">
              <w:rPr>
                <w:color w:val="000000"/>
                <w:sz w:val="18"/>
                <w:szCs w:val="18"/>
              </w:rPr>
              <w:t>8</w:t>
            </w:r>
          </w:p>
        </w:tc>
        <w:tc>
          <w:tcPr>
            <w:tcW w:w="2447" w:type="dxa"/>
            <w:tcBorders>
              <w:left w:val="nil"/>
              <w:right w:val="nil"/>
            </w:tcBorders>
            <w:shd w:val="clear" w:color="auto" w:fill="FFFFFF"/>
            <w:noWrap/>
          </w:tcPr>
          <w:p w:rsidR="002C41C1" w:rsidRPr="00661000" w:rsidRDefault="002C41C1" w:rsidP="007B669C">
            <w:pPr>
              <w:jc w:val="right"/>
              <w:rPr>
                <w:rFonts w:ascii="Arial" w:hAnsi="Arial" w:cs="Arial"/>
                <w:color w:val="000000"/>
                <w:sz w:val="18"/>
                <w:szCs w:val="18"/>
              </w:rPr>
            </w:pPr>
            <w:r w:rsidRPr="00661000">
              <w:rPr>
                <w:color w:val="000000"/>
                <w:sz w:val="18"/>
                <w:szCs w:val="18"/>
              </w:rPr>
              <w:t>338 691</w:t>
            </w:r>
          </w:p>
        </w:tc>
      </w:tr>
      <w:tr w:rsidR="002C41C1" w:rsidRPr="00661000" w:rsidTr="007B669C">
        <w:trPr>
          <w:trHeight w:val="20"/>
        </w:trPr>
        <w:tc>
          <w:tcPr>
            <w:tcW w:w="2763" w:type="dxa"/>
            <w:tcBorders>
              <w:left w:val="nil"/>
              <w:right w:val="nil"/>
            </w:tcBorders>
            <w:shd w:val="clear" w:color="auto" w:fill="92D050"/>
            <w:noWrap/>
          </w:tcPr>
          <w:p w:rsidR="002C41C1" w:rsidRPr="00661000" w:rsidRDefault="002C41C1" w:rsidP="007B669C">
            <w:pPr>
              <w:jc w:val="left"/>
              <w:rPr>
                <w:rFonts w:ascii="Arial" w:hAnsi="Arial" w:cs="Arial"/>
                <w:b/>
                <w:bCs/>
                <w:color w:val="000000"/>
                <w:sz w:val="18"/>
                <w:szCs w:val="18"/>
              </w:rPr>
            </w:pPr>
            <w:r w:rsidRPr="00661000">
              <w:rPr>
                <w:b/>
                <w:bCs/>
                <w:color w:val="000000"/>
                <w:sz w:val="18"/>
                <w:szCs w:val="18"/>
              </w:rPr>
              <w:t>Celkem</w:t>
            </w:r>
          </w:p>
        </w:tc>
        <w:tc>
          <w:tcPr>
            <w:tcW w:w="2370" w:type="dxa"/>
            <w:tcBorders>
              <w:left w:val="nil"/>
              <w:right w:val="nil"/>
            </w:tcBorders>
            <w:shd w:val="clear" w:color="auto" w:fill="92D050"/>
            <w:noWrap/>
          </w:tcPr>
          <w:p w:rsidR="002C41C1" w:rsidRPr="00661000" w:rsidRDefault="002C41C1" w:rsidP="007B669C">
            <w:pPr>
              <w:jc w:val="right"/>
              <w:rPr>
                <w:rFonts w:ascii="Arial" w:hAnsi="Arial" w:cs="Arial"/>
                <w:b/>
                <w:bCs/>
                <w:color w:val="000000"/>
                <w:sz w:val="18"/>
                <w:szCs w:val="18"/>
              </w:rPr>
            </w:pPr>
            <w:r w:rsidRPr="00661000">
              <w:rPr>
                <w:b/>
                <w:bCs/>
                <w:color w:val="000000"/>
                <w:sz w:val="18"/>
                <w:szCs w:val="18"/>
              </w:rPr>
              <w:t>31</w:t>
            </w:r>
          </w:p>
        </w:tc>
        <w:tc>
          <w:tcPr>
            <w:tcW w:w="2447" w:type="dxa"/>
            <w:tcBorders>
              <w:left w:val="nil"/>
              <w:right w:val="nil"/>
            </w:tcBorders>
            <w:shd w:val="clear" w:color="auto" w:fill="92D050"/>
            <w:noWrap/>
          </w:tcPr>
          <w:p w:rsidR="002C41C1" w:rsidRPr="00661000" w:rsidRDefault="002C41C1" w:rsidP="007B669C">
            <w:pPr>
              <w:keepNext/>
              <w:jc w:val="right"/>
              <w:rPr>
                <w:rFonts w:ascii="Arial" w:hAnsi="Arial" w:cs="Arial"/>
                <w:b/>
                <w:bCs/>
                <w:color w:val="000000"/>
                <w:sz w:val="18"/>
                <w:szCs w:val="18"/>
              </w:rPr>
            </w:pPr>
            <w:r w:rsidRPr="00661000">
              <w:rPr>
                <w:b/>
                <w:bCs/>
                <w:color w:val="000000"/>
                <w:sz w:val="18"/>
                <w:szCs w:val="18"/>
              </w:rPr>
              <w:t>1 408 283</w:t>
            </w:r>
          </w:p>
        </w:tc>
      </w:tr>
    </w:tbl>
    <w:p w:rsidR="002C41C1" w:rsidRDefault="002C41C1" w:rsidP="00CF29B1">
      <w:pPr>
        <w:pStyle w:val="Titulek"/>
      </w:pPr>
      <w:r>
        <w:t>Tabulka 16: Přehled počtu projektu v OPPI v prioritní osy 3.1 zaměřených na rozvody tepla</w:t>
      </w:r>
    </w:p>
    <w:p w:rsidR="002C41C1" w:rsidRDefault="002C41C1" w:rsidP="00CF29B1">
      <w:pPr>
        <w:rPr>
          <w:bCs/>
          <w:i/>
          <w:color w:val="4F81BD"/>
          <w:sz w:val="20"/>
        </w:rPr>
      </w:pPr>
      <w:r>
        <w:rPr>
          <w:bCs/>
          <w:i/>
          <w:color w:val="4F81BD"/>
          <w:sz w:val="20"/>
        </w:rPr>
        <w:t>Zdroj: Příprava podkladů pro akční plán energetické efektivnosti</w:t>
      </w:r>
    </w:p>
    <w:p w:rsidR="002C41C1" w:rsidRDefault="002C41C1" w:rsidP="00FE5BCE">
      <w:pPr>
        <w:rPr>
          <w:b/>
          <w:lang w:eastAsia="en-US"/>
        </w:rPr>
      </w:pPr>
    </w:p>
    <w:p w:rsidR="002C41C1" w:rsidRDefault="002C41C1" w:rsidP="00FE5BCE">
      <w:pPr>
        <w:rPr>
          <w:lang w:eastAsia="en-US"/>
        </w:rPr>
      </w:pPr>
      <w:r w:rsidRPr="009B6732">
        <w:rPr>
          <w:b/>
          <w:lang w:eastAsia="en-US"/>
        </w:rPr>
        <w:lastRenderedPageBreak/>
        <w:t>LIFE – Financial Instrument for</w:t>
      </w:r>
      <w:r w:rsidR="005057AD">
        <w:rPr>
          <w:b/>
          <w:lang w:eastAsia="en-US"/>
        </w:rPr>
        <w:t xml:space="preserve"> </w:t>
      </w:r>
      <w:r w:rsidRPr="009B6732">
        <w:rPr>
          <w:b/>
          <w:lang w:eastAsia="en-US"/>
        </w:rPr>
        <w:t>the</w:t>
      </w:r>
      <w:r w:rsidR="005057AD">
        <w:rPr>
          <w:b/>
          <w:lang w:eastAsia="en-US"/>
        </w:rPr>
        <w:t xml:space="preserve"> </w:t>
      </w:r>
      <w:r w:rsidRPr="009B6732">
        <w:rPr>
          <w:b/>
          <w:lang w:eastAsia="en-US"/>
        </w:rPr>
        <w:t>Environment</w:t>
      </w:r>
      <w:r>
        <w:rPr>
          <w:lang w:eastAsia="en-US"/>
        </w:rPr>
        <w:t xml:space="preserve"> – Program podporuje aktivity pro naplňování strategie Evropa 2020 při snižování uhlíkové náročnosti ekonomiky. Program LIFE má napomoci, aby do roku 2020 až 12 % všech regionů nakládalo s odpady adekvátním způsobem, až o 10 % více obyvatel EU mělo prospěch z lepší kvality ovzduší a aby došlo k posílení adaptačních opatření na změnu klimatu a zavádění nových inovativních technologií, sdílení dovedností a šíření osvědčených metod. Finanční prostředky vyčleněné na implementaci programu činí cca 3,5 mld. € rozdělených do podprogramů: Podprogram pro životní prostředí obhospodařuje cca 2,6 mld. € a pro Podprogram pro oblast klimatu činí alokace 0,9 mld. €. Granty jsou poskytovány až do výše 75 % způsobilých nákladů (60 % způsobilých nákladů v případě integrovaných projektů). Možné jsou i granty na pokrytí provozních nákladů do výše 70 % pro nevládní neziskové organizace, jakož i všechny další formy (veřejné zakázky, příspěvky do finančních nástrojů a veškeré ostatní zásahy naplňující cíle programu LIFE).</w:t>
      </w:r>
    </w:p>
    <w:p w:rsidR="002C41C1" w:rsidRDefault="002C41C1" w:rsidP="00FE5BCE">
      <w:pPr>
        <w:rPr>
          <w:lang w:eastAsia="en-US"/>
        </w:rPr>
      </w:pPr>
    </w:p>
    <w:p w:rsidR="002C41C1" w:rsidRPr="009B6732" w:rsidRDefault="002C41C1" w:rsidP="009B6732">
      <w:pPr>
        <w:pStyle w:val="Neslovannadpisy"/>
        <w:rPr>
          <w:lang w:eastAsia="en-US"/>
        </w:rPr>
      </w:pPr>
      <w:r w:rsidRPr="009B6732">
        <w:rPr>
          <w:lang w:eastAsia="en-US"/>
        </w:rPr>
        <w:t>Veřejné domácí zdroje financování</w:t>
      </w:r>
    </w:p>
    <w:p w:rsidR="002C41C1" w:rsidRDefault="002C41C1" w:rsidP="00FE5BCE">
      <w:pPr>
        <w:rPr>
          <w:lang w:eastAsia="en-US"/>
        </w:rPr>
      </w:pPr>
      <w:r w:rsidRPr="0070320F">
        <w:rPr>
          <w:b/>
          <w:lang w:eastAsia="en-US"/>
        </w:rPr>
        <w:t>EFEKT 2013</w:t>
      </w:r>
      <w:r>
        <w:rPr>
          <w:lang w:eastAsia="en-US"/>
        </w:rPr>
        <w:t xml:space="preserve"> – program v gesci MPO. V roce 2013 bylo z Programu EFEKT dotačně podpořeno 154 projektů v celkové výši 28 mil. Kč. Dotace vyvolaly investice ve výši 44 mil. Kč. Finanční prostředky byly uplatněny zejména na projekty s nepřímým vlivem na úsporu energie, jako je osvěta veřejnosti, vzdělávání odborníků, nebo bezplatné poradenství. Na podporu akcí s přímými úsporami energie bylo vyplaceno 11 mil. Kč. Pro roky 2014 a 2015 byla programu přidělena stejná alokace 30 mil. Kč. Vzhledem ke svému zaměření a nízké alokaci není program EFEKT pro SC 3.5 příliš relevantní.</w:t>
      </w:r>
    </w:p>
    <w:p w:rsidR="002C41C1" w:rsidRDefault="002C41C1" w:rsidP="00FE5BCE">
      <w:pPr>
        <w:rPr>
          <w:lang w:eastAsia="en-US"/>
        </w:rPr>
      </w:pPr>
    </w:p>
    <w:p w:rsidR="002C41C1" w:rsidRDefault="002C41C1" w:rsidP="00D74FA7">
      <w:pPr>
        <w:pStyle w:val="Neslovannadpisy"/>
        <w:rPr>
          <w:lang w:eastAsia="en-US"/>
        </w:rPr>
      </w:pPr>
      <w:r>
        <w:rPr>
          <w:lang w:eastAsia="en-US"/>
        </w:rPr>
        <w:t>Úvěrové nástroje</w:t>
      </w:r>
    </w:p>
    <w:p w:rsidR="002C41C1" w:rsidRDefault="002C41C1" w:rsidP="00FE5BCE">
      <w:pPr>
        <w:rPr>
          <w:lang w:eastAsia="en-US"/>
        </w:rPr>
      </w:pPr>
      <w:r w:rsidRPr="0070320F">
        <w:rPr>
          <w:b/>
          <w:lang w:eastAsia="en-US"/>
        </w:rPr>
        <w:t>Globální úvěr Zelená energie</w:t>
      </w:r>
      <w:r>
        <w:rPr>
          <w:lang w:eastAsia="en-US"/>
        </w:rPr>
        <w:t xml:space="preserve"> (ČS) a </w:t>
      </w:r>
      <w:r w:rsidRPr="0070320F">
        <w:rPr>
          <w:b/>
          <w:lang w:eastAsia="en-US"/>
        </w:rPr>
        <w:t>Zelený úvěr</w:t>
      </w:r>
      <w:r>
        <w:rPr>
          <w:lang w:eastAsia="en-US"/>
        </w:rPr>
        <w:t xml:space="preserve"> (Raiffeisen) jsou úvěrové produkty určené pro MSP do 250 zaměstnanců s ročním obratem menším než 50 mil. € a bilanční sumou menší než 43 mil. €, prostřednictvím kterého je možné získat úvěr až 300 mil. Kč s desetiprocentní dotací EIB. Typickými projekty jsou instalace kogenerační jednotek. Za prvních 8 měsíců fungování byly jen v ČS rozpracovány projekty za 690 mil. Kč s očekávanou dotací ve výši 47 mil. Kč. Jako o zprostředkovaných úvěrech lze uvažovat o podnikových úvěrech na pracovní kapitál a hmotný majetek pro podniky zabývající se instalacemi energeticky úsporných zařízení, které poskytují klientům dodavatelské úvěry.</w:t>
      </w:r>
    </w:p>
    <w:p w:rsidR="002C41C1" w:rsidRDefault="002C41C1" w:rsidP="00FE5BCE">
      <w:pPr>
        <w:rPr>
          <w:lang w:eastAsia="en-US"/>
        </w:rPr>
      </w:pPr>
    </w:p>
    <w:p w:rsidR="002C41C1" w:rsidRDefault="002C41C1">
      <w:pPr>
        <w:pStyle w:val="Vtneslovannadpis"/>
      </w:pPr>
      <w:r>
        <w:rPr>
          <w:lang w:eastAsia="en-US"/>
        </w:rPr>
        <w:t>V</w:t>
      </w:r>
      <w:r w:rsidRPr="00884BD3">
        <w:rPr>
          <w:lang w:eastAsia="en-US"/>
        </w:rPr>
        <w:t>yčíslení potenciální absorpční kapacity</w:t>
      </w:r>
    </w:p>
    <w:p w:rsidR="002C41C1" w:rsidRDefault="002C41C1" w:rsidP="00CD09D2">
      <w:pPr>
        <w:pStyle w:val="Neslovannadpisy"/>
      </w:pPr>
      <w:r>
        <w:t>Poptávka zjišťovaná z dotazníku</w:t>
      </w:r>
    </w:p>
    <w:p w:rsidR="002C41C1" w:rsidRDefault="002C41C1" w:rsidP="00CD09D2">
      <w:r>
        <w:t xml:space="preserve">V dotazníkovém šetření k této studii vyjádřilo </w:t>
      </w:r>
      <w:r w:rsidRPr="00DF6E0B">
        <w:rPr>
          <w:b/>
        </w:rPr>
        <w:t xml:space="preserve">79 společností svůj investiční záměr k SC 3.5. </w:t>
      </w:r>
      <w:r w:rsidR="0084453C">
        <w:rPr>
          <w:b/>
        </w:rPr>
        <w:t>OP PIK</w:t>
      </w:r>
      <w:r w:rsidRPr="00DF6E0B">
        <w:rPr>
          <w:b/>
        </w:rPr>
        <w:t xml:space="preserve"> 2014 </w:t>
      </w:r>
      <w:r w:rsidRPr="00D144BB">
        <w:rPr>
          <w:b/>
        </w:rPr>
        <w:t>–</w:t>
      </w:r>
      <w:r w:rsidRPr="00DF6E0B">
        <w:rPr>
          <w:b/>
        </w:rPr>
        <w:t xml:space="preserve"> 2020. Uvažované investiční záměry dosahují výše 952,5 mil. Kč</w:t>
      </w:r>
      <w:r>
        <w:t xml:space="preserve"> s očekávanou dobou návratnosti 7,5 roku.</w:t>
      </w:r>
    </w:p>
    <w:p w:rsidR="002C41C1" w:rsidRDefault="002C41C1" w:rsidP="00DD69BE">
      <w:pPr>
        <w:pStyle w:val="Neslovannadpisy"/>
      </w:pPr>
    </w:p>
    <w:p w:rsidR="002C41C1" w:rsidRDefault="002C41C1" w:rsidP="00DD69BE">
      <w:pPr>
        <w:pStyle w:val="Neslovannadpisy"/>
      </w:pPr>
      <w:r>
        <w:t xml:space="preserve">Vyčíslení absorpční kapacity </w:t>
      </w:r>
    </w:p>
    <w:p w:rsidR="002C41C1" w:rsidRDefault="002C41C1" w:rsidP="00DD69BE">
      <w:r>
        <w:t xml:space="preserve">Na základě odhadů Teplárenského sdružení o celkové investiční potřebě (27 mld. Kč), dat o investiční aktivitě a podpoře v rámci OPPI a OPŽP v minulých letech a předpokladu zvýšené akcelerace rekonstrukcí v nadcházejícím období </w:t>
      </w:r>
      <w:r w:rsidRPr="00DF6E0B">
        <w:rPr>
          <w:b/>
        </w:rPr>
        <w:t>odhad</w:t>
      </w:r>
      <w:r>
        <w:rPr>
          <w:b/>
        </w:rPr>
        <w:t>ujeme</w:t>
      </w:r>
      <w:r w:rsidR="005057AD">
        <w:rPr>
          <w:b/>
        </w:rPr>
        <w:t xml:space="preserve"> </w:t>
      </w:r>
      <w:r w:rsidRPr="00DF6E0B">
        <w:rPr>
          <w:b/>
        </w:rPr>
        <w:t>minimální investiční poptávku v</w:t>
      </w:r>
      <w:r w:rsidRPr="00D144BB">
        <w:rPr>
          <w:b/>
        </w:rPr>
        <w:t> </w:t>
      </w:r>
      <w:r w:rsidRPr="00DF6E0B">
        <w:rPr>
          <w:b/>
        </w:rPr>
        <w:t>oblasti SC 3.5 v</w:t>
      </w:r>
      <w:r w:rsidRPr="00D144BB">
        <w:rPr>
          <w:b/>
        </w:rPr>
        <w:t> </w:t>
      </w:r>
      <w:r w:rsidRPr="00DF6E0B">
        <w:rPr>
          <w:b/>
        </w:rPr>
        <w:t>příštím období na 6 mld. Kč</w:t>
      </w:r>
      <w:r>
        <w:t>. Pokud by se aktivoval veškerý potenciál, který Teplárenské sdružení ČR odhaduje, může být reálná absorpční kapacita ještě výrazně vyšší.</w:t>
      </w:r>
    </w:p>
    <w:p w:rsidR="002C41C1" w:rsidRDefault="002C41C1" w:rsidP="00DD69BE"/>
    <w:p w:rsidR="002C41C1" w:rsidRDefault="002C41C1" w:rsidP="00924113">
      <w:pPr>
        <w:pStyle w:val="Vtneslovannadpis"/>
      </w:pPr>
      <w:r>
        <w:t>Analýza tržních selhání a suboptimální investiční situace</w:t>
      </w:r>
    </w:p>
    <w:p w:rsidR="002C41C1" w:rsidRDefault="002C41C1">
      <w:r>
        <w:t>Tržní selhání v SC 3.5 lze rozdělit do tří skupin:</w:t>
      </w:r>
    </w:p>
    <w:p w:rsidR="002C41C1" w:rsidRDefault="002C41C1"/>
    <w:p w:rsidR="002C41C1" w:rsidRDefault="002C41C1" w:rsidP="00DF6E0B">
      <w:r w:rsidRPr="00DF6E0B">
        <w:rPr>
          <w:b/>
        </w:rPr>
        <w:lastRenderedPageBreak/>
        <w:t>Přípravná fáze:</w:t>
      </w:r>
      <w:r w:rsidR="005057AD">
        <w:rPr>
          <w:b/>
        </w:rPr>
        <w:t xml:space="preserve"> </w:t>
      </w:r>
      <w:r>
        <w:t xml:space="preserve">příprava investic sebou nese </w:t>
      </w:r>
      <w:r w:rsidRPr="00DF6E0B">
        <w:rPr>
          <w:b/>
        </w:rPr>
        <w:t>vysoké transakční náklady</w:t>
      </w:r>
      <w:r>
        <w:t xml:space="preserve"> na energetické audity, poradenství a projektovou přípravu. To může znamenat především pro menší subjekty významnou bariéru v rozhodování o investici.</w:t>
      </w:r>
    </w:p>
    <w:p w:rsidR="002C41C1" w:rsidRPr="00DF6E0B" w:rsidRDefault="002C41C1" w:rsidP="00DF6E0B"/>
    <w:p w:rsidR="002C41C1" w:rsidRDefault="002C41C1" w:rsidP="00DF6E0B">
      <w:r w:rsidRPr="00DF6E0B">
        <w:rPr>
          <w:b/>
        </w:rPr>
        <w:t>Systémové selhání:</w:t>
      </w:r>
      <w:r w:rsidRPr="00DF6E0B">
        <w:t xml:space="preserve"> mnoho investicí neproběhne z důvodu dotování cen energi</w:t>
      </w:r>
      <w:r>
        <w:t>í</w:t>
      </w:r>
      <w:r w:rsidRPr="00DF6E0B">
        <w:t xml:space="preserve">. Ceny jsou nízké, nereflektují tržní cenu, čímž nemotivuji k investování do efektivnějších technologií. Existence některých dotačních programů na podporu výroby </w:t>
      </w:r>
      <w:r>
        <w:t>elektřiny</w:t>
      </w:r>
      <w:r w:rsidR="005057AD">
        <w:t xml:space="preserve"> </w:t>
      </w:r>
      <w:r w:rsidRPr="00DF6E0B">
        <w:t>a tepla pomoci KVETu</w:t>
      </w:r>
      <w:r w:rsidR="005057AD">
        <w:t xml:space="preserve"> </w:t>
      </w:r>
      <w:r>
        <w:t>vyžaduje u menších projektů,</w:t>
      </w:r>
      <w:r w:rsidRPr="00DF6E0B">
        <w:t xml:space="preserve"> aby UPE bylo větší jako 0%, co znam</w:t>
      </w:r>
      <w:r>
        <w:t>ená, že investice by za klasických tržních podmínek nebyla nikdy realizována.</w:t>
      </w:r>
    </w:p>
    <w:p w:rsidR="002C41C1" w:rsidRDefault="002C41C1" w:rsidP="00DF6E0B"/>
    <w:p w:rsidR="002C41C1" w:rsidRDefault="002C41C1" w:rsidP="00DF6E0B">
      <w:r w:rsidRPr="00DF6E0B">
        <w:rPr>
          <w:b/>
        </w:rPr>
        <w:t>Finanční selhání:</w:t>
      </w:r>
      <w:r>
        <w:t xml:space="preserve"> soukromé finanční instituce mají nízkou zkušenost s financováním energetických projektů z hlediska účinností. Neexistují přesně stanovené ukazovatelé, které by pomohly bankám zhodnotit výnosnost investice. Převládá strach, že slibované investice nepřinesou kýžený efekt a úspora energie nedosáhne potřebnou výši pro refinancování bankovní půjčky. Návratnost investic se může počítat i v několika desítkách let. Z toho titulu se pro hodnocení energetických projektů používá vyšší diskontní faktor, jehož výsledkem jsou příliš vysoké náklady, dlouhá návratnost a v konečném důsledku nízké úspory z investic do energetických účinností.</w:t>
      </w:r>
    </w:p>
    <w:p w:rsidR="002C41C1" w:rsidRDefault="002C41C1" w:rsidP="00DF6E0B"/>
    <w:p w:rsidR="002C41C1" w:rsidRDefault="002C41C1" w:rsidP="00DF6E0B">
      <w:r>
        <w:t>Investice do KVET a rekonstrukcí tepelných rozvodů jsou charakteristické vysokou nákladností a poměrně dlouhou dobou návratnosti (typový projekt rekonstrukce distribučního potrubí</w:t>
      </w:r>
      <w:r w:rsidR="005057AD">
        <w:t xml:space="preserve"> </w:t>
      </w:r>
      <w:r>
        <w:t>vykazuje dobu návratnosti 11,3 roku). Vyplatí se tedy až v delším časovém horizontu.</w:t>
      </w:r>
      <w:r w:rsidR="005057AD">
        <w:t xml:space="preserve"> </w:t>
      </w:r>
      <w:r>
        <w:t>Rozdílná kapitálová síla a úvěrovatelnost subjektů na trhu implikuje pro část podniků obtížný přístup k financování, problém tvoří i nemožnost užití podzemního potrubí jako kolaterál. Oblast tak vykazuje výraznou tržní mezeru a potenciál pro užití veřejné podpory, která by aktivizovala velkou investiční potřebu, jež se zde nachází.</w:t>
      </w:r>
    </w:p>
    <w:p w:rsidR="002C41C1" w:rsidRDefault="002C41C1" w:rsidP="00924113"/>
    <w:p w:rsidR="002C41C1" w:rsidRDefault="002C41C1" w:rsidP="00F2306B">
      <w:pPr>
        <w:pStyle w:val="Vtneslovannadpis"/>
      </w:pPr>
      <w:r>
        <w:t>Návrh opatření</w:t>
      </w:r>
    </w:p>
    <w:p w:rsidR="002C41C1" w:rsidRDefault="002C41C1">
      <w:r>
        <w:t>Vzhledem k dlouhodobě ziskovému charakteru projektů v SC 3.5 a identifikovanému tržnímu selhání v přístupu k financím a delší návratnosti doporučujeme v této oblasti minimálně na část alokace využít podporu formou finančních nástrojů – poskytováním zvýhodněných úvěrů s prodlouženou dobou splatnosti a příspěvkem na projektovou dokumentaci. Obdobně jako v SC 3.2 doporučujeme vzhledem k dosavadní dotační podpoře evoluční přístup, nejprve v podobě pilotního projektu na menší část alokace, který bude doplňkový k dotační podpoře.</w:t>
      </w:r>
    </w:p>
    <w:p w:rsidR="002C41C1" w:rsidRDefault="002C41C1"/>
    <w:p w:rsidR="002C41C1" w:rsidRDefault="002C41C1">
      <w:r>
        <w:t>Deloitte Advisory doporučuje poskytování zvýhodněných úvěrů aplikovat při konfliktu profilu žadatele s kritérii komerčních bank v jiných oblastech než ziskovost a zajištění, tedy např. velikosti projektu nebo konkrétní typ projektu. Největším rizikem pro komerční banky je návratnost projektu, z toho důvodu je podstata zvýhodnění úvěru primárně v prodloužení doby splatnosti.</w:t>
      </w:r>
    </w:p>
    <w:p w:rsidR="002C41C1" w:rsidRDefault="002C41C1" w:rsidP="00F2306B"/>
    <w:tbl>
      <w:tblPr>
        <w:tblW w:w="8930" w:type="dxa"/>
        <w:tblInd w:w="496" w:type="dxa"/>
        <w:tblCellMar>
          <w:left w:w="70" w:type="dxa"/>
          <w:right w:w="70" w:type="dxa"/>
        </w:tblCellMar>
        <w:tblLook w:val="00A0" w:firstRow="1" w:lastRow="0" w:firstColumn="1" w:lastColumn="0" w:noHBand="0" w:noVBand="0"/>
      </w:tblPr>
      <w:tblGrid>
        <w:gridCol w:w="2676"/>
        <w:gridCol w:w="960"/>
        <w:gridCol w:w="5294"/>
      </w:tblGrid>
      <w:tr w:rsidR="002C41C1" w:rsidRPr="00661000" w:rsidTr="00BD42FB">
        <w:trPr>
          <w:trHeight w:val="57"/>
        </w:trPr>
        <w:tc>
          <w:tcPr>
            <w:tcW w:w="2676" w:type="dxa"/>
            <w:noWrap/>
            <w:vAlign w:val="bottom"/>
          </w:tcPr>
          <w:p w:rsidR="002C41C1" w:rsidRDefault="002C41C1">
            <w:pPr>
              <w:keepNext/>
              <w:jc w:val="left"/>
              <w:rPr>
                <w:rFonts w:ascii="Arial" w:hAnsi="Arial" w:cs="Arial"/>
                <w:color w:val="000000"/>
                <w:sz w:val="18"/>
                <w:szCs w:val="18"/>
              </w:rPr>
            </w:pPr>
            <w:r w:rsidRPr="00661000">
              <w:rPr>
                <w:color w:val="000000"/>
                <w:sz w:val="18"/>
                <w:szCs w:val="18"/>
              </w:rPr>
              <w:t> </w:t>
            </w:r>
          </w:p>
        </w:tc>
        <w:tc>
          <w:tcPr>
            <w:tcW w:w="960" w:type="dxa"/>
            <w:tcBorders>
              <w:top w:val="nil"/>
              <w:left w:val="nil"/>
              <w:bottom w:val="nil"/>
              <w:right w:val="single" w:sz="4" w:space="0" w:color="auto"/>
            </w:tcBorders>
            <w:noWrap/>
            <w:vAlign w:val="bottom"/>
          </w:tcPr>
          <w:p w:rsidR="002C41C1" w:rsidRDefault="002C41C1">
            <w:pPr>
              <w:keepNext/>
              <w:jc w:val="left"/>
              <w:rPr>
                <w:rFonts w:ascii="Arial" w:hAnsi="Arial" w:cs="Arial"/>
                <w:color w:val="000000"/>
                <w:sz w:val="18"/>
                <w:szCs w:val="18"/>
              </w:rPr>
            </w:pPr>
            <w:r w:rsidRPr="00661000">
              <w:rPr>
                <w:color w:val="000000"/>
                <w:sz w:val="18"/>
                <w:szCs w:val="18"/>
              </w:rPr>
              <w:t> </w:t>
            </w:r>
          </w:p>
        </w:tc>
        <w:tc>
          <w:tcPr>
            <w:tcW w:w="5294" w:type="dxa"/>
            <w:vMerge w:val="restart"/>
            <w:tcBorders>
              <w:top w:val="single" w:sz="8" w:space="0" w:color="auto"/>
              <w:left w:val="single" w:sz="4" w:space="0" w:color="auto"/>
              <w:bottom w:val="single" w:sz="4" w:space="0" w:color="000000"/>
              <w:right w:val="single" w:sz="8" w:space="0" w:color="auto"/>
            </w:tcBorders>
            <w:shd w:val="clear" w:color="auto" w:fill="CCC0D9"/>
            <w:vAlign w:val="center"/>
          </w:tcPr>
          <w:p w:rsidR="002C41C1" w:rsidRDefault="002C41C1">
            <w:pPr>
              <w:keepNext/>
              <w:jc w:val="center"/>
              <w:rPr>
                <w:rFonts w:ascii="Arial" w:hAnsi="Arial" w:cs="Arial"/>
                <w:b/>
                <w:bCs/>
                <w:color w:val="000000"/>
                <w:sz w:val="18"/>
                <w:szCs w:val="18"/>
              </w:rPr>
            </w:pPr>
            <w:r w:rsidRPr="00661000">
              <w:rPr>
                <w:b/>
                <w:bCs/>
                <w:color w:val="000000"/>
                <w:sz w:val="18"/>
                <w:szCs w:val="18"/>
              </w:rPr>
              <w:t>Zvýhodněný úvěr s finančním příspěvkem</w:t>
            </w:r>
          </w:p>
        </w:tc>
      </w:tr>
      <w:tr w:rsidR="002C41C1" w:rsidRPr="00661000" w:rsidTr="00BD42FB">
        <w:trPr>
          <w:trHeight w:val="300"/>
        </w:trPr>
        <w:tc>
          <w:tcPr>
            <w:tcW w:w="2676" w:type="dxa"/>
            <w:tcBorders>
              <w:top w:val="nil"/>
              <w:left w:val="nil"/>
              <w:bottom w:val="single" w:sz="4" w:space="0" w:color="auto"/>
              <w:right w:val="nil"/>
            </w:tcBorders>
            <w:noWrap/>
            <w:vAlign w:val="bottom"/>
          </w:tcPr>
          <w:p w:rsidR="002C41C1" w:rsidRDefault="002C41C1">
            <w:pPr>
              <w:keepNext/>
              <w:jc w:val="left"/>
              <w:rPr>
                <w:rFonts w:ascii="Arial" w:hAnsi="Arial" w:cs="Arial"/>
                <w:color w:val="000000"/>
                <w:sz w:val="18"/>
                <w:szCs w:val="18"/>
              </w:rPr>
            </w:pPr>
            <w:r w:rsidRPr="00661000">
              <w:rPr>
                <w:color w:val="000000"/>
                <w:sz w:val="18"/>
                <w:szCs w:val="18"/>
              </w:rPr>
              <w:t> </w:t>
            </w:r>
          </w:p>
        </w:tc>
        <w:tc>
          <w:tcPr>
            <w:tcW w:w="960" w:type="dxa"/>
            <w:tcBorders>
              <w:top w:val="nil"/>
              <w:left w:val="nil"/>
              <w:bottom w:val="single" w:sz="4" w:space="0" w:color="auto"/>
              <w:right w:val="single" w:sz="4" w:space="0" w:color="auto"/>
            </w:tcBorders>
            <w:noWrap/>
            <w:vAlign w:val="bottom"/>
          </w:tcPr>
          <w:p w:rsidR="002C41C1" w:rsidRDefault="002C41C1">
            <w:pPr>
              <w:jc w:val="left"/>
              <w:rPr>
                <w:rFonts w:ascii="Times New Roman" w:hAnsi="Times New Roman"/>
                <w:sz w:val="20"/>
              </w:rPr>
            </w:pPr>
          </w:p>
        </w:tc>
        <w:tc>
          <w:tcPr>
            <w:tcW w:w="0" w:type="auto"/>
            <w:vMerge/>
            <w:tcBorders>
              <w:top w:val="single" w:sz="8" w:space="0" w:color="auto"/>
              <w:left w:val="single" w:sz="4" w:space="0" w:color="auto"/>
              <w:bottom w:val="single" w:sz="4" w:space="0" w:color="000000"/>
              <w:right w:val="single" w:sz="8" w:space="0" w:color="auto"/>
            </w:tcBorders>
            <w:vAlign w:val="center"/>
          </w:tcPr>
          <w:p w:rsidR="002C41C1" w:rsidRDefault="002C41C1">
            <w:pPr>
              <w:jc w:val="left"/>
              <w:rPr>
                <w:rFonts w:ascii="Arial" w:hAnsi="Arial" w:cs="Arial"/>
                <w:b/>
                <w:bCs/>
                <w:color w:val="000000"/>
                <w:sz w:val="18"/>
                <w:szCs w:val="18"/>
              </w:rPr>
            </w:pPr>
          </w:p>
        </w:tc>
      </w:tr>
      <w:tr w:rsidR="002C41C1" w:rsidRPr="00661000" w:rsidTr="00BD42FB">
        <w:trPr>
          <w:cantSplit/>
          <w:trHeight w:val="20"/>
        </w:trPr>
        <w:tc>
          <w:tcPr>
            <w:tcW w:w="2676" w:type="dxa"/>
            <w:vMerge w:val="restart"/>
            <w:tcBorders>
              <w:top w:val="single" w:sz="4" w:space="0" w:color="auto"/>
              <w:left w:val="single" w:sz="8" w:space="0" w:color="auto"/>
              <w:bottom w:val="single" w:sz="4" w:space="0" w:color="auto"/>
              <w:right w:val="single" w:sz="4" w:space="0" w:color="auto"/>
            </w:tcBorders>
            <w:shd w:val="clear" w:color="auto" w:fill="B6DDE8"/>
            <w:noWrap/>
            <w:textDirection w:val="btLr"/>
            <w:vAlign w:val="center"/>
          </w:tcPr>
          <w:p w:rsidR="002C41C1" w:rsidRDefault="003F31B1">
            <w:pPr>
              <w:keepNext/>
              <w:jc w:val="center"/>
              <w:rPr>
                <w:rFonts w:ascii="Arial" w:hAnsi="Arial" w:cs="Arial"/>
                <w:b/>
                <w:bCs/>
                <w:color w:val="000000"/>
                <w:sz w:val="18"/>
                <w:szCs w:val="18"/>
              </w:rPr>
            </w:pPr>
            <w:r>
              <w:rPr>
                <w:b/>
                <w:bCs/>
                <w:color w:val="000000"/>
                <w:sz w:val="18"/>
                <w:szCs w:val="18"/>
              </w:rPr>
              <w:t>Přidaná hodnota</w:t>
            </w:r>
          </w:p>
        </w:tc>
        <w:tc>
          <w:tcPr>
            <w:tcW w:w="960" w:type="dxa"/>
            <w:vMerge w:val="restart"/>
            <w:tcBorders>
              <w:top w:val="single" w:sz="4" w:space="0" w:color="auto"/>
              <w:left w:val="single" w:sz="4" w:space="0" w:color="auto"/>
              <w:bottom w:val="single" w:sz="4" w:space="0" w:color="000000"/>
              <w:right w:val="nil"/>
            </w:tcBorders>
            <w:shd w:val="clear" w:color="auto" w:fill="B6DDE8"/>
            <w:noWrap/>
            <w:textDirection w:val="btLr"/>
            <w:vAlign w:val="center"/>
          </w:tcPr>
          <w:p w:rsidR="002C41C1" w:rsidRDefault="003F31B1" w:rsidP="003F31B1">
            <w:pPr>
              <w:keepNext/>
              <w:jc w:val="center"/>
              <w:rPr>
                <w:rFonts w:ascii="Arial" w:hAnsi="Arial" w:cs="Arial"/>
                <w:b/>
                <w:bCs/>
                <w:color w:val="000000"/>
                <w:sz w:val="18"/>
                <w:szCs w:val="18"/>
              </w:rPr>
            </w:pPr>
            <w:r>
              <w:rPr>
                <w:b/>
                <w:bCs/>
                <w:color w:val="000000"/>
                <w:sz w:val="18"/>
                <w:szCs w:val="18"/>
              </w:rPr>
              <w:t>Konečný p</w:t>
            </w:r>
            <w:r w:rsidR="002C41C1" w:rsidRPr="00661000">
              <w:rPr>
                <w:b/>
                <w:bCs/>
                <w:color w:val="000000"/>
                <w:sz w:val="18"/>
                <w:szCs w:val="18"/>
              </w:rPr>
              <w:t>říjemce</w:t>
            </w:r>
          </w:p>
        </w:tc>
        <w:tc>
          <w:tcPr>
            <w:tcW w:w="5294" w:type="dxa"/>
            <w:tcBorders>
              <w:top w:val="nil"/>
              <w:left w:val="single" w:sz="4" w:space="0" w:color="auto"/>
              <w:bottom w:val="nil"/>
              <w:right w:val="single" w:sz="8" w:space="0" w:color="auto"/>
            </w:tcBorders>
            <w:shd w:val="clear" w:color="auto" w:fill="B6DDE8"/>
            <w:vAlign w:val="center"/>
          </w:tcPr>
          <w:p w:rsidR="002C41C1" w:rsidRDefault="002C41C1">
            <w:pPr>
              <w:keepNext/>
              <w:jc w:val="center"/>
              <w:rPr>
                <w:rFonts w:ascii="Arial" w:hAnsi="Arial" w:cs="Arial"/>
                <w:color w:val="000000"/>
                <w:sz w:val="18"/>
                <w:szCs w:val="18"/>
              </w:rPr>
            </w:pPr>
            <w:r w:rsidRPr="00661000">
              <w:rPr>
                <w:color w:val="000000"/>
                <w:sz w:val="18"/>
                <w:szCs w:val="18"/>
              </w:rPr>
              <w:t>Prodloužení doby splatnosti</w:t>
            </w:r>
          </w:p>
        </w:tc>
      </w:tr>
      <w:tr w:rsidR="002C41C1" w:rsidRPr="00661000" w:rsidTr="00BD42FB">
        <w:trPr>
          <w:cantSplit/>
          <w:trHeight w:val="20"/>
        </w:trPr>
        <w:tc>
          <w:tcPr>
            <w:tcW w:w="0" w:type="auto"/>
            <w:vMerge/>
            <w:tcBorders>
              <w:top w:val="single" w:sz="4" w:space="0" w:color="auto"/>
              <w:left w:val="single" w:sz="8" w:space="0" w:color="auto"/>
              <w:bottom w:val="single" w:sz="4" w:space="0" w:color="auto"/>
              <w:right w:val="single" w:sz="4" w:space="0" w:color="auto"/>
            </w:tcBorders>
            <w:vAlign w:val="center"/>
          </w:tcPr>
          <w:p w:rsidR="002C41C1" w:rsidRDefault="002C41C1">
            <w:pPr>
              <w:jc w:val="left"/>
              <w:rPr>
                <w:rFonts w:ascii="Arial" w:hAnsi="Arial" w:cs="Arial"/>
                <w:b/>
                <w:bCs/>
                <w:color w:val="000000"/>
                <w:sz w:val="18"/>
                <w:szCs w:val="18"/>
              </w:rPr>
            </w:pPr>
          </w:p>
        </w:tc>
        <w:tc>
          <w:tcPr>
            <w:tcW w:w="0" w:type="auto"/>
            <w:vMerge/>
            <w:tcBorders>
              <w:top w:val="single" w:sz="4" w:space="0" w:color="auto"/>
              <w:left w:val="single" w:sz="4" w:space="0" w:color="auto"/>
              <w:bottom w:val="single" w:sz="4" w:space="0" w:color="000000"/>
              <w:right w:val="nil"/>
            </w:tcBorders>
            <w:vAlign w:val="center"/>
          </w:tcPr>
          <w:p w:rsidR="002C41C1" w:rsidRDefault="002C41C1">
            <w:pPr>
              <w:jc w:val="left"/>
              <w:rPr>
                <w:rFonts w:ascii="Arial" w:hAnsi="Arial" w:cs="Arial"/>
                <w:b/>
                <w:bCs/>
                <w:color w:val="000000"/>
                <w:sz w:val="18"/>
                <w:szCs w:val="18"/>
              </w:rPr>
            </w:pPr>
          </w:p>
        </w:tc>
        <w:tc>
          <w:tcPr>
            <w:tcW w:w="5294" w:type="dxa"/>
            <w:tcBorders>
              <w:top w:val="nil"/>
              <w:left w:val="single" w:sz="4" w:space="0" w:color="auto"/>
              <w:bottom w:val="nil"/>
              <w:right w:val="single" w:sz="8" w:space="0" w:color="auto"/>
            </w:tcBorders>
            <w:shd w:val="clear" w:color="auto" w:fill="B6DDE8"/>
            <w:vAlign w:val="center"/>
          </w:tcPr>
          <w:p w:rsidR="002C41C1" w:rsidRDefault="002C41C1">
            <w:pPr>
              <w:keepNext/>
              <w:jc w:val="center"/>
              <w:rPr>
                <w:rFonts w:ascii="Arial" w:hAnsi="Arial" w:cs="Arial"/>
                <w:color w:val="000000"/>
                <w:sz w:val="18"/>
                <w:szCs w:val="18"/>
              </w:rPr>
            </w:pPr>
            <w:r w:rsidRPr="00661000">
              <w:rPr>
                <w:color w:val="000000"/>
                <w:sz w:val="18"/>
                <w:szCs w:val="18"/>
              </w:rPr>
              <w:t>Snížení úrokové sazby</w:t>
            </w:r>
          </w:p>
        </w:tc>
      </w:tr>
      <w:tr w:rsidR="002C41C1" w:rsidRPr="00661000" w:rsidTr="00BD42FB">
        <w:trPr>
          <w:cantSplit/>
          <w:trHeight w:val="20"/>
        </w:trPr>
        <w:tc>
          <w:tcPr>
            <w:tcW w:w="0" w:type="auto"/>
            <w:vMerge/>
            <w:tcBorders>
              <w:top w:val="single" w:sz="4" w:space="0" w:color="auto"/>
              <w:left w:val="single" w:sz="8" w:space="0" w:color="auto"/>
              <w:bottom w:val="single" w:sz="4" w:space="0" w:color="auto"/>
              <w:right w:val="single" w:sz="4" w:space="0" w:color="auto"/>
            </w:tcBorders>
            <w:vAlign w:val="center"/>
          </w:tcPr>
          <w:p w:rsidR="002C41C1" w:rsidRDefault="002C41C1">
            <w:pPr>
              <w:jc w:val="left"/>
              <w:rPr>
                <w:rFonts w:ascii="Arial" w:hAnsi="Arial" w:cs="Arial"/>
                <w:b/>
                <w:bCs/>
                <w:color w:val="000000"/>
                <w:sz w:val="18"/>
                <w:szCs w:val="18"/>
              </w:rPr>
            </w:pPr>
          </w:p>
        </w:tc>
        <w:tc>
          <w:tcPr>
            <w:tcW w:w="0" w:type="auto"/>
            <w:vMerge/>
            <w:tcBorders>
              <w:top w:val="single" w:sz="4" w:space="0" w:color="auto"/>
              <w:left w:val="single" w:sz="4" w:space="0" w:color="auto"/>
              <w:bottom w:val="single" w:sz="4" w:space="0" w:color="000000"/>
              <w:right w:val="nil"/>
            </w:tcBorders>
            <w:vAlign w:val="center"/>
          </w:tcPr>
          <w:p w:rsidR="002C41C1" w:rsidRDefault="002C41C1">
            <w:pPr>
              <w:jc w:val="left"/>
              <w:rPr>
                <w:rFonts w:ascii="Arial" w:hAnsi="Arial" w:cs="Arial"/>
                <w:b/>
                <w:bCs/>
                <w:color w:val="000000"/>
                <w:sz w:val="18"/>
                <w:szCs w:val="18"/>
              </w:rPr>
            </w:pPr>
          </w:p>
        </w:tc>
        <w:tc>
          <w:tcPr>
            <w:tcW w:w="5294" w:type="dxa"/>
            <w:tcBorders>
              <w:top w:val="nil"/>
              <w:left w:val="single" w:sz="4" w:space="0" w:color="auto"/>
              <w:bottom w:val="nil"/>
              <w:right w:val="single" w:sz="8" w:space="0" w:color="auto"/>
            </w:tcBorders>
            <w:shd w:val="clear" w:color="auto" w:fill="B6DDE8"/>
            <w:vAlign w:val="center"/>
          </w:tcPr>
          <w:p w:rsidR="002C41C1" w:rsidRDefault="002C41C1">
            <w:pPr>
              <w:keepNext/>
              <w:jc w:val="center"/>
              <w:rPr>
                <w:rFonts w:ascii="Arial" w:hAnsi="Arial" w:cs="Arial"/>
                <w:color w:val="000000"/>
                <w:sz w:val="18"/>
                <w:szCs w:val="18"/>
              </w:rPr>
            </w:pPr>
            <w:r>
              <w:rPr>
                <w:color w:val="000000"/>
                <w:sz w:val="18"/>
                <w:szCs w:val="18"/>
              </w:rPr>
              <w:t>Platba v předstihu</w:t>
            </w:r>
          </w:p>
        </w:tc>
      </w:tr>
      <w:tr w:rsidR="002C41C1" w:rsidRPr="00661000" w:rsidTr="00BD42FB">
        <w:trPr>
          <w:cantSplit/>
          <w:trHeight w:val="20"/>
        </w:trPr>
        <w:tc>
          <w:tcPr>
            <w:tcW w:w="0" w:type="auto"/>
            <w:vMerge/>
            <w:tcBorders>
              <w:top w:val="single" w:sz="4" w:space="0" w:color="auto"/>
              <w:left w:val="single" w:sz="8" w:space="0" w:color="auto"/>
              <w:bottom w:val="single" w:sz="4" w:space="0" w:color="auto"/>
              <w:right w:val="single" w:sz="4" w:space="0" w:color="auto"/>
            </w:tcBorders>
            <w:vAlign w:val="center"/>
          </w:tcPr>
          <w:p w:rsidR="002C41C1" w:rsidRDefault="002C41C1">
            <w:pPr>
              <w:jc w:val="left"/>
              <w:rPr>
                <w:rFonts w:ascii="Arial" w:hAnsi="Arial" w:cs="Arial"/>
                <w:b/>
                <w:bCs/>
                <w:color w:val="000000"/>
                <w:sz w:val="18"/>
                <w:szCs w:val="18"/>
              </w:rPr>
            </w:pPr>
          </w:p>
        </w:tc>
        <w:tc>
          <w:tcPr>
            <w:tcW w:w="0" w:type="auto"/>
            <w:vMerge/>
            <w:tcBorders>
              <w:top w:val="single" w:sz="4" w:space="0" w:color="auto"/>
              <w:left w:val="single" w:sz="4" w:space="0" w:color="auto"/>
              <w:bottom w:val="single" w:sz="4" w:space="0" w:color="000000"/>
              <w:right w:val="nil"/>
            </w:tcBorders>
            <w:vAlign w:val="center"/>
          </w:tcPr>
          <w:p w:rsidR="002C41C1" w:rsidRDefault="002C41C1">
            <w:pPr>
              <w:jc w:val="left"/>
              <w:rPr>
                <w:rFonts w:ascii="Arial" w:hAnsi="Arial" w:cs="Arial"/>
                <w:b/>
                <w:bCs/>
                <w:color w:val="000000"/>
                <w:sz w:val="18"/>
                <w:szCs w:val="18"/>
              </w:rPr>
            </w:pPr>
          </w:p>
        </w:tc>
        <w:tc>
          <w:tcPr>
            <w:tcW w:w="5294" w:type="dxa"/>
            <w:tcBorders>
              <w:top w:val="nil"/>
              <w:left w:val="single" w:sz="4" w:space="0" w:color="auto"/>
              <w:bottom w:val="nil"/>
              <w:right w:val="single" w:sz="8" w:space="0" w:color="auto"/>
            </w:tcBorders>
            <w:shd w:val="clear" w:color="auto" w:fill="B6DDE8"/>
            <w:vAlign w:val="center"/>
          </w:tcPr>
          <w:p w:rsidR="002C41C1" w:rsidRDefault="002C41C1">
            <w:pPr>
              <w:keepNext/>
              <w:jc w:val="center"/>
              <w:rPr>
                <w:rFonts w:ascii="Arial" w:hAnsi="Arial" w:cs="Arial"/>
                <w:color w:val="000000"/>
                <w:sz w:val="18"/>
                <w:szCs w:val="18"/>
              </w:rPr>
            </w:pPr>
            <w:r w:rsidRPr="00661000">
              <w:rPr>
                <w:color w:val="000000"/>
                <w:sz w:val="18"/>
                <w:szCs w:val="18"/>
              </w:rPr>
              <w:t>Nízká administrativní náročnost</w:t>
            </w:r>
          </w:p>
        </w:tc>
      </w:tr>
      <w:tr w:rsidR="002C41C1" w:rsidRPr="00661000" w:rsidTr="00BD42FB">
        <w:trPr>
          <w:cantSplit/>
          <w:trHeight w:val="20"/>
        </w:trPr>
        <w:tc>
          <w:tcPr>
            <w:tcW w:w="0" w:type="auto"/>
            <w:vMerge/>
            <w:tcBorders>
              <w:top w:val="single" w:sz="4" w:space="0" w:color="auto"/>
              <w:left w:val="single" w:sz="8" w:space="0" w:color="auto"/>
              <w:bottom w:val="single" w:sz="4" w:space="0" w:color="auto"/>
              <w:right w:val="single" w:sz="4" w:space="0" w:color="auto"/>
            </w:tcBorders>
            <w:vAlign w:val="center"/>
          </w:tcPr>
          <w:p w:rsidR="002C41C1" w:rsidRDefault="002C41C1">
            <w:pPr>
              <w:jc w:val="left"/>
              <w:rPr>
                <w:rFonts w:ascii="Arial" w:hAnsi="Arial" w:cs="Arial"/>
                <w:b/>
                <w:bCs/>
                <w:color w:val="000000"/>
                <w:sz w:val="18"/>
                <w:szCs w:val="18"/>
              </w:rPr>
            </w:pPr>
          </w:p>
        </w:tc>
        <w:tc>
          <w:tcPr>
            <w:tcW w:w="0" w:type="auto"/>
            <w:vMerge/>
            <w:tcBorders>
              <w:top w:val="single" w:sz="4" w:space="0" w:color="auto"/>
              <w:left w:val="single" w:sz="4" w:space="0" w:color="auto"/>
              <w:bottom w:val="single" w:sz="4" w:space="0" w:color="000000"/>
              <w:right w:val="nil"/>
            </w:tcBorders>
            <w:vAlign w:val="center"/>
          </w:tcPr>
          <w:p w:rsidR="002C41C1" w:rsidRDefault="002C41C1">
            <w:pPr>
              <w:jc w:val="left"/>
              <w:rPr>
                <w:rFonts w:ascii="Arial" w:hAnsi="Arial" w:cs="Arial"/>
                <w:b/>
                <w:bCs/>
                <w:color w:val="000000"/>
                <w:sz w:val="18"/>
                <w:szCs w:val="18"/>
              </w:rPr>
            </w:pPr>
          </w:p>
        </w:tc>
        <w:tc>
          <w:tcPr>
            <w:tcW w:w="5294" w:type="dxa"/>
            <w:tcBorders>
              <w:top w:val="nil"/>
              <w:left w:val="single" w:sz="4" w:space="0" w:color="auto"/>
              <w:bottom w:val="single" w:sz="4" w:space="0" w:color="auto"/>
              <w:right w:val="single" w:sz="8" w:space="0" w:color="auto"/>
            </w:tcBorders>
            <w:shd w:val="clear" w:color="auto" w:fill="B6DDE8"/>
            <w:vAlign w:val="center"/>
          </w:tcPr>
          <w:p w:rsidR="002C41C1" w:rsidRDefault="002C41C1">
            <w:pPr>
              <w:keepNext/>
              <w:jc w:val="center"/>
              <w:rPr>
                <w:rFonts w:ascii="Arial" w:hAnsi="Arial" w:cs="Arial"/>
                <w:color w:val="000000"/>
                <w:sz w:val="18"/>
                <w:szCs w:val="18"/>
              </w:rPr>
            </w:pPr>
            <w:r w:rsidRPr="00661000">
              <w:rPr>
                <w:color w:val="000000"/>
                <w:sz w:val="18"/>
                <w:szCs w:val="18"/>
              </w:rPr>
              <w:t>Eliminace utopených nákladů na energetický audit</w:t>
            </w:r>
          </w:p>
        </w:tc>
      </w:tr>
      <w:tr w:rsidR="002C41C1" w:rsidRPr="00661000" w:rsidTr="00BD42FB">
        <w:trPr>
          <w:cantSplit/>
          <w:trHeight w:val="513"/>
        </w:trPr>
        <w:tc>
          <w:tcPr>
            <w:tcW w:w="0" w:type="auto"/>
            <w:vMerge/>
            <w:tcBorders>
              <w:top w:val="single" w:sz="4" w:space="0" w:color="auto"/>
              <w:left w:val="single" w:sz="8" w:space="0" w:color="auto"/>
              <w:bottom w:val="single" w:sz="4" w:space="0" w:color="auto"/>
              <w:right w:val="single" w:sz="4" w:space="0" w:color="auto"/>
            </w:tcBorders>
            <w:vAlign w:val="center"/>
          </w:tcPr>
          <w:p w:rsidR="002C41C1" w:rsidRDefault="002C41C1">
            <w:pPr>
              <w:jc w:val="left"/>
              <w:rPr>
                <w:rFonts w:ascii="Arial" w:hAnsi="Arial" w:cs="Arial"/>
                <w:b/>
                <w:bCs/>
                <w:color w:val="000000"/>
                <w:sz w:val="18"/>
                <w:szCs w:val="18"/>
              </w:rPr>
            </w:pPr>
          </w:p>
        </w:tc>
        <w:tc>
          <w:tcPr>
            <w:tcW w:w="960" w:type="dxa"/>
            <w:tcBorders>
              <w:top w:val="nil"/>
              <w:left w:val="single" w:sz="4" w:space="0" w:color="auto"/>
              <w:bottom w:val="single" w:sz="4" w:space="0" w:color="auto"/>
              <w:right w:val="nil"/>
            </w:tcBorders>
            <w:shd w:val="clear" w:color="auto" w:fill="B6DDE8"/>
            <w:noWrap/>
            <w:textDirection w:val="btLr"/>
            <w:vAlign w:val="center"/>
          </w:tcPr>
          <w:p w:rsidR="002C41C1" w:rsidRDefault="002C41C1">
            <w:pPr>
              <w:keepNext/>
              <w:jc w:val="center"/>
              <w:rPr>
                <w:rFonts w:ascii="Arial" w:hAnsi="Arial" w:cs="Arial"/>
                <w:b/>
                <w:bCs/>
                <w:color w:val="000000"/>
                <w:sz w:val="18"/>
                <w:szCs w:val="18"/>
              </w:rPr>
            </w:pPr>
            <w:r w:rsidRPr="00661000">
              <w:rPr>
                <w:b/>
                <w:bCs/>
                <w:color w:val="000000"/>
                <w:sz w:val="18"/>
                <w:szCs w:val="18"/>
              </w:rPr>
              <w:t>ŘO</w:t>
            </w:r>
          </w:p>
        </w:tc>
        <w:tc>
          <w:tcPr>
            <w:tcW w:w="5294" w:type="dxa"/>
            <w:tcBorders>
              <w:top w:val="nil"/>
              <w:left w:val="single" w:sz="4" w:space="0" w:color="auto"/>
              <w:bottom w:val="single" w:sz="4" w:space="0" w:color="auto"/>
              <w:right w:val="single" w:sz="8" w:space="0" w:color="auto"/>
            </w:tcBorders>
            <w:shd w:val="clear" w:color="auto" w:fill="B6DDE8"/>
            <w:vAlign w:val="center"/>
          </w:tcPr>
          <w:p w:rsidR="002C41C1" w:rsidRDefault="002C41C1">
            <w:pPr>
              <w:keepNext/>
              <w:jc w:val="center"/>
              <w:rPr>
                <w:rFonts w:ascii="Arial" w:hAnsi="Arial" w:cs="Arial"/>
                <w:color w:val="000000"/>
                <w:sz w:val="18"/>
                <w:szCs w:val="18"/>
              </w:rPr>
            </w:pPr>
            <w:r w:rsidRPr="00661000">
              <w:rPr>
                <w:color w:val="000000"/>
                <w:sz w:val="18"/>
                <w:szCs w:val="18"/>
              </w:rPr>
              <w:t>Predikovatelné splátky</w:t>
            </w:r>
          </w:p>
        </w:tc>
      </w:tr>
    </w:tbl>
    <w:p w:rsidR="002C41C1" w:rsidRDefault="002C41C1" w:rsidP="00F2306B"/>
    <w:p w:rsidR="002C41C1" w:rsidRDefault="002C41C1" w:rsidP="00462E37">
      <w:pPr>
        <w:pStyle w:val="Vtneslovannadpis"/>
        <w:rPr>
          <w:lang w:eastAsia="en-US"/>
        </w:rPr>
      </w:pPr>
      <w:r>
        <w:rPr>
          <w:lang w:eastAsia="en-US"/>
        </w:rPr>
        <w:t>Aktivování investičního potenciálu</w:t>
      </w:r>
    </w:p>
    <w:p w:rsidR="002C41C1" w:rsidRDefault="002C41C1" w:rsidP="00E01C2E">
      <w:r w:rsidRPr="007B07AF">
        <w:lastRenderedPageBreak/>
        <w:t>Sti</w:t>
      </w:r>
      <w:r w:rsidRPr="00DF6E0B">
        <w:t>mulační efekt jednotlivých forem finančních nástrojů plynoucí z výsledků dotazníkového šetření uvádí následující Tabulka 17.</w:t>
      </w:r>
    </w:p>
    <w:p w:rsidR="002C41C1" w:rsidRDefault="002C41C1" w:rsidP="007B07AF"/>
    <w:tbl>
      <w:tblPr>
        <w:tblW w:w="9343" w:type="dxa"/>
        <w:tblBorders>
          <w:bottom w:val="single" w:sz="4" w:space="0" w:color="00A1DE"/>
          <w:insideH w:val="single" w:sz="4" w:space="0" w:color="00A1DE"/>
        </w:tblBorders>
        <w:tblCellMar>
          <w:left w:w="0" w:type="dxa"/>
          <w:right w:w="0" w:type="dxa"/>
        </w:tblCellMar>
        <w:tblLook w:val="00A0" w:firstRow="1" w:lastRow="0" w:firstColumn="1" w:lastColumn="0" w:noHBand="0" w:noVBand="0"/>
      </w:tblPr>
      <w:tblGrid>
        <w:gridCol w:w="3256"/>
        <w:gridCol w:w="1141"/>
        <w:gridCol w:w="1038"/>
        <w:gridCol w:w="1038"/>
        <w:gridCol w:w="1038"/>
        <w:gridCol w:w="1265"/>
        <w:gridCol w:w="679"/>
      </w:tblGrid>
      <w:tr w:rsidR="002C41C1" w:rsidRPr="00661000" w:rsidTr="00661000">
        <w:trPr>
          <w:trHeight w:val="194"/>
        </w:trPr>
        <w:tc>
          <w:tcPr>
            <w:tcW w:w="3240" w:type="dxa"/>
            <w:tcBorders>
              <w:top w:val="nil"/>
              <w:left w:val="nil"/>
              <w:right w:val="nil"/>
            </w:tcBorders>
            <w:shd w:val="clear" w:color="auto" w:fill="00A1DE"/>
            <w:noWrap/>
          </w:tcPr>
          <w:p w:rsidR="002C41C1" w:rsidRPr="00661000" w:rsidRDefault="002C41C1" w:rsidP="00661000">
            <w:pPr>
              <w:jc w:val="left"/>
              <w:rPr>
                <w:rFonts w:ascii="Arial" w:hAnsi="Arial" w:cs="Arial"/>
                <w:b/>
                <w:bCs/>
                <w:color w:val="000000"/>
                <w:sz w:val="18"/>
                <w:szCs w:val="18"/>
              </w:rPr>
            </w:pPr>
            <w:r w:rsidRPr="00661000">
              <w:rPr>
                <w:b/>
                <w:bCs/>
                <w:color w:val="000000"/>
                <w:sz w:val="18"/>
                <w:szCs w:val="18"/>
              </w:rPr>
              <w:t> </w:t>
            </w:r>
          </w:p>
        </w:tc>
        <w:tc>
          <w:tcPr>
            <w:tcW w:w="1125" w:type="dxa"/>
            <w:tcBorders>
              <w:top w:val="nil"/>
              <w:left w:val="nil"/>
              <w:right w:val="nil"/>
            </w:tcBorders>
            <w:shd w:val="clear" w:color="auto" w:fill="00A1DE"/>
            <w:noWrap/>
            <w:vAlign w:val="center"/>
          </w:tcPr>
          <w:p w:rsidR="002C41C1" w:rsidRPr="00661000" w:rsidRDefault="002C41C1" w:rsidP="00661000">
            <w:pPr>
              <w:jc w:val="center"/>
              <w:rPr>
                <w:rFonts w:ascii="Arial" w:hAnsi="Arial" w:cs="Arial"/>
                <w:b/>
                <w:bCs/>
                <w:color w:val="EEECE1"/>
                <w:sz w:val="18"/>
                <w:szCs w:val="18"/>
              </w:rPr>
            </w:pPr>
            <w:r w:rsidRPr="00661000">
              <w:rPr>
                <w:b/>
                <w:bCs/>
                <w:color w:val="EEECE1"/>
                <w:sz w:val="18"/>
                <w:szCs w:val="18"/>
              </w:rPr>
              <w:t>Určitě ano</w:t>
            </w:r>
          </w:p>
        </w:tc>
        <w:tc>
          <w:tcPr>
            <w:tcW w:w="1022" w:type="dxa"/>
            <w:tcBorders>
              <w:top w:val="nil"/>
              <w:left w:val="nil"/>
              <w:right w:val="nil"/>
            </w:tcBorders>
            <w:shd w:val="clear" w:color="auto" w:fill="00A1DE"/>
            <w:noWrap/>
            <w:vAlign w:val="center"/>
          </w:tcPr>
          <w:p w:rsidR="002C41C1" w:rsidRPr="00661000" w:rsidRDefault="002C41C1" w:rsidP="00661000">
            <w:pPr>
              <w:jc w:val="center"/>
              <w:rPr>
                <w:rFonts w:ascii="Arial" w:hAnsi="Arial" w:cs="Arial"/>
                <w:b/>
                <w:bCs/>
                <w:color w:val="EEECE1"/>
                <w:sz w:val="18"/>
                <w:szCs w:val="18"/>
              </w:rPr>
            </w:pPr>
            <w:r w:rsidRPr="00661000">
              <w:rPr>
                <w:b/>
                <w:bCs/>
                <w:color w:val="EEECE1"/>
                <w:sz w:val="18"/>
                <w:szCs w:val="18"/>
              </w:rPr>
              <w:t>Spíše ano</w:t>
            </w:r>
          </w:p>
        </w:tc>
        <w:tc>
          <w:tcPr>
            <w:tcW w:w="1022" w:type="dxa"/>
            <w:tcBorders>
              <w:top w:val="nil"/>
              <w:left w:val="nil"/>
              <w:right w:val="nil"/>
            </w:tcBorders>
            <w:shd w:val="clear" w:color="auto" w:fill="00A1DE"/>
            <w:noWrap/>
            <w:vAlign w:val="center"/>
          </w:tcPr>
          <w:p w:rsidR="002C41C1" w:rsidRPr="00661000" w:rsidRDefault="002C41C1" w:rsidP="00661000">
            <w:pPr>
              <w:jc w:val="center"/>
              <w:rPr>
                <w:rFonts w:ascii="Arial" w:hAnsi="Arial" w:cs="Arial"/>
                <w:b/>
                <w:bCs/>
                <w:color w:val="EEECE1"/>
                <w:sz w:val="18"/>
                <w:szCs w:val="18"/>
              </w:rPr>
            </w:pPr>
            <w:r w:rsidRPr="00661000">
              <w:rPr>
                <w:b/>
                <w:bCs/>
                <w:color w:val="EEECE1"/>
                <w:sz w:val="18"/>
                <w:szCs w:val="18"/>
              </w:rPr>
              <w:t>Spíše ne</w:t>
            </w:r>
          </w:p>
        </w:tc>
        <w:tc>
          <w:tcPr>
            <w:tcW w:w="1022" w:type="dxa"/>
            <w:tcBorders>
              <w:top w:val="nil"/>
              <w:left w:val="nil"/>
              <w:right w:val="nil"/>
            </w:tcBorders>
            <w:shd w:val="clear" w:color="auto" w:fill="00A1DE"/>
            <w:noWrap/>
            <w:vAlign w:val="center"/>
          </w:tcPr>
          <w:p w:rsidR="002C41C1" w:rsidRPr="00661000" w:rsidRDefault="002C41C1" w:rsidP="00661000">
            <w:pPr>
              <w:jc w:val="center"/>
              <w:rPr>
                <w:rFonts w:ascii="Arial" w:hAnsi="Arial" w:cs="Arial"/>
                <w:b/>
                <w:bCs/>
                <w:color w:val="EEECE1"/>
                <w:sz w:val="18"/>
                <w:szCs w:val="18"/>
              </w:rPr>
            </w:pPr>
            <w:r w:rsidRPr="00661000">
              <w:rPr>
                <w:b/>
                <w:bCs/>
                <w:color w:val="EEECE1"/>
                <w:sz w:val="18"/>
                <w:szCs w:val="18"/>
              </w:rPr>
              <w:t>Určitě ne</w:t>
            </w:r>
          </w:p>
        </w:tc>
        <w:tc>
          <w:tcPr>
            <w:tcW w:w="1249" w:type="dxa"/>
            <w:tcBorders>
              <w:top w:val="nil"/>
              <w:left w:val="nil"/>
              <w:right w:val="nil"/>
            </w:tcBorders>
            <w:shd w:val="clear" w:color="auto" w:fill="00A1DE"/>
            <w:noWrap/>
          </w:tcPr>
          <w:p w:rsidR="002C41C1" w:rsidRPr="00661000" w:rsidRDefault="002C41C1" w:rsidP="00661000">
            <w:pPr>
              <w:jc w:val="center"/>
              <w:rPr>
                <w:rFonts w:ascii="Arial" w:hAnsi="Arial" w:cs="Arial"/>
                <w:b/>
                <w:bCs/>
                <w:color w:val="000000"/>
                <w:sz w:val="18"/>
                <w:szCs w:val="18"/>
              </w:rPr>
            </w:pPr>
            <w:r w:rsidRPr="00661000">
              <w:rPr>
                <w:b/>
                <w:bCs/>
                <w:color w:val="000000"/>
                <w:sz w:val="18"/>
                <w:szCs w:val="18"/>
              </w:rPr>
              <w:t> </w:t>
            </w:r>
            <w:r w:rsidRPr="00661000">
              <w:rPr>
                <w:b/>
                <w:bCs/>
                <w:color w:val="EEECE1"/>
                <w:sz w:val="18"/>
                <w:szCs w:val="18"/>
              </w:rPr>
              <w:t>Typ nástroje</w:t>
            </w:r>
          </w:p>
        </w:tc>
        <w:tc>
          <w:tcPr>
            <w:tcW w:w="663" w:type="dxa"/>
            <w:tcBorders>
              <w:top w:val="nil"/>
              <w:left w:val="nil"/>
              <w:right w:val="nil"/>
            </w:tcBorders>
            <w:shd w:val="clear" w:color="auto" w:fill="00A1DE"/>
            <w:noWrap/>
          </w:tcPr>
          <w:p w:rsidR="002C41C1" w:rsidRPr="00661000" w:rsidRDefault="002C41C1" w:rsidP="00661000">
            <w:pPr>
              <w:jc w:val="left"/>
              <w:rPr>
                <w:rFonts w:ascii="Arial" w:hAnsi="Arial" w:cs="Arial"/>
                <w:b/>
                <w:bCs/>
                <w:color w:val="000000"/>
                <w:sz w:val="18"/>
                <w:szCs w:val="18"/>
              </w:rPr>
            </w:pPr>
            <w:r w:rsidRPr="00661000">
              <w:rPr>
                <w:b/>
                <w:bCs/>
                <w:color w:val="000000"/>
                <w:sz w:val="18"/>
                <w:szCs w:val="18"/>
              </w:rPr>
              <w:t> </w:t>
            </w:r>
          </w:p>
        </w:tc>
      </w:tr>
      <w:tr w:rsidR="002C41C1" w:rsidRPr="00661000" w:rsidTr="00661000">
        <w:trPr>
          <w:trHeight w:val="203"/>
        </w:trPr>
        <w:tc>
          <w:tcPr>
            <w:tcW w:w="3240" w:type="dxa"/>
            <w:vMerge w:val="restart"/>
            <w:tcBorders>
              <w:left w:val="nil"/>
              <w:right w:val="nil"/>
            </w:tcBorders>
            <w:shd w:val="clear" w:color="auto" w:fill="FFFFFF"/>
            <w:noWrap/>
            <w:vAlign w:val="center"/>
          </w:tcPr>
          <w:p w:rsidR="002C41C1" w:rsidRPr="00661000" w:rsidRDefault="002C41C1" w:rsidP="00661000">
            <w:pPr>
              <w:jc w:val="center"/>
              <w:rPr>
                <w:rFonts w:ascii="Arial" w:hAnsi="Arial" w:cs="Arial"/>
                <w:color w:val="000000"/>
                <w:sz w:val="18"/>
                <w:szCs w:val="18"/>
                <w:lang w:eastAsia="en-US"/>
              </w:rPr>
            </w:pPr>
            <w:r w:rsidRPr="00661000">
              <w:rPr>
                <w:color w:val="000000"/>
                <w:sz w:val="18"/>
                <w:szCs w:val="18"/>
              </w:rPr>
              <w:t>Investice do rekonstrukce soustavy zásobování teplem</w:t>
            </w:r>
          </w:p>
        </w:tc>
        <w:tc>
          <w:tcPr>
            <w:tcW w:w="1125"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14%</w:t>
            </w:r>
          </w:p>
        </w:tc>
        <w:tc>
          <w:tcPr>
            <w:tcW w:w="1022"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16%</w:t>
            </w:r>
          </w:p>
        </w:tc>
        <w:tc>
          <w:tcPr>
            <w:tcW w:w="1022"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19%</w:t>
            </w:r>
          </w:p>
        </w:tc>
        <w:tc>
          <w:tcPr>
            <w:tcW w:w="1022"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51%</w:t>
            </w:r>
          </w:p>
        </w:tc>
        <w:tc>
          <w:tcPr>
            <w:tcW w:w="1912" w:type="dxa"/>
            <w:gridSpan w:val="2"/>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Kapitálový vstup</w:t>
            </w:r>
          </w:p>
        </w:tc>
      </w:tr>
      <w:tr w:rsidR="002C41C1" w:rsidRPr="00661000" w:rsidTr="00661000">
        <w:trPr>
          <w:trHeight w:val="203"/>
        </w:trPr>
        <w:tc>
          <w:tcPr>
            <w:tcW w:w="0" w:type="auto"/>
            <w:vMerge/>
            <w:tcBorders>
              <w:left w:val="nil"/>
              <w:right w:val="nil"/>
            </w:tcBorders>
            <w:shd w:val="clear" w:color="auto" w:fill="FFFFFF"/>
            <w:vAlign w:val="center"/>
          </w:tcPr>
          <w:p w:rsidR="002C41C1" w:rsidRPr="00661000" w:rsidRDefault="002C41C1" w:rsidP="00661000">
            <w:pPr>
              <w:jc w:val="left"/>
              <w:rPr>
                <w:rFonts w:ascii="Arial" w:hAnsi="Arial" w:cs="Arial"/>
                <w:color w:val="000000"/>
                <w:sz w:val="18"/>
                <w:szCs w:val="18"/>
                <w:lang w:eastAsia="en-US"/>
              </w:rPr>
            </w:pPr>
          </w:p>
        </w:tc>
        <w:tc>
          <w:tcPr>
            <w:tcW w:w="1125"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14%</w:t>
            </w:r>
          </w:p>
        </w:tc>
        <w:tc>
          <w:tcPr>
            <w:tcW w:w="1022"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28%</w:t>
            </w:r>
          </w:p>
        </w:tc>
        <w:tc>
          <w:tcPr>
            <w:tcW w:w="1022"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19%</w:t>
            </w:r>
          </w:p>
        </w:tc>
        <w:tc>
          <w:tcPr>
            <w:tcW w:w="1022"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40%</w:t>
            </w:r>
          </w:p>
        </w:tc>
        <w:tc>
          <w:tcPr>
            <w:tcW w:w="1912" w:type="dxa"/>
            <w:gridSpan w:val="2"/>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Záruky</w:t>
            </w:r>
          </w:p>
        </w:tc>
      </w:tr>
      <w:tr w:rsidR="002C41C1" w:rsidRPr="00661000" w:rsidTr="00661000">
        <w:trPr>
          <w:trHeight w:val="203"/>
        </w:trPr>
        <w:tc>
          <w:tcPr>
            <w:tcW w:w="0" w:type="auto"/>
            <w:vMerge/>
            <w:tcBorders>
              <w:left w:val="nil"/>
              <w:right w:val="nil"/>
            </w:tcBorders>
            <w:shd w:val="clear" w:color="auto" w:fill="FFFFFF"/>
            <w:vAlign w:val="center"/>
          </w:tcPr>
          <w:p w:rsidR="002C41C1" w:rsidRPr="00661000" w:rsidRDefault="002C41C1" w:rsidP="00661000">
            <w:pPr>
              <w:jc w:val="left"/>
              <w:rPr>
                <w:rFonts w:ascii="Arial" w:hAnsi="Arial" w:cs="Arial"/>
                <w:color w:val="000000"/>
                <w:sz w:val="18"/>
                <w:szCs w:val="18"/>
                <w:lang w:eastAsia="en-US"/>
              </w:rPr>
            </w:pPr>
          </w:p>
        </w:tc>
        <w:tc>
          <w:tcPr>
            <w:tcW w:w="1125"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31%</w:t>
            </w:r>
          </w:p>
        </w:tc>
        <w:tc>
          <w:tcPr>
            <w:tcW w:w="1022"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25%</w:t>
            </w:r>
          </w:p>
        </w:tc>
        <w:tc>
          <w:tcPr>
            <w:tcW w:w="1022"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16%</w:t>
            </w:r>
          </w:p>
        </w:tc>
        <w:tc>
          <w:tcPr>
            <w:tcW w:w="1022"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28%</w:t>
            </w:r>
          </w:p>
        </w:tc>
        <w:tc>
          <w:tcPr>
            <w:tcW w:w="1912" w:type="dxa"/>
            <w:gridSpan w:val="2"/>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Zvýhodněný úvěr</w:t>
            </w:r>
          </w:p>
        </w:tc>
      </w:tr>
      <w:tr w:rsidR="002C41C1" w:rsidRPr="00661000" w:rsidTr="00661000">
        <w:trPr>
          <w:trHeight w:val="20"/>
        </w:trPr>
        <w:tc>
          <w:tcPr>
            <w:tcW w:w="9343" w:type="dxa"/>
            <w:gridSpan w:val="7"/>
            <w:tcBorders>
              <w:left w:val="nil"/>
              <w:right w:val="nil"/>
            </w:tcBorders>
            <w:shd w:val="clear" w:color="auto" w:fill="548DD4"/>
            <w:vAlign w:val="center"/>
          </w:tcPr>
          <w:p w:rsidR="002C41C1" w:rsidRPr="00661000" w:rsidRDefault="002C41C1" w:rsidP="00661000">
            <w:pPr>
              <w:jc w:val="left"/>
              <w:rPr>
                <w:rFonts w:cs="Arial"/>
                <w:color w:val="FFFFFF"/>
                <w:sz w:val="18"/>
                <w:szCs w:val="18"/>
                <w:lang w:eastAsia="en-US"/>
              </w:rPr>
            </w:pPr>
            <w:r w:rsidRPr="00661000">
              <w:rPr>
                <w:b/>
                <w:bCs/>
                <w:color w:val="FFFFFF"/>
                <w:sz w:val="18"/>
                <w:szCs w:val="18"/>
              </w:rPr>
              <w:t>V případě, že jste odpověděli spíše ne/ne, změnila by se Vaše odpověď na minulou otázku, kdyby zvýhodněný úvěr obsahoval příslib omezené dotační podpory (např. 10% celkové investice) v případě, že jsou naplněny vybrané cíle projektu?</w:t>
            </w:r>
          </w:p>
          <w:p w:rsidR="002C41C1" w:rsidRPr="00661000" w:rsidRDefault="002C41C1" w:rsidP="00661000">
            <w:pPr>
              <w:keepNext/>
              <w:jc w:val="left"/>
              <w:rPr>
                <w:rFonts w:ascii="Arial" w:hAnsi="Arial" w:cs="Arial"/>
                <w:color w:val="FFFFFF"/>
                <w:sz w:val="18"/>
                <w:szCs w:val="18"/>
              </w:rPr>
            </w:pPr>
          </w:p>
        </w:tc>
      </w:tr>
      <w:tr w:rsidR="002C41C1" w:rsidRPr="00661000" w:rsidTr="00661000">
        <w:trPr>
          <w:trHeight w:val="20"/>
        </w:trPr>
        <w:tc>
          <w:tcPr>
            <w:tcW w:w="3240" w:type="dxa"/>
            <w:tcBorders>
              <w:left w:val="nil"/>
              <w:right w:val="nil"/>
            </w:tcBorders>
            <w:shd w:val="clear" w:color="auto" w:fill="548DD4"/>
            <w:vAlign w:val="center"/>
          </w:tcPr>
          <w:p w:rsidR="002C41C1" w:rsidRPr="00661000" w:rsidRDefault="002C41C1" w:rsidP="00661000">
            <w:pPr>
              <w:keepNext/>
              <w:rPr>
                <w:rFonts w:ascii="Arial" w:hAnsi="Arial" w:cs="Arial"/>
                <w:b/>
                <w:bCs/>
                <w:color w:val="FFFFFF"/>
                <w:sz w:val="18"/>
                <w:szCs w:val="18"/>
              </w:rPr>
            </w:pPr>
          </w:p>
        </w:tc>
        <w:tc>
          <w:tcPr>
            <w:tcW w:w="1125" w:type="dxa"/>
            <w:tcBorders>
              <w:left w:val="nil"/>
              <w:right w:val="nil"/>
            </w:tcBorders>
            <w:shd w:val="clear" w:color="auto" w:fill="548DD4"/>
            <w:noWrap/>
          </w:tcPr>
          <w:p w:rsidR="002C41C1" w:rsidRPr="00661000" w:rsidRDefault="002C41C1" w:rsidP="00661000">
            <w:pPr>
              <w:jc w:val="center"/>
              <w:rPr>
                <w:rFonts w:ascii="Arial" w:hAnsi="Arial" w:cs="Arial"/>
                <w:b/>
                <w:bCs/>
                <w:color w:val="FFFFFF"/>
                <w:sz w:val="18"/>
                <w:szCs w:val="18"/>
              </w:rPr>
            </w:pPr>
            <w:r w:rsidRPr="00661000">
              <w:rPr>
                <w:b/>
                <w:bCs/>
                <w:color w:val="FFFFFF"/>
                <w:sz w:val="18"/>
                <w:szCs w:val="18"/>
              </w:rPr>
              <w:t>Určitě ano</w:t>
            </w:r>
          </w:p>
        </w:tc>
        <w:tc>
          <w:tcPr>
            <w:tcW w:w="1022" w:type="dxa"/>
            <w:tcBorders>
              <w:left w:val="nil"/>
              <w:right w:val="nil"/>
            </w:tcBorders>
            <w:shd w:val="clear" w:color="auto" w:fill="548DD4"/>
            <w:noWrap/>
          </w:tcPr>
          <w:p w:rsidR="002C41C1" w:rsidRPr="00661000" w:rsidRDefault="002C41C1" w:rsidP="00661000">
            <w:pPr>
              <w:jc w:val="center"/>
              <w:rPr>
                <w:rFonts w:ascii="Arial" w:hAnsi="Arial" w:cs="Arial"/>
                <w:b/>
                <w:bCs/>
                <w:color w:val="FFFFFF"/>
                <w:sz w:val="18"/>
                <w:szCs w:val="18"/>
              </w:rPr>
            </w:pPr>
            <w:r w:rsidRPr="00661000">
              <w:rPr>
                <w:b/>
                <w:bCs/>
                <w:color w:val="FFFFFF"/>
                <w:sz w:val="18"/>
                <w:szCs w:val="18"/>
              </w:rPr>
              <w:t>Spíše ano</w:t>
            </w:r>
          </w:p>
        </w:tc>
        <w:tc>
          <w:tcPr>
            <w:tcW w:w="1022" w:type="dxa"/>
            <w:tcBorders>
              <w:left w:val="nil"/>
              <w:right w:val="nil"/>
            </w:tcBorders>
            <w:shd w:val="clear" w:color="auto" w:fill="548DD4"/>
            <w:noWrap/>
          </w:tcPr>
          <w:p w:rsidR="002C41C1" w:rsidRPr="00661000" w:rsidRDefault="002C41C1" w:rsidP="00661000">
            <w:pPr>
              <w:jc w:val="center"/>
              <w:rPr>
                <w:rFonts w:ascii="Arial" w:hAnsi="Arial" w:cs="Arial"/>
                <w:b/>
                <w:bCs/>
                <w:color w:val="FFFFFF"/>
                <w:sz w:val="18"/>
                <w:szCs w:val="18"/>
              </w:rPr>
            </w:pPr>
            <w:r w:rsidRPr="00661000">
              <w:rPr>
                <w:b/>
                <w:bCs/>
                <w:color w:val="FFFFFF"/>
                <w:sz w:val="18"/>
                <w:szCs w:val="18"/>
              </w:rPr>
              <w:t>Spíše ne</w:t>
            </w:r>
          </w:p>
        </w:tc>
        <w:tc>
          <w:tcPr>
            <w:tcW w:w="1022" w:type="dxa"/>
            <w:tcBorders>
              <w:left w:val="nil"/>
              <w:right w:val="nil"/>
            </w:tcBorders>
            <w:shd w:val="clear" w:color="auto" w:fill="548DD4"/>
            <w:noWrap/>
          </w:tcPr>
          <w:p w:rsidR="002C41C1" w:rsidRPr="00661000" w:rsidRDefault="002C41C1" w:rsidP="00661000">
            <w:pPr>
              <w:jc w:val="center"/>
              <w:rPr>
                <w:rFonts w:ascii="Arial" w:hAnsi="Arial" w:cs="Arial"/>
                <w:b/>
                <w:bCs/>
                <w:color w:val="FFFFFF"/>
                <w:sz w:val="18"/>
                <w:szCs w:val="18"/>
              </w:rPr>
            </w:pPr>
            <w:r w:rsidRPr="00661000">
              <w:rPr>
                <w:b/>
                <w:bCs/>
                <w:color w:val="FFFFFF"/>
                <w:sz w:val="18"/>
                <w:szCs w:val="18"/>
              </w:rPr>
              <w:t>Určitě ne</w:t>
            </w:r>
          </w:p>
        </w:tc>
        <w:tc>
          <w:tcPr>
            <w:tcW w:w="1912" w:type="dxa"/>
            <w:gridSpan w:val="2"/>
            <w:tcBorders>
              <w:left w:val="nil"/>
              <w:right w:val="nil"/>
            </w:tcBorders>
            <w:shd w:val="clear" w:color="auto" w:fill="548DD4"/>
            <w:noWrap/>
          </w:tcPr>
          <w:p w:rsidR="002C41C1" w:rsidRPr="00661000" w:rsidRDefault="002C41C1" w:rsidP="00661000">
            <w:pPr>
              <w:jc w:val="center"/>
              <w:rPr>
                <w:rFonts w:ascii="Arial" w:hAnsi="Arial" w:cs="Arial"/>
                <w:b/>
                <w:bCs/>
                <w:color w:val="FFFFFF"/>
                <w:sz w:val="18"/>
                <w:szCs w:val="18"/>
              </w:rPr>
            </w:pPr>
            <w:r w:rsidRPr="00661000">
              <w:rPr>
                <w:b/>
                <w:bCs/>
                <w:color w:val="FFFFFF"/>
                <w:sz w:val="18"/>
                <w:szCs w:val="18"/>
              </w:rPr>
              <w:t xml:space="preserve"> Typ nástroje</w:t>
            </w:r>
          </w:p>
        </w:tc>
      </w:tr>
      <w:tr w:rsidR="002C41C1" w:rsidRPr="00661000" w:rsidTr="00661000">
        <w:trPr>
          <w:trHeight w:val="203"/>
        </w:trPr>
        <w:tc>
          <w:tcPr>
            <w:tcW w:w="3240" w:type="dxa"/>
            <w:tcBorders>
              <w:left w:val="nil"/>
              <w:right w:val="nil"/>
            </w:tcBorders>
            <w:shd w:val="clear" w:color="auto" w:fill="FFFFFF"/>
            <w:vAlign w:val="center"/>
          </w:tcPr>
          <w:p w:rsidR="002C41C1" w:rsidRPr="00661000" w:rsidRDefault="002C41C1" w:rsidP="00661000">
            <w:pPr>
              <w:jc w:val="center"/>
              <w:rPr>
                <w:rFonts w:ascii="Arial" w:hAnsi="Arial" w:cs="Arial"/>
                <w:color w:val="000000"/>
                <w:sz w:val="18"/>
                <w:szCs w:val="18"/>
                <w:lang w:eastAsia="en-US"/>
              </w:rPr>
            </w:pPr>
            <w:r w:rsidRPr="00661000">
              <w:rPr>
                <w:color w:val="000000"/>
                <w:sz w:val="18"/>
                <w:szCs w:val="18"/>
              </w:rPr>
              <w:t>Investice do rekonstrukce soustavy zásobování teplem</w:t>
            </w:r>
          </w:p>
        </w:tc>
        <w:tc>
          <w:tcPr>
            <w:tcW w:w="1125"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15%</w:t>
            </w:r>
          </w:p>
        </w:tc>
        <w:tc>
          <w:tcPr>
            <w:tcW w:w="1022"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28%</w:t>
            </w:r>
          </w:p>
        </w:tc>
        <w:tc>
          <w:tcPr>
            <w:tcW w:w="1022"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22%</w:t>
            </w:r>
          </w:p>
        </w:tc>
        <w:tc>
          <w:tcPr>
            <w:tcW w:w="1022" w:type="dxa"/>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rPr>
            </w:pPr>
            <w:r w:rsidRPr="00661000">
              <w:rPr>
                <w:color w:val="000000"/>
                <w:sz w:val="18"/>
                <w:szCs w:val="18"/>
              </w:rPr>
              <w:t>35%</w:t>
            </w:r>
          </w:p>
        </w:tc>
        <w:tc>
          <w:tcPr>
            <w:tcW w:w="1912" w:type="dxa"/>
            <w:gridSpan w:val="2"/>
            <w:tcBorders>
              <w:left w:val="nil"/>
              <w:right w:val="nil"/>
            </w:tcBorders>
            <w:shd w:val="clear" w:color="auto" w:fill="FFFFFF"/>
            <w:noWrap/>
            <w:vAlign w:val="center"/>
          </w:tcPr>
          <w:p w:rsidR="002C41C1" w:rsidRPr="00661000" w:rsidRDefault="002C41C1" w:rsidP="00661000">
            <w:pPr>
              <w:jc w:val="right"/>
              <w:rPr>
                <w:rFonts w:ascii="Arial" w:hAnsi="Arial" w:cs="Arial"/>
                <w:color w:val="000000"/>
                <w:sz w:val="18"/>
                <w:szCs w:val="18"/>
                <w:lang w:eastAsia="en-US"/>
              </w:rPr>
            </w:pPr>
            <w:r w:rsidRPr="00661000">
              <w:rPr>
                <w:color w:val="000000"/>
                <w:sz w:val="18"/>
                <w:szCs w:val="18"/>
              </w:rPr>
              <w:t>Zvýhodněný úvěr + dotace</w:t>
            </w:r>
          </w:p>
        </w:tc>
      </w:tr>
    </w:tbl>
    <w:p w:rsidR="002C41C1" w:rsidRDefault="002C41C1" w:rsidP="00DF6E0B">
      <w:pPr>
        <w:pStyle w:val="Titulek"/>
      </w:pPr>
      <w:r>
        <w:t xml:space="preserve">Tabulka </w:t>
      </w:r>
      <w:fldSimple w:instr=" SEQ Tabulka \* ARABIC ">
        <w:r>
          <w:rPr>
            <w:noProof/>
          </w:rPr>
          <w:t>17</w:t>
        </w:r>
      </w:fldSimple>
      <w:r>
        <w:t xml:space="preserve">- Aktivační potenciál finančních nástrojů (Zdroj: </w:t>
      </w:r>
      <w:r w:rsidRPr="00004922">
        <w:t xml:space="preserve">Dotazníkové šetření Ex ante </w:t>
      </w:r>
      <w:r w:rsidR="0084453C">
        <w:t>OP PIK</w:t>
      </w:r>
      <w:r>
        <w:t>)</w:t>
      </w:r>
    </w:p>
    <w:p w:rsidR="002C41C1" w:rsidRDefault="002C41C1" w:rsidP="00E01C2E"/>
    <w:p w:rsidR="002C41C1" w:rsidRDefault="002C41C1" w:rsidP="00E01C2E"/>
    <w:p w:rsidR="002C41C1" w:rsidRPr="00DF6E0B" w:rsidRDefault="002C41C1" w:rsidP="00DF6E0B">
      <w:pPr>
        <w:pStyle w:val="Nadpis3"/>
        <w:rPr>
          <w:lang w:eastAsia="en-US"/>
        </w:rPr>
      </w:pPr>
      <w:bookmarkStart w:id="83" w:name="_Toc413854345"/>
      <w:r w:rsidRPr="00DF6E0B">
        <w:rPr>
          <w:lang w:eastAsia="en-US"/>
        </w:rPr>
        <w:t xml:space="preserve">Specifický cíl 4.1- </w:t>
      </w:r>
      <w:r w:rsidRPr="00DF6E0B">
        <w:t>Zvětšit pokrytí vysokorychlostním přístupem k internetu</w:t>
      </w:r>
      <w:bookmarkEnd w:id="83"/>
    </w:p>
    <w:p w:rsidR="002C41C1" w:rsidRDefault="002C41C1">
      <w:pPr>
        <w:pStyle w:val="Neslovannadpisy"/>
      </w:pPr>
      <w:r>
        <w:t>Podporované aktivity:</w:t>
      </w:r>
    </w:p>
    <w:p w:rsidR="002C41C1" w:rsidRDefault="002C41C1" w:rsidP="00DF6E0B">
      <w:pPr>
        <w:pStyle w:val="Odstavecseseznamem"/>
        <w:numPr>
          <w:ilvl w:val="0"/>
          <w:numId w:val="9"/>
        </w:numPr>
      </w:pPr>
      <w:r>
        <w:t>Modernizace resp. rozšiřování stávající infrastruktury pro vysokorychlostní přístup k internetu využitím optických prvků s cílem umožnit vysokorychlostní přístup k internetu přenosovou rychlostí alespoň 30 Mbit/s,</w:t>
      </w:r>
    </w:p>
    <w:p w:rsidR="002C41C1" w:rsidRDefault="00ED007C" w:rsidP="00DF6E0B">
      <w:pPr>
        <w:pStyle w:val="Odstavecseseznamem"/>
        <w:numPr>
          <w:ilvl w:val="0"/>
          <w:numId w:val="9"/>
        </w:numPr>
      </w:pPr>
      <w:r>
        <w:t>zřizování nových sítí sestávajících z části nebo plně z optických vedení pro vysokorychlostní přístup k internetu umožňující přenosovou rychlost alespoň 30 Mbit/s; v případě zřizování nových sítí s pevným připojením do jednotlivých domácností musí tato síť umožnit přenosovou rychlost až 100 Mbit/s,</w:t>
      </w:r>
    </w:p>
    <w:p w:rsidR="002C41C1" w:rsidRDefault="002C41C1" w:rsidP="00DF6E0B">
      <w:pPr>
        <w:pStyle w:val="Odstavecseseznamem"/>
        <w:numPr>
          <w:ilvl w:val="0"/>
          <w:numId w:val="9"/>
        </w:numPr>
      </w:pPr>
      <w:r>
        <w:t>vytváření pasivní infrastruktury pro vysokorychlostní přístup k internetu zejména v lokalitách předpokládaného budoucího stavebního rozvoje, přičemž tato aktivita může být podpořena pouze v kombinaci s jednou z předchozích dvou aktivit.</w:t>
      </w:r>
    </w:p>
    <w:p w:rsidR="002C41C1" w:rsidRDefault="002C41C1"/>
    <w:p w:rsidR="002C41C1" w:rsidRDefault="002C41C1">
      <w:pPr>
        <w:pStyle w:val="Neslovannadpisy"/>
      </w:pPr>
      <w:r>
        <w:t>Hlavní typ příjemců:</w:t>
      </w:r>
    </w:p>
    <w:p w:rsidR="002C41C1" w:rsidRDefault="002C41C1" w:rsidP="008674AE">
      <w:r w:rsidRPr="00397581">
        <w:t>Podnikatelské subjekty</w:t>
      </w:r>
      <w:r>
        <w:t xml:space="preserve"> v elektronických komunikacích bez ohledu na velikost</w:t>
      </w:r>
      <w:r w:rsidR="00F16512">
        <w:t>.</w:t>
      </w:r>
    </w:p>
    <w:p w:rsidR="002C41C1" w:rsidRDefault="002C41C1" w:rsidP="008674AE"/>
    <w:p w:rsidR="002C41C1" w:rsidRDefault="002C41C1" w:rsidP="000E21F7">
      <w:pPr>
        <w:pStyle w:val="Neslovannadpisy"/>
      </w:pPr>
      <w:r>
        <w:t xml:space="preserve">Hlavní cílová skupina: </w:t>
      </w:r>
    </w:p>
    <w:p w:rsidR="002C41C1" w:rsidRDefault="002C41C1" w:rsidP="000E21F7">
      <w:r>
        <w:t xml:space="preserve">Obyvatelé a podnikatelé, kteří nemají možnost </w:t>
      </w:r>
      <w:r w:rsidR="00ED007C">
        <w:t>využívat vysokorychlostní</w:t>
      </w:r>
      <w:r>
        <w:t xml:space="preserve"> přístup k internetu o rychlosti alespoň 30 Mbit/s</w:t>
      </w:r>
      <w:r w:rsidR="00F16512">
        <w:t>.</w:t>
      </w:r>
    </w:p>
    <w:p w:rsidR="002C41C1" w:rsidRDefault="002C41C1" w:rsidP="008674AE">
      <w:pPr>
        <w:pStyle w:val="Neslovannadpisy"/>
      </w:pPr>
    </w:p>
    <w:p w:rsidR="002C41C1" w:rsidRDefault="002C41C1" w:rsidP="008674AE">
      <w:pPr>
        <w:pStyle w:val="Neslovannadpisy"/>
      </w:pPr>
      <w:r>
        <w:t>Cílové území:</w:t>
      </w:r>
    </w:p>
    <w:p w:rsidR="002C41C1" w:rsidRDefault="002C41C1" w:rsidP="008674AE">
      <w:r>
        <w:t>V</w:t>
      </w:r>
      <w:r w:rsidRPr="00397581">
        <w:t>šechny regiony v ČR kromě hl. m. Prahy</w:t>
      </w:r>
      <w:r w:rsidR="00F16512">
        <w:t>.</w:t>
      </w:r>
    </w:p>
    <w:p w:rsidR="002C41C1" w:rsidDel="000E21F7" w:rsidRDefault="002C41C1" w:rsidP="00CE0F8D"/>
    <w:p w:rsidR="002C41C1" w:rsidDel="000E21F7" w:rsidRDefault="002C41C1" w:rsidP="00CE0F8D"/>
    <w:p w:rsidR="002C41C1" w:rsidRDefault="002C41C1" w:rsidP="00CE0F8D"/>
    <w:p w:rsidR="002C41C1" w:rsidRDefault="002C41C1" w:rsidP="001C5E56">
      <w:pPr>
        <w:pStyle w:val="Vtneslovannadpis"/>
      </w:pPr>
      <w:r>
        <w:t>Tržní analýza</w:t>
      </w:r>
    </w:p>
    <w:p w:rsidR="002C41C1" w:rsidRDefault="002C41C1">
      <w:r>
        <w:t xml:space="preserve">Hospodářsky rozvoj ve vyspělých státech je považován za nejdůležitější aspekt ekonomického růstu. Bez rozvoje ICT je hospodářský rozvoj nemožný a právě proto se orgány EU začaly zaobírat strategií na podporu rozvoje této oblasti, které nezbytnou součásti je spolehlivé a rychlé připojení k internetu. Pokrytí kvalitním připojením k internetu je důležité jak v případě firem, tak i domácnosti, protože </w:t>
      </w:r>
      <w:r>
        <w:lastRenderedPageBreak/>
        <w:t xml:space="preserve">moderní společnosti vyžaduje nové formy práce, komunikace, kdy vyhledávaní informací je úzce spjaté právě s přístupem k vysokorychlostnímu internetu. </w:t>
      </w:r>
    </w:p>
    <w:p w:rsidR="002C41C1" w:rsidRDefault="002C41C1"/>
    <w:p w:rsidR="002C41C1" w:rsidRDefault="002C41C1" w:rsidP="00CE0F8D">
      <w:r>
        <w:t>Pokud chce Česká republika udržovat krok s vyspělými státy, musí se nezbytně otázce rozvoje síti nové generace (Next</w:t>
      </w:r>
      <w:r w:rsidR="00ED007C">
        <w:t xml:space="preserve"> </w:t>
      </w:r>
      <w:r>
        <w:t xml:space="preserve">Generation </w:t>
      </w:r>
      <w:r w:rsidR="00ED007C">
        <w:t>Access</w:t>
      </w:r>
      <w:r>
        <w:t>) věnovat na vládní úrovni.</w:t>
      </w:r>
      <w:r w:rsidR="00ED007C">
        <w:t xml:space="preserve"> </w:t>
      </w:r>
      <w:r>
        <w:t>Specifický cíl 4.1 má za cíl zvětšit pokrytí vysokorychlostním přístupem k internetu. Rozšiřování sítí má probíhat buď rekonstrukci již existujících sítí</w:t>
      </w:r>
      <w:r w:rsidR="00F16512">
        <w:t xml:space="preserve"> elektronických komunikací</w:t>
      </w:r>
      <w:r>
        <w:t xml:space="preserve">, nebo výstavbou nových. </w:t>
      </w:r>
    </w:p>
    <w:p w:rsidR="002C41C1" w:rsidRDefault="002C41C1" w:rsidP="00CE0F8D"/>
    <w:p w:rsidR="002C41C1" w:rsidRPr="00CE0F8D" w:rsidRDefault="002C41C1" w:rsidP="00DC3B1F">
      <w:pPr>
        <w:rPr>
          <w:rFonts w:ascii="Times New Roman" w:hAnsi="Times New Roman"/>
          <w:sz w:val="24"/>
        </w:rPr>
      </w:pPr>
      <w:r>
        <w:t xml:space="preserve">Dne 20. března 2013 vláda </w:t>
      </w:r>
      <w:r w:rsidR="00F16512">
        <w:t xml:space="preserve">usnesením č. 203 </w:t>
      </w:r>
      <w:r>
        <w:t xml:space="preserve">schválila </w:t>
      </w:r>
      <w:r w:rsidR="00F16512">
        <w:t xml:space="preserve">aktualizovanou </w:t>
      </w:r>
      <w:r>
        <w:t xml:space="preserve">Státní </w:t>
      </w:r>
      <w:r w:rsidR="00F16512">
        <w:t xml:space="preserve">politiku </w:t>
      </w:r>
      <w:r>
        <w:t>v elektronických komunikacích – Digitální Česko v. 2.0, Cesta k digitální ekonomice</w:t>
      </w:r>
      <w:r>
        <w:rPr>
          <w:rStyle w:val="Znakapoznpodarou"/>
          <w:b/>
        </w:rPr>
        <w:footnoteReference w:id="27"/>
      </w:r>
      <w:r>
        <w:t xml:space="preserve">. Jedním z bodů této strategie je Podpora rozvoje vysokorychlostních přístupových síti k internetu a zároveň usnadnění jejích výstavby. </w:t>
      </w:r>
      <w:r w:rsidR="00F16512">
        <w:t xml:space="preserve">Podle tohoto vládního </w:t>
      </w:r>
      <w:r>
        <w:t xml:space="preserve">dokumentu je cílem do roku 2020 dosáhnout přístup k 30 Mbit/s internetu pro všechny obyvatelé a minimálně pro polovinu domácnosti přístup k internetu umožňujícímu přenosovou rychlost 100 Mbit/s. </w:t>
      </w:r>
    </w:p>
    <w:p w:rsidR="002C41C1" w:rsidRDefault="002C41C1" w:rsidP="00CE0F8D"/>
    <w:p w:rsidR="002C41C1" w:rsidRDefault="002C41C1" w:rsidP="00CE0F8D">
      <w:r>
        <w:t>Cílovou skupinou jsou nejenom běžné domácnosti, ale také podnikatelé, kteří se nacházejí v oblastech, kde neexistuje žádná NGA síť (Next</w:t>
      </w:r>
      <w:r w:rsidR="00ED007C">
        <w:t xml:space="preserve"> Generation A</w:t>
      </w:r>
      <w:r>
        <w:t xml:space="preserve">ccess) a v nejbližší době je nepravděpodobné, že by došlo ke změně stávající situace. </w:t>
      </w:r>
      <w:r w:rsidR="00F16512">
        <w:t xml:space="preserve">Subjekty </w:t>
      </w:r>
      <w:r>
        <w:t>podnikající v oblasti elektronických komunikací nebudují NGA sítě oblastech</w:t>
      </w:r>
      <w:r w:rsidR="00F16512" w:rsidRPr="00F16512">
        <w:t xml:space="preserve"> </w:t>
      </w:r>
      <w:r w:rsidR="00F16512">
        <w:t>s nižší hustotou zalidnění</w:t>
      </w:r>
      <w:r>
        <w:t xml:space="preserve">, protože to není ekonomicky výhodné. </w:t>
      </w:r>
      <w:r w:rsidR="00F16512" w:rsidRPr="00F16512">
        <w:t>Investice do komunikační infrastruktury provádějí na liberalizovaných trzích soukromé subjekty na základě tržních mechanizmů a proto především v regionech s vysokou perspektivou poptávky, přičemž se dále rozšiřuje „propast v přístupu k vysokorychlostnímu připojení" mezi venkovskými a městskými oblastmi. Méně obydlené oblasti ČR by mohly zůstat v důsledku nedostatečné dostupnosti připojení k internetu – dokonce i při stoupající poptávce – dlouhodobě vyloučeny z hospodářského rozvoje.</w:t>
      </w:r>
    </w:p>
    <w:p w:rsidR="002C41C1" w:rsidRDefault="002C41C1" w:rsidP="001C5E56">
      <w:pPr>
        <w:jc w:val="left"/>
      </w:pPr>
    </w:p>
    <w:p w:rsidR="002C41C1" w:rsidRDefault="002C41C1" w:rsidP="00DC3B1F">
      <w:r>
        <w:t xml:space="preserve">Pro lokalizaci oblastí se slabým nebo žádným přístupem k internetu </w:t>
      </w:r>
      <w:r w:rsidR="00A9490C">
        <w:t xml:space="preserve">prostřednictvím infrastruktury splňující kritéria NGA sítí </w:t>
      </w:r>
      <w:r>
        <w:t xml:space="preserve">bylo provedeno </w:t>
      </w:r>
      <w:r w:rsidR="00F16512">
        <w:t>tzv. „mapování“</w:t>
      </w:r>
      <w:r>
        <w:t xml:space="preserve"> na území celé ČR. Šetření dostupnosti NGA sítě na úrovni</w:t>
      </w:r>
      <w:r w:rsidR="00F16512" w:rsidRPr="00F16512">
        <w:t xml:space="preserve"> nižší než je území obce</w:t>
      </w:r>
      <w:r>
        <w:t xml:space="preserve">, tj. na úrovni základní sídelní jednotky (ZSJ), provedl Český telekomunikační </w:t>
      </w:r>
      <w:r w:rsidR="00F16512">
        <w:t>Ú</w:t>
      </w:r>
      <w:r>
        <w:t>řad</w:t>
      </w:r>
      <w:r w:rsidR="00F16512">
        <w:rPr>
          <w:rStyle w:val="Znakapoznpodarou"/>
        </w:rPr>
        <w:footnoteReference w:id="28"/>
      </w:r>
      <w:r>
        <w:t xml:space="preserve">, </w:t>
      </w:r>
      <w:r w:rsidR="00F16512">
        <w:t xml:space="preserve">Tyto </w:t>
      </w:r>
      <w:r>
        <w:t xml:space="preserve">výsledkybyly </w:t>
      </w:r>
      <w:r w:rsidR="00A9490C">
        <w:t xml:space="preserve">využity rovněž </w:t>
      </w:r>
      <w:r w:rsidR="00F16512">
        <w:t>při zpracování</w:t>
      </w:r>
      <w:r>
        <w:t xml:space="preserve"> Národního plánu rozvoj</w:t>
      </w:r>
      <w:r w:rsidR="00F16512">
        <w:t>e</w:t>
      </w:r>
      <w:r>
        <w:t xml:space="preserve"> </w:t>
      </w:r>
      <w:r w:rsidR="00F16512">
        <w:t xml:space="preserve">sítí </w:t>
      </w:r>
      <w:r>
        <w:t xml:space="preserve">nové generace, </w:t>
      </w:r>
      <w:r w:rsidR="00F16512" w:rsidRPr="00F16512">
        <w:t>jehož pracovní verze byla předmětem veřejné konzultace</w:t>
      </w:r>
      <w:r w:rsidR="00F16512">
        <w:rPr>
          <w:rStyle w:val="Znakapoznpodarou"/>
        </w:rPr>
        <w:footnoteReference w:id="29"/>
      </w:r>
      <w:r>
        <w:t xml:space="preserve">. </w:t>
      </w:r>
    </w:p>
    <w:p w:rsidR="002C41C1" w:rsidRDefault="002C41C1" w:rsidP="00CE0F8D"/>
    <w:p w:rsidR="002C41C1" w:rsidRPr="001C5E56" w:rsidRDefault="002C41C1" w:rsidP="00CE0F8D">
      <w:pPr>
        <w:rPr>
          <w:b/>
        </w:rPr>
      </w:pPr>
      <w:r w:rsidRPr="001C5E56">
        <w:rPr>
          <w:b/>
        </w:rPr>
        <w:t xml:space="preserve">Výsledkem mapování oblastí bylo </w:t>
      </w:r>
      <w:r w:rsidR="00A9490C" w:rsidRPr="001C5E56">
        <w:rPr>
          <w:b/>
        </w:rPr>
        <w:t>roz</w:t>
      </w:r>
      <w:r w:rsidR="00A9490C">
        <w:rPr>
          <w:b/>
        </w:rPr>
        <w:t>čle</w:t>
      </w:r>
      <w:r w:rsidR="00262688">
        <w:rPr>
          <w:b/>
        </w:rPr>
        <w:t>ně</w:t>
      </w:r>
      <w:r w:rsidR="00A9490C">
        <w:rPr>
          <w:b/>
        </w:rPr>
        <w:t>ní</w:t>
      </w:r>
      <w:r w:rsidR="00A9490C" w:rsidRPr="001C5E56">
        <w:rPr>
          <w:b/>
        </w:rPr>
        <w:t xml:space="preserve"> </w:t>
      </w:r>
      <w:r w:rsidRPr="001C5E56">
        <w:rPr>
          <w:b/>
        </w:rPr>
        <w:t xml:space="preserve">ZSJ na tzv. bíle, šedé a černé </w:t>
      </w:r>
      <w:r w:rsidR="00A9490C">
        <w:rPr>
          <w:b/>
        </w:rPr>
        <w:t>oblasti</w:t>
      </w:r>
      <w:r w:rsidRPr="001C5E56">
        <w:rPr>
          <w:b/>
        </w:rPr>
        <w:t>:</w:t>
      </w:r>
    </w:p>
    <w:p w:rsidR="002C41C1" w:rsidRDefault="002C41C1" w:rsidP="001C5E56">
      <w:pPr>
        <w:pStyle w:val="Odstavecseseznamem"/>
        <w:numPr>
          <w:ilvl w:val="0"/>
          <w:numId w:val="3"/>
        </w:numPr>
      </w:pPr>
      <w:r>
        <w:t>Bílá místa – lokalita, kde neexistuje žádná NGA síť a existuje vysoká pravděpodobnost, že v nejbližších 3 letech nebude síť vybudovaná za komerčních podmínek.</w:t>
      </w:r>
    </w:p>
    <w:p w:rsidR="002C41C1" w:rsidRDefault="002C41C1" w:rsidP="001C5E56">
      <w:pPr>
        <w:pStyle w:val="Odstavecseseznamem"/>
        <w:numPr>
          <w:ilvl w:val="0"/>
          <w:numId w:val="3"/>
        </w:numPr>
      </w:pPr>
      <w:r>
        <w:t>Šedá místa – lokalita, kde existuje pouze jedna NGA síť od jednoho operátora a pravděpodobnost, že bude vybudovaná druhá v průběhu 3 let za komerčních podmínek, je nízká.</w:t>
      </w:r>
    </w:p>
    <w:p w:rsidR="002C41C1" w:rsidRDefault="002C41C1" w:rsidP="001C5E56">
      <w:pPr>
        <w:pStyle w:val="Odstavecseseznamem"/>
        <w:numPr>
          <w:ilvl w:val="0"/>
          <w:numId w:val="3"/>
        </w:numPr>
      </w:pPr>
      <w:r>
        <w:t xml:space="preserve">Černá místa – lokalita, kde existují, nebo v nadcházejících 3 letech budou zavedeny alespoň 2 NGA sítě od různých provozovatelů. </w:t>
      </w:r>
    </w:p>
    <w:p w:rsidR="002C41C1" w:rsidRDefault="002C41C1" w:rsidP="00CE0F8D"/>
    <w:p w:rsidR="002C41C1" w:rsidRDefault="002C41C1" w:rsidP="00CE0F8D">
      <w:r>
        <w:t xml:space="preserve">Geografické rozmístění bílých, šedých a černých </w:t>
      </w:r>
      <w:r w:rsidR="00A9490C">
        <w:t xml:space="preserve">oblastí </w:t>
      </w:r>
      <w:r>
        <w:t>je znázorněno na schématu níže.</w:t>
      </w:r>
    </w:p>
    <w:p w:rsidR="002C41C1" w:rsidRDefault="002C41C1" w:rsidP="00CE0F8D"/>
    <w:p w:rsidR="002C41C1" w:rsidRDefault="005F2B40">
      <w:pPr>
        <w:keepNext/>
      </w:pPr>
      <w:r>
        <w:rPr>
          <w:noProof/>
        </w:rPr>
        <w:lastRenderedPageBreak/>
        <w:drawing>
          <wp:inline distT="0" distB="0" distL="0" distR="0" wp14:anchorId="3BA20BEE" wp14:editId="52B075E3">
            <wp:extent cx="5716905" cy="3569970"/>
            <wp:effectExtent l="0" t="0" r="0" b="0"/>
            <wp:docPr id="28"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6905" cy="3569970"/>
                    </a:xfrm>
                    <a:prstGeom prst="rect">
                      <a:avLst/>
                    </a:prstGeom>
                    <a:noFill/>
                    <a:ln>
                      <a:noFill/>
                    </a:ln>
                  </pic:spPr>
                </pic:pic>
              </a:graphicData>
            </a:graphic>
          </wp:inline>
        </w:drawing>
      </w:r>
    </w:p>
    <w:p w:rsidR="002C41C1" w:rsidRDefault="002C41C1" w:rsidP="00DF6E0B">
      <w:pPr>
        <w:pStyle w:val="Titulek"/>
      </w:pPr>
      <w:r>
        <w:t xml:space="preserve">Obrázek </w:t>
      </w:r>
      <w:fldSimple w:instr=" SEQ Obrázek \* ARABIC ">
        <w:r>
          <w:rPr>
            <w:noProof/>
          </w:rPr>
          <w:t>2</w:t>
        </w:r>
      </w:fldSimple>
      <w:r>
        <w:t>: Rozložení bílých, šedých a černých míst</w:t>
      </w:r>
    </w:p>
    <w:p w:rsidR="002C41C1" w:rsidRDefault="002C41C1" w:rsidP="00DF6E0B">
      <w:pPr>
        <w:pStyle w:val="Titulek"/>
      </w:pPr>
      <w:r>
        <w:t xml:space="preserve">Zdroj: ČTÚ - </w:t>
      </w:r>
      <w:hyperlink r:id="rId31" w:history="1">
        <w:r>
          <w:rPr>
            <w:rStyle w:val="Hypertextovodkaz"/>
          </w:rPr>
          <w:t>https://www.ctu.cz/ctu-online/pruzkum-nga.html</w:t>
        </w:r>
      </w:hyperlink>
    </w:p>
    <w:p w:rsidR="002C41C1" w:rsidRDefault="002C41C1" w:rsidP="00CE0F8D"/>
    <w:p w:rsidR="002C41C1" w:rsidRDefault="002C41C1" w:rsidP="001C5E56">
      <w:r>
        <w:t xml:space="preserve">K 1. 7. 2014 bylo bílou barvou označeno 43,53 % základních sídelných jednotek, 24,8 % šedou barvou a 31,68 % barvou černou. Podporu z veřejných finančních zdrojů mají nárok získat pouze lokality označené jako bíle oblastí a ve výjimečných případech šedé oblastí (pouze za předpokladu, že jediný operátor narušuje tržní prostředí). </w:t>
      </w:r>
    </w:p>
    <w:p w:rsidR="002C41C1" w:rsidRDefault="002C41C1" w:rsidP="001C5E56"/>
    <w:p w:rsidR="002C41C1" w:rsidRDefault="002C41C1" w:rsidP="001C5E56">
      <w:r>
        <w:t>Bíle a šedé oblasti mají převážně venkovský charakter, ve výskytu těchto nedostatečně pokrytých míst dosahuje ČR podprůměrné výsledky v evropském srovnání (EU28). Dostupnost vysokorychlostního internetu zejména ve venkovských oblastech dosahuje pouze 2,8 % (2013), což pro poskytovatelé elektronické komunikace znamená obrovskou investiční příležitost, především za předpokladu možnosti využívat na související investice veřejné zdroje financování.</w:t>
      </w:r>
    </w:p>
    <w:p w:rsidR="002C41C1" w:rsidRDefault="002C41C1" w:rsidP="001C5E56"/>
    <w:p w:rsidR="002C41C1" w:rsidRDefault="00A9490C" w:rsidP="001C5E56">
      <w:r>
        <w:t>V</w:t>
      </w:r>
      <w:r w:rsidR="002C41C1">
        <w:t xml:space="preserve"> průběhu roku 2014 využívalo přenosovou rychlost vyšší než 100 Mbit/s pouze 20 % společností a jenom 7 % domácností. Tento jev je způsoben hlavně nízkou informovaností o existenci vysokorychlostního přístupu k internetu, ale také i nedostupnosti v místech, kde po něm existuje poptávka.   </w:t>
      </w:r>
    </w:p>
    <w:p w:rsidR="002C41C1" w:rsidRDefault="002C41C1" w:rsidP="001C5E56"/>
    <w:p w:rsidR="002C41C1" w:rsidRPr="001C5E56" w:rsidRDefault="002C41C1" w:rsidP="001C5E56">
      <w:pPr>
        <w:rPr>
          <w:b/>
        </w:rPr>
      </w:pPr>
      <w:r w:rsidRPr="001C5E56">
        <w:rPr>
          <w:b/>
        </w:rPr>
        <w:t>Strategické cíle: Vybudování dostatečně rozvinuté a dostupné technologické základny v podobě adekvátní infrastruktury (NGA sítě) umožňující vysokorychlostní přístup k internetu v relevantních lokalitách ČR, ve kterých tato infrastruktura není a nelze předpokládat, že tam bude vybudována působením tržních mechanizmů za komerčních podmínek.</w:t>
      </w:r>
    </w:p>
    <w:p w:rsidR="002C41C1" w:rsidRDefault="002C41C1" w:rsidP="00CE0F8D"/>
    <w:p w:rsidR="002C41C1" w:rsidRDefault="002C41C1" w:rsidP="008A50E2">
      <w:r>
        <w:t xml:space="preserve">Strana poptávky je tvořená potřebou naplnění jednoho z cílů z programu Digitální Česko 2.0, kterým je poměrně ambiciózní kompletní odstranění bílých oblastí (výjimečně šedé). Všechna zmiňovaná opatření budou budována s ohledem na plnění </w:t>
      </w:r>
      <w:r w:rsidRPr="00DF6E0B">
        <w:rPr>
          <w:b/>
        </w:rPr>
        <w:t>koncepce Digitální Česko 2.0</w:t>
      </w:r>
      <w:r>
        <w:t>. I když jsou bílé oblasti většinou venkovské či horské oblasti, stále je potřeba brát ohled na strukturální problémy regionů, kde se bílá místa posuzují podle Strategie regionálního rozvoje s důrazem na vyvážený rozvoj ČR.</w:t>
      </w:r>
    </w:p>
    <w:p w:rsidR="002C41C1" w:rsidRDefault="002C41C1" w:rsidP="008A50E2"/>
    <w:p w:rsidR="002C41C1" w:rsidRDefault="002C41C1" w:rsidP="008A50E2">
      <w:r>
        <w:lastRenderedPageBreak/>
        <w:t xml:space="preserve">Je nutné dodat, že velká část bílých míst není ve skutečnosti odstřižena od internetu, nýbrž působí zde poskytovatelé </w:t>
      </w:r>
      <w:r w:rsidR="00A9490C" w:rsidRPr="00A9490C">
        <w:t>internetového připojení ovšem prostřednictvím síťové infrastruktury, která neodpovídá parametrům NGA sítí</w:t>
      </w:r>
      <w:r>
        <w:t>. Je tedy nutné přistupovat opatrně ke kvantifikaci skutečné investiční potřeby a přístupu k tržnímu prostředí v rámci všech poskytovatelů internetu.</w:t>
      </w:r>
    </w:p>
    <w:p w:rsidR="002C41C1" w:rsidRDefault="002C41C1" w:rsidP="008A50E2"/>
    <w:p w:rsidR="002C41C1" w:rsidRPr="00171AF5" w:rsidRDefault="002C41C1" w:rsidP="008A50E2">
      <w:pPr>
        <w:rPr>
          <w:b/>
        </w:rPr>
      </w:pPr>
      <w:r w:rsidRPr="00171AF5">
        <w:rPr>
          <w:b/>
        </w:rPr>
        <w:t>Investiční modely:</w:t>
      </w:r>
    </w:p>
    <w:p w:rsidR="002C41C1" w:rsidRDefault="002C41C1" w:rsidP="008A50E2">
      <w:pPr>
        <w:pStyle w:val="Odstavecseseznamem"/>
        <w:numPr>
          <w:ilvl w:val="0"/>
          <w:numId w:val="3"/>
        </w:numPr>
      </w:pPr>
      <w:r>
        <w:t>Bottom-up model</w:t>
      </w:r>
    </w:p>
    <w:p w:rsidR="002C41C1" w:rsidRDefault="002C41C1" w:rsidP="008A50E2">
      <w:pPr>
        <w:pStyle w:val="Odstavecseseznamem"/>
        <w:numPr>
          <w:ilvl w:val="0"/>
          <w:numId w:val="3"/>
        </w:numPr>
      </w:pPr>
      <w:r>
        <w:t xml:space="preserve">Private design, build and operate (DBO) model – preferovaný a vhodný. ŘO </w:t>
      </w:r>
      <w:r w:rsidR="00A9490C">
        <w:t xml:space="preserve">poskytne </w:t>
      </w:r>
      <w:r>
        <w:t xml:space="preserve">dotace operátorovi, který provozuje </w:t>
      </w:r>
      <w:r w:rsidR="003C1FC5">
        <w:t xml:space="preserve">síť a zajišťuje poskytování služby vysokorychlostního přístupu k internetu. Veřejný </w:t>
      </w:r>
      <w:r>
        <w:t xml:space="preserve">subjekt nemá žádnou specifickou roli ve vlastnictví nebo provozování, jenom ukládá povinnosti </w:t>
      </w:r>
      <w:r w:rsidR="003C1FC5">
        <w:t xml:space="preserve">podmiňující </w:t>
      </w:r>
      <w:r>
        <w:t>přístup k</w:t>
      </w:r>
      <w:r w:rsidR="003C1FC5">
        <w:t xml:space="preserve"> veřejné podpoře</w:t>
      </w:r>
      <w:r>
        <w:t xml:space="preserve">.  </w:t>
      </w:r>
    </w:p>
    <w:p w:rsidR="002C41C1" w:rsidRDefault="002C41C1" w:rsidP="008A50E2">
      <w:pPr>
        <w:pStyle w:val="Odstavecseseznamem"/>
        <w:numPr>
          <w:ilvl w:val="0"/>
          <w:numId w:val="3"/>
        </w:numPr>
      </w:pPr>
      <w:r>
        <w:t>Public outsourcing model</w:t>
      </w:r>
    </w:p>
    <w:p w:rsidR="002C41C1" w:rsidRDefault="002C41C1" w:rsidP="008A50E2">
      <w:pPr>
        <w:pStyle w:val="Odstavecseseznamem"/>
        <w:numPr>
          <w:ilvl w:val="0"/>
          <w:numId w:val="3"/>
        </w:numPr>
      </w:pPr>
      <w:r>
        <w:t>Joint venture model</w:t>
      </w:r>
    </w:p>
    <w:p w:rsidR="002C41C1" w:rsidRDefault="002C41C1" w:rsidP="00CE0F8D"/>
    <w:p w:rsidR="002C41C1" w:rsidRDefault="002C41C1" w:rsidP="000E21F7">
      <w:pPr>
        <w:pStyle w:val="Vtneslovannadpis"/>
        <w:rPr>
          <w:lang w:eastAsia="en-US"/>
        </w:rPr>
      </w:pPr>
      <w:r>
        <w:rPr>
          <w:lang w:eastAsia="en-US"/>
        </w:rPr>
        <w:t>Dosavadní podpora a analýza veřejných zdrojů financování</w:t>
      </w:r>
    </w:p>
    <w:p w:rsidR="002C41C1" w:rsidRDefault="002C41C1" w:rsidP="00171AF5">
      <w:r w:rsidRPr="00DF6E0B">
        <w:rPr>
          <w:b/>
        </w:rPr>
        <w:t xml:space="preserve">SC 4.1 je novou oblastí podpory, která nebyla doposud podporována v rámci OPPI </w:t>
      </w:r>
      <w:r>
        <w:t>- jedná se tedy o úplně novou oblast podpory OP PIK. Z toho důvodu je zřejmé, že pro danou oblast nebude možnost nalézt adekvátní porovnání v oblasti veřejných zdrojů, které by podporovaly zvětšení pokrytí vysokorychlostním přístupem k internetu pomoci modernizace a nové výstavby.</w:t>
      </w:r>
      <w:r w:rsidR="009D6315">
        <w:t xml:space="preserve"> </w:t>
      </w:r>
      <w:r>
        <w:t>Doposud neexistovala v ČR analýza situace na trhu vysokorychlostních síti a až pozastavením budování nových síti se začalo analyzovat</w:t>
      </w:r>
      <w:r w:rsidR="003C1FC5">
        <w:t>,</w:t>
      </w:r>
      <w:r>
        <w:t xml:space="preserve"> </w:t>
      </w:r>
      <w:r w:rsidR="003C1FC5">
        <w:t xml:space="preserve">zda </w:t>
      </w:r>
      <w:r>
        <w:t>by bylo možné pomoci veřejných finančních zdrojů podporovat další rozvoj.</w:t>
      </w:r>
    </w:p>
    <w:p w:rsidR="002C41C1" w:rsidRDefault="002C41C1" w:rsidP="00171AF5"/>
    <w:p w:rsidR="002C41C1" w:rsidRDefault="002C41C1" w:rsidP="00171AF5">
      <w:pPr>
        <w:pStyle w:val="Neslovannadpisy"/>
      </w:pPr>
      <w:r>
        <w:t>Veřejné zahraniční zdroje financování</w:t>
      </w:r>
    </w:p>
    <w:p w:rsidR="002C41C1" w:rsidRDefault="002C41C1" w:rsidP="00171AF5">
      <w:r w:rsidRPr="00171AF5">
        <w:rPr>
          <w:b/>
        </w:rPr>
        <w:t>Connecting</w:t>
      </w:r>
      <w:r w:rsidR="009D6315">
        <w:rPr>
          <w:b/>
        </w:rPr>
        <w:t xml:space="preserve"> </w:t>
      </w:r>
      <w:r w:rsidRPr="00171AF5">
        <w:rPr>
          <w:b/>
        </w:rPr>
        <w:t>Europe</w:t>
      </w:r>
      <w:r w:rsidR="009D6315">
        <w:rPr>
          <w:b/>
        </w:rPr>
        <w:t xml:space="preserve"> </w:t>
      </w:r>
      <w:r w:rsidRPr="00171AF5">
        <w:rPr>
          <w:b/>
        </w:rPr>
        <w:t>Facility</w:t>
      </w:r>
      <w:r>
        <w:t xml:space="preserve"> – nástroj pro podporu infrastruktury (dopravní, energetické a telekomunikační), ale v únoru 2013 EK schválila snížení navrhovaných finančních prostředků pro rozvoj telekomunikační infrastruktury z 9,2 mld. € na 1 mld. €. Na nové období (2014 – 2020) se plánuje podpora na rozvojové projekty v digitální infrastruktuře ve výši 1,1 mld. €.</w:t>
      </w:r>
    </w:p>
    <w:p w:rsidR="002C41C1" w:rsidRDefault="002C41C1" w:rsidP="00171AF5"/>
    <w:p w:rsidR="002C41C1" w:rsidRDefault="002C41C1" w:rsidP="00171AF5">
      <w:pPr>
        <w:pStyle w:val="Neslovannadpisy"/>
      </w:pPr>
      <w:r>
        <w:t>Veřejné domácí zdroje financování</w:t>
      </w:r>
    </w:p>
    <w:p w:rsidR="002C41C1" w:rsidRDefault="002C41C1" w:rsidP="00171AF5">
      <w:r w:rsidRPr="00171AF5">
        <w:rPr>
          <w:b/>
        </w:rPr>
        <w:t>Využití výnosu z aukce prodeje kmitočtů dosáhly v letech</w:t>
      </w:r>
      <w:r>
        <w:t xml:space="preserve"> 2013 – 2014 8,5 mld. Kč a potenciálně můžou být využity na rozvoj vysokorychlostního přístupu k internetu. Vítězi aukce na kmitočty se museli zavázat, že splní jistá kritéria pro získání licencí. Hlavním kritériem je např. rozvoj komerčních služeb na veřejných sítích se zaměřením na okresy s řídkým osídlením. Jedná se však o </w:t>
      </w:r>
      <w:r w:rsidR="003C1FC5">
        <w:t xml:space="preserve">mobilní </w:t>
      </w:r>
      <w:r>
        <w:t>sítě.</w:t>
      </w:r>
    </w:p>
    <w:p w:rsidR="002C41C1" w:rsidRDefault="002C41C1" w:rsidP="00171AF5"/>
    <w:p w:rsidR="002C41C1" w:rsidRDefault="002C41C1">
      <w:pPr>
        <w:pStyle w:val="Vtneslovannadpis"/>
      </w:pPr>
      <w:r>
        <w:rPr>
          <w:lang w:eastAsia="en-US"/>
        </w:rPr>
        <w:t>V</w:t>
      </w:r>
      <w:r w:rsidRPr="00884BD3">
        <w:rPr>
          <w:lang w:eastAsia="en-US"/>
        </w:rPr>
        <w:t>yčíslení potenciální absorpční kapacity</w:t>
      </w:r>
    </w:p>
    <w:p w:rsidR="002C41C1" w:rsidRDefault="002C41C1" w:rsidP="00F80B02">
      <w:r>
        <w:t xml:space="preserve">Dle veřejně dostupných údajů stojí cena výkopové práce na 1 km optických kabelů asi 1,5 mil. Kč (50 % celkových nákladů) k čemu třeba ještě přičítat náklady na pořízení optického kabelu (25 % nákladů), přípojky pro koncové klienty a projektové přípravy a dokumentace (zbylých 25% nákladů). S růstem vymahatelnosti práv vlastníků rostou náklady na zpřístupnění věcného břemena. Jako alternativa se nabízí budovaní sítě s využitím tzv. pasivní infrastruktury, ale v této oblasti chybí legislativní vymezení a zmapovaní již existujících sítí. </w:t>
      </w:r>
    </w:p>
    <w:p w:rsidR="002C41C1" w:rsidRDefault="002C41C1" w:rsidP="00F80B02"/>
    <w:p w:rsidR="002C41C1" w:rsidRDefault="002C41C1" w:rsidP="00F80B02">
      <w:r w:rsidRPr="00004922">
        <w:rPr>
          <w:b/>
        </w:rPr>
        <w:t>Celkově tak činí náklad na kilometr sítě kolem 3 mil. Kč</w:t>
      </w:r>
      <w:r>
        <w:t xml:space="preserve"> a odhadem je potřebné na zasíťování </w:t>
      </w:r>
    </w:p>
    <w:p w:rsidR="002C41C1" w:rsidRDefault="002C41C1" w:rsidP="00F80B02">
      <w:r>
        <w:t xml:space="preserve">1 typového bílého místa (ZSJ) zhruba 25 km sítě, což spolu vytváří náklad ve výši 75 mil. Kč na jeden typový projekt. </w:t>
      </w:r>
    </w:p>
    <w:p w:rsidR="002C41C1" w:rsidRDefault="002C41C1" w:rsidP="00F80B02"/>
    <w:p w:rsidR="002C41C1" w:rsidRDefault="002C41C1" w:rsidP="00F80B02">
      <w:r>
        <w:t xml:space="preserve">Dle výše uvedeného zdroje se v ČR vyskytuje 9762 těchto bílých míst. </w:t>
      </w:r>
      <w:r w:rsidRPr="00DF6E0B">
        <w:rPr>
          <w:b/>
        </w:rPr>
        <w:t>Prostým vynásobením těchto proměnných se tak lze dostat k číslu 700 mld. Kč</w:t>
      </w:r>
      <w:r>
        <w:t xml:space="preserve">. Tento údaj indikuje mnohonásobně vyšší investiční </w:t>
      </w:r>
      <w:r>
        <w:lastRenderedPageBreak/>
        <w:t>potřebu, než je alokace pro SC 4.1. Reálná investiční poptávka bude zřejmě velmi závislá na dostupnosti podpory.</w:t>
      </w:r>
    </w:p>
    <w:p w:rsidR="002C41C1" w:rsidRDefault="002C41C1" w:rsidP="00171AF5"/>
    <w:p w:rsidR="002C41C1" w:rsidRDefault="002C41C1" w:rsidP="00171AF5">
      <w:pPr>
        <w:pStyle w:val="Vtneslovannadpis"/>
      </w:pPr>
      <w:r>
        <w:t>Analýza tržních selhání a suboptimální investiční situace</w:t>
      </w:r>
    </w:p>
    <w:p w:rsidR="002C41C1" w:rsidRDefault="002C41C1" w:rsidP="00171AF5">
      <w:r>
        <w:t xml:space="preserve">Hlavním tržním selháním při rozvoji síti nové generace jsou vysoké náklady na výstavbu způsobující nezájem o jejich budování a s tím spojené zaostávání za EU průměrem. Náklady způsobují hlavně administrativní náklady výstavby, věcné břemena a vícenáklady bez přímé vazby na stavbu (např. morální zastarávání technologie, které tlačí na rychlou návratnost investic). Administrativní překážky při výstavbě vznikají z důvodu neexistence definice „výstavby ve veřejném zájmu“. </w:t>
      </w:r>
    </w:p>
    <w:p w:rsidR="002C41C1" w:rsidRDefault="002C41C1" w:rsidP="00171AF5"/>
    <w:p w:rsidR="002C41C1" w:rsidRDefault="002C41C1" w:rsidP="00171AF5">
      <w:r>
        <w:t xml:space="preserve">Problémem rozvoje je také trh s mobilními operátory, který je omezen počtem licencí. </w:t>
      </w:r>
      <w:r w:rsidR="003C1FC5">
        <w:t xml:space="preserve">Mobilní </w:t>
      </w:r>
      <w:r>
        <w:t xml:space="preserve">sítě se budují v oblastech s nízkou hustotou zalidnění, ale v současné době nedokážou poskytovat kvalitu </w:t>
      </w:r>
      <w:r w:rsidR="00261EEA">
        <w:t xml:space="preserve">a robustnost </w:t>
      </w:r>
      <w:r>
        <w:t xml:space="preserve">připojení </w:t>
      </w:r>
      <w:r w:rsidR="00261EEA">
        <w:t> odpovídající NGA sítím</w:t>
      </w:r>
      <w:r>
        <w:t xml:space="preserve">.  </w:t>
      </w:r>
    </w:p>
    <w:p w:rsidR="002C41C1" w:rsidRDefault="002C41C1" w:rsidP="00171AF5"/>
    <w:p w:rsidR="002C41C1" w:rsidRDefault="002C41C1" w:rsidP="00171AF5">
      <w:r>
        <w:t>Zákon o liniových stavbách – strategické dopravní stavby (infrastruktura). Nedostatečné využívaní pasivních síti a slabá koordinace při výstavbě síti (projekty se sdílením nákladů). Využití pasivní infrastruktury a veřejné infrastruktura (školy, úřady). Problémem je také chybějící metodika pro výpočet výše úhrady za omezení vlastnických práv.</w:t>
      </w:r>
    </w:p>
    <w:p w:rsidR="002C41C1" w:rsidRDefault="002C41C1" w:rsidP="00171AF5"/>
    <w:p w:rsidR="002C41C1" w:rsidRPr="00171AF5" w:rsidRDefault="002C41C1" w:rsidP="00171AF5">
      <w:pPr>
        <w:rPr>
          <w:b/>
        </w:rPr>
      </w:pPr>
      <w:r w:rsidRPr="00171AF5">
        <w:rPr>
          <w:b/>
        </w:rPr>
        <w:t>Slabé stránky:</w:t>
      </w:r>
    </w:p>
    <w:p w:rsidR="002C41C1" w:rsidRDefault="002C41C1" w:rsidP="00171AF5">
      <w:pPr>
        <w:pStyle w:val="Odstavecseseznamem"/>
        <w:numPr>
          <w:ilvl w:val="0"/>
          <w:numId w:val="3"/>
        </w:numPr>
      </w:pPr>
      <w:r>
        <w:t>Nedostatečná úroveň investování do místních kabelových sítí v lokalitách spojených s vysokými investičními náklady a nízkou návratností investic.</w:t>
      </w:r>
    </w:p>
    <w:p w:rsidR="002C41C1" w:rsidRDefault="002C41C1" w:rsidP="00171AF5">
      <w:pPr>
        <w:pStyle w:val="Odstavecseseznamem"/>
        <w:numPr>
          <w:ilvl w:val="0"/>
          <w:numId w:val="3"/>
        </w:numPr>
      </w:pPr>
      <w:r>
        <w:t>Chybějící program bankovního sektoru pro dlouhodobé investování do vysokorychlostní infrastruktury určený zejména pro malé a střední podniky</w:t>
      </w:r>
    </w:p>
    <w:p w:rsidR="002C41C1" w:rsidRDefault="002C41C1" w:rsidP="00171AF5">
      <w:pPr>
        <w:pStyle w:val="Odstavecseseznamem"/>
        <w:numPr>
          <w:ilvl w:val="0"/>
          <w:numId w:val="3"/>
        </w:numPr>
      </w:pPr>
      <w:r>
        <w:t>Nízká ochota soukromých subjektů dlouhodobě investovat do infrastruktury nové generace</w:t>
      </w:r>
    </w:p>
    <w:p w:rsidR="002C41C1" w:rsidRPr="00171AF5" w:rsidRDefault="002C41C1" w:rsidP="00171AF5">
      <w:pPr>
        <w:rPr>
          <w:b/>
        </w:rPr>
      </w:pPr>
      <w:r w:rsidRPr="00171AF5">
        <w:rPr>
          <w:b/>
        </w:rPr>
        <w:t>Hrozby:</w:t>
      </w:r>
    </w:p>
    <w:p w:rsidR="002C41C1" w:rsidRDefault="002C41C1" w:rsidP="00171AF5">
      <w:pPr>
        <w:pStyle w:val="Odstavecseseznamem"/>
        <w:numPr>
          <w:ilvl w:val="0"/>
          <w:numId w:val="11"/>
        </w:numPr>
      </w:pPr>
      <w:r>
        <w:t>Nedostatek zkušeností s dotačními programy do výstavby telekomunikační infrastruktury a z toho plynoucí rizika</w:t>
      </w:r>
    </w:p>
    <w:p w:rsidR="002C41C1" w:rsidRDefault="002C41C1" w:rsidP="00171AF5"/>
    <w:p w:rsidR="002C41C1" w:rsidRDefault="002C41C1" w:rsidP="00171AF5">
      <w:pPr>
        <w:pStyle w:val="Vtneslovannadpis"/>
      </w:pPr>
      <w:r>
        <w:t>Návrh opatření</w:t>
      </w:r>
    </w:p>
    <w:p w:rsidR="00914708" w:rsidRDefault="0044371E" w:rsidP="00171AF5">
      <w:r>
        <w:t xml:space="preserve">Vzhledem k vysokým investičním nákladům na budování NGA sítí a předpokládané nízké výnosnosti </w:t>
      </w:r>
      <w:r w:rsidR="002E56FD">
        <w:t>většinou</w:t>
      </w:r>
      <w:r>
        <w:t> řídce osídlených „bílých“</w:t>
      </w:r>
      <w:r w:rsidR="002E56FD">
        <w:t xml:space="preserve"> oblastí</w:t>
      </w:r>
      <w:r>
        <w:t xml:space="preserve"> je nutné motivovat subjekty k takto cílené aktivitě veřejnou podporou, ze státních či evropských zdrojů. </w:t>
      </w:r>
      <w:r w:rsidR="002E56FD">
        <w:t xml:space="preserve">I z toho důvodu je v SC 4.1 předpoklad velkého využití dotační podpory, a to u těch projektů, které by jinak z komerčního hlediska nebyly proveditelné. V případě podpory ziskovějších portfolií, které vykazují potenciál tržní návratnosti, je </w:t>
      </w:r>
      <w:r w:rsidR="00FC0C17">
        <w:t>nicméně vhodné využít podpory FN</w:t>
      </w:r>
      <w:r w:rsidR="002E56FD">
        <w:t xml:space="preserve">, </w:t>
      </w:r>
      <w:r w:rsidR="00FC0C17">
        <w:t xml:space="preserve">formou zvýhodněných úvěrů se sníženou úrokovou mírou, eventuelně prodlouženou dobou splatnosti, které sníží dobu návratnosti projektů. V tomto ohledu je možná i kombinace projektů s různým potenciálem návratnosti a jejich podpoření v celkovém „balíku“, který by vykazoval dostatečnou ziskovost na použití zvýhodněného úvěru, byť bude obsahovat i část bez reálné doby návratnosti investice. </w:t>
      </w:r>
      <w:r w:rsidR="00914708">
        <w:t>Pro ŘO by měl FN zřejmou výhodu revolvingu a možnosti efektivně podpořit více projektů než prostřednictvím dotací.</w:t>
      </w:r>
    </w:p>
    <w:p w:rsidR="00914708" w:rsidRDefault="00914708" w:rsidP="00171AF5"/>
    <w:p w:rsidR="002E56FD" w:rsidRDefault="00FC0C17" w:rsidP="00171AF5">
      <w:r>
        <w:t>Nutno však poznamenat, že za současných nízkých úrokových sazeb je potenciál dostatečného zvýhodnění jejich snížením velmi omezený. Příjemcem</w:t>
      </w:r>
      <w:r w:rsidR="00914708">
        <w:t xml:space="preserve"> v rámci SC 4.1 budou reálně především velké telekomunikační společnosti (O2, T-Mobile, Vodafone), které nemají problém s přístupem k externímu financování. I proto je zde potenciál využití finančních nástrojů obecně menší než v jiných analyzovaných cílech.</w:t>
      </w:r>
    </w:p>
    <w:p w:rsidR="00914708" w:rsidRDefault="00914708" w:rsidP="00171AF5"/>
    <w:p w:rsidR="00914708" w:rsidRDefault="00914708" w:rsidP="00171AF5">
      <w:r>
        <w:lastRenderedPageBreak/>
        <w:t>Deloitte Advisory doporučuje poskytovat rozdílnou výši podpory (výši podpořených způsobilých výdajů) dle velikosti žadatele – menší pro velké podniky. Je počítáno s užitím business modelu DBO, který má dostatečné cash-flow na financování zvýhodněného úvěru.</w:t>
      </w:r>
    </w:p>
    <w:p w:rsidR="002E56FD" w:rsidRDefault="002E56FD" w:rsidP="00171AF5"/>
    <w:p w:rsidR="00914708" w:rsidRDefault="00914708" w:rsidP="00914708">
      <w:r>
        <w:t>V případě podpory výstavby vysokorychlostních sítí je nutné dodržet princip tzv. technologické neutrality a ŘO nesmí sklouzávat pouze k podpoře jedné z nich.</w:t>
      </w:r>
    </w:p>
    <w:p w:rsidR="002C41C1" w:rsidRDefault="002C41C1" w:rsidP="00171AF5"/>
    <w:p w:rsidR="002C41C1" w:rsidRDefault="002C41C1" w:rsidP="00C02E46">
      <w:pPr>
        <w:pStyle w:val="Vtneslovannadpis"/>
        <w:rPr>
          <w:lang w:eastAsia="en-US"/>
        </w:rPr>
      </w:pPr>
      <w:r>
        <w:rPr>
          <w:lang w:eastAsia="en-US"/>
        </w:rPr>
        <w:t>Aktivování investičního potenciálu</w:t>
      </w:r>
    </w:p>
    <w:p w:rsidR="002C41C1" w:rsidRDefault="002C41C1" w:rsidP="00171AF5"/>
    <w:p w:rsidR="002C41C1" w:rsidRDefault="002C41C1" w:rsidP="00171AF5"/>
    <w:p w:rsidR="002C41C1" w:rsidRDefault="005F2B40">
      <w:pPr>
        <w:keepNext/>
        <w:jc w:val="center"/>
      </w:pPr>
      <w:r>
        <w:rPr>
          <w:noProof/>
        </w:rPr>
        <w:drawing>
          <wp:inline distT="0" distB="0" distL="0" distR="0" wp14:anchorId="53C45DF6" wp14:editId="2F557F29">
            <wp:extent cx="2512695" cy="1852930"/>
            <wp:effectExtent l="0" t="0" r="1905" b="0"/>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2695" cy="1852930"/>
                    </a:xfrm>
                    <a:prstGeom prst="rect">
                      <a:avLst/>
                    </a:prstGeom>
                    <a:noFill/>
                    <a:ln>
                      <a:noFill/>
                    </a:ln>
                  </pic:spPr>
                </pic:pic>
              </a:graphicData>
            </a:graphic>
          </wp:inline>
        </w:drawing>
      </w:r>
    </w:p>
    <w:p w:rsidR="002C41C1" w:rsidRDefault="002C41C1">
      <w:pPr>
        <w:pStyle w:val="Titulek"/>
      </w:pPr>
      <w:r w:rsidRPr="00DF6E0B">
        <w:t xml:space="preserve">Graf </w:t>
      </w:r>
      <w:r>
        <w:t>15</w:t>
      </w:r>
      <w:r w:rsidRPr="00DF6E0B">
        <w:t xml:space="preserve">: Očekávaná doba návratnosti v SC 4.1 </w:t>
      </w:r>
    </w:p>
    <w:p w:rsidR="002C41C1" w:rsidRPr="00DF6E0B" w:rsidRDefault="002C41C1" w:rsidP="00DF6E0B">
      <w:pPr>
        <w:pStyle w:val="Titulek"/>
      </w:pPr>
      <w:r w:rsidRPr="00DF6E0B">
        <w:t xml:space="preserve">Zdroj: Dotazníkové šetření Ex ante </w:t>
      </w:r>
      <w:r w:rsidR="0084453C">
        <w:t>OP PIK</w:t>
      </w:r>
    </w:p>
    <w:p w:rsidR="002C41C1" w:rsidRDefault="002C41C1" w:rsidP="00DF6E0B">
      <w:pPr>
        <w:pStyle w:val="Titulek"/>
        <w:jc w:val="center"/>
      </w:pPr>
    </w:p>
    <w:p w:rsidR="002C41C1" w:rsidRPr="00D03ACF" w:rsidRDefault="002C41C1" w:rsidP="004838BB">
      <w:r>
        <w:t>Jak vyplývá z grafu č.</w:t>
      </w:r>
      <w:r w:rsidRPr="00DF6E0B">
        <w:t xml:space="preserve"> 15, většina plánovaných investičních projektů (82 %) má dobu návratnosti do 5 let (průměr 4,1 roku), co zdůrazňuje existenci problému jinde než na straně komerčních financujících institucí, které n</w:t>
      </w:r>
      <w:r w:rsidRPr="00D03ACF">
        <w:t xml:space="preserve">emají problém s financováním rychle návratných projektů. Problémem jsou vysoce nákladné náklady spojené se samotnou výstavbou NGA sít a jejich výše je zcela těžce předem odhadnutelná. Právě kvůli vysokým nákladům na realizaci investice, je mnoho subjektů nemotivovaných rozšiřovat NGA síť do bílých oblastí. Až 69 % subjektů se vyjádřilo, že by je zvýhodněný úvěr se sníženou úrokovou sazbou, motivoval při realizaci investičního záměru. V případě investičních projektů, které skutečně jsou nerentabilní z hlediska investice, je možné je podpořit formou dotace až do výše 100 % způsobilých nákladů. V dotazníkovém šetření se vyjádřilo 49 % subjektů, že poskytnutí dotačního titulu spolu se zvýhodněným úvěrem bych změnil jejich investiční plány. </w:t>
      </w:r>
    </w:p>
    <w:p w:rsidR="002C41C1" w:rsidRPr="00D03ACF" w:rsidRDefault="002C41C1" w:rsidP="004838BB"/>
    <w:tbl>
      <w:tblPr>
        <w:tblW w:w="9139" w:type="dxa"/>
        <w:tblBorders>
          <w:bottom w:val="single" w:sz="4" w:space="0" w:color="00A1DE"/>
          <w:insideH w:val="single" w:sz="4" w:space="0" w:color="00A1DE"/>
        </w:tblBorders>
        <w:tblCellMar>
          <w:left w:w="0" w:type="dxa"/>
          <w:right w:w="0" w:type="dxa"/>
        </w:tblCellMar>
        <w:tblLook w:val="00A0" w:firstRow="1" w:lastRow="0" w:firstColumn="1" w:lastColumn="0" w:noHBand="0" w:noVBand="0"/>
      </w:tblPr>
      <w:tblGrid>
        <w:gridCol w:w="2284"/>
        <w:gridCol w:w="1269"/>
        <w:gridCol w:w="1166"/>
        <w:gridCol w:w="1166"/>
        <w:gridCol w:w="1166"/>
        <w:gridCol w:w="1393"/>
        <w:gridCol w:w="807"/>
      </w:tblGrid>
      <w:tr w:rsidR="002C41C1" w:rsidRPr="00D03ACF" w:rsidTr="004C2D90">
        <w:trPr>
          <w:trHeight w:val="194"/>
        </w:trPr>
        <w:tc>
          <w:tcPr>
            <w:tcW w:w="2268" w:type="dxa"/>
            <w:shd w:val="clear" w:color="auto" w:fill="00A1DE"/>
            <w:noWrap/>
          </w:tcPr>
          <w:p w:rsidR="002C41C1" w:rsidRPr="00D03ACF" w:rsidRDefault="002C41C1" w:rsidP="004C2D90">
            <w:pPr>
              <w:jc w:val="left"/>
              <w:rPr>
                <w:b/>
                <w:bCs/>
                <w:color w:val="000000"/>
                <w:sz w:val="18"/>
                <w:szCs w:val="18"/>
              </w:rPr>
            </w:pPr>
            <w:r w:rsidRPr="00D03ACF">
              <w:rPr>
                <w:b/>
                <w:bCs/>
                <w:color w:val="000000"/>
                <w:sz w:val="18"/>
                <w:szCs w:val="18"/>
              </w:rPr>
              <w:t> </w:t>
            </w:r>
          </w:p>
        </w:tc>
        <w:tc>
          <w:tcPr>
            <w:tcW w:w="1253" w:type="dxa"/>
            <w:shd w:val="clear" w:color="auto" w:fill="00A1DE"/>
            <w:noWrap/>
            <w:vAlign w:val="center"/>
          </w:tcPr>
          <w:p w:rsidR="002C41C1" w:rsidRPr="00D03ACF" w:rsidRDefault="002C41C1" w:rsidP="004C2D90">
            <w:pPr>
              <w:jc w:val="center"/>
              <w:rPr>
                <w:b/>
                <w:bCs/>
                <w:color w:val="FFFFFF"/>
                <w:sz w:val="18"/>
                <w:szCs w:val="18"/>
              </w:rPr>
            </w:pPr>
            <w:r w:rsidRPr="00D03ACF">
              <w:rPr>
                <w:b/>
                <w:bCs/>
                <w:color w:val="FFFFFF"/>
                <w:sz w:val="18"/>
                <w:szCs w:val="18"/>
              </w:rPr>
              <w:t>Určitě ano</w:t>
            </w:r>
          </w:p>
        </w:tc>
        <w:tc>
          <w:tcPr>
            <w:tcW w:w="1150" w:type="dxa"/>
            <w:shd w:val="clear" w:color="auto" w:fill="00A1DE"/>
            <w:noWrap/>
            <w:vAlign w:val="center"/>
          </w:tcPr>
          <w:p w:rsidR="002C41C1" w:rsidRPr="00D03ACF" w:rsidRDefault="002C41C1" w:rsidP="004C2D90">
            <w:pPr>
              <w:jc w:val="center"/>
              <w:rPr>
                <w:b/>
                <w:bCs/>
                <w:color w:val="FFFFFF"/>
                <w:sz w:val="18"/>
                <w:szCs w:val="18"/>
              </w:rPr>
            </w:pPr>
            <w:r w:rsidRPr="00D03ACF">
              <w:rPr>
                <w:b/>
                <w:bCs/>
                <w:color w:val="FFFFFF"/>
                <w:sz w:val="18"/>
                <w:szCs w:val="18"/>
              </w:rPr>
              <w:t>Spíše ano</w:t>
            </w:r>
          </w:p>
        </w:tc>
        <w:tc>
          <w:tcPr>
            <w:tcW w:w="1150" w:type="dxa"/>
            <w:shd w:val="clear" w:color="auto" w:fill="00A1DE"/>
            <w:noWrap/>
            <w:vAlign w:val="center"/>
          </w:tcPr>
          <w:p w:rsidR="002C41C1" w:rsidRPr="00D03ACF" w:rsidRDefault="002C41C1" w:rsidP="004C2D90">
            <w:pPr>
              <w:jc w:val="center"/>
              <w:rPr>
                <w:b/>
                <w:bCs/>
                <w:color w:val="FFFFFF"/>
                <w:sz w:val="18"/>
                <w:szCs w:val="18"/>
              </w:rPr>
            </w:pPr>
            <w:r w:rsidRPr="00D03ACF">
              <w:rPr>
                <w:b/>
                <w:bCs/>
                <w:color w:val="FFFFFF"/>
                <w:sz w:val="18"/>
                <w:szCs w:val="18"/>
              </w:rPr>
              <w:t>Spíše ne</w:t>
            </w:r>
          </w:p>
        </w:tc>
        <w:tc>
          <w:tcPr>
            <w:tcW w:w="1150" w:type="dxa"/>
            <w:shd w:val="clear" w:color="auto" w:fill="00A1DE"/>
            <w:noWrap/>
            <w:vAlign w:val="center"/>
          </w:tcPr>
          <w:p w:rsidR="002C41C1" w:rsidRPr="00D03ACF" w:rsidRDefault="002C41C1" w:rsidP="004C2D90">
            <w:pPr>
              <w:jc w:val="center"/>
              <w:rPr>
                <w:b/>
                <w:bCs/>
                <w:color w:val="FFFFFF"/>
                <w:sz w:val="18"/>
                <w:szCs w:val="18"/>
              </w:rPr>
            </w:pPr>
            <w:r w:rsidRPr="00D03ACF">
              <w:rPr>
                <w:b/>
                <w:bCs/>
                <w:color w:val="FFFFFF"/>
                <w:sz w:val="18"/>
                <w:szCs w:val="18"/>
              </w:rPr>
              <w:t>Určitě ne</w:t>
            </w:r>
          </w:p>
        </w:tc>
        <w:tc>
          <w:tcPr>
            <w:tcW w:w="1377" w:type="dxa"/>
            <w:shd w:val="clear" w:color="auto" w:fill="00A1DE"/>
            <w:noWrap/>
          </w:tcPr>
          <w:p w:rsidR="002C41C1" w:rsidRPr="00D03ACF" w:rsidRDefault="002C41C1" w:rsidP="004C2D90">
            <w:pPr>
              <w:jc w:val="center"/>
              <w:rPr>
                <w:b/>
                <w:bCs/>
                <w:color w:val="000000"/>
                <w:sz w:val="18"/>
                <w:szCs w:val="18"/>
              </w:rPr>
            </w:pPr>
            <w:r w:rsidRPr="00D03ACF">
              <w:rPr>
                <w:b/>
                <w:bCs/>
                <w:color w:val="000000"/>
                <w:sz w:val="18"/>
                <w:szCs w:val="18"/>
              </w:rPr>
              <w:t> </w:t>
            </w:r>
            <w:r w:rsidRPr="00D03ACF">
              <w:rPr>
                <w:b/>
                <w:bCs/>
                <w:color w:val="FFFFFF"/>
                <w:sz w:val="18"/>
                <w:szCs w:val="18"/>
              </w:rPr>
              <w:t>Typ nástroje</w:t>
            </w:r>
          </w:p>
        </w:tc>
        <w:tc>
          <w:tcPr>
            <w:tcW w:w="791" w:type="dxa"/>
            <w:shd w:val="clear" w:color="auto" w:fill="00A1DE"/>
            <w:noWrap/>
          </w:tcPr>
          <w:p w:rsidR="002C41C1" w:rsidRPr="00D03ACF" w:rsidRDefault="002C41C1" w:rsidP="004C2D90">
            <w:pPr>
              <w:jc w:val="left"/>
              <w:rPr>
                <w:b/>
                <w:bCs/>
                <w:color w:val="000000"/>
                <w:sz w:val="18"/>
                <w:szCs w:val="18"/>
              </w:rPr>
            </w:pPr>
            <w:r w:rsidRPr="00D03ACF">
              <w:rPr>
                <w:b/>
                <w:bCs/>
                <w:color w:val="000000"/>
                <w:sz w:val="18"/>
                <w:szCs w:val="18"/>
              </w:rPr>
              <w:t> </w:t>
            </w:r>
          </w:p>
        </w:tc>
      </w:tr>
      <w:tr w:rsidR="002C41C1" w:rsidRPr="00D03ACF" w:rsidTr="004C2D90">
        <w:trPr>
          <w:trHeight w:val="203"/>
        </w:trPr>
        <w:tc>
          <w:tcPr>
            <w:tcW w:w="2268" w:type="dxa"/>
            <w:vMerge w:val="restart"/>
            <w:shd w:val="clear" w:color="auto" w:fill="FFFFFF"/>
            <w:noWrap/>
            <w:vAlign w:val="center"/>
          </w:tcPr>
          <w:p w:rsidR="002C41C1" w:rsidRPr="00D03ACF" w:rsidRDefault="002C41C1" w:rsidP="004C2D90">
            <w:pPr>
              <w:jc w:val="left"/>
              <w:rPr>
                <w:color w:val="000000"/>
                <w:sz w:val="18"/>
                <w:szCs w:val="18"/>
              </w:rPr>
            </w:pPr>
            <w:r w:rsidRPr="00D03ACF">
              <w:rPr>
                <w:color w:val="000000"/>
                <w:sz w:val="18"/>
                <w:szCs w:val="18"/>
              </w:rPr>
              <w:t>Investice do rozvoje vysokorychlostního přístupu k internetu</w:t>
            </w:r>
          </w:p>
          <w:p w:rsidR="002C41C1" w:rsidRPr="00D03ACF" w:rsidRDefault="002C41C1" w:rsidP="004C2D90">
            <w:pPr>
              <w:jc w:val="left"/>
              <w:rPr>
                <w:color w:val="000000"/>
                <w:sz w:val="18"/>
                <w:szCs w:val="18"/>
              </w:rPr>
            </w:pPr>
          </w:p>
        </w:tc>
        <w:tc>
          <w:tcPr>
            <w:tcW w:w="1253" w:type="dxa"/>
            <w:shd w:val="clear" w:color="auto" w:fill="FFFFFF"/>
            <w:noWrap/>
            <w:vAlign w:val="bottom"/>
          </w:tcPr>
          <w:p w:rsidR="002C41C1" w:rsidRPr="00D03ACF" w:rsidRDefault="002C41C1" w:rsidP="004C2D90">
            <w:pPr>
              <w:jc w:val="right"/>
              <w:rPr>
                <w:color w:val="000000"/>
                <w:sz w:val="18"/>
                <w:szCs w:val="18"/>
              </w:rPr>
            </w:pPr>
            <w:r w:rsidRPr="00D03ACF">
              <w:rPr>
                <w:color w:val="000000"/>
                <w:sz w:val="18"/>
                <w:szCs w:val="18"/>
              </w:rPr>
              <w:t>19 %</w:t>
            </w:r>
          </w:p>
        </w:tc>
        <w:tc>
          <w:tcPr>
            <w:tcW w:w="1150" w:type="dxa"/>
            <w:shd w:val="clear" w:color="auto" w:fill="FFFFFF"/>
            <w:noWrap/>
            <w:vAlign w:val="bottom"/>
          </w:tcPr>
          <w:p w:rsidR="002C41C1" w:rsidRPr="00D03ACF" w:rsidRDefault="002C41C1" w:rsidP="004C2D90">
            <w:pPr>
              <w:jc w:val="right"/>
              <w:rPr>
                <w:color w:val="000000"/>
                <w:sz w:val="18"/>
                <w:szCs w:val="18"/>
              </w:rPr>
            </w:pPr>
            <w:r w:rsidRPr="00D03ACF">
              <w:rPr>
                <w:color w:val="000000"/>
                <w:sz w:val="18"/>
                <w:szCs w:val="18"/>
              </w:rPr>
              <w:t>22 %</w:t>
            </w:r>
          </w:p>
        </w:tc>
        <w:tc>
          <w:tcPr>
            <w:tcW w:w="1150" w:type="dxa"/>
            <w:shd w:val="clear" w:color="auto" w:fill="FFFFFF"/>
            <w:noWrap/>
            <w:vAlign w:val="bottom"/>
          </w:tcPr>
          <w:p w:rsidR="002C41C1" w:rsidRPr="00D03ACF" w:rsidRDefault="002C41C1" w:rsidP="004C2D90">
            <w:pPr>
              <w:jc w:val="right"/>
              <w:rPr>
                <w:color w:val="000000"/>
                <w:sz w:val="18"/>
                <w:szCs w:val="18"/>
              </w:rPr>
            </w:pPr>
            <w:r w:rsidRPr="00D03ACF">
              <w:rPr>
                <w:color w:val="000000"/>
                <w:sz w:val="18"/>
                <w:szCs w:val="18"/>
              </w:rPr>
              <w:t>23 %</w:t>
            </w:r>
          </w:p>
        </w:tc>
        <w:tc>
          <w:tcPr>
            <w:tcW w:w="1150" w:type="dxa"/>
            <w:shd w:val="clear" w:color="auto" w:fill="FFFFFF"/>
            <w:noWrap/>
            <w:vAlign w:val="bottom"/>
          </w:tcPr>
          <w:p w:rsidR="002C41C1" w:rsidRPr="00D03ACF" w:rsidRDefault="002C41C1" w:rsidP="004C2D90">
            <w:pPr>
              <w:jc w:val="right"/>
              <w:rPr>
                <w:color w:val="000000"/>
                <w:sz w:val="18"/>
                <w:szCs w:val="18"/>
              </w:rPr>
            </w:pPr>
            <w:r w:rsidRPr="00D03ACF">
              <w:rPr>
                <w:color w:val="000000"/>
                <w:sz w:val="18"/>
                <w:szCs w:val="18"/>
              </w:rPr>
              <w:t>36 %</w:t>
            </w:r>
          </w:p>
        </w:tc>
        <w:tc>
          <w:tcPr>
            <w:tcW w:w="2168" w:type="dxa"/>
            <w:gridSpan w:val="2"/>
            <w:shd w:val="clear" w:color="auto" w:fill="FFFFFF"/>
            <w:noWrap/>
            <w:vAlign w:val="center"/>
          </w:tcPr>
          <w:p w:rsidR="002C41C1" w:rsidRPr="00D03ACF" w:rsidRDefault="002C41C1" w:rsidP="004C2D90">
            <w:pPr>
              <w:jc w:val="right"/>
              <w:rPr>
                <w:color w:val="000000"/>
                <w:sz w:val="18"/>
                <w:szCs w:val="18"/>
              </w:rPr>
            </w:pPr>
            <w:r w:rsidRPr="00D03ACF">
              <w:rPr>
                <w:color w:val="000000"/>
                <w:sz w:val="18"/>
                <w:szCs w:val="18"/>
              </w:rPr>
              <w:t>Kapitálový vstup</w:t>
            </w:r>
          </w:p>
        </w:tc>
      </w:tr>
      <w:tr w:rsidR="002C41C1" w:rsidRPr="00D03ACF" w:rsidTr="004C2D90">
        <w:trPr>
          <w:trHeight w:val="203"/>
        </w:trPr>
        <w:tc>
          <w:tcPr>
            <w:tcW w:w="2268" w:type="dxa"/>
            <w:vMerge/>
            <w:shd w:val="clear" w:color="auto" w:fill="FFFFFF"/>
          </w:tcPr>
          <w:p w:rsidR="002C41C1" w:rsidRPr="00D03ACF" w:rsidRDefault="002C41C1" w:rsidP="004C2D90">
            <w:pPr>
              <w:jc w:val="left"/>
              <w:rPr>
                <w:color w:val="000000"/>
                <w:sz w:val="18"/>
                <w:szCs w:val="18"/>
              </w:rPr>
            </w:pPr>
          </w:p>
        </w:tc>
        <w:tc>
          <w:tcPr>
            <w:tcW w:w="1253" w:type="dxa"/>
            <w:shd w:val="clear" w:color="auto" w:fill="FFFFFF"/>
            <w:noWrap/>
            <w:vAlign w:val="bottom"/>
          </w:tcPr>
          <w:p w:rsidR="002C41C1" w:rsidRPr="00D03ACF" w:rsidRDefault="002C41C1" w:rsidP="004C2D90">
            <w:pPr>
              <w:jc w:val="right"/>
              <w:rPr>
                <w:color w:val="000000"/>
                <w:sz w:val="18"/>
                <w:szCs w:val="18"/>
              </w:rPr>
            </w:pPr>
            <w:r w:rsidRPr="00D03ACF">
              <w:rPr>
                <w:color w:val="000000"/>
                <w:sz w:val="18"/>
                <w:szCs w:val="18"/>
              </w:rPr>
              <w:t>23 %</w:t>
            </w:r>
          </w:p>
        </w:tc>
        <w:tc>
          <w:tcPr>
            <w:tcW w:w="1150" w:type="dxa"/>
            <w:shd w:val="clear" w:color="auto" w:fill="FFFFFF"/>
            <w:noWrap/>
            <w:vAlign w:val="bottom"/>
          </w:tcPr>
          <w:p w:rsidR="002C41C1" w:rsidRPr="00D03ACF" w:rsidRDefault="002C41C1" w:rsidP="004C2D90">
            <w:pPr>
              <w:jc w:val="right"/>
              <w:rPr>
                <w:color w:val="000000"/>
                <w:sz w:val="18"/>
                <w:szCs w:val="18"/>
              </w:rPr>
            </w:pPr>
            <w:r w:rsidRPr="00D03ACF">
              <w:rPr>
                <w:color w:val="000000"/>
                <w:sz w:val="18"/>
                <w:szCs w:val="18"/>
              </w:rPr>
              <w:t>23 %</w:t>
            </w:r>
          </w:p>
        </w:tc>
        <w:tc>
          <w:tcPr>
            <w:tcW w:w="1150" w:type="dxa"/>
            <w:shd w:val="clear" w:color="auto" w:fill="FFFFFF"/>
            <w:noWrap/>
            <w:vAlign w:val="bottom"/>
          </w:tcPr>
          <w:p w:rsidR="002C41C1" w:rsidRPr="00D03ACF" w:rsidRDefault="002C41C1" w:rsidP="004C2D90">
            <w:pPr>
              <w:jc w:val="right"/>
              <w:rPr>
                <w:color w:val="000000"/>
                <w:sz w:val="18"/>
                <w:szCs w:val="18"/>
              </w:rPr>
            </w:pPr>
            <w:r w:rsidRPr="00D03ACF">
              <w:rPr>
                <w:color w:val="000000"/>
                <w:sz w:val="18"/>
                <w:szCs w:val="18"/>
              </w:rPr>
              <w:t>28 %</w:t>
            </w:r>
          </w:p>
        </w:tc>
        <w:tc>
          <w:tcPr>
            <w:tcW w:w="1150" w:type="dxa"/>
            <w:shd w:val="clear" w:color="auto" w:fill="FFFFFF"/>
            <w:noWrap/>
            <w:vAlign w:val="bottom"/>
          </w:tcPr>
          <w:p w:rsidR="002C41C1" w:rsidRPr="00D03ACF" w:rsidRDefault="002C41C1" w:rsidP="004C2D90">
            <w:pPr>
              <w:jc w:val="right"/>
              <w:rPr>
                <w:color w:val="000000"/>
                <w:sz w:val="18"/>
                <w:szCs w:val="18"/>
              </w:rPr>
            </w:pPr>
            <w:r w:rsidRPr="00D03ACF">
              <w:rPr>
                <w:color w:val="000000"/>
                <w:sz w:val="18"/>
                <w:szCs w:val="18"/>
              </w:rPr>
              <w:t>26 %</w:t>
            </w:r>
          </w:p>
        </w:tc>
        <w:tc>
          <w:tcPr>
            <w:tcW w:w="2168" w:type="dxa"/>
            <w:gridSpan w:val="2"/>
            <w:shd w:val="clear" w:color="auto" w:fill="FFFFFF"/>
            <w:noWrap/>
            <w:vAlign w:val="center"/>
          </w:tcPr>
          <w:p w:rsidR="002C41C1" w:rsidRPr="00D03ACF" w:rsidRDefault="002C41C1" w:rsidP="004C2D90">
            <w:pPr>
              <w:jc w:val="right"/>
              <w:rPr>
                <w:color w:val="000000"/>
                <w:sz w:val="18"/>
                <w:szCs w:val="18"/>
              </w:rPr>
            </w:pPr>
            <w:r w:rsidRPr="00D03ACF">
              <w:rPr>
                <w:color w:val="000000"/>
                <w:sz w:val="18"/>
                <w:szCs w:val="18"/>
              </w:rPr>
              <w:t>Záruky</w:t>
            </w:r>
          </w:p>
        </w:tc>
      </w:tr>
      <w:tr w:rsidR="002C41C1" w:rsidRPr="00D03ACF" w:rsidTr="004C2D90">
        <w:trPr>
          <w:trHeight w:val="203"/>
        </w:trPr>
        <w:tc>
          <w:tcPr>
            <w:tcW w:w="2268" w:type="dxa"/>
            <w:vMerge/>
            <w:shd w:val="clear" w:color="auto" w:fill="FFFFFF"/>
          </w:tcPr>
          <w:p w:rsidR="002C41C1" w:rsidRPr="00D03ACF" w:rsidRDefault="002C41C1" w:rsidP="004C2D90">
            <w:pPr>
              <w:jc w:val="left"/>
              <w:rPr>
                <w:color w:val="000000"/>
                <w:sz w:val="18"/>
                <w:szCs w:val="18"/>
              </w:rPr>
            </w:pPr>
          </w:p>
        </w:tc>
        <w:tc>
          <w:tcPr>
            <w:tcW w:w="1253" w:type="dxa"/>
            <w:shd w:val="clear" w:color="auto" w:fill="FFFFFF"/>
            <w:noWrap/>
            <w:vAlign w:val="bottom"/>
          </w:tcPr>
          <w:p w:rsidR="002C41C1" w:rsidRPr="00D03ACF" w:rsidRDefault="002C41C1" w:rsidP="004C2D90">
            <w:pPr>
              <w:jc w:val="right"/>
              <w:rPr>
                <w:color w:val="000000"/>
                <w:sz w:val="18"/>
                <w:szCs w:val="18"/>
              </w:rPr>
            </w:pPr>
            <w:r w:rsidRPr="00D03ACF">
              <w:rPr>
                <w:color w:val="000000"/>
                <w:sz w:val="18"/>
                <w:szCs w:val="18"/>
              </w:rPr>
              <w:t>34 %</w:t>
            </w:r>
          </w:p>
        </w:tc>
        <w:tc>
          <w:tcPr>
            <w:tcW w:w="1150" w:type="dxa"/>
            <w:shd w:val="clear" w:color="auto" w:fill="FFFFFF"/>
            <w:noWrap/>
            <w:vAlign w:val="bottom"/>
          </w:tcPr>
          <w:p w:rsidR="002C41C1" w:rsidRPr="00D03ACF" w:rsidRDefault="002C41C1" w:rsidP="004C2D90">
            <w:pPr>
              <w:jc w:val="right"/>
              <w:rPr>
                <w:color w:val="000000"/>
                <w:sz w:val="18"/>
                <w:szCs w:val="18"/>
              </w:rPr>
            </w:pPr>
            <w:r w:rsidRPr="00D03ACF">
              <w:rPr>
                <w:color w:val="000000"/>
                <w:sz w:val="18"/>
                <w:szCs w:val="18"/>
              </w:rPr>
              <w:t>29 %</w:t>
            </w:r>
          </w:p>
        </w:tc>
        <w:tc>
          <w:tcPr>
            <w:tcW w:w="1150" w:type="dxa"/>
            <w:shd w:val="clear" w:color="auto" w:fill="FFFFFF"/>
            <w:noWrap/>
            <w:vAlign w:val="bottom"/>
          </w:tcPr>
          <w:p w:rsidR="002C41C1" w:rsidRPr="00D03ACF" w:rsidRDefault="002C41C1" w:rsidP="004C2D90">
            <w:pPr>
              <w:jc w:val="right"/>
              <w:rPr>
                <w:color w:val="000000"/>
                <w:sz w:val="18"/>
                <w:szCs w:val="18"/>
              </w:rPr>
            </w:pPr>
            <w:r w:rsidRPr="00D03ACF">
              <w:rPr>
                <w:color w:val="000000"/>
                <w:sz w:val="18"/>
                <w:szCs w:val="18"/>
              </w:rPr>
              <w:t>20 %</w:t>
            </w:r>
          </w:p>
        </w:tc>
        <w:tc>
          <w:tcPr>
            <w:tcW w:w="1150" w:type="dxa"/>
            <w:shd w:val="clear" w:color="auto" w:fill="FFFFFF"/>
            <w:noWrap/>
            <w:vAlign w:val="bottom"/>
          </w:tcPr>
          <w:p w:rsidR="002C41C1" w:rsidRPr="00D03ACF" w:rsidRDefault="002C41C1" w:rsidP="004C2D90">
            <w:pPr>
              <w:jc w:val="right"/>
              <w:rPr>
                <w:color w:val="000000"/>
                <w:sz w:val="18"/>
                <w:szCs w:val="18"/>
              </w:rPr>
            </w:pPr>
            <w:r w:rsidRPr="00D03ACF">
              <w:rPr>
                <w:color w:val="000000"/>
                <w:sz w:val="18"/>
                <w:szCs w:val="18"/>
              </w:rPr>
              <w:t>17%</w:t>
            </w:r>
          </w:p>
        </w:tc>
        <w:tc>
          <w:tcPr>
            <w:tcW w:w="2168" w:type="dxa"/>
            <w:gridSpan w:val="2"/>
            <w:shd w:val="clear" w:color="auto" w:fill="FFFFFF"/>
            <w:noWrap/>
            <w:vAlign w:val="center"/>
          </w:tcPr>
          <w:p w:rsidR="002C41C1" w:rsidRPr="00D03ACF" w:rsidRDefault="002C41C1" w:rsidP="004C2D90">
            <w:pPr>
              <w:jc w:val="right"/>
              <w:rPr>
                <w:color w:val="000000"/>
                <w:sz w:val="18"/>
                <w:szCs w:val="18"/>
              </w:rPr>
            </w:pPr>
            <w:r w:rsidRPr="00D03ACF">
              <w:rPr>
                <w:color w:val="000000"/>
                <w:sz w:val="18"/>
                <w:szCs w:val="18"/>
              </w:rPr>
              <w:t>Zvýhodněný úvěr</w:t>
            </w:r>
          </w:p>
        </w:tc>
      </w:tr>
      <w:tr w:rsidR="002C41C1" w:rsidRPr="00D03ACF" w:rsidTr="004C2D90">
        <w:trPr>
          <w:trHeight w:val="20"/>
        </w:trPr>
        <w:tc>
          <w:tcPr>
            <w:tcW w:w="9139" w:type="dxa"/>
            <w:gridSpan w:val="7"/>
            <w:shd w:val="clear" w:color="auto" w:fill="6295FF"/>
            <w:vAlign w:val="center"/>
          </w:tcPr>
          <w:p w:rsidR="002C41C1" w:rsidRPr="00D03ACF" w:rsidRDefault="002C41C1" w:rsidP="004C2D90">
            <w:pPr>
              <w:jc w:val="left"/>
              <w:rPr>
                <w:color w:val="000000"/>
                <w:sz w:val="18"/>
                <w:szCs w:val="18"/>
              </w:rPr>
            </w:pPr>
            <w:r w:rsidRPr="00D03ACF">
              <w:rPr>
                <w:b/>
                <w:bCs/>
                <w:color w:val="FFFFFF"/>
                <w:sz w:val="18"/>
                <w:szCs w:val="18"/>
              </w:rPr>
              <w:t>V případě, že jste odpověděli spíše ne/ne, změnila by se Vaše odpověď na minulou otázku, kdyby zvýhodněný úvěr obsahoval příslib omezené dotační podpory (např. 10 % celkové investice) v případě, že jsou naplněny vybrané cíle projektu?</w:t>
            </w:r>
          </w:p>
          <w:p w:rsidR="002C41C1" w:rsidRPr="00D03ACF" w:rsidRDefault="002C41C1" w:rsidP="004C2D90">
            <w:pPr>
              <w:keepNext/>
              <w:jc w:val="left"/>
              <w:rPr>
                <w:color w:val="000000"/>
                <w:sz w:val="18"/>
                <w:szCs w:val="18"/>
              </w:rPr>
            </w:pPr>
          </w:p>
        </w:tc>
      </w:tr>
      <w:tr w:rsidR="002C41C1" w:rsidRPr="00D03ACF" w:rsidTr="004C2D90">
        <w:trPr>
          <w:trHeight w:val="20"/>
        </w:trPr>
        <w:tc>
          <w:tcPr>
            <w:tcW w:w="2268" w:type="dxa"/>
            <w:shd w:val="clear" w:color="auto" w:fill="6295FF"/>
            <w:vAlign w:val="center"/>
          </w:tcPr>
          <w:p w:rsidR="002C41C1" w:rsidRPr="00D03ACF" w:rsidRDefault="002C41C1" w:rsidP="004C2D90">
            <w:pPr>
              <w:keepNext/>
              <w:rPr>
                <w:b/>
                <w:bCs/>
                <w:color w:val="FFFFFF"/>
                <w:sz w:val="18"/>
                <w:szCs w:val="18"/>
              </w:rPr>
            </w:pPr>
          </w:p>
        </w:tc>
        <w:tc>
          <w:tcPr>
            <w:tcW w:w="1253" w:type="dxa"/>
            <w:shd w:val="clear" w:color="auto" w:fill="6295FF"/>
            <w:noWrap/>
          </w:tcPr>
          <w:p w:rsidR="002C41C1" w:rsidRPr="00D03ACF" w:rsidRDefault="002C41C1" w:rsidP="004C2D90">
            <w:pPr>
              <w:jc w:val="center"/>
              <w:rPr>
                <w:b/>
                <w:bCs/>
                <w:color w:val="FFFFFF"/>
                <w:sz w:val="18"/>
                <w:szCs w:val="18"/>
              </w:rPr>
            </w:pPr>
            <w:r w:rsidRPr="00D03ACF">
              <w:rPr>
                <w:b/>
                <w:bCs/>
                <w:color w:val="FFFFFF"/>
                <w:sz w:val="18"/>
                <w:szCs w:val="18"/>
              </w:rPr>
              <w:t>Určitě ano</w:t>
            </w:r>
          </w:p>
        </w:tc>
        <w:tc>
          <w:tcPr>
            <w:tcW w:w="1150" w:type="dxa"/>
            <w:shd w:val="clear" w:color="auto" w:fill="6295FF"/>
            <w:noWrap/>
          </w:tcPr>
          <w:p w:rsidR="002C41C1" w:rsidRPr="00D03ACF" w:rsidRDefault="002C41C1" w:rsidP="004C2D90">
            <w:pPr>
              <w:jc w:val="center"/>
              <w:rPr>
                <w:b/>
                <w:bCs/>
                <w:color w:val="FFFFFF"/>
                <w:sz w:val="18"/>
                <w:szCs w:val="18"/>
              </w:rPr>
            </w:pPr>
            <w:r w:rsidRPr="00D03ACF">
              <w:rPr>
                <w:b/>
                <w:bCs/>
                <w:color w:val="FFFFFF"/>
                <w:sz w:val="18"/>
                <w:szCs w:val="18"/>
              </w:rPr>
              <w:t>Spíše ano</w:t>
            </w:r>
          </w:p>
        </w:tc>
        <w:tc>
          <w:tcPr>
            <w:tcW w:w="1150" w:type="dxa"/>
            <w:shd w:val="clear" w:color="auto" w:fill="6295FF"/>
            <w:noWrap/>
          </w:tcPr>
          <w:p w:rsidR="002C41C1" w:rsidRPr="00D03ACF" w:rsidRDefault="002C41C1" w:rsidP="004C2D90">
            <w:pPr>
              <w:jc w:val="center"/>
              <w:rPr>
                <w:b/>
                <w:bCs/>
                <w:color w:val="FFFFFF"/>
                <w:sz w:val="18"/>
                <w:szCs w:val="18"/>
              </w:rPr>
            </w:pPr>
            <w:r w:rsidRPr="00D03ACF">
              <w:rPr>
                <w:b/>
                <w:bCs/>
                <w:color w:val="FFFFFF"/>
                <w:sz w:val="18"/>
                <w:szCs w:val="18"/>
              </w:rPr>
              <w:t>Spíše ne</w:t>
            </w:r>
          </w:p>
        </w:tc>
        <w:tc>
          <w:tcPr>
            <w:tcW w:w="1150" w:type="dxa"/>
            <w:shd w:val="clear" w:color="auto" w:fill="6295FF"/>
            <w:noWrap/>
          </w:tcPr>
          <w:p w:rsidR="002C41C1" w:rsidRPr="00D03ACF" w:rsidRDefault="002C41C1" w:rsidP="004C2D90">
            <w:pPr>
              <w:jc w:val="center"/>
              <w:rPr>
                <w:b/>
                <w:bCs/>
                <w:color w:val="FFFFFF"/>
                <w:sz w:val="18"/>
                <w:szCs w:val="18"/>
              </w:rPr>
            </w:pPr>
            <w:r w:rsidRPr="00D03ACF">
              <w:rPr>
                <w:b/>
                <w:bCs/>
                <w:color w:val="FFFFFF"/>
                <w:sz w:val="18"/>
                <w:szCs w:val="18"/>
              </w:rPr>
              <w:t>Určitě ne</w:t>
            </w:r>
          </w:p>
        </w:tc>
        <w:tc>
          <w:tcPr>
            <w:tcW w:w="2168" w:type="dxa"/>
            <w:gridSpan w:val="2"/>
            <w:shd w:val="clear" w:color="auto" w:fill="6295FF"/>
            <w:noWrap/>
          </w:tcPr>
          <w:p w:rsidR="002C41C1" w:rsidRPr="00D03ACF" w:rsidRDefault="002C41C1" w:rsidP="004C2D90">
            <w:pPr>
              <w:jc w:val="center"/>
              <w:rPr>
                <w:b/>
                <w:bCs/>
                <w:color w:val="FFFFFF"/>
                <w:sz w:val="18"/>
                <w:szCs w:val="18"/>
              </w:rPr>
            </w:pPr>
            <w:r w:rsidRPr="00D03ACF">
              <w:rPr>
                <w:b/>
                <w:bCs/>
                <w:color w:val="FFFFFF"/>
                <w:sz w:val="18"/>
                <w:szCs w:val="18"/>
              </w:rPr>
              <w:t xml:space="preserve"> Typ nástroje</w:t>
            </w:r>
          </w:p>
        </w:tc>
      </w:tr>
      <w:tr w:rsidR="002C41C1" w:rsidRPr="00D03ACF" w:rsidTr="004C2D90">
        <w:trPr>
          <w:trHeight w:val="203"/>
        </w:trPr>
        <w:tc>
          <w:tcPr>
            <w:tcW w:w="2268" w:type="dxa"/>
            <w:shd w:val="clear" w:color="auto" w:fill="FFFFFF"/>
            <w:vAlign w:val="center"/>
          </w:tcPr>
          <w:p w:rsidR="002C41C1" w:rsidRPr="00D03ACF" w:rsidRDefault="002C41C1" w:rsidP="004C2D90">
            <w:pPr>
              <w:jc w:val="center"/>
              <w:rPr>
                <w:color w:val="000000"/>
                <w:sz w:val="18"/>
                <w:szCs w:val="18"/>
              </w:rPr>
            </w:pPr>
            <w:r w:rsidRPr="00D03ACF">
              <w:rPr>
                <w:color w:val="000000"/>
                <w:sz w:val="18"/>
                <w:szCs w:val="18"/>
              </w:rPr>
              <w:t>Investice do rozvoje vysokorychlostního přístupu k internetu</w:t>
            </w:r>
          </w:p>
        </w:tc>
        <w:tc>
          <w:tcPr>
            <w:tcW w:w="1253" w:type="dxa"/>
            <w:shd w:val="clear" w:color="auto" w:fill="FFFFFF"/>
            <w:noWrap/>
            <w:vAlign w:val="center"/>
          </w:tcPr>
          <w:p w:rsidR="002C41C1" w:rsidRPr="00D03ACF" w:rsidRDefault="002C41C1" w:rsidP="004C2D90">
            <w:pPr>
              <w:jc w:val="right"/>
              <w:rPr>
                <w:color w:val="000000"/>
                <w:sz w:val="18"/>
                <w:szCs w:val="18"/>
              </w:rPr>
            </w:pPr>
            <w:r w:rsidRPr="00D03ACF">
              <w:rPr>
                <w:color w:val="000000"/>
                <w:sz w:val="18"/>
                <w:szCs w:val="18"/>
              </w:rPr>
              <w:t>19 %</w:t>
            </w:r>
          </w:p>
        </w:tc>
        <w:tc>
          <w:tcPr>
            <w:tcW w:w="1150" w:type="dxa"/>
            <w:shd w:val="clear" w:color="auto" w:fill="FFFFFF"/>
            <w:noWrap/>
            <w:vAlign w:val="center"/>
          </w:tcPr>
          <w:p w:rsidR="002C41C1" w:rsidRPr="00D03ACF" w:rsidRDefault="002C41C1" w:rsidP="004C2D90">
            <w:pPr>
              <w:jc w:val="right"/>
              <w:rPr>
                <w:color w:val="000000"/>
                <w:sz w:val="18"/>
                <w:szCs w:val="18"/>
              </w:rPr>
            </w:pPr>
            <w:r w:rsidRPr="00D03ACF">
              <w:rPr>
                <w:color w:val="000000"/>
                <w:sz w:val="18"/>
                <w:szCs w:val="18"/>
              </w:rPr>
              <w:t>30 %</w:t>
            </w:r>
          </w:p>
        </w:tc>
        <w:tc>
          <w:tcPr>
            <w:tcW w:w="1150" w:type="dxa"/>
            <w:shd w:val="clear" w:color="auto" w:fill="FFFFFF"/>
            <w:noWrap/>
            <w:vAlign w:val="center"/>
          </w:tcPr>
          <w:p w:rsidR="002C41C1" w:rsidRPr="00D03ACF" w:rsidRDefault="002C41C1" w:rsidP="004C2D90">
            <w:pPr>
              <w:jc w:val="right"/>
              <w:rPr>
                <w:color w:val="000000"/>
                <w:sz w:val="18"/>
                <w:szCs w:val="18"/>
              </w:rPr>
            </w:pPr>
            <w:r w:rsidRPr="00D03ACF">
              <w:rPr>
                <w:color w:val="000000"/>
                <w:sz w:val="18"/>
                <w:szCs w:val="18"/>
              </w:rPr>
              <w:t>30 %</w:t>
            </w:r>
          </w:p>
        </w:tc>
        <w:tc>
          <w:tcPr>
            <w:tcW w:w="1150" w:type="dxa"/>
            <w:shd w:val="clear" w:color="auto" w:fill="FFFFFF"/>
            <w:noWrap/>
            <w:vAlign w:val="center"/>
          </w:tcPr>
          <w:p w:rsidR="002C41C1" w:rsidRPr="00D03ACF" w:rsidRDefault="002C41C1" w:rsidP="004C2D90">
            <w:pPr>
              <w:jc w:val="right"/>
              <w:rPr>
                <w:color w:val="000000"/>
                <w:sz w:val="18"/>
                <w:szCs w:val="18"/>
              </w:rPr>
            </w:pPr>
            <w:r w:rsidRPr="00D03ACF">
              <w:rPr>
                <w:color w:val="000000"/>
                <w:sz w:val="18"/>
                <w:szCs w:val="18"/>
              </w:rPr>
              <w:t>21 %</w:t>
            </w:r>
          </w:p>
        </w:tc>
        <w:tc>
          <w:tcPr>
            <w:tcW w:w="2168" w:type="dxa"/>
            <w:gridSpan w:val="2"/>
            <w:shd w:val="clear" w:color="auto" w:fill="FFFFFF"/>
            <w:noWrap/>
            <w:vAlign w:val="center"/>
          </w:tcPr>
          <w:p w:rsidR="002C41C1" w:rsidRPr="00D03ACF" w:rsidRDefault="002C41C1" w:rsidP="004C2D90">
            <w:pPr>
              <w:keepNext/>
              <w:jc w:val="right"/>
              <w:rPr>
                <w:color w:val="000000"/>
                <w:sz w:val="18"/>
                <w:szCs w:val="18"/>
              </w:rPr>
            </w:pPr>
            <w:r w:rsidRPr="00D03ACF">
              <w:rPr>
                <w:color w:val="000000"/>
                <w:sz w:val="18"/>
                <w:szCs w:val="18"/>
              </w:rPr>
              <w:t>Zvýhodněný úvěr + dotace</w:t>
            </w:r>
          </w:p>
        </w:tc>
      </w:tr>
    </w:tbl>
    <w:p w:rsidR="002C41C1" w:rsidRDefault="002C41C1">
      <w:pPr>
        <w:pStyle w:val="Titulek"/>
      </w:pPr>
      <w:r w:rsidRPr="00D03ACF">
        <w:t xml:space="preserve">Tabulka </w:t>
      </w:r>
      <w:fldSimple w:instr=" SEQ Tabulka \* ARABIC ">
        <w:r>
          <w:rPr>
            <w:noProof/>
          </w:rPr>
          <w:t>18</w:t>
        </w:r>
      </w:fldSimple>
      <w:r w:rsidRPr="00D03ACF">
        <w:t>: Aktivační potenciál finančních nástrojů</w:t>
      </w:r>
    </w:p>
    <w:p w:rsidR="002C41C1" w:rsidRDefault="002C41C1">
      <w:pPr>
        <w:pStyle w:val="Titulek"/>
      </w:pPr>
      <w:r w:rsidRPr="00D03ACF">
        <w:t xml:space="preserve">Zdroj: </w:t>
      </w:r>
      <w:r>
        <w:t xml:space="preserve">Dotazníkové šetření Ex ante </w:t>
      </w:r>
      <w:r w:rsidR="0084453C">
        <w:t>OP PIK</w:t>
      </w:r>
    </w:p>
    <w:p w:rsidR="002C41C1" w:rsidRPr="00D03ACF" w:rsidRDefault="002C41C1" w:rsidP="004838BB">
      <w:pPr>
        <w:pStyle w:val="Titulek"/>
      </w:pPr>
    </w:p>
    <w:p w:rsidR="002C41C1" w:rsidRDefault="002C41C1" w:rsidP="004838BB">
      <w:r w:rsidRPr="00DF6E0B">
        <w:rPr>
          <w:b/>
        </w:rPr>
        <w:t>Kdyby neexistovala veřejná podpora, tak by investici v</w:t>
      </w:r>
      <w:r w:rsidRPr="00D144BB">
        <w:rPr>
          <w:b/>
        </w:rPr>
        <w:t> </w:t>
      </w:r>
      <w:r w:rsidRPr="00DF6E0B">
        <w:rPr>
          <w:b/>
        </w:rPr>
        <w:t>plné výši realizovala pouze čtvrtina subjektů. Za největší bariéru jsou považovány administrativní náklady</w:t>
      </w:r>
      <w:r w:rsidRPr="00D03ACF">
        <w:t xml:space="preserve">. Druhou nejvhodnější </w:t>
      </w:r>
      <w:r w:rsidRPr="00D03ACF">
        <w:lastRenderedPageBreak/>
        <w:t>variantou mimo zvýhodněné úvěry a dotace pro projekty dle doby návratnosti a rentability, jsou kapitálový vstupy v rámci veřejného zájmu pro naplnění cíle z dokumentu Digitální Česko 2.0, který by motivoval pouze 41 % subjektů při aktivací jejich investičních plánů.</w:t>
      </w:r>
    </w:p>
    <w:p w:rsidR="002C41C1" w:rsidRDefault="002C41C1" w:rsidP="004838BB"/>
    <w:p w:rsidR="002C41C1" w:rsidRPr="002C41C1" w:rsidRDefault="002C41C1" w:rsidP="00DF6E0B">
      <w:pPr>
        <w:pStyle w:val="Nadpis1"/>
      </w:pPr>
      <w:bookmarkStart w:id="84" w:name="_Toc413854346"/>
      <w:r w:rsidRPr="002C41C1">
        <w:t>Použité zdroje</w:t>
      </w:r>
      <w:bookmarkEnd w:id="84"/>
    </w:p>
    <w:p w:rsidR="002C41C1" w:rsidRDefault="002C41C1" w:rsidP="00DF6E0B">
      <w:pPr>
        <w:pStyle w:val="Odstavecseseznamem"/>
        <w:spacing w:after="240"/>
        <w:ind w:left="360"/>
        <w:rPr>
          <w:rFonts w:cs="Calibri"/>
          <w:i/>
          <w:color w:val="222222"/>
          <w:szCs w:val="22"/>
        </w:rPr>
      </w:pPr>
    </w:p>
    <w:p w:rsidR="00012C12" w:rsidRPr="00CB76E1" w:rsidRDefault="00012C12" w:rsidP="00012C12">
      <w:pPr>
        <w:pStyle w:val="Nadpis2"/>
      </w:pPr>
      <w:bookmarkStart w:id="85" w:name="_Toc409613012"/>
      <w:bookmarkStart w:id="86" w:name="_Toc413854347"/>
      <w:r w:rsidRPr="00CB76E1">
        <w:t xml:space="preserve">Legislativní </w:t>
      </w:r>
      <w:r>
        <w:t>východiska</w:t>
      </w:r>
      <w:bookmarkEnd w:id="85"/>
      <w:bookmarkEnd w:id="86"/>
    </w:p>
    <w:p w:rsidR="00012C12" w:rsidRPr="00A327EF" w:rsidRDefault="00012C12" w:rsidP="00012C12">
      <w:r w:rsidRPr="00A327EF">
        <w:t xml:space="preserve">Legislativní bázi pro poskytování podpory prostřednictvím finančních nástrojů OP PIK tvoří z hlediska </w:t>
      </w:r>
      <w:r>
        <w:t xml:space="preserve">práva EU </w:t>
      </w:r>
      <w:r w:rsidRPr="00A327EF">
        <w:t>především:</w:t>
      </w:r>
    </w:p>
    <w:p w:rsidR="00012C12" w:rsidRPr="00A327EF" w:rsidRDefault="00012C12" w:rsidP="00012C12">
      <w:pPr>
        <w:pStyle w:val="Odstavecseseznamem"/>
        <w:numPr>
          <w:ilvl w:val="0"/>
          <w:numId w:val="44"/>
        </w:numPr>
      </w:pPr>
      <w:r w:rsidRPr="00B065A5">
        <w:t>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 OJ L 347, s. 320-469</w:t>
      </w:r>
      <w:r>
        <w:t xml:space="preserve"> (dále jen „Obecné nařízení“)</w:t>
      </w:r>
      <w:r w:rsidRPr="00A327EF">
        <w:t>,</w:t>
      </w:r>
    </w:p>
    <w:p w:rsidR="00012C12" w:rsidRDefault="00012C12" w:rsidP="00012C12">
      <w:pPr>
        <w:pStyle w:val="Odstavecseseznamem"/>
        <w:numPr>
          <w:ilvl w:val="0"/>
          <w:numId w:val="44"/>
        </w:numPr>
      </w:pPr>
      <w:r>
        <w:t>nařízení E</w:t>
      </w:r>
      <w:r w:rsidRPr="0048265B">
        <w:t xml:space="preserve">vropského parlamentu a </w:t>
      </w:r>
      <w:r>
        <w:t>R</w:t>
      </w:r>
      <w:r w:rsidRPr="0048265B">
        <w:t>ady (EU) č. 1301/2013</w:t>
      </w:r>
      <w:r>
        <w:t xml:space="preserve"> </w:t>
      </w:r>
      <w:r w:rsidRPr="00A35F56">
        <w:t>ze dne 17. prosince 2013</w:t>
      </w:r>
      <w:r>
        <w:t xml:space="preserve"> </w:t>
      </w:r>
      <w:r w:rsidRPr="00A35F56">
        <w:t>o Evropském fondu pro regionální rozvoj, o zvláštních ustanoveních týkajících se cíle Investice pro růst a zaměstnanost a o zrušení nařízení</w:t>
      </w:r>
      <w:r>
        <w:t xml:space="preserve"> </w:t>
      </w:r>
      <w:r w:rsidRPr="00A35F56">
        <w:t>(ES) č. 1080/2006</w:t>
      </w:r>
      <w:r>
        <w:t>, OJ L 347, 20. 12. 2013, s. 289 (dále jen „nařízení o EFRR“),</w:t>
      </w:r>
    </w:p>
    <w:p w:rsidR="00012C12" w:rsidRPr="00A35F56" w:rsidRDefault="00012C12" w:rsidP="00012C12">
      <w:pPr>
        <w:pStyle w:val="Odstavecseseznamem"/>
        <w:numPr>
          <w:ilvl w:val="0"/>
          <w:numId w:val="44"/>
        </w:numPr>
      </w:pPr>
      <w:r w:rsidRPr="00A35F56">
        <w:t>prováděcí a delegovací</w:t>
      </w:r>
      <w:r>
        <w:t xml:space="preserve"> </w:t>
      </w:r>
      <w:r w:rsidRPr="00A35F56">
        <w:t>akty k finančním nástrojům kohezní politiky (v současnosti v režimu fiche</w:t>
      </w:r>
      <w:r w:rsidR="009D6315">
        <w:t xml:space="preserve"> </w:t>
      </w:r>
      <w:r w:rsidRPr="00A35F56">
        <w:t>a dokumentu Standardní podmínky pro off-the-shelf nástroje),</w:t>
      </w:r>
    </w:p>
    <w:p w:rsidR="00012C12" w:rsidRPr="00F42B2F" w:rsidRDefault="00012C12" w:rsidP="00012C12">
      <w:pPr>
        <w:pStyle w:val="Odstavecseseznamem"/>
        <w:numPr>
          <w:ilvl w:val="0"/>
          <w:numId w:val="44"/>
        </w:numPr>
      </w:pPr>
      <w:r>
        <w:t>výkladové pokyny Komise,</w:t>
      </w:r>
    </w:p>
    <w:p w:rsidR="00012C12" w:rsidRDefault="00012C12" w:rsidP="00012C12">
      <w:pPr>
        <w:pStyle w:val="Odstavecseseznamem"/>
        <w:numPr>
          <w:ilvl w:val="0"/>
          <w:numId w:val="44"/>
        </w:numPr>
      </w:pPr>
      <w:r w:rsidRPr="00A327EF">
        <w:t>směrnice Evropského parlamentu a Rady 2011/61/EU ze dne 8. června 2011 o správcích alternativních investičních fondů a o změně směrnic 2003/41/ES a 2009/65/ES a nařízení (ES) č. 1060/2009 a (EU) č. 1095/2010 (</w:t>
      </w:r>
      <w:r>
        <w:t xml:space="preserve">dále jen </w:t>
      </w:r>
      <w:r w:rsidRPr="00A327EF">
        <w:t>„AIFMD“)</w:t>
      </w:r>
      <w:r>
        <w:t>,</w:t>
      </w:r>
    </w:p>
    <w:p w:rsidR="00012C12" w:rsidRDefault="00012C12" w:rsidP="00012C12">
      <w:pPr>
        <w:pStyle w:val="Odstavecseseznamem"/>
        <w:numPr>
          <w:ilvl w:val="0"/>
          <w:numId w:val="44"/>
        </w:numPr>
      </w:pPr>
      <w:r>
        <w:t>nařízení</w:t>
      </w:r>
      <w:r w:rsidRPr="0048265B">
        <w:t xml:space="preserve"> (EU, EURATOM) č. 966/2012 E</w:t>
      </w:r>
      <w:r>
        <w:t xml:space="preserve">vropského parlamentu a Rady </w:t>
      </w:r>
      <w:r w:rsidRPr="0048265B">
        <w:t>ze dne 25. října 2012,</w:t>
      </w:r>
      <w:r w:rsidR="009D6315">
        <w:t xml:space="preserve"> </w:t>
      </w:r>
      <w:r w:rsidRPr="0048265B">
        <w:t>kterým se stanoví finanční pravidla o souhrnném rozpočtu Unie a o zrušení nařízení Rady (ES, Euratom) č. 1605/2002</w:t>
      </w:r>
      <w:r>
        <w:t>, OJ L 298, 26. 10. 2012, s. 1,</w:t>
      </w:r>
    </w:p>
    <w:p w:rsidR="00012C12" w:rsidRDefault="00012C12" w:rsidP="00012C12">
      <w:pPr>
        <w:pStyle w:val="Odstavecseseznamem"/>
        <w:numPr>
          <w:ilvl w:val="0"/>
          <w:numId w:val="44"/>
        </w:numPr>
      </w:pPr>
      <w:r w:rsidRPr="0048265B">
        <w:t>směrnice Evropského parlamentu a Rady 2004/18/ES o koordinaci postupů při zadávání veřejných zakázek na stavební práce, dodávky a služby (směrnice EU k veřejným zakázkám),</w:t>
      </w:r>
    </w:p>
    <w:p w:rsidR="00012C12" w:rsidRPr="0048265B" w:rsidRDefault="00012C12" w:rsidP="00012C12">
      <w:pPr>
        <w:pStyle w:val="Odstavecseseznamem"/>
        <w:numPr>
          <w:ilvl w:val="0"/>
          <w:numId w:val="44"/>
        </w:numPr>
      </w:pPr>
      <w:r>
        <w:t>aplikovatelná rozhodnutí ESD a SDEU,</w:t>
      </w:r>
    </w:p>
    <w:p w:rsidR="00012C12" w:rsidRDefault="00012C12" w:rsidP="00012C12">
      <w:pPr>
        <w:pStyle w:val="Odstavecseseznamem"/>
        <w:numPr>
          <w:ilvl w:val="0"/>
          <w:numId w:val="44"/>
        </w:numPr>
      </w:pPr>
      <w:r>
        <w:t>pravidla pro veřejnou podporu, zejména:</w:t>
      </w:r>
    </w:p>
    <w:p w:rsidR="00012C12" w:rsidRDefault="00012C12" w:rsidP="00012C12">
      <w:pPr>
        <w:pStyle w:val="Odstavecseseznamem"/>
        <w:numPr>
          <w:ilvl w:val="1"/>
          <w:numId w:val="44"/>
        </w:numPr>
      </w:pPr>
      <w:r w:rsidRPr="00A327EF">
        <w:t>připravované Obecné n</w:t>
      </w:r>
      <w:r>
        <w:t>ařízení o blokových výjimkách (dále jen „GBER“),</w:t>
      </w:r>
    </w:p>
    <w:p w:rsidR="00012C12" w:rsidRPr="00CB76E1" w:rsidRDefault="00012C12" w:rsidP="00012C12">
      <w:pPr>
        <w:pStyle w:val="Odstavecseseznamem"/>
        <w:numPr>
          <w:ilvl w:val="1"/>
          <w:numId w:val="44"/>
        </w:numPr>
      </w:pPr>
      <w:r w:rsidRPr="00CB76E1">
        <w:t>Pokyny k státní podpoře investic</w:t>
      </w:r>
      <w:r>
        <w:t xml:space="preserve"> v rámci rizikového financování, OJ </w:t>
      </w:r>
      <w:r w:rsidRPr="00CB76E1">
        <w:t>C 19</w:t>
      </w:r>
      <w:r>
        <w:t>, 22. 1. 2014, s. 4 (dále jen „RCG“),</w:t>
      </w:r>
    </w:p>
    <w:p w:rsidR="00012C12" w:rsidRDefault="00012C12" w:rsidP="00012C12">
      <w:pPr>
        <w:pStyle w:val="Odstavecseseznamem"/>
        <w:numPr>
          <w:ilvl w:val="1"/>
          <w:numId w:val="44"/>
        </w:numPr>
      </w:pPr>
      <w:r>
        <w:t>nařízení Komise</w:t>
      </w:r>
      <w:r w:rsidRPr="00CB76E1">
        <w:t xml:space="preserve"> (EU) č. 1407/2013ze dne 18. prosince 2013o použití článků 107 a 108 Smlouvy o fungování Evropské unie na podporu de minimis</w:t>
      </w:r>
      <w:r>
        <w:t>, OJ L 352, 24. 12. 2013, s. 1 (dále jen „nařízení de minimis“),</w:t>
      </w:r>
    </w:p>
    <w:p w:rsidR="00012C12" w:rsidRPr="00CB76E1" w:rsidRDefault="00012C12" w:rsidP="00012C12">
      <w:pPr>
        <w:pStyle w:val="Odstavecseseznamem"/>
        <w:numPr>
          <w:ilvl w:val="1"/>
          <w:numId w:val="44"/>
        </w:numPr>
      </w:pPr>
      <w:r w:rsidRPr="00CB76E1">
        <w:t>Sdělení Komise (ES) o použití článků 87 a 88 Smlouvy o ES na státní podpory ve formě záruk, OJ C 155, 20.6.2008, s. 10</w:t>
      </w:r>
      <w:r>
        <w:t xml:space="preserve"> (dále jen „sdělení k zárukám“),</w:t>
      </w:r>
    </w:p>
    <w:p w:rsidR="00012C12" w:rsidRPr="00CB76E1" w:rsidRDefault="00012C12" w:rsidP="00012C12">
      <w:pPr>
        <w:pStyle w:val="Odstavecseseznamem"/>
        <w:numPr>
          <w:ilvl w:val="1"/>
          <w:numId w:val="44"/>
        </w:numPr>
      </w:pPr>
      <w:r w:rsidRPr="00CB76E1">
        <w:t>Sdělení Komise o revizi metody stanovování referenčníc</w:t>
      </w:r>
      <w:r>
        <w:t>h a diskontních sazeb, OJ C 014</w:t>
      </w:r>
      <w:r w:rsidRPr="00CB76E1">
        <w:t>,19.1.2008, s. 6</w:t>
      </w:r>
      <w:r>
        <w:t xml:space="preserve"> (dále jen „sdělení o referenčních sazbách“),</w:t>
      </w:r>
    </w:p>
    <w:p w:rsidR="00012C12" w:rsidRDefault="00012C12" w:rsidP="00012C12">
      <w:pPr>
        <w:pStyle w:val="Odstavecseseznamem"/>
        <w:numPr>
          <w:ilvl w:val="1"/>
          <w:numId w:val="44"/>
        </w:numPr>
      </w:pPr>
      <w:r w:rsidRPr="00CB76E1">
        <w:t>Pokyny pro regionální státní podporu pro období 2014 – 2020, OJ C 209, 23. 7. 2013, s. 1 (</w:t>
      </w:r>
      <w:r>
        <w:t>dále jen „</w:t>
      </w:r>
      <w:r w:rsidRPr="00CB76E1">
        <w:t>RAG</w:t>
      </w:r>
      <w:r>
        <w:t>“</w:t>
      </w:r>
      <w:r w:rsidRPr="00CB76E1">
        <w:t>)</w:t>
      </w:r>
    </w:p>
    <w:p w:rsidR="00012C12" w:rsidRPr="00CB76E1" w:rsidRDefault="00012C12" w:rsidP="00012C12">
      <w:pPr>
        <w:pStyle w:val="Odstavecseseznamem"/>
        <w:ind w:left="1080"/>
      </w:pPr>
    </w:p>
    <w:p w:rsidR="00012C12" w:rsidRPr="00A327EF" w:rsidRDefault="00012C12" w:rsidP="00012C12">
      <w:r w:rsidRPr="00A327EF">
        <w:t>Z českých předpisů (vyjma daňových a účetních) pak jde zejména o:</w:t>
      </w:r>
    </w:p>
    <w:p w:rsidR="00012C12" w:rsidRPr="00070476" w:rsidRDefault="00012C12" w:rsidP="00012C12">
      <w:pPr>
        <w:pStyle w:val="Odstavecseseznamem"/>
        <w:numPr>
          <w:ilvl w:val="0"/>
          <w:numId w:val="42"/>
        </w:numPr>
      </w:pPr>
      <w:r w:rsidRPr="00070476">
        <w:lastRenderedPageBreak/>
        <w:t>zákon č. 218/2000 Sb., o rozpočtových pravidlech, ve znění pozdějších předpisů (dále jen „rozpočtová pravidla“)</w:t>
      </w:r>
      <w:r>
        <w:rPr>
          <w:rStyle w:val="Znakapoznpodarou"/>
          <w:szCs w:val="24"/>
        </w:rPr>
        <w:footnoteReference w:id="30"/>
      </w:r>
      <w:r w:rsidRPr="00070476">
        <w:t>,</w:t>
      </w:r>
    </w:p>
    <w:p w:rsidR="00012C12" w:rsidRPr="00070476" w:rsidRDefault="00012C12" w:rsidP="00012C12">
      <w:pPr>
        <w:pStyle w:val="Odstavecseseznamem"/>
        <w:numPr>
          <w:ilvl w:val="0"/>
          <w:numId w:val="42"/>
        </w:numPr>
      </w:pPr>
      <w:r w:rsidRPr="00070476">
        <w:t>zákon č. 219/2000 Sb., o majetku České republiky, ve znění pozdějších předpisů (dále jen „zákon o majetku ČR“),</w:t>
      </w:r>
    </w:p>
    <w:p w:rsidR="00012C12" w:rsidRPr="00070476" w:rsidRDefault="00012C12" w:rsidP="00012C12">
      <w:pPr>
        <w:pStyle w:val="Odstavecseseznamem"/>
        <w:numPr>
          <w:ilvl w:val="0"/>
          <w:numId w:val="42"/>
        </w:numPr>
      </w:pPr>
      <w:r w:rsidRPr="00070476">
        <w:t>zákon č. 137/2006 Sb., o veřejných zakázkách, ve znění pozdějších předpisů (dále jen „ZVZ“) a navazující podzákonné předpisy,</w:t>
      </w:r>
    </w:p>
    <w:p w:rsidR="00012C12" w:rsidRPr="00070476" w:rsidRDefault="00012C12" w:rsidP="00012C12">
      <w:pPr>
        <w:pStyle w:val="Odstavecseseznamem"/>
        <w:numPr>
          <w:ilvl w:val="0"/>
          <w:numId w:val="42"/>
        </w:numPr>
      </w:pPr>
      <w:r w:rsidRPr="00070476">
        <w:t>zákon č. 47/2002 Sb., o podpoře malého a středního podnikání (dále jen „zákon o podpoře MSP“),</w:t>
      </w:r>
    </w:p>
    <w:p w:rsidR="00012C12" w:rsidRPr="00070476" w:rsidRDefault="00012C12" w:rsidP="00012C12">
      <w:pPr>
        <w:pStyle w:val="Odstavecseseznamem"/>
        <w:numPr>
          <w:ilvl w:val="0"/>
          <w:numId w:val="42"/>
        </w:numPr>
      </w:pPr>
      <w:r w:rsidRPr="00070476">
        <w:t>zákon č. 320/2001 Sb., o finanční kontrole, ve znění pozdějších předpisů (dále jen „zákon o finanční kontrole“),</w:t>
      </w:r>
    </w:p>
    <w:p w:rsidR="00012C12" w:rsidRPr="00070476" w:rsidRDefault="00012C12" w:rsidP="00012C12">
      <w:pPr>
        <w:pStyle w:val="Odstavecseseznamem"/>
        <w:numPr>
          <w:ilvl w:val="0"/>
          <w:numId w:val="42"/>
        </w:numPr>
      </w:pPr>
      <w:r w:rsidRPr="00070476">
        <w:t>zákon č. 240/2013 Sb., o investičních společnostech a investičních fondech (dále jen „ZISIF“) a navazující podzákonné předpisy,</w:t>
      </w:r>
    </w:p>
    <w:p w:rsidR="00012C12" w:rsidRPr="00070476" w:rsidRDefault="00012C12" w:rsidP="00012C12">
      <w:pPr>
        <w:pStyle w:val="Odstavecseseznamem"/>
        <w:numPr>
          <w:ilvl w:val="0"/>
          <w:numId w:val="42"/>
        </w:numPr>
      </w:pPr>
      <w:r w:rsidRPr="00070476">
        <w:t>zákon č. 90/2012 Sb., o obchodních korporacích (dále jen „ZOK“),</w:t>
      </w:r>
    </w:p>
    <w:p w:rsidR="00012C12" w:rsidRPr="00070476" w:rsidRDefault="00012C12" w:rsidP="00012C12">
      <w:pPr>
        <w:pStyle w:val="Odstavecseseznamem"/>
        <w:numPr>
          <w:ilvl w:val="0"/>
          <w:numId w:val="42"/>
        </w:numPr>
      </w:pPr>
      <w:r w:rsidRPr="00070476">
        <w:t>zákon č. 89/2012 Sb., občanský zákoník (dále jen „NOZ“),</w:t>
      </w:r>
    </w:p>
    <w:p w:rsidR="00012C12" w:rsidRPr="00070476" w:rsidRDefault="00012C12" w:rsidP="00012C12">
      <w:pPr>
        <w:pStyle w:val="Odstavecseseznamem"/>
        <w:numPr>
          <w:ilvl w:val="0"/>
          <w:numId w:val="42"/>
        </w:numPr>
      </w:pPr>
      <w:r w:rsidRPr="00070476">
        <w:t>zákon č. 21/1992 Sb., o bankách, ve znění pozdějších předpisů (dále jen „zákon o bankách“) a navazující podzákonné předpisy,</w:t>
      </w:r>
    </w:p>
    <w:p w:rsidR="00012C12" w:rsidRPr="00070476" w:rsidRDefault="00012C12" w:rsidP="00012C12">
      <w:pPr>
        <w:pStyle w:val="Odstavecseseznamem"/>
        <w:numPr>
          <w:ilvl w:val="0"/>
          <w:numId w:val="42"/>
        </w:numPr>
      </w:pPr>
      <w:r w:rsidRPr="00070476">
        <w:t>návrh Metodického pokynu finančních toků a kontroly 2014+ (dále jen „MPFT“),</w:t>
      </w:r>
    </w:p>
    <w:p w:rsidR="00012C12" w:rsidRPr="00070476" w:rsidRDefault="00012C12" w:rsidP="00012C12">
      <w:pPr>
        <w:pStyle w:val="Odstavecseseznamem"/>
        <w:numPr>
          <w:ilvl w:val="0"/>
          <w:numId w:val="42"/>
        </w:numPr>
      </w:pPr>
      <w:r w:rsidRPr="00070476">
        <w:t>návrh Metodiky monitorování 2014+ (dále jen „MM“),</w:t>
      </w:r>
    </w:p>
    <w:p w:rsidR="00012C12" w:rsidRPr="00070476" w:rsidRDefault="00012C12" w:rsidP="00012C12">
      <w:pPr>
        <w:pStyle w:val="Odstavecseseznamem"/>
        <w:numPr>
          <w:ilvl w:val="0"/>
          <w:numId w:val="42"/>
        </w:numPr>
      </w:pPr>
      <w:r w:rsidRPr="00070476">
        <w:t>Další metodiky v rámci tzv. Jednotného metodického prostředí (dále jen „JMP“).</w:t>
      </w:r>
    </w:p>
    <w:p w:rsidR="00012C12" w:rsidRPr="00CB76E1" w:rsidRDefault="00012C12" w:rsidP="00012C12">
      <w:pPr>
        <w:pStyle w:val="Nadpis2"/>
      </w:pPr>
      <w:bookmarkStart w:id="87" w:name="_Toc413854348"/>
      <w:r>
        <w:t>Další podkladové materiály</w:t>
      </w:r>
      <w:bookmarkEnd w:id="87"/>
    </w:p>
    <w:p w:rsidR="002C41C1" w:rsidRPr="00972C92" w:rsidRDefault="002C41C1" w:rsidP="00DF6E0B">
      <w:pPr>
        <w:pStyle w:val="Odstavecseseznamem"/>
        <w:numPr>
          <w:ilvl w:val="0"/>
          <w:numId w:val="27"/>
        </w:numPr>
        <w:spacing w:after="240"/>
        <w:rPr>
          <w:rFonts w:cs="Calibri"/>
          <w:color w:val="222222"/>
          <w:szCs w:val="22"/>
        </w:rPr>
      </w:pPr>
      <w:r w:rsidRPr="00972C92">
        <w:rPr>
          <w:rFonts w:cs="Calibri"/>
          <w:color w:val="222222"/>
          <w:szCs w:val="22"/>
        </w:rPr>
        <w:t>General methodology</w:t>
      </w:r>
      <w:r w:rsidR="00F75FB4" w:rsidRPr="00972C92">
        <w:rPr>
          <w:rFonts w:cs="Calibri"/>
          <w:color w:val="222222"/>
          <w:szCs w:val="22"/>
        </w:rPr>
        <w:t xml:space="preserve"> </w:t>
      </w:r>
      <w:r w:rsidRPr="00972C92">
        <w:rPr>
          <w:rFonts w:cs="Calibri"/>
          <w:color w:val="222222"/>
          <w:szCs w:val="22"/>
        </w:rPr>
        <w:t>covering</w:t>
      </w:r>
      <w:r w:rsidR="009D6315">
        <w:rPr>
          <w:rFonts w:cs="Calibri"/>
          <w:color w:val="222222"/>
          <w:szCs w:val="22"/>
        </w:rPr>
        <w:t xml:space="preserve"> </w:t>
      </w:r>
      <w:r w:rsidRPr="00972C92">
        <w:rPr>
          <w:rFonts w:cs="Calibri"/>
          <w:color w:val="222222"/>
          <w:szCs w:val="22"/>
        </w:rPr>
        <w:t>all</w:t>
      </w:r>
      <w:r w:rsidR="009D6315">
        <w:rPr>
          <w:rFonts w:cs="Calibri"/>
          <w:color w:val="222222"/>
          <w:szCs w:val="22"/>
        </w:rPr>
        <w:t xml:space="preserve"> </w:t>
      </w:r>
      <w:r w:rsidRPr="00972C92">
        <w:rPr>
          <w:rFonts w:cs="Calibri"/>
          <w:color w:val="222222"/>
          <w:szCs w:val="22"/>
        </w:rPr>
        <w:t>thematic</w:t>
      </w:r>
      <w:r w:rsidR="009D6315">
        <w:rPr>
          <w:rFonts w:cs="Calibri"/>
          <w:color w:val="222222"/>
          <w:szCs w:val="22"/>
        </w:rPr>
        <w:t xml:space="preserve"> </w:t>
      </w:r>
      <w:r w:rsidRPr="00972C92">
        <w:rPr>
          <w:rFonts w:cs="Calibri"/>
          <w:color w:val="222222"/>
          <w:szCs w:val="22"/>
        </w:rPr>
        <w:t>objectives - Quick reference guide, Evropská komise 2014</w:t>
      </w:r>
    </w:p>
    <w:p w:rsidR="002C41C1" w:rsidRPr="00972C92" w:rsidRDefault="002C41C1" w:rsidP="00DF6E0B">
      <w:pPr>
        <w:pStyle w:val="Odstavecseseznamem"/>
        <w:numPr>
          <w:ilvl w:val="0"/>
          <w:numId w:val="27"/>
        </w:numPr>
        <w:spacing w:after="240"/>
        <w:rPr>
          <w:rFonts w:cs="Calibri"/>
          <w:color w:val="222222"/>
          <w:szCs w:val="22"/>
        </w:rPr>
      </w:pPr>
      <w:r w:rsidRPr="00972C92">
        <w:rPr>
          <w:rFonts w:cs="Calibri"/>
          <w:color w:val="222222"/>
          <w:szCs w:val="22"/>
        </w:rPr>
        <w:t>General methodology</w:t>
      </w:r>
      <w:r w:rsidR="009D6315">
        <w:rPr>
          <w:rFonts w:cs="Calibri"/>
          <w:color w:val="222222"/>
          <w:szCs w:val="22"/>
        </w:rPr>
        <w:t xml:space="preserve"> </w:t>
      </w:r>
      <w:r w:rsidRPr="00972C92">
        <w:rPr>
          <w:rFonts w:cs="Calibri"/>
          <w:color w:val="222222"/>
          <w:szCs w:val="22"/>
        </w:rPr>
        <w:t>covering</w:t>
      </w:r>
      <w:r w:rsidR="009D6315">
        <w:rPr>
          <w:rFonts w:cs="Calibri"/>
          <w:color w:val="222222"/>
          <w:szCs w:val="22"/>
        </w:rPr>
        <w:t xml:space="preserve"> </w:t>
      </w:r>
      <w:r w:rsidRPr="00972C92">
        <w:rPr>
          <w:rFonts w:cs="Calibri"/>
          <w:color w:val="222222"/>
          <w:szCs w:val="22"/>
        </w:rPr>
        <w:t>all</w:t>
      </w:r>
      <w:r w:rsidR="009D6315">
        <w:rPr>
          <w:rFonts w:cs="Calibri"/>
          <w:color w:val="222222"/>
          <w:szCs w:val="22"/>
        </w:rPr>
        <w:t xml:space="preserve"> </w:t>
      </w:r>
      <w:r w:rsidRPr="00972C92">
        <w:rPr>
          <w:rFonts w:cs="Calibri"/>
          <w:color w:val="222222"/>
          <w:szCs w:val="22"/>
        </w:rPr>
        <w:t>thematic</w:t>
      </w:r>
      <w:r w:rsidR="009D6315">
        <w:rPr>
          <w:rFonts w:cs="Calibri"/>
          <w:color w:val="222222"/>
          <w:szCs w:val="22"/>
        </w:rPr>
        <w:t xml:space="preserve"> </w:t>
      </w:r>
      <w:r w:rsidRPr="00972C92">
        <w:rPr>
          <w:rFonts w:cs="Calibri"/>
          <w:color w:val="222222"/>
          <w:szCs w:val="22"/>
        </w:rPr>
        <w:t>objectives - Volume I , Evropská komise 2014</w:t>
      </w:r>
    </w:p>
    <w:p w:rsidR="002C41C1" w:rsidRPr="00972C92" w:rsidRDefault="002C41C1" w:rsidP="00DF6E0B">
      <w:pPr>
        <w:pStyle w:val="Odstavecseseznamem"/>
        <w:numPr>
          <w:ilvl w:val="0"/>
          <w:numId w:val="27"/>
        </w:numPr>
        <w:spacing w:after="240"/>
        <w:rPr>
          <w:rFonts w:cs="Calibri"/>
          <w:color w:val="222222"/>
          <w:szCs w:val="22"/>
        </w:rPr>
      </w:pPr>
      <w:r w:rsidRPr="00972C92">
        <w:rPr>
          <w:rFonts w:cs="Calibri"/>
          <w:color w:val="222222"/>
          <w:szCs w:val="22"/>
        </w:rPr>
        <w:t>Strengthening</w:t>
      </w:r>
      <w:r w:rsidR="009D6315">
        <w:rPr>
          <w:rFonts w:cs="Calibri"/>
          <w:color w:val="222222"/>
          <w:szCs w:val="22"/>
        </w:rPr>
        <w:t xml:space="preserve"> </w:t>
      </w:r>
      <w:r w:rsidRPr="00972C92">
        <w:rPr>
          <w:rFonts w:cs="Calibri"/>
          <w:color w:val="222222"/>
          <w:szCs w:val="22"/>
        </w:rPr>
        <w:t>research, technological</w:t>
      </w:r>
      <w:r w:rsidR="009D6315">
        <w:rPr>
          <w:rFonts w:cs="Calibri"/>
          <w:color w:val="222222"/>
          <w:szCs w:val="22"/>
        </w:rPr>
        <w:t xml:space="preserve"> </w:t>
      </w:r>
      <w:r w:rsidRPr="00972C92">
        <w:rPr>
          <w:rFonts w:cs="Calibri"/>
          <w:color w:val="222222"/>
          <w:szCs w:val="22"/>
        </w:rPr>
        <w:t>development and innovation (Thematic</w:t>
      </w:r>
      <w:r w:rsidR="009D6315">
        <w:rPr>
          <w:rFonts w:cs="Calibri"/>
          <w:color w:val="222222"/>
          <w:szCs w:val="22"/>
        </w:rPr>
        <w:t xml:space="preserve"> </w:t>
      </w:r>
      <w:r w:rsidRPr="00972C92">
        <w:rPr>
          <w:rFonts w:cs="Calibri"/>
          <w:color w:val="222222"/>
          <w:szCs w:val="22"/>
        </w:rPr>
        <w:t>objective 1) - Volume II , Evropská komise 2014</w:t>
      </w:r>
    </w:p>
    <w:p w:rsidR="002C41C1" w:rsidRPr="00972C92" w:rsidRDefault="002C41C1" w:rsidP="00DF6E0B">
      <w:pPr>
        <w:pStyle w:val="Odstavecseseznamem"/>
        <w:numPr>
          <w:ilvl w:val="0"/>
          <w:numId w:val="27"/>
        </w:numPr>
        <w:spacing w:after="240"/>
        <w:rPr>
          <w:rFonts w:cs="Calibri"/>
          <w:color w:val="222222"/>
          <w:szCs w:val="22"/>
        </w:rPr>
      </w:pPr>
      <w:r w:rsidRPr="00972C92">
        <w:rPr>
          <w:rFonts w:cs="Calibri"/>
          <w:color w:val="222222"/>
          <w:szCs w:val="22"/>
        </w:rPr>
        <w:t>Enhancing</w:t>
      </w:r>
      <w:r w:rsidR="009D6315">
        <w:rPr>
          <w:rFonts w:cs="Calibri"/>
          <w:color w:val="222222"/>
          <w:szCs w:val="22"/>
        </w:rPr>
        <w:t xml:space="preserve"> </w:t>
      </w:r>
      <w:r w:rsidRPr="00972C92">
        <w:rPr>
          <w:rFonts w:cs="Calibri"/>
          <w:color w:val="222222"/>
          <w:szCs w:val="22"/>
        </w:rPr>
        <w:t>the</w:t>
      </w:r>
      <w:r w:rsidR="009D6315">
        <w:rPr>
          <w:rFonts w:cs="Calibri"/>
          <w:color w:val="222222"/>
          <w:szCs w:val="22"/>
        </w:rPr>
        <w:t xml:space="preserve"> </w:t>
      </w:r>
      <w:r w:rsidRPr="00972C92">
        <w:rPr>
          <w:rFonts w:cs="Calibri"/>
          <w:color w:val="222222"/>
          <w:szCs w:val="22"/>
        </w:rPr>
        <w:t>competitiveness</w:t>
      </w:r>
      <w:r w:rsidR="009D6315">
        <w:rPr>
          <w:rFonts w:cs="Calibri"/>
          <w:color w:val="222222"/>
          <w:szCs w:val="22"/>
        </w:rPr>
        <w:t xml:space="preserve"> </w:t>
      </w:r>
      <w:r w:rsidRPr="00972C92">
        <w:rPr>
          <w:rFonts w:cs="Calibri"/>
          <w:color w:val="222222"/>
          <w:szCs w:val="22"/>
        </w:rPr>
        <w:t>of SME, including</w:t>
      </w:r>
      <w:r w:rsidR="009D6315">
        <w:rPr>
          <w:rFonts w:cs="Calibri"/>
          <w:color w:val="222222"/>
          <w:szCs w:val="22"/>
        </w:rPr>
        <w:t xml:space="preserve"> </w:t>
      </w:r>
      <w:r w:rsidRPr="00972C92">
        <w:rPr>
          <w:rFonts w:cs="Calibri"/>
          <w:color w:val="222222"/>
          <w:szCs w:val="22"/>
        </w:rPr>
        <w:t>agriculture, microcredit and fisheries (Thematic</w:t>
      </w:r>
      <w:r w:rsidR="009D6315">
        <w:rPr>
          <w:rFonts w:cs="Calibri"/>
          <w:color w:val="222222"/>
          <w:szCs w:val="22"/>
        </w:rPr>
        <w:t xml:space="preserve"> </w:t>
      </w:r>
      <w:r w:rsidRPr="00972C92">
        <w:rPr>
          <w:rFonts w:cs="Calibri"/>
          <w:color w:val="222222"/>
          <w:szCs w:val="22"/>
        </w:rPr>
        <w:t>objective 3) - Volume III , Evropská komise 2014</w:t>
      </w:r>
    </w:p>
    <w:p w:rsidR="002C41C1" w:rsidRPr="00972C92" w:rsidRDefault="002C41C1" w:rsidP="00DF6E0B">
      <w:pPr>
        <w:pStyle w:val="Odstavecseseznamem"/>
        <w:numPr>
          <w:ilvl w:val="0"/>
          <w:numId w:val="27"/>
        </w:numPr>
        <w:spacing w:after="240"/>
        <w:rPr>
          <w:rFonts w:cs="Calibri"/>
          <w:color w:val="222222"/>
          <w:szCs w:val="22"/>
        </w:rPr>
      </w:pPr>
      <w:r w:rsidRPr="00972C92">
        <w:rPr>
          <w:rFonts w:cs="Calibri"/>
          <w:color w:val="222222"/>
          <w:szCs w:val="22"/>
        </w:rPr>
        <w:t>Supporting</w:t>
      </w:r>
      <w:r w:rsidR="009D6315">
        <w:rPr>
          <w:rFonts w:cs="Calibri"/>
          <w:color w:val="222222"/>
          <w:szCs w:val="22"/>
        </w:rPr>
        <w:t xml:space="preserve"> </w:t>
      </w:r>
      <w:r w:rsidRPr="00972C92">
        <w:rPr>
          <w:rFonts w:cs="Calibri"/>
          <w:color w:val="222222"/>
          <w:szCs w:val="22"/>
        </w:rPr>
        <w:t>the shift towards</w:t>
      </w:r>
      <w:r w:rsidR="009D6315">
        <w:rPr>
          <w:rFonts w:cs="Calibri"/>
          <w:color w:val="222222"/>
          <w:szCs w:val="22"/>
        </w:rPr>
        <w:t xml:space="preserve"> </w:t>
      </w:r>
      <w:r w:rsidRPr="00972C92">
        <w:rPr>
          <w:rFonts w:cs="Calibri"/>
          <w:color w:val="222222"/>
          <w:szCs w:val="22"/>
        </w:rPr>
        <w:t>low-carbon</w:t>
      </w:r>
      <w:r w:rsidR="009D6315">
        <w:rPr>
          <w:rFonts w:cs="Calibri"/>
          <w:color w:val="222222"/>
          <w:szCs w:val="22"/>
        </w:rPr>
        <w:t xml:space="preserve"> </w:t>
      </w:r>
      <w:r w:rsidRPr="00972C92">
        <w:rPr>
          <w:rFonts w:cs="Calibri"/>
          <w:color w:val="222222"/>
          <w:szCs w:val="22"/>
        </w:rPr>
        <w:t>economy (Thematic</w:t>
      </w:r>
      <w:r w:rsidR="009D6315">
        <w:rPr>
          <w:rFonts w:cs="Calibri"/>
          <w:color w:val="222222"/>
          <w:szCs w:val="22"/>
        </w:rPr>
        <w:t xml:space="preserve"> </w:t>
      </w:r>
      <w:r w:rsidRPr="00972C92">
        <w:rPr>
          <w:rFonts w:cs="Calibri"/>
          <w:color w:val="222222"/>
          <w:szCs w:val="22"/>
        </w:rPr>
        <w:t>objective 4) - Volume IV , Evropská komise 2014</w:t>
      </w:r>
    </w:p>
    <w:p w:rsidR="002C41C1" w:rsidRPr="00972C92" w:rsidRDefault="002C41C1" w:rsidP="00DF6E0B">
      <w:pPr>
        <w:pStyle w:val="Odstavecseseznamem"/>
        <w:numPr>
          <w:ilvl w:val="0"/>
          <w:numId w:val="27"/>
        </w:numPr>
        <w:spacing w:after="240"/>
        <w:rPr>
          <w:rFonts w:cs="Calibri"/>
          <w:color w:val="222222"/>
          <w:szCs w:val="22"/>
        </w:rPr>
      </w:pPr>
      <w:r w:rsidRPr="00972C92">
        <w:rPr>
          <w:rFonts w:cs="Calibri"/>
          <w:color w:val="222222"/>
          <w:szCs w:val="22"/>
        </w:rPr>
        <w:t>Financial</w:t>
      </w:r>
      <w:r w:rsidR="009D6315">
        <w:rPr>
          <w:rFonts w:cs="Calibri"/>
          <w:color w:val="222222"/>
          <w:szCs w:val="22"/>
        </w:rPr>
        <w:t xml:space="preserve"> </w:t>
      </w:r>
      <w:r w:rsidRPr="00972C92">
        <w:rPr>
          <w:rFonts w:cs="Calibri"/>
          <w:color w:val="222222"/>
          <w:szCs w:val="22"/>
        </w:rPr>
        <w:t>instruments</w:t>
      </w:r>
      <w:r w:rsidR="009D6315">
        <w:rPr>
          <w:rFonts w:cs="Calibri"/>
          <w:color w:val="222222"/>
          <w:szCs w:val="22"/>
        </w:rPr>
        <w:t xml:space="preserve"> </w:t>
      </w:r>
      <w:r w:rsidRPr="00972C92">
        <w:rPr>
          <w:rFonts w:cs="Calibri"/>
          <w:color w:val="222222"/>
          <w:szCs w:val="22"/>
        </w:rPr>
        <w:t>for</w:t>
      </w:r>
      <w:r w:rsidR="009D6315">
        <w:rPr>
          <w:rFonts w:cs="Calibri"/>
          <w:color w:val="222222"/>
          <w:szCs w:val="22"/>
        </w:rPr>
        <w:t xml:space="preserve"> </w:t>
      </w:r>
      <w:r w:rsidRPr="00972C92">
        <w:rPr>
          <w:rFonts w:cs="Calibri"/>
          <w:color w:val="222222"/>
          <w:szCs w:val="22"/>
        </w:rPr>
        <w:t>urban and territorial</w:t>
      </w:r>
      <w:r w:rsidR="009D6315">
        <w:rPr>
          <w:rFonts w:cs="Calibri"/>
          <w:color w:val="222222"/>
          <w:szCs w:val="22"/>
        </w:rPr>
        <w:t xml:space="preserve"> </w:t>
      </w:r>
      <w:r w:rsidRPr="00972C92">
        <w:rPr>
          <w:rFonts w:cs="Calibri"/>
          <w:color w:val="222222"/>
          <w:szCs w:val="22"/>
        </w:rPr>
        <w:t>development - Volume V, Evropská komise 2014</w:t>
      </w:r>
    </w:p>
    <w:p w:rsidR="002C41C1" w:rsidRPr="00972C92" w:rsidRDefault="002C41C1" w:rsidP="009F5E79">
      <w:pPr>
        <w:pStyle w:val="Odstavecseseznamem"/>
        <w:numPr>
          <w:ilvl w:val="0"/>
          <w:numId w:val="27"/>
        </w:numPr>
        <w:spacing w:after="240"/>
        <w:rPr>
          <w:rFonts w:cs="Calibri"/>
          <w:color w:val="222222"/>
          <w:szCs w:val="22"/>
        </w:rPr>
      </w:pPr>
      <w:r w:rsidRPr="00972C92">
        <w:rPr>
          <w:rFonts w:cs="Calibri"/>
          <w:color w:val="222222"/>
          <w:szCs w:val="22"/>
        </w:rPr>
        <w:t>Operační program Podnikání a inovace pro konkurenceschopnost 2014-2020, verze 10.0 ze dne 12. 11. 2014 a související dokumenty Řídícího orgánu (MPO)</w:t>
      </w:r>
    </w:p>
    <w:p w:rsidR="002C41C1" w:rsidRPr="00972C92" w:rsidRDefault="002C41C1" w:rsidP="009F5E79">
      <w:pPr>
        <w:pStyle w:val="Odstavecseseznamem"/>
        <w:numPr>
          <w:ilvl w:val="0"/>
          <w:numId w:val="27"/>
        </w:numPr>
        <w:spacing w:after="240"/>
        <w:rPr>
          <w:rFonts w:cs="Calibri"/>
          <w:color w:val="222222"/>
          <w:szCs w:val="22"/>
        </w:rPr>
      </w:pPr>
      <w:r w:rsidRPr="00972C92">
        <w:rPr>
          <w:rFonts w:cs="Calibri"/>
          <w:color w:val="222222"/>
          <w:szCs w:val="22"/>
        </w:rPr>
        <w:t>Deloitte</w:t>
      </w:r>
      <w:r w:rsidR="00733F9C" w:rsidRPr="00972C92">
        <w:rPr>
          <w:rFonts w:cs="Calibri"/>
          <w:color w:val="222222"/>
          <w:szCs w:val="22"/>
        </w:rPr>
        <w:t xml:space="preserve"> Advisory</w:t>
      </w:r>
    </w:p>
    <w:p w:rsidR="002C41C1" w:rsidRPr="00972C92" w:rsidRDefault="002C41C1" w:rsidP="009F5E79">
      <w:pPr>
        <w:pStyle w:val="Odstavecseseznamem"/>
        <w:numPr>
          <w:ilvl w:val="0"/>
          <w:numId w:val="27"/>
        </w:numPr>
        <w:spacing w:after="240"/>
        <w:rPr>
          <w:rFonts w:cs="Calibri"/>
          <w:color w:val="222222"/>
          <w:szCs w:val="22"/>
        </w:rPr>
      </w:pPr>
      <w:r w:rsidRPr="00972C92">
        <w:rPr>
          <w:rFonts w:cs="Calibri"/>
          <w:color w:val="222222"/>
          <w:szCs w:val="22"/>
        </w:rPr>
        <w:t>Ex-ante hodnocení Operačního programu Podnikání a inovace pro konkurenceschopnost 2014 – 2020, EUFC CZ, s.r.o., červen 2014</w:t>
      </w:r>
    </w:p>
    <w:p w:rsidR="002C41C1" w:rsidRPr="00972C92" w:rsidRDefault="002C41C1" w:rsidP="009F5E79">
      <w:pPr>
        <w:pStyle w:val="Odstavecseseznamem"/>
        <w:numPr>
          <w:ilvl w:val="0"/>
          <w:numId w:val="27"/>
        </w:numPr>
        <w:spacing w:after="240"/>
        <w:rPr>
          <w:rFonts w:cs="Calibri"/>
          <w:color w:val="222222"/>
          <w:szCs w:val="22"/>
        </w:rPr>
      </w:pPr>
      <w:r w:rsidRPr="00972C92">
        <w:rPr>
          <w:rFonts w:cs="Calibri"/>
          <w:color w:val="222222"/>
          <w:szCs w:val="22"/>
        </w:rPr>
        <w:t>Analýza věcných priorit a potřeb jednotlivých oblastí v působnosti MPO pro zaměření podpory ze strukturálních fondů EU v příštím programovacím období (2014+), zpracovatel: BermanGroup, s.r.o., listopad 2010</w:t>
      </w:r>
    </w:p>
    <w:p w:rsidR="002C41C1" w:rsidRPr="00972C92" w:rsidRDefault="002C41C1" w:rsidP="009F5E79">
      <w:pPr>
        <w:pStyle w:val="Odstavecseseznamem"/>
        <w:numPr>
          <w:ilvl w:val="0"/>
          <w:numId w:val="27"/>
        </w:numPr>
        <w:spacing w:after="240"/>
        <w:rPr>
          <w:rFonts w:cs="Calibri"/>
          <w:color w:val="222222"/>
          <w:szCs w:val="22"/>
        </w:rPr>
      </w:pPr>
      <w:r w:rsidRPr="00972C92">
        <w:rPr>
          <w:rFonts w:cs="Calibri"/>
          <w:color w:val="222222"/>
          <w:szCs w:val="22"/>
        </w:rPr>
        <w:t>Metodický pokyn finančních toků programů spolufinancovaných z Evropských strukturálních fondů, Fondu soudržnosti a Evropského námořního a rybářského fondu na programové období 2014 – 2020, Ministerstvo financí, 2014</w:t>
      </w:r>
    </w:p>
    <w:p w:rsidR="002C41C1" w:rsidRPr="00972C92" w:rsidRDefault="002C41C1" w:rsidP="009F5E79">
      <w:pPr>
        <w:pStyle w:val="Odstavecseseznamem"/>
        <w:numPr>
          <w:ilvl w:val="0"/>
          <w:numId w:val="27"/>
        </w:numPr>
        <w:spacing w:after="240"/>
        <w:rPr>
          <w:rFonts w:cs="Calibri"/>
          <w:color w:val="222222"/>
          <w:szCs w:val="22"/>
        </w:rPr>
      </w:pPr>
      <w:r w:rsidRPr="00972C92">
        <w:rPr>
          <w:rFonts w:cs="Calibri"/>
          <w:color w:val="222222"/>
          <w:szCs w:val="22"/>
        </w:rPr>
        <w:t>Metodické doporučení pro implementaci finančních nástrojů</w:t>
      </w:r>
      <w:r w:rsidR="009D6315">
        <w:rPr>
          <w:rFonts w:cs="Calibri"/>
          <w:color w:val="222222"/>
          <w:szCs w:val="22"/>
        </w:rPr>
        <w:t xml:space="preserve"> </w:t>
      </w:r>
      <w:r w:rsidRPr="00972C92">
        <w:rPr>
          <w:rFonts w:cs="Calibri"/>
          <w:color w:val="222222"/>
          <w:szCs w:val="22"/>
        </w:rPr>
        <w:t>v programovém období 2014-2020, Ministerstvo pro místní rozvoj, 2014</w:t>
      </w:r>
    </w:p>
    <w:p w:rsidR="002C41C1" w:rsidRPr="00972C92" w:rsidRDefault="002C41C1" w:rsidP="009F5E79">
      <w:pPr>
        <w:pStyle w:val="Odstavecseseznamem"/>
        <w:numPr>
          <w:ilvl w:val="0"/>
          <w:numId w:val="27"/>
        </w:numPr>
        <w:spacing w:after="240"/>
        <w:rPr>
          <w:rFonts w:cs="Calibri"/>
          <w:color w:val="222222"/>
          <w:szCs w:val="22"/>
        </w:rPr>
      </w:pPr>
      <w:r w:rsidRPr="00972C92">
        <w:rPr>
          <w:rFonts w:cs="Calibri"/>
          <w:color w:val="222222"/>
          <w:szCs w:val="22"/>
        </w:rPr>
        <w:t>Obecné nařízení</w:t>
      </w:r>
    </w:p>
    <w:p w:rsidR="002C41C1" w:rsidRPr="00972C92" w:rsidRDefault="002C41C1" w:rsidP="009F5E79">
      <w:pPr>
        <w:pStyle w:val="Odstavecseseznamem"/>
        <w:numPr>
          <w:ilvl w:val="0"/>
          <w:numId w:val="27"/>
        </w:numPr>
        <w:spacing w:after="240"/>
        <w:rPr>
          <w:rFonts w:cs="Calibri"/>
          <w:color w:val="222222"/>
          <w:szCs w:val="22"/>
        </w:rPr>
      </w:pPr>
      <w:r w:rsidRPr="00972C92">
        <w:rPr>
          <w:rFonts w:cs="Calibri"/>
          <w:color w:val="222222"/>
          <w:szCs w:val="22"/>
        </w:rPr>
        <w:lastRenderedPageBreak/>
        <w:t>Nařízení v přenesené pravomoci a prováděcí nařízení k Obecnému nařízení (zejména viz pozn. pod čarou č. 5)</w:t>
      </w:r>
    </w:p>
    <w:p w:rsidR="002C41C1" w:rsidRPr="00972C92" w:rsidRDefault="002C41C1" w:rsidP="009F5E79">
      <w:pPr>
        <w:pStyle w:val="Odstavecseseznamem"/>
        <w:numPr>
          <w:ilvl w:val="0"/>
          <w:numId w:val="27"/>
        </w:numPr>
        <w:spacing w:after="240"/>
        <w:rPr>
          <w:rFonts w:cs="Calibri"/>
          <w:color w:val="222222"/>
          <w:szCs w:val="22"/>
        </w:rPr>
      </w:pPr>
      <w:r w:rsidRPr="00972C92">
        <w:rPr>
          <w:rFonts w:cs="Calibri"/>
          <w:color w:val="222222"/>
          <w:szCs w:val="22"/>
        </w:rPr>
        <w:t>Podklady pro ex-ante vyhodnocení finančních nástrojů vybraných specifických cílů OP PIK, PwC, únor 2014</w:t>
      </w:r>
    </w:p>
    <w:p w:rsidR="002C41C1" w:rsidRPr="00972C92" w:rsidRDefault="002C41C1" w:rsidP="009F5E79">
      <w:pPr>
        <w:pStyle w:val="Odstavecseseznamem"/>
        <w:numPr>
          <w:ilvl w:val="0"/>
          <w:numId w:val="27"/>
        </w:numPr>
        <w:spacing w:after="240"/>
        <w:rPr>
          <w:rFonts w:cs="Calibri"/>
          <w:color w:val="222222"/>
          <w:szCs w:val="22"/>
        </w:rPr>
      </w:pPr>
      <w:r w:rsidRPr="00972C92">
        <w:rPr>
          <w:rFonts w:cs="Calibri"/>
          <w:color w:val="222222"/>
          <w:szCs w:val="22"/>
        </w:rPr>
        <w:t xml:space="preserve">Interní materiály MPO a Pracovní skupiny pro finanční nástroje </w:t>
      </w:r>
      <w:r w:rsidR="0084453C" w:rsidRPr="00972C92">
        <w:rPr>
          <w:rFonts w:cs="Calibri"/>
          <w:color w:val="222222"/>
          <w:szCs w:val="22"/>
        </w:rPr>
        <w:t>OP PIK</w:t>
      </w:r>
      <w:r w:rsidRPr="00972C92">
        <w:rPr>
          <w:rFonts w:cs="Calibri"/>
          <w:color w:val="222222"/>
          <w:szCs w:val="22"/>
        </w:rPr>
        <w:t>, zejména návrhy programů podpory</w:t>
      </w:r>
    </w:p>
    <w:p w:rsidR="002C41C1" w:rsidRPr="00972C92" w:rsidRDefault="002C41C1" w:rsidP="00972C92">
      <w:pPr>
        <w:pStyle w:val="Odstavecseseznamem"/>
        <w:numPr>
          <w:ilvl w:val="0"/>
          <w:numId w:val="27"/>
        </w:numPr>
        <w:spacing w:after="240"/>
        <w:rPr>
          <w:rFonts w:cs="Calibri"/>
          <w:color w:val="222222"/>
          <w:szCs w:val="22"/>
        </w:rPr>
      </w:pPr>
      <w:r w:rsidRPr="00972C92">
        <w:rPr>
          <w:rFonts w:cs="Calibri"/>
          <w:color w:val="222222"/>
          <w:szCs w:val="22"/>
        </w:rPr>
        <w:t xml:space="preserve">Dohoda o partnerství </w:t>
      </w:r>
    </w:p>
    <w:p w:rsidR="002C41C1" w:rsidRPr="00972C92" w:rsidRDefault="002C41C1" w:rsidP="00972C92">
      <w:pPr>
        <w:pStyle w:val="Odstavecseseznamem"/>
        <w:numPr>
          <w:ilvl w:val="0"/>
          <w:numId w:val="27"/>
        </w:numPr>
        <w:spacing w:after="240"/>
        <w:rPr>
          <w:rFonts w:cs="Calibri"/>
          <w:color w:val="222222"/>
          <w:szCs w:val="22"/>
        </w:rPr>
      </w:pPr>
      <w:r w:rsidRPr="00972C92">
        <w:rPr>
          <w:rFonts w:cs="Calibri"/>
          <w:color w:val="222222"/>
          <w:szCs w:val="22"/>
        </w:rPr>
        <w:t>Operační program Podnikání a inovace pro konkurenceschopnost 2014-2020, verze 10.0 ze dne 12. 11. 2014 a související dokumenty Řídícího orgánu (MPO)</w:t>
      </w:r>
    </w:p>
    <w:p w:rsidR="002C41C1" w:rsidRPr="00972C92" w:rsidRDefault="002C41C1" w:rsidP="00972C92">
      <w:pPr>
        <w:pStyle w:val="Odstavecseseznamem"/>
        <w:numPr>
          <w:ilvl w:val="0"/>
          <w:numId w:val="27"/>
        </w:numPr>
        <w:spacing w:after="240"/>
        <w:rPr>
          <w:rFonts w:cs="Calibri"/>
          <w:color w:val="222222"/>
          <w:szCs w:val="22"/>
        </w:rPr>
      </w:pPr>
      <w:r w:rsidRPr="00972C92">
        <w:rPr>
          <w:rFonts w:cs="Calibri"/>
          <w:color w:val="222222"/>
          <w:szCs w:val="22"/>
        </w:rPr>
        <w:t>Národní program reforem ČR 2012 (usnesení vlády č. 271/2012)</w:t>
      </w:r>
    </w:p>
    <w:p w:rsidR="002C41C1" w:rsidRPr="00972C92" w:rsidRDefault="002C41C1" w:rsidP="00972C92">
      <w:pPr>
        <w:pStyle w:val="Odstavecseseznamem"/>
        <w:numPr>
          <w:ilvl w:val="0"/>
          <w:numId w:val="27"/>
        </w:numPr>
        <w:spacing w:after="240"/>
        <w:rPr>
          <w:rFonts w:cs="Calibri"/>
          <w:color w:val="222222"/>
          <w:szCs w:val="22"/>
        </w:rPr>
      </w:pPr>
      <w:r w:rsidRPr="00972C92">
        <w:rPr>
          <w:rFonts w:cs="Calibri"/>
          <w:color w:val="222222"/>
          <w:szCs w:val="22"/>
        </w:rPr>
        <w:t>Aktualizace Státní energetické koncepce ČR (usnesení vlády č. 803/2012)</w:t>
      </w:r>
    </w:p>
    <w:p w:rsidR="002C41C1" w:rsidRPr="00972C92" w:rsidRDefault="002C41C1" w:rsidP="00972C92">
      <w:pPr>
        <w:pStyle w:val="Odstavecseseznamem"/>
        <w:numPr>
          <w:ilvl w:val="0"/>
          <w:numId w:val="27"/>
        </w:numPr>
        <w:spacing w:after="240"/>
        <w:rPr>
          <w:rFonts w:cs="Calibri"/>
          <w:color w:val="222222"/>
          <w:szCs w:val="22"/>
        </w:rPr>
      </w:pPr>
      <w:r w:rsidRPr="00972C92">
        <w:rPr>
          <w:rFonts w:cs="Calibri"/>
          <w:color w:val="222222"/>
          <w:szCs w:val="22"/>
        </w:rPr>
        <w:t>Národní inovační strategie ČR (usnesení vlády č. 714/2011)</w:t>
      </w:r>
    </w:p>
    <w:p w:rsidR="002C41C1" w:rsidRPr="00972C92" w:rsidRDefault="002C41C1" w:rsidP="00972C92">
      <w:pPr>
        <w:pStyle w:val="Odstavecseseznamem"/>
        <w:numPr>
          <w:ilvl w:val="0"/>
          <w:numId w:val="27"/>
        </w:numPr>
        <w:spacing w:after="240"/>
        <w:rPr>
          <w:rFonts w:cs="Calibri"/>
          <w:color w:val="222222"/>
          <w:szCs w:val="22"/>
        </w:rPr>
      </w:pPr>
      <w:r w:rsidRPr="00972C92">
        <w:rPr>
          <w:rFonts w:cs="Calibri"/>
          <w:color w:val="222222"/>
          <w:szCs w:val="22"/>
        </w:rPr>
        <w:t xml:space="preserve">Strategie regionálního rozvoje ČR </w:t>
      </w:r>
    </w:p>
    <w:p w:rsidR="002C41C1" w:rsidRPr="00972C92" w:rsidRDefault="002C41C1" w:rsidP="00972C92">
      <w:pPr>
        <w:pStyle w:val="Odstavecseseznamem"/>
        <w:numPr>
          <w:ilvl w:val="0"/>
          <w:numId w:val="27"/>
        </w:numPr>
        <w:spacing w:after="240"/>
        <w:rPr>
          <w:rFonts w:cs="Calibri"/>
          <w:color w:val="222222"/>
          <w:szCs w:val="22"/>
        </w:rPr>
      </w:pPr>
      <w:r w:rsidRPr="00972C92">
        <w:rPr>
          <w:rFonts w:cs="Calibri"/>
          <w:color w:val="222222"/>
          <w:szCs w:val="22"/>
        </w:rPr>
        <w:t xml:space="preserve">Strategický rámec udržitelného rozvoje  </w:t>
      </w:r>
    </w:p>
    <w:p w:rsidR="002C41C1" w:rsidRPr="00972C92" w:rsidRDefault="002C41C1" w:rsidP="00972C92">
      <w:pPr>
        <w:pStyle w:val="Odstavecseseznamem"/>
        <w:numPr>
          <w:ilvl w:val="0"/>
          <w:numId w:val="27"/>
        </w:numPr>
        <w:spacing w:after="240"/>
        <w:rPr>
          <w:rFonts w:cs="Calibri"/>
          <w:color w:val="222222"/>
          <w:szCs w:val="22"/>
        </w:rPr>
      </w:pPr>
      <w:r w:rsidRPr="00972C92">
        <w:rPr>
          <w:rFonts w:cs="Calibri"/>
          <w:color w:val="222222"/>
          <w:szCs w:val="22"/>
        </w:rPr>
        <w:t>Koncepce podpory malých a středních podnikatelů na období let 2014 – 2020 (usnesení vlády č. 923/2012)</w:t>
      </w:r>
    </w:p>
    <w:p w:rsidR="002C41C1" w:rsidRPr="00972C92" w:rsidRDefault="002C41C1" w:rsidP="00972C92">
      <w:pPr>
        <w:pStyle w:val="Odstavecseseznamem"/>
        <w:numPr>
          <w:ilvl w:val="0"/>
          <w:numId w:val="27"/>
        </w:numPr>
        <w:spacing w:after="240"/>
        <w:rPr>
          <w:rFonts w:cs="Calibri"/>
          <w:color w:val="222222"/>
          <w:szCs w:val="22"/>
        </w:rPr>
      </w:pPr>
      <w:r w:rsidRPr="00972C92">
        <w:rPr>
          <w:rFonts w:cs="Calibri"/>
          <w:color w:val="222222"/>
          <w:szCs w:val="22"/>
        </w:rPr>
        <w:t>Strategie mezinárodní konkurenceschopnosti ČR pro období 2012 – 2020 (usnesení vlády č. 713/2011)</w:t>
      </w:r>
    </w:p>
    <w:p w:rsidR="002C41C1" w:rsidRPr="00972C92" w:rsidRDefault="002C41C1" w:rsidP="00972C92">
      <w:pPr>
        <w:pStyle w:val="Odstavecseseznamem"/>
        <w:numPr>
          <w:ilvl w:val="0"/>
          <w:numId w:val="27"/>
        </w:numPr>
        <w:spacing w:after="240"/>
        <w:rPr>
          <w:rFonts w:cs="Calibri"/>
          <w:color w:val="222222"/>
          <w:szCs w:val="22"/>
        </w:rPr>
      </w:pPr>
      <w:r w:rsidRPr="00972C92">
        <w:rPr>
          <w:rFonts w:cs="Calibri"/>
          <w:color w:val="222222"/>
          <w:szCs w:val="22"/>
        </w:rPr>
        <w:t>Strategie Evropa 2020:  Strategie pro inteligentní a udržitelný růst podporující začlenění</w:t>
      </w:r>
    </w:p>
    <w:p w:rsidR="002C41C1" w:rsidRPr="00972C92" w:rsidRDefault="002C41C1" w:rsidP="00972C92">
      <w:pPr>
        <w:pStyle w:val="Odstavecseseznamem"/>
        <w:numPr>
          <w:ilvl w:val="0"/>
          <w:numId w:val="27"/>
        </w:numPr>
        <w:spacing w:after="240"/>
        <w:rPr>
          <w:rFonts w:cs="Calibri"/>
          <w:color w:val="222222"/>
          <w:szCs w:val="22"/>
        </w:rPr>
      </w:pPr>
      <w:r w:rsidRPr="00972C92">
        <w:rPr>
          <w:rFonts w:cs="Calibri"/>
          <w:color w:val="222222"/>
          <w:szCs w:val="22"/>
        </w:rPr>
        <w:t xml:space="preserve">Strategie Energie 2020: Strategie pro konkurenceschopnou, udržitelnou a bezpečnou energii </w:t>
      </w:r>
    </w:p>
    <w:p w:rsidR="002C41C1" w:rsidRPr="00972C92" w:rsidRDefault="002C41C1" w:rsidP="00972C92">
      <w:pPr>
        <w:pStyle w:val="Odstavecseseznamem"/>
        <w:numPr>
          <w:ilvl w:val="0"/>
          <w:numId w:val="27"/>
        </w:numPr>
        <w:spacing w:after="240"/>
        <w:rPr>
          <w:rFonts w:cs="Calibri"/>
          <w:color w:val="222222"/>
          <w:szCs w:val="22"/>
        </w:rPr>
      </w:pPr>
      <w:r w:rsidRPr="00972C92">
        <w:rPr>
          <w:rFonts w:cs="Calibri"/>
          <w:color w:val="222222"/>
          <w:szCs w:val="22"/>
        </w:rPr>
        <w:t>Sdělení Komise: Unie inovací, Evropa méně náročná na zdroje, Plán pro Evropu účinněji využívající zdroje, Průmyslová politika pro éru globalizace</w:t>
      </w:r>
    </w:p>
    <w:p w:rsidR="002C41C1" w:rsidRPr="00972C92" w:rsidRDefault="002C41C1" w:rsidP="00972C92">
      <w:pPr>
        <w:pStyle w:val="Odstavecseseznamem"/>
        <w:numPr>
          <w:ilvl w:val="0"/>
          <w:numId w:val="27"/>
        </w:numPr>
        <w:spacing w:after="240"/>
        <w:rPr>
          <w:rFonts w:cs="Calibri"/>
          <w:color w:val="222222"/>
          <w:szCs w:val="22"/>
        </w:rPr>
      </w:pPr>
      <w:r w:rsidRPr="00972C92">
        <w:rPr>
          <w:rFonts w:cs="Calibri"/>
          <w:color w:val="222222"/>
          <w:szCs w:val="22"/>
        </w:rPr>
        <w:t>Metodický pokyn pro přípravu programových dokumentů pro programové období 2014 – 2020 a další metodické materiály vydané MMR-NOK (Metodický pokyn pro evaluace, Metodický pokyn pro monitorování fondů Společného strategického rámce, Metodické doporučení pro způsobilost výdajů a jejich vykazování, Metodický pokyn Zásady tvorby a používání indikátorů, Národní číselník indikátorů pro programové období 2014-2020 a další).</w:t>
      </w:r>
    </w:p>
    <w:p w:rsidR="002C41C1" w:rsidRPr="00972C92" w:rsidRDefault="002C41C1" w:rsidP="00972C92">
      <w:pPr>
        <w:pStyle w:val="Odstavecseseznamem"/>
        <w:numPr>
          <w:ilvl w:val="0"/>
          <w:numId w:val="27"/>
        </w:numPr>
        <w:spacing w:after="240"/>
        <w:rPr>
          <w:rFonts w:cs="Calibri"/>
          <w:color w:val="222222"/>
          <w:szCs w:val="22"/>
        </w:rPr>
      </w:pPr>
      <w:r w:rsidRPr="00972C92">
        <w:rPr>
          <w:rFonts w:cs="Calibri"/>
          <w:color w:val="222222"/>
          <w:szCs w:val="22"/>
        </w:rPr>
        <w:t>Operační program Průmysl a podnikání 2004 – 2006 a související dokumenty Řídícího orgánu (MPO)</w:t>
      </w:r>
    </w:p>
    <w:p w:rsidR="002C41C1" w:rsidRPr="00972C92" w:rsidRDefault="002C41C1" w:rsidP="00972C92">
      <w:pPr>
        <w:pStyle w:val="Odstavecseseznamem"/>
        <w:numPr>
          <w:ilvl w:val="0"/>
          <w:numId w:val="27"/>
        </w:numPr>
        <w:spacing w:after="240"/>
        <w:rPr>
          <w:rFonts w:cs="Calibri"/>
          <w:color w:val="222222"/>
          <w:szCs w:val="22"/>
        </w:rPr>
      </w:pPr>
      <w:r w:rsidRPr="00972C92">
        <w:rPr>
          <w:rFonts w:cs="Calibri"/>
          <w:color w:val="222222"/>
          <w:szCs w:val="22"/>
        </w:rPr>
        <w:t xml:space="preserve">Operační program Podnikání a inovace 2007 – 2013 a související dokumenty </w:t>
      </w:r>
      <w:r w:rsidR="007B6168">
        <w:rPr>
          <w:rFonts w:cs="Calibri"/>
          <w:color w:val="222222"/>
          <w:szCs w:val="22"/>
        </w:rPr>
        <w:t>Řídící</w:t>
      </w:r>
      <w:r w:rsidRPr="00972C92">
        <w:rPr>
          <w:rFonts w:cs="Calibri"/>
          <w:color w:val="222222"/>
          <w:szCs w:val="22"/>
        </w:rPr>
        <w:t>ho orgánu (MPO)</w:t>
      </w:r>
    </w:p>
    <w:p w:rsidR="002C41C1" w:rsidRPr="00972C92" w:rsidRDefault="002C41C1" w:rsidP="00972C92">
      <w:pPr>
        <w:pStyle w:val="Odstavecseseznamem"/>
        <w:numPr>
          <w:ilvl w:val="0"/>
          <w:numId w:val="27"/>
        </w:numPr>
        <w:spacing w:after="240"/>
        <w:rPr>
          <w:rFonts w:cs="Calibri"/>
          <w:color w:val="222222"/>
          <w:szCs w:val="22"/>
        </w:rPr>
      </w:pPr>
      <w:r w:rsidRPr="00972C92">
        <w:rPr>
          <w:rFonts w:cs="Calibri"/>
          <w:color w:val="222222"/>
          <w:szCs w:val="22"/>
        </w:rPr>
        <w:t>Vyhodnocení dopadů realizace Operačního programu Průmysl a podnikání 2004 – 2006 na hospodářský vývoj v regionech soudržnosti České republiky, BermanGroup, listopad 2008</w:t>
      </w:r>
    </w:p>
    <w:p w:rsidR="002C41C1" w:rsidRPr="00972C92" w:rsidRDefault="002C41C1" w:rsidP="00972C92">
      <w:pPr>
        <w:pStyle w:val="Odstavecseseznamem"/>
        <w:numPr>
          <w:ilvl w:val="0"/>
          <w:numId w:val="27"/>
        </w:numPr>
        <w:spacing w:after="240"/>
        <w:rPr>
          <w:rFonts w:cs="Calibri"/>
          <w:color w:val="222222"/>
          <w:szCs w:val="22"/>
        </w:rPr>
      </w:pPr>
      <w:r w:rsidRPr="00972C92">
        <w:rPr>
          <w:rFonts w:cs="Calibri"/>
          <w:color w:val="222222"/>
          <w:szCs w:val="22"/>
        </w:rPr>
        <w:t>Celkové vyhodnocení výsledků a dopadů realizace Operačního programu Průmysl a podnikání 2004 – 2006, Deloitte, listopad 2008</w:t>
      </w:r>
    </w:p>
    <w:p w:rsidR="002C41C1" w:rsidRPr="00972C92" w:rsidRDefault="002C41C1" w:rsidP="00972C92">
      <w:pPr>
        <w:pStyle w:val="Odstavecseseznamem"/>
        <w:numPr>
          <w:ilvl w:val="0"/>
          <w:numId w:val="27"/>
        </w:numPr>
        <w:spacing w:after="240"/>
        <w:rPr>
          <w:rFonts w:cs="Calibri"/>
          <w:color w:val="222222"/>
          <w:szCs w:val="22"/>
        </w:rPr>
      </w:pPr>
      <w:r w:rsidRPr="00972C92">
        <w:rPr>
          <w:rFonts w:cs="Calibri"/>
          <w:color w:val="222222"/>
          <w:szCs w:val="22"/>
        </w:rPr>
        <w:t>Střednědobé hodnocení Operačního programu Podnikání a inovace 2007 – 2013, EUFC CZ, s.r.o., duben 2012</w:t>
      </w:r>
    </w:p>
    <w:p w:rsidR="002C41C1" w:rsidRPr="00972C92" w:rsidRDefault="002C41C1" w:rsidP="00972C92">
      <w:pPr>
        <w:pStyle w:val="Odstavecseseznamem"/>
        <w:numPr>
          <w:ilvl w:val="0"/>
          <w:numId w:val="27"/>
        </w:numPr>
        <w:spacing w:after="240"/>
        <w:rPr>
          <w:rFonts w:cs="Calibri"/>
          <w:color w:val="222222"/>
          <w:szCs w:val="22"/>
        </w:rPr>
      </w:pPr>
      <w:r w:rsidRPr="00972C92">
        <w:rPr>
          <w:rFonts w:cs="Calibri"/>
          <w:color w:val="222222"/>
          <w:szCs w:val="22"/>
        </w:rPr>
        <w:t>Podklady pro ex-ante vyhodnocení finančních nástrojů vybraných specifických cílů OP PIK, PwC, únor 2014</w:t>
      </w:r>
    </w:p>
    <w:p w:rsidR="002C41C1" w:rsidRPr="00972C92" w:rsidRDefault="002C41C1" w:rsidP="00972C92">
      <w:pPr>
        <w:pStyle w:val="Odstavecseseznamem"/>
        <w:numPr>
          <w:ilvl w:val="0"/>
          <w:numId w:val="27"/>
        </w:numPr>
        <w:spacing w:after="240"/>
        <w:rPr>
          <w:rFonts w:cs="Calibri"/>
          <w:color w:val="222222"/>
          <w:szCs w:val="22"/>
        </w:rPr>
      </w:pPr>
      <w:r w:rsidRPr="00972C92">
        <w:rPr>
          <w:rFonts w:cs="Calibri"/>
          <w:color w:val="222222"/>
          <w:szCs w:val="22"/>
        </w:rPr>
        <w:t>Metodický pokyn finančních toků programů spolufinancovaných z Evropských strukturálních fondů, Fondu soudržnosti a Evropského námořního a rybářského fondu na programové období 2014 – 2020, Ministerstvo financí, 2014</w:t>
      </w:r>
    </w:p>
    <w:p w:rsidR="002C41C1" w:rsidRPr="00972C92" w:rsidRDefault="002C41C1" w:rsidP="00972C92">
      <w:pPr>
        <w:pStyle w:val="Odstavecseseznamem"/>
        <w:numPr>
          <w:ilvl w:val="0"/>
          <w:numId w:val="27"/>
        </w:numPr>
        <w:spacing w:after="240"/>
        <w:rPr>
          <w:rFonts w:cs="Calibri"/>
          <w:color w:val="222222"/>
          <w:szCs w:val="22"/>
        </w:rPr>
      </w:pPr>
      <w:r w:rsidRPr="00972C92">
        <w:rPr>
          <w:rFonts w:cs="Calibri"/>
          <w:color w:val="222222"/>
          <w:szCs w:val="22"/>
        </w:rPr>
        <w:t>Metodické doporučení pro implementaci finančních nástrojů</w:t>
      </w:r>
      <w:r w:rsidR="009D6315">
        <w:rPr>
          <w:rFonts w:cs="Calibri"/>
          <w:color w:val="222222"/>
          <w:szCs w:val="22"/>
        </w:rPr>
        <w:t xml:space="preserve"> </w:t>
      </w:r>
      <w:r w:rsidRPr="00972C92">
        <w:rPr>
          <w:rFonts w:cs="Calibri"/>
          <w:color w:val="222222"/>
          <w:szCs w:val="22"/>
        </w:rPr>
        <w:t>v programovém období 2014-2020, Ministerstvo pro místní rozvoj, 2014</w:t>
      </w:r>
    </w:p>
    <w:p w:rsidR="002C41C1" w:rsidRPr="00972C92" w:rsidRDefault="002C41C1" w:rsidP="00972C92">
      <w:pPr>
        <w:pStyle w:val="Odstavecseseznamem"/>
        <w:numPr>
          <w:ilvl w:val="0"/>
          <w:numId w:val="27"/>
        </w:numPr>
        <w:spacing w:after="240"/>
        <w:rPr>
          <w:rFonts w:cs="Calibri"/>
          <w:color w:val="222222"/>
          <w:szCs w:val="22"/>
        </w:rPr>
      </w:pPr>
      <w:r w:rsidRPr="00972C92">
        <w:rPr>
          <w:rFonts w:cs="Calibri"/>
          <w:color w:val="222222"/>
          <w:szCs w:val="22"/>
        </w:rPr>
        <w:t xml:space="preserve">Interní materiály MPO a Pracovní skupiny pro finanční nástroje </w:t>
      </w:r>
      <w:r w:rsidR="0084453C" w:rsidRPr="00972C92">
        <w:rPr>
          <w:rFonts w:cs="Calibri"/>
          <w:color w:val="222222"/>
          <w:szCs w:val="22"/>
        </w:rPr>
        <w:t>OP PIK</w:t>
      </w:r>
      <w:r w:rsidRPr="00972C92">
        <w:rPr>
          <w:rFonts w:cs="Calibri"/>
          <w:color w:val="222222"/>
          <w:szCs w:val="22"/>
        </w:rPr>
        <w:t>, zejména návrhy programů podpory</w:t>
      </w:r>
    </w:p>
    <w:p w:rsidR="002C41C1" w:rsidRPr="00972C92" w:rsidRDefault="002C41C1" w:rsidP="00972C92">
      <w:pPr>
        <w:pStyle w:val="Odstavecseseznamem"/>
        <w:numPr>
          <w:ilvl w:val="0"/>
          <w:numId w:val="27"/>
        </w:numPr>
        <w:spacing w:after="240"/>
        <w:rPr>
          <w:rFonts w:cs="Calibri"/>
          <w:color w:val="222222"/>
          <w:szCs w:val="22"/>
        </w:rPr>
      </w:pPr>
      <w:r w:rsidRPr="00972C92">
        <w:rPr>
          <w:rFonts w:cs="Calibri"/>
          <w:color w:val="222222"/>
          <w:szCs w:val="22"/>
        </w:rPr>
        <w:t>Ex-ante assessment</w:t>
      </w:r>
      <w:r w:rsidR="009D6315">
        <w:rPr>
          <w:rFonts w:cs="Calibri"/>
          <w:color w:val="222222"/>
          <w:szCs w:val="22"/>
        </w:rPr>
        <w:t xml:space="preserve"> </w:t>
      </w:r>
      <w:r w:rsidRPr="00972C92">
        <w:rPr>
          <w:rFonts w:cs="Calibri"/>
          <w:color w:val="222222"/>
          <w:szCs w:val="22"/>
        </w:rPr>
        <w:t>of</w:t>
      </w:r>
      <w:r w:rsidR="009D6315">
        <w:rPr>
          <w:rFonts w:cs="Calibri"/>
          <w:color w:val="222222"/>
          <w:szCs w:val="22"/>
        </w:rPr>
        <w:t xml:space="preserve"> </w:t>
      </w:r>
      <w:r w:rsidRPr="00972C92">
        <w:rPr>
          <w:rFonts w:cs="Calibri"/>
          <w:color w:val="222222"/>
          <w:szCs w:val="22"/>
        </w:rPr>
        <w:t>the EU SME initiative, Evropská Komise, 2014</w:t>
      </w:r>
    </w:p>
    <w:p w:rsidR="002C41C1" w:rsidRPr="00D03ACF" w:rsidRDefault="002C41C1" w:rsidP="004838BB"/>
    <w:p w:rsidR="00665979" w:rsidRDefault="00665979">
      <w:pPr>
        <w:overflowPunct/>
        <w:autoSpaceDE/>
        <w:autoSpaceDN/>
        <w:adjustRightInd/>
        <w:jc w:val="left"/>
        <w:textAlignment w:val="auto"/>
      </w:pPr>
      <w:r>
        <w:br w:type="page"/>
      </w:r>
    </w:p>
    <w:p w:rsidR="00665979" w:rsidRDefault="00665979" w:rsidP="00665979">
      <w:pPr>
        <w:pStyle w:val="Nadpis1"/>
      </w:pPr>
      <w:bookmarkStart w:id="88" w:name="_Toc409613006"/>
      <w:bookmarkStart w:id="89" w:name="_Toc413854349"/>
      <w:r>
        <w:lastRenderedPageBreak/>
        <w:t>Seznam zkratek</w:t>
      </w:r>
      <w:bookmarkEnd w:id="88"/>
      <w:bookmarkEnd w:id="89"/>
    </w:p>
    <w:p w:rsidR="00665979" w:rsidRDefault="00665979" w:rsidP="00665979">
      <w:pPr>
        <w:tabs>
          <w:tab w:val="left" w:pos="3402"/>
        </w:tabs>
        <w:spacing w:line="280" w:lineRule="atLeast"/>
        <w:ind w:left="3402" w:hanging="3402"/>
        <w:rPr>
          <w:rFonts w:cs="Calibri"/>
          <w:szCs w:val="24"/>
        </w:rPr>
      </w:pPr>
    </w:p>
    <w:p w:rsidR="00665979" w:rsidRDefault="00665979" w:rsidP="00665979">
      <w:pPr>
        <w:tabs>
          <w:tab w:val="left" w:pos="3402"/>
        </w:tabs>
        <w:spacing w:line="280" w:lineRule="atLeast"/>
        <w:ind w:left="3402" w:hanging="3402"/>
        <w:rPr>
          <w:rFonts w:cs="Calibri"/>
          <w:szCs w:val="24"/>
        </w:rPr>
      </w:pPr>
      <w:r>
        <w:rPr>
          <w:rFonts w:cs="Calibri"/>
          <w:szCs w:val="24"/>
        </w:rPr>
        <w:t>BF</w:t>
      </w:r>
      <w:r>
        <w:rPr>
          <w:rFonts w:cs="Calibri"/>
          <w:szCs w:val="24"/>
        </w:rPr>
        <w:tab/>
        <w:t>brownfield</w:t>
      </w:r>
    </w:p>
    <w:p w:rsidR="00665979" w:rsidRDefault="00665979" w:rsidP="00665979">
      <w:pPr>
        <w:tabs>
          <w:tab w:val="left" w:pos="3402"/>
        </w:tabs>
        <w:spacing w:line="280" w:lineRule="atLeast"/>
        <w:ind w:left="3402" w:hanging="3402"/>
        <w:rPr>
          <w:rFonts w:cs="Calibri"/>
          <w:szCs w:val="24"/>
        </w:rPr>
      </w:pPr>
      <w:r>
        <w:rPr>
          <w:rFonts w:cs="Calibri"/>
          <w:szCs w:val="24"/>
        </w:rPr>
        <w:t>BIS</w:t>
      </w:r>
      <w:r>
        <w:rPr>
          <w:rFonts w:cs="Calibri"/>
          <w:szCs w:val="24"/>
        </w:rPr>
        <w:tab/>
        <w:t>Bank for International Settlements</w:t>
      </w:r>
    </w:p>
    <w:p w:rsidR="00665979" w:rsidRDefault="00665979" w:rsidP="00665979">
      <w:pPr>
        <w:tabs>
          <w:tab w:val="left" w:pos="3402"/>
        </w:tabs>
        <w:spacing w:line="280" w:lineRule="atLeast"/>
        <w:ind w:left="3402" w:hanging="3402"/>
        <w:rPr>
          <w:rFonts w:cs="Calibri"/>
          <w:szCs w:val="24"/>
        </w:rPr>
      </w:pPr>
      <w:r>
        <w:rPr>
          <w:rFonts w:cs="Calibri"/>
          <w:szCs w:val="24"/>
        </w:rPr>
        <w:t>BPS</w:t>
      </w:r>
      <w:r>
        <w:rPr>
          <w:rFonts w:cs="Calibri"/>
          <w:szCs w:val="24"/>
        </w:rPr>
        <w:tab/>
        <w:t>bioplynová stanice</w:t>
      </w:r>
    </w:p>
    <w:p w:rsidR="006A4A73" w:rsidRDefault="006A4A73" w:rsidP="00665979">
      <w:pPr>
        <w:tabs>
          <w:tab w:val="left" w:pos="3402"/>
        </w:tabs>
        <w:spacing w:line="280" w:lineRule="atLeast"/>
        <w:ind w:left="3402" w:hanging="3402"/>
        <w:rPr>
          <w:rFonts w:cs="Calibri"/>
          <w:szCs w:val="24"/>
        </w:rPr>
      </w:pPr>
      <w:r>
        <w:rPr>
          <w:rFonts w:cs="Calibri"/>
          <w:szCs w:val="24"/>
        </w:rPr>
        <w:t>CI</w:t>
      </w:r>
      <w:r>
        <w:rPr>
          <w:rFonts w:cs="Calibri"/>
          <w:szCs w:val="24"/>
        </w:rPr>
        <w:tab/>
        <w:t>CzechInvest</w:t>
      </w:r>
    </w:p>
    <w:p w:rsidR="00665979" w:rsidRDefault="00665979" w:rsidP="00665979">
      <w:pPr>
        <w:tabs>
          <w:tab w:val="left" w:pos="3402"/>
        </w:tabs>
        <w:spacing w:line="280" w:lineRule="atLeast"/>
        <w:ind w:left="3402" w:hanging="3402"/>
        <w:rPr>
          <w:rFonts w:cs="Calibri"/>
          <w:szCs w:val="24"/>
        </w:rPr>
      </w:pPr>
      <w:r>
        <w:rPr>
          <w:rFonts w:cs="Calibri"/>
          <w:szCs w:val="24"/>
        </w:rPr>
        <w:t>CIP</w:t>
      </w:r>
      <w:r>
        <w:rPr>
          <w:rFonts w:cs="Calibri"/>
          <w:szCs w:val="24"/>
        </w:rPr>
        <w:tab/>
        <w:t>Competitiveness and Innovation Programme</w:t>
      </w:r>
    </w:p>
    <w:p w:rsidR="00665979" w:rsidRDefault="00665979" w:rsidP="00665979">
      <w:pPr>
        <w:tabs>
          <w:tab w:val="left" w:pos="3402"/>
        </w:tabs>
        <w:spacing w:line="280" w:lineRule="atLeast"/>
        <w:ind w:left="3402" w:hanging="3402"/>
        <w:rPr>
          <w:rFonts w:cs="Calibri"/>
          <w:szCs w:val="24"/>
        </w:rPr>
      </w:pPr>
      <w:r w:rsidRPr="0063015C">
        <w:rPr>
          <w:rFonts w:cs="Calibri"/>
          <w:szCs w:val="24"/>
        </w:rPr>
        <w:t>COESIF</w:t>
      </w:r>
      <w:r>
        <w:rPr>
          <w:rFonts w:cs="Calibri"/>
          <w:szCs w:val="24"/>
        </w:rPr>
        <w:tab/>
      </w:r>
      <w:r w:rsidRPr="0063015C">
        <w:rPr>
          <w:rFonts w:cs="Calibri"/>
          <w:szCs w:val="24"/>
        </w:rPr>
        <w:t>Coordination Committee for the European Structural and Investment Funds</w:t>
      </w:r>
    </w:p>
    <w:p w:rsidR="00665979" w:rsidRDefault="00665979" w:rsidP="00665979">
      <w:pPr>
        <w:tabs>
          <w:tab w:val="left" w:pos="3402"/>
        </w:tabs>
        <w:spacing w:line="280" w:lineRule="atLeast"/>
        <w:ind w:left="3402" w:hanging="3402"/>
        <w:rPr>
          <w:rFonts w:cs="Calibri"/>
          <w:szCs w:val="24"/>
        </w:rPr>
      </w:pPr>
      <w:r>
        <w:rPr>
          <w:rFonts w:cs="Calibri"/>
          <w:szCs w:val="24"/>
        </w:rPr>
        <w:t>COSME</w:t>
      </w:r>
      <w:r>
        <w:rPr>
          <w:rFonts w:cs="Calibri"/>
          <w:szCs w:val="24"/>
        </w:rPr>
        <w:tab/>
      </w:r>
      <w:r w:rsidRPr="00325210">
        <w:rPr>
          <w:rFonts w:cs="Calibri"/>
          <w:szCs w:val="24"/>
        </w:rPr>
        <w:t>Progra</w:t>
      </w:r>
      <w:r>
        <w:rPr>
          <w:rFonts w:cs="Calibri"/>
          <w:szCs w:val="24"/>
        </w:rPr>
        <w:t>mme for the Competitiveness of E</w:t>
      </w:r>
      <w:r w:rsidRPr="00325210">
        <w:rPr>
          <w:rFonts w:cs="Calibri"/>
          <w:szCs w:val="24"/>
        </w:rPr>
        <w:t>nterprises and SMEs</w:t>
      </w:r>
    </w:p>
    <w:p w:rsidR="00665979" w:rsidRDefault="00665979" w:rsidP="00665979">
      <w:pPr>
        <w:tabs>
          <w:tab w:val="left" w:pos="3402"/>
        </w:tabs>
        <w:spacing w:line="280" w:lineRule="atLeast"/>
        <w:ind w:left="3402" w:hanging="3402"/>
        <w:rPr>
          <w:rFonts w:cs="Calibri"/>
          <w:szCs w:val="24"/>
        </w:rPr>
      </w:pPr>
      <w:r>
        <w:rPr>
          <w:rFonts w:cs="Calibri"/>
          <w:szCs w:val="24"/>
        </w:rPr>
        <w:t>CVCA                                                     Czech Venture Capital &amp; Private Equity Association</w:t>
      </w:r>
    </w:p>
    <w:p w:rsidR="00665979" w:rsidRDefault="00665979" w:rsidP="00665979">
      <w:pPr>
        <w:tabs>
          <w:tab w:val="left" w:pos="3402"/>
        </w:tabs>
        <w:spacing w:line="280" w:lineRule="atLeast"/>
        <w:ind w:left="3402" w:hanging="3402"/>
        <w:rPr>
          <w:rFonts w:cs="Calibri"/>
          <w:szCs w:val="24"/>
        </w:rPr>
      </w:pPr>
      <w:r>
        <w:rPr>
          <w:rFonts w:cs="Calibri"/>
          <w:szCs w:val="24"/>
        </w:rPr>
        <w:t>ČMZRB</w:t>
      </w:r>
      <w:r>
        <w:rPr>
          <w:rFonts w:cs="Calibri"/>
          <w:szCs w:val="24"/>
        </w:rPr>
        <w:tab/>
        <w:t>Českomoravská záruční a rozvojová banka, a.s.</w:t>
      </w:r>
    </w:p>
    <w:p w:rsidR="00665979" w:rsidRDefault="00665979" w:rsidP="00665979">
      <w:pPr>
        <w:tabs>
          <w:tab w:val="left" w:pos="3402"/>
        </w:tabs>
        <w:spacing w:line="280" w:lineRule="atLeast"/>
        <w:ind w:left="3402" w:hanging="3402"/>
        <w:rPr>
          <w:rFonts w:cs="Calibri"/>
          <w:szCs w:val="24"/>
        </w:rPr>
      </w:pPr>
      <w:r>
        <w:rPr>
          <w:rFonts w:cs="Calibri"/>
          <w:szCs w:val="24"/>
        </w:rPr>
        <w:t>ČNB</w:t>
      </w:r>
      <w:r>
        <w:rPr>
          <w:rFonts w:cs="Calibri"/>
          <w:szCs w:val="24"/>
        </w:rPr>
        <w:tab/>
        <w:t>Česká národní banka</w:t>
      </w:r>
    </w:p>
    <w:p w:rsidR="00665979" w:rsidRDefault="00665979" w:rsidP="00665979">
      <w:pPr>
        <w:tabs>
          <w:tab w:val="left" w:pos="3402"/>
        </w:tabs>
        <w:spacing w:line="280" w:lineRule="atLeast"/>
        <w:ind w:left="3402" w:hanging="3402"/>
        <w:rPr>
          <w:rFonts w:cs="Calibri"/>
          <w:szCs w:val="24"/>
        </w:rPr>
      </w:pPr>
      <w:r>
        <w:rPr>
          <w:rFonts w:cs="Calibri"/>
          <w:szCs w:val="24"/>
        </w:rPr>
        <w:t>ČRUIF</w:t>
      </w:r>
      <w:r>
        <w:rPr>
          <w:rFonts w:cs="Calibri"/>
          <w:szCs w:val="24"/>
        </w:rPr>
        <w:tab/>
        <w:t>Český rozvojový, uzavřený investiční fond, a.s.</w:t>
      </w:r>
    </w:p>
    <w:p w:rsidR="00665979" w:rsidRDefault="00665979" w:rsidP="00665979">
      <w:pPr>
        <w:tabs>
          <w:tab w:val="left" w:pos="3402"/>
        </w:tabs>
        <w:spacing w:line="280" w:lineRule="atLeast"/>
        <w:ind w:left="3402" w:hanging="3402"/>
        <w:rPr>
          <w:rFonts w:cs="Calibri"/>
          <w:szCs w:val="24"/>
        </w:rPr>
      </w:pPr>
      <w:r>
        <w:rPr>
          <w:rFonts w:cs="Calibri"/>
          <w:szCs w:val="24"/>
        </w:rPr>
        <w:t>ČSÚ</w:t>
      </w:r>
      <w:r>
        <w:rPr>
          <w:rFonts w:cs="Calibri"/>
          <w:szCs w:val="24"/>
        </w:rPr>
        <w:tab/>
        <w:t>Český statistický úřad</w:t>
      </w:r>
    </w:p>
    <w:p w:rsidR="00665979" w:rsidRDefault="00665979" w:rsidP="00665979">
      <w:pPr>
        <w:tabs>
          <w:tab w:val="left" w:pos="3402"/>
        </w:tabs>
        <w:spacing w:line="280" w:lineRule="atLeast"/>
        <w:ind w:left="3402" w:hanging="3402"/>
        <w:rPr>
          <w:rFonts w:cs="Calibri"/>
          <w:szCs w:val="24"/>
        </w:rPr>
      </w:pPr>
      <w:r>
        <w:rPr>
          <w:rFonts w:cs="Calibri"/>
          <w:szCs w:val="24"/>
        </w:rPr>
        <w:t>EBRD</w:t>
      </w:r>
      <w:r>
        <w:rPr>
          <w:rFonts w:cs="Calibri"/>
          <w:szCs w:val="24"/>
        </w:rPr>
        <w:tab/>
        <w:t>European Bank for Reconstruction and Development</w:t>
      </w:r>
    </w:p>
    <w:p w:rsidR="00665979" w:rsidRDefault="00665979" w:rsidP="00665979">
      <w:pPr>
        <w:tabs>
          <w:tab w:val="left" w:pos="3402"/>
        </w:tabs>
        <w:spacing w:line="280" w:lineRule="atLeast"/>
        <w:ind w:left="3402" w:hanging="3402"/>
        <w:rPr>
          <w:rFonts w:cs="Calibri"/>
          <w:szCs w:val="24"/>
        </w:rPr>
      </w:pPr>
      <w:r>
        <w:rPr>
          <w:rFonts w:cs="Calibri"/>
          <w:szCs w:val="24"/>
        </w:rPr>
        <w:t>EE</w:t>
      </w:r>
      <w:r>
        <w:rPr>
          <w:rFonts w:cs="Calibri"/>
          <w:szCs w:val="24"/>
        </w:rPr>
        <w:tab/>
        <w:t>Energy Efficiency</w:t>
      </w:r>
    </w:p>
    <w:p w:rsidR="00665979" w:rsidRDefault="00665979" w:rsidP="00665979">
      <w:pPr>
        <w:tabs>
          <w:tab w:val="left" w:pos="3402"/>
        </w:tabs>
        <w:spacing w:line="280" w:lineRule="atLeast"/>
        <w:ind w:left="3402" w:hanging="3402"/>
        <w:rPr>
          <w:rFonts w:cs="Calibri"/>
          <w:szCs w:val="24"/>
        </w:rPr>
      </w:pPr>
      <w:r>
        <w:rPr>
          <w:rFonts w:cs="Calibri"/>
          <w:szCs w:val="24"/>
        </w:rPr>
        <w:t>EIB</w:t>
      </w:r>
      <w:r>
        <w:rPr>
          <w:rFonts w:cs="Calibri"/>
          <w:szCs w:val="24"/>
        </w:rPr>
        <w:tab/>
        <w:t>Evropská investiční banka</w:t>
      </w:r>
    </w:p>
    <w:p w:rsidR="00665979" w:rsidRDefault="00665979" w:rsidP="00665979">
      <w:pPr>
        <w:tabs>
          <w:tab w:val="left" w:pos="3402"/>
        </w:tabs>
        <w:spacing w:line="280" w:lineRule="atLeast"/>
        <w:ind w:left="3402" w:hanging="3402"/>
        <w:rPr>
          <w:rFonts w:cs="Calibri"/>
          <w:szCs w:val="24"/>
        </w:rPr>
      </w:pPr>
      <w:r>
        <w:rPr>
          <w:rFonts w:cs="Calibri"/>
          <w:szCs w:val="24"/>
        </w:rPr>
        <w:t>EIF</w:t>
      </w:r>
      <w:r>
        <w:rPr>
          <w:rFonts w:cs="Calibri"/>
          <w:szCs w:val="24"/>
        </w:rPr>
        <w:tab/>
        <w:t>Evropský investiční fond</w:t>
      </w:r>
    </w:p>
    <w:p w:rsidR="00665979" w:rsidRDefault="00665979" w:rsidP="00665979">
      <w:pPr>
        <w:tabs>
          <w:tab w:val="left" w:pos="3402"/>
        </w:tabs>
        <w:spacing w:line="280" w:lineRule="atLeast"/>
        <w:ind w:left="3402" w:hanging="3402"/>
        <w:rPr>
          <w:rFonts w:cs="Calibri"/>
          <w:szCs w:val="24"/>
        </w:rPr>
      </w:pPr>
      <w:r>
        <w:rPr>
          <w:rFonts w:cs="Calibri"/>
          <w:szCs w:val="24"/>
        </w:rPr>
        <w:t>EFRR</w:t>
      </w:r>
      <w:r>
        <w:rPr>
          <w:rFonts w:cs="Calibri"/>
          <w:szCs w:val="24"/>
        </w:rPr>
        <w:tab/>
        <w:t>Evropský fond pro regionální rozvoj</w:t>
      </w:r>
    </w:p>
    <w:p w:rsidR="00665979" w:rsidRDefault="00665979" w:rsidP="00665979">
      <w:pPr>
        <w:tabs>
          <w:tab w:val="left" w:pos="3402"/>
        </w:tabs>
        <w:spacing w:line="280" w:lineRule="atLeast"/>
        <w:ind w:left="3402" w:hanging="3402"/>
        <w:rPr>
          <w:rFonts w:cs="Calibri"/>
          <w:szCs w:val="24"/>
        </w:rPr>
      </w:pPr>
      <w:r>
        <w:rPr>
          <w:rFonts w:cs="Calibri"/>
          <w:szCs w:val="24"/>
        </w:rPr>
        <w:t>EPC</w:t>
      </w:r>
      <w:r>
        <w:rPr>
          <w:rFonts w:cs="Calibri"/>
          <w:szCs w:val="24"/>
        </w:rPr>
        <w:tab/>
        <w:t>Energy Performance Contracting</w:t>
      </w:r>
    </w:p>
    <w:p w:rsidR="00665979" w:rsidRDefault="00665979" w:rsidP="00665979">
      <w:pPr>
        <w:tabs>
          <w:tab w:val="left" w:pos="3402"/>
        </w:tabs>
        <w:spacing w:line="280" w:lineRule="atLeast"/>
        <w:ind w:left="3402" w:hanging="3402"/>
        <w:rPr>
          <w:rFonts w:cs="Calibri"/>
          <w:szCs w:val="24"/>
        </w:rPr>
      </w:pPr>
      <w:r>
        <w:rPr>
          <w:rFonts w:cs="Calibri"/>
          <w:szCs w:val="24"/>
        </w:rPr>
        <w:t>ESD</w:t>
      </w:r>
      <w:r>
        <w:rPr>
          <w:rFonts w:cs="Calibri"/>
          <w:szCs w:val="24"/>
        </w:rPr>
        <w:tab/>
        <w:t>Evropský soudní dvůr</w:t>
      </w:r>
    </w:p>
    <w:p w:rsidR="00665979" w:rsidRDefault="00665979" w:rsidP="00665979">
      <w:pPr>
        <w:tabs>
          <w:tab w:val="left" w:pos="3402"/>
        </w:tabs>
        <w:spacing w:line="280" w:lineRule="atLeast"/>
        <w:ind w:left="3402" w:hanging="3402"/>
        <w:rPr>
          <w:rFonts w:cs="Calibri"/>
          <w:szCs w:val="24"/>
        </w:rPr>
      </w:pPr>
      <w:r>
        <w:rPr>
          <w:rFonts w:cs="Calibri"/>
          <w:szCs w:val="24"/>
        </w:rPr>
        <w:t>ESIF</w:t>
      </w:r>
      <w:r>
        <w:rPr>
          <w:rFonts w:cs="Calibri"/>
          <w:szCs w:val="24"/>
        </w:rPr>
        <w:tab/>
        <w:t>Evropské strukturální a investiční fondy</w:t>
      </w:r>
    </w:p>
    <w:p w:rsidR="00665979" w:rsidRDefault="00665979" w:rsidP="00665979">
      <w:pPr>
        <w:tabs>
          <w:tab w:val="left" w:pos="3402"/>
        </w:tabs>
        <w:spacing w:line="280" w:lineRule="atLeast"/>
        <w:ind w:left="3402" w:hanging="3402"/>
        <w:rPr>
          <w:rFonts w:cs="Calibri"/>
          <w:szCs w:val="24"/>
        </w:rPr>
      </w:pPr>
      <w:r>
        <w:rPr>
          <w:rFonts w:cs="Calibri"/>
          <w:szCs w:val="24"/>
        </w:rPr>
        <w:t>EÚD</w:t>
      </w:r>
      <w:r>
        <w:rPr>
          <w:rFonts w:cs="Calibri"/>
          <w:szCs w:val="24"/>
        </w:rPr>
        <w:tab/>
        <w:t>Evropský účetní dvůr</w:t>
      </w:r>
    </w:p>
    <w:p w:rsidR="00665979" w:rsidRDefault="00665979" w:rsidP="00665979">
      <w:pPr>
        <w:tabs>
          <w:tab w:val="left" w:pos="3402"/>
        </w:tabs>
        <w:spacing w:line="280" w:lineRule="atLeast"/>
        <w:ind w:left="3402" w:hanging="3402"/>
        <w:rPr>
          <w:rFonts w:cs="Calibri"/>
          <w:szCs w:val="24"/>
        </w:rPr>
      </w:pPr>
      <w:r>
        <w:rPr>
          <w:rFonts w:cs="Calibri"/>
          <w:szCs w:val="24"/>
        </w:rPr>
        <w:t>FF</w:t>
      </w:r>
      <w:r>
        <w:rPr>
          <w:rFonts w:cs="Calibri"/>
          <w:szCs w:val="24"/>
        </w:rPr>
        <w:tab/>
        <w:t>fond fondů (v období 2007-2013 též holdingový fond, podílový fond)</w:t>
      </w:r>
    </w:p>
    <w:p w:rsidR="00665979" w:rsidRDefault="00665979" w:rsidP="00665979">
      <w:pPr>
        <w:tabs>
          <w:tab w:val="left" w:pos="3402"/>
        </w:tabs>
        <w:spacing w:line="280" w:lineRule="atLeast"/>
        <w:ind w:left="3402" w:hanging="3402"/>
        <w:rPr>
          <w:rFonts w:cs="Calibri"/>
          <w:szCs w:val="24"/>
        </w:rPr>
      </w:pPr>
      <w:r>
        <w:rPr>
          <w:rFonts w:cs="Calibri"/>
          <w:szCs w:val="24"/>
        </w:rPr>
        <w:t>FN</w:t>
      </w:r>
      <w:r>
        <w:rPr>
          <w:rFonts w:cs="Calibri"/>
          <w:szCs w:val="24"/>
        </w:rPr>
        <w:tab/>
        <w:t>finanční nástroj/e</w:t>
      </w:r>
    </w:p>
    <w:p w:rsidR="00665979" w:rsidRDefault="00665979" w:rsidP="00665979">
      <w:pPr>
        <w:tabs>
          <w:tab w:val="left" w:pos="3402"/>
        </w:tabs>
        <w:spacing w:line="280" w:lineRule="atLeast"/>
        <w:ind w:left="3402" w:hanging="3402"/>
        <w:rPr>
          <w:rFonts w:cs="Calibri"/>
          <w:szCs w:val="24"/>
        </w:rPr>
      </w:pPr>
      <w:r>
        <w:rPr>
          <w:rFonts w:cs="Calibri"/>
          <w:szCs w:val="24"/>
        </w:rPr>
        <w:t>HORIZONT 2020</w:t>
      </w:r>
      <w:r>
        <w:rPr>
          <w:rFonts w:cs="Calibri"/>
          <w:szCs w:val="24"/>
        </w:rPr>
        <w:tab/>
        <w:t>osmý rámcový program EU pro výzkum a vývoj</w:t>
      </w:r>
    </w:p>
    <w:p w:rsidR="00665979" w:rsidRDefault="00665979" w:rsidP="00665979">
      <w:pPr>
        <w:tabs>
          <w:tab w:val="left" w:pos="3402"/>
        </w:tabs>
        <w:spacing w:line="280" w:lineRule="atLeast"/>
        <w:ind w:left="3402" w:hanging="3402"/>
        <w:rPr>
          <w:rFonts w:cs="Calibri"/>
          <w:szCs w:val="24"/>
        </w:rPr>
      </w:pPr>
      <w:r>
        <w:rPr>
          <w:rFonts w:cs="Calibri"/>
          <w:szCs w:val="24"/>
        </w:rPr>
        <w:t>IRR</w:t>
      </w:r>
      <w:r>
        <w:rPr>
          <w:rFonts w:cs="Calibri"/>
          <w:szCs w:val="24"/>
        </w:rPr>
        <w:tab/>
        <w:t>Internal Rate of Return (vnitřní výnosové procento)</w:t>
      </w:r>
    </w:p>
    <w:p w:rsidR="00665979" w:rsidRDefault="00665979" w:rsidP="00665979">
      <w:pPr>
        <w:tabs>
          <w:tab w:val="left" w:pos="3402"/>
        </w:tabs>
        <w:spacing w:line="280" w:lineRule="atLeast"/>
        <w:ind w:left="3402" w:hanging="3402"/>
        <w:rPr>
          <w:rFonts w:cs="Calibri"/>
          <w:szCs w:val="24"/>
        </w:rPr>
      </w:pPr>
      <w:r>
        <w:rPr>
          <w:rFonts w:cs="Calibri"/>
          <w:szCs w:val="24"/>
        </w:rPr>
        <w:t>JEREMIE</w:t>
      </w:r>
      <w:r>
        <w:rPr>
          <w:rFonts w:cs="Calibri"/>
          <w:szCs w:val="24"/>
        </w:rPr>
        <w:tab/>
        <w:t xml:space="preserve">Joint European Resources for </w:t>
      </w:r>
      <w:r w:rsidRPr="00D02A7A">
        <w:rPr>
          <w:rFonts w:cs="Calibri"/>
          <w:szCs w:val="24"/>
        </w:rPr>
        <w:t>Micro to Medium Enterprises</w:t>
      </w:r>
    </w:p>
    <w:p w:rsidR="00665979" w:rsidRDefault="00665979" w:rsidP="00665979">
      <w:pPr>
        <w:tabs>
          <w:tab w:val="left" w:pos="3402"/>
        </w:tabs>
        <w:spacing w:line="280" w:lineRule="atLeast"/>
        <w:ind w:left="3402" w:hanging="3402"/>
        <w:rPr>
          <w:rFonts w:cs="Calibri"/>
          <w:szCs w:val="24"/>
        </w:rPr>
      </w:pPr>
      <w:r>
        <w:rPr>
          <w:rFonts w:cs="Calibri"/>
          <w:szCs w:val="24"/>
        </w:rPr>
        <w:t>JESSICA</w:t>
      </w:r>
      <w:r>
        <w:rPr>
          <w:rFonts w:cs="Calibri"/>
          <w:szCs w:val="24"/>
        </w:rPr>
        <w:tab/>
      </w:r>
      <w:r w:rsidRPr="00D02A7A">
        <w:rPr>
          <w:rFonts w:cs="Calibri"/>
          <w:szCs w:val="24"/>
        </w:rPr>
        <w:t>Joint European Support for</w:t>
      </w:r>
      <w:r>
        <w:rPr>
          <w:rFonts w:cs="Calibri"/>
          <w:szCs w:val="24"/>
        </w:rPr>
        <w:t xml:space="preserve"> </w:t>
      </w:r>
      <w:r w:rsidRPr="00D02A7A">
        <w:rPr>
          <w:rFonts w:cs="Calibri"/>
          <w:szCs w:val="24"/>
        </w:rPr>
        <w:t>Sustainable</w:t>
      </w:r>
      <w:r>
        <w:rPr>
          <w:rFonts w:cs="Calibri"/>
          <w:szCs w:val="24"/>
        </w:rPr>
        <w:t xml:space="preserve"> </w:t>
      </w:r>
      <w:r w:rsidRPr="00D02A7A">
        <w:rPr>
          <w:rFonts w:cs="Calibri"/>
          <w:szCs w:val="24"/>
        </w:rPr>
        <w:t>Investment in City Areas</w:t>
      </w:r>
    </w:p>
    <w:p w:rsidR="00665979" w:rsidRDefault="00665979" w:rsidP="00665979">
      <w:pPr>
        <w:tabs>
          <w:tab w:val="left" w:pos="3402"/>
        </w:tabs>
        <w:spacing w:line="280" w:lineRule="atLeast"/>
        <w:ind w:left="3402" w:hanging="3402"/>
        <w:rPr>
          <w:rFonts w:cs="Calibri"/>
          <w:szCs w:val="24"/>
        </w:rPr>
      </w:pPr>
      <w:r>
        <w:rPr>
          <w:rFonts w:cs="Calibri"/>
          <w:szCs w:val="24"/>
        </w:rPr>
        <w:t>LP</w:t>
      </w:r>
      <w:r>
        <w:rPr>
          <w:rFonts w:cs="Calibri"/>
          <w:szCs w:val="24"/>
        </w:rPr>
        <w:tab/>
        <w:t>Limited Partner, Limited Partnership</w:t>
      </w:r>
    </w:p>
    <w:p w:rsidR="00665979" w:rsidRDefault="00665979" w:rsidP="00665979">
      <w:pPr>
        <w:tabs>
          <w:tab w:val="left" w:pos="3402"/>
        </w:tabs>
        <w:spacing w:line="280" w:lineRule="atLeast"/>
        <w:ind w:left="3402" w:hanging="3402"/>
        <w:rPr>
          <w:rFonts w:cs="Calibri"/>
          <w:szCs w:val="24"/>
        </w:rPr>
      </w:pPr>
      <w:r>
        <w:rPr>
          <w:rFonts w:cs="Calibri"/>
          <w:szCs w:val="24"/>
        </w:rPr>
        <w:t>MCF</w:t>
      </w:r>
      <w:r>
        <w:rPr>
          <w:rFonts w:cs="Calibri"/>
          <w:szCs w:val="24"/>
        </w:rPr>
        <w:tab/>
        <w:t>Management Cost and Fees (náklady a poplatky za řízení)</w:t>
      </w:r>
    </w:p>
    <w:p w:rsidR="00665979" w:rsidRDefault="00665979" w:rsidP="00665979">
      <w:pPr>
        <w:tabs>
          <w:tab w:val="left" w:pos="3402"/>
        </w:tabs>
        <w:spacing w:line="280" w:lineRule="atLeast"/>
        <w:ind w:left="3402" w:hanging="3402"/>
        <w:rPr>
          <w:rFonts w:cs="Calibri"/>
          <w:szCs w:val="24"/>
        </w:rPr>
      </w:pPr>
      <w:r>
        <w:rPr>
          <w:rFonts w:cs="Calibri"/>
          <w:szCs w:val="24"/>
        </w:rPr>
        <w:t>MF</w:t>
      </w:r>
      <w:r>
        <w:rPr>
          <w:rFonts w:cs="Calibri"/>
          <w:szCs w:val="24"/>
        </w:rPr>
        <w:tab/>
        <w:t>Ministerstvo financí</w:t>
      </w:r>
    </w:p>
    <w:p w:rsidR="00665979" w:rsidRDefault="00665979" w:rsidP="00665979">
      <w:pPr>
        <w:tabs>
          <w:tab w:val="left" w:pos="3402"/>
        </w:tabs>
        <w:spacing w:line="280" w:lineRule="atLeast"/>
        <w:ind w:left="3402" w:hanging="3402"/>
        <w:rPr>
          <w:rFonts w:cs="Calibri"/>
          <w:szCs w:val="24"/>
        </w:rPr>
      </w:pPr>
      <w:r>
        <w:rPr>
          <w:rFonts w:cs="Calibri"/>
          <w:szCs w:val="24"/>
        </w:rPr>
        <w:t>MFTK</w:t>
      </w:r>
      <w:r>
        <w:rPr>
          <w:rFonts w:cs="Calibri"/>
          <w:szCs w:val="24"/>
        </w:rPr>
        <w:tab/>
        <w:t>Metodika finančních toků a kontroly</w:t>
      </w:r>
    </w:p>
    <w:p w:rsidR="00665979" w:rsidRDefault="00665979" w:rsidP="00665979">
      <w:pPr>
        <w:tabs>
          <w:tab w:val="left" w:pos="3402"/>
        </w:tabs>
        <w:spacing w:line="280" w:lineRule="atLeast"/>
        <w:ind w:left="3402" w:hanging="3402"/>
        <w:rPr>
          <w:rFonts w:cs="Calibri"/>
          <w:szCs w:val="24"/>
        </w:rPr>
      </w:pPr>
      <w:r>
        <w:rPr>
          <w:rFonts w:cs="Calibri"/>
          <w:szCs w:val="24"/>
        </w:rPr>
        <w:t>MMR</w:t>
      </w:r>
      <w:r>
        <w:rPr>
          <w:rFonts w:cs="Calibri"/>
          <w:szCs w:val="24"/>
        </w:rPr>
        <w:tab/>
        <w:t>Ministerstvo pro místní rozvoj</w:t>
      </w:r>
    </w:p>
    <w:p w:rsidR="00665979" w:rsidRDefault="00665979" w:rsidP="00665979">
      <w:pPr>
        <w:tabs>
          <w:tab w:val="left" w:pos="3402"/>
        </w:tabs>
        <w:spacing w:line="280" w:lineRule="atLeast"/>
        <w:ind w:left="3402" w:hanging="3402"/>
        <w:rPr>
          <w:rFonts w:cs="Calibri"/>
          <w:szCs w:val="24"/>
        </w:rPr>
      </w:pPr>
      <w:r>
        <w:rPr>
          <w:rFonts w:cs="Calibri"/>
          <w:szCs w:val="24"/>
        </w:rPr>
        <w:t>MPO</w:t>
      </w:r>
      <w:r>
        <w:rPr>
          <w:rFonts w:cs="Calibri"/>
          <w:szCs w:val="24"/>
        </w:rPr>
        <w:tab/>
        <w:t>Ministerstvo průmyslu a obchodu</w:t>
      </w:r>
    </w:p>
    <w:p w:rsidR="00665979" w:rsidRDefault="00665979" w:rsidP="00665979">
      <w:pPr>
        <w:tabs>
          <w:tab w:val="left" w:pos="3402"/>
        </w:tabs>
        <w:spacing w:line="280" w:lineRule="atLeast"/>
        <w:ind w:left="3402" w:hanging="3402"/>
        <w:rPr>
          <w:rFonts w:cs="Calibri"/>
          <w:szCs w:val="24"/>
        </w:rPr>
      </w:pPr>
      <w:r>
        <w:rPr>
          <w:rFonts w:cs="Calibri"/>
          <w:szCs w:val="24"/>
        </w:rPr>
        <w:t>MSP</w:t>
      </w:r>
      <w:r>
        <w:rPr>
          <w:rFonts w:cs="Calibri"/>
          <w:szCs w:val="24"/>
        </w:rPr>
        <w:tab/>
        <w:t>malý/é a střední podnik/y</w:t>
      </w:r>
    </w:p>
    <w:p w:rsidR="00665979" w:rsidRDefault="00665979" w:rsidP="00665979">
      <w:pPr>
        <w:tabs>
          <w:tab w:val="left" w:pos="3402"/>
        </w:tabs>
        <w:spacing w:line="280" w:lineRule="atLeast"/>
        <w:ind w:left="3402" w:hanging="3402"/>
        <w:rPr>
          <w:rFonts w:cs="Calibri"/>
          <w:szCs w:val="24"/>
        </w:rPr>
      </w:pPr>
      <w:r>
        <w:rPr>
          <w:rFonts w:cs="Calibri"/>
          <w:szCs w:val="24"/>
        </w:rPr>
        <w:t>MVE</w:t>
      </w:r>
      <w:r>
        <w:rPr>
          <w:rFonts w:cs="Calibri"/>
          <w:szCs w:val="24"/>
        </w:rPr>
        <w:tab/>
        <w:t>malá vodní elektrárna</w:t>
      </w:r>
    </w:p>
    <w:p w:rsidR="00665979" w:rsidRDefault="00665979" w:rsidP="00665979">
      <w:pPr>
        <w:tabs>
          <w:tab w:val="left" w:pos="3402"/>
        </w:tabs>
        <w:spacing w:line="280" w:lineRule="atLeast"/>
        <w:ind w:left="3402" w:hanging="3402"/>
        <w:rPr>
          <w:rFonts w:cs="Calibri"/>
          <w:szCs w:val="24"/>
        </w:rPr>
      </w:pPr>
      <w:r w:rsidRPr="001F2590">
        <w:rPr>
          <w:rFonts w:cs="Calibri"/>
          <w:szCs w:val="24"/>
        </w:rPr>
        <w:t>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 OJ L 347, s. 320-469</w:t>
      </w:r>
    </w:p>
    <w:p w:rsidR="00665979" w:rsidRDefault="00665979" w:rsidP="00665979">
      <w:pPr>
        <w:tabs>
          <w:tab w:val="left" w:pos="3402"/>
        </w:tabs>
        <w:spacing w:line="280" w:lineRule="atLeast"/>
        <w:ind w:left="3402" w:hanging="3402"/>
        <w:rPr>
          <w:rFonts w:cs="Calibri"/>
          <w:szCs w:val="24"/>
        </w:rPr>
      </w:pPr>
      <w:r w:rsidRPr="008112FE">
        <w:rPr>
          <w:rFonts w:cs="Calibri"/>
          <w:szCs w:val="24"/>
        </w:rPr>
        <w:lastRenderedPageBreak/>
        <w:t>nařízení o EFRR</w:t>
      </w:r>
      <w:r>
        <w:rPr>
          <w:rFonts w:cs="Calibri"/>
          <w:szCs w:val="24"/>
        </w:rPr>
        <w:tab/>
      </w:r>
      <w:r w:rsidRPr="008112FE">
        <w:rPr>
          <w:rFonts w:cs="Calibri"/>
          <w:szCs w:val="24"/>
        </w:rPr>
        <w:t>návrh nařízení Evropského parlamentu a Rady o zvláštních ustanoveních týkajících se Evropského fondu pro regionální rozvoj a cíle Investice pro růst a zaměstnanost a o zrušení nařízení (ES) č. 1080/2006</w:t>
      </w:r>
    </w:p>
    <w:p w:rsidR="00665979" w:rsidRDefault="00665979" w:rsidP="00665979">
      <w:pPr>
        <w:tabs>
          <w:tab w:val="left" w:pos="3402"/>
        </w:tabs>
        <w:spacing w:line="280" w:lineRule="atLeast"/>
        <w:ind w:left="3402" w:hanging="3402"/>
        <w:rPr>
          <w:rFonts w:cs="Calibri"/>
          <w:szCs w:val="24"/>
        </w:rPr>
      </w:pPr>
      <w:r>
        <w:rPr>
          <w:rFonts w:cs="Calibri"/>
          <w:szCs w:val="24"/>
        </w:rPr>
        <w:t>NGA</w:t>
      </w:r>
      <w:r>
        <w:rPr>
          <w:rFonts w:cs="Calibri"/>
          <w:szCs w:val="24"/>
        </w:rPr>
        <w:tab/>
        <w:t>Next Generation Access (přístupové sítě příští generace)</w:t>
      </w:r>
    </w:p>
    <w:p w:rsidR="00665979" w:rsidRDefault="00665979" w:rsidP="00665979">
      <w:pPr>
        <w:tabs>
          <w:tab w:val="left" w:pos="3402"/>
        </w:tabs>
        <w:spacing w:line="280" w:lineRule="atLeast"/>
        <w:ind w:left="3402" w:hanging="3402"/>
        <w:rPr>
          <w:rFonts w:cs="Calibri"/>
          <w:szCs w:val="24"/>
        </w:rPr>
      </w:pPr>
      <w:r>
        <w:rPr>
          <w:rFonts w:cs="Calibri"/>
          <w:szCs w:val="24"/>
        </w:rPr>
        <w:t>NPV</w:t>
      </w:r>
      <w:r>
        <w:rPr>
          <w:rFonts w:cs="Calibri"/>
          <w:szCs w:val="24"/>
        </w:rPr>
        <w:tab/>
        <w:t>Net Present Value (čistá současná hodnota investice)</w:t>
      </w:r>
    </w:p>
    <w:p w:rsidR="00665979" w:rsidRDefault="00665979" w:rsidP="00665979">
      <w:pPr>
        <w:tabs>
          <w:tab w:val="left" w:pos="3402"/>
        </w:tabs>
        <w:spacing w:line="280" w:lineRule="atLeast"/>
        <w:ind w:left="3402" w:hanging="3402"/>
        <w:rPr>
          <w:rFonts w:cs="Calibri"/>
          <w:szCs w:val="24"/>
        </w:rPr>
      </w:pPr>
      <w:r>
        <w:rPr>
          <w:rFonts w:cs="Calibri"/>
          <w:szCs w:val="24"/>
        </w:rPr>
        <w:t>off-the-shelf instrument</w:t>
      </w:r>
      <w:r>
        <w:rPr>
          <w:rFonts w:cs="Calibri"/>
          <w:szCs w:val="24"/>
        </w:rPr>
        <w:tab/>
        <w:t>„bezpečné vody“ – standardizovaný finanční nástroj</w:t>
      </w:r>
    </w:p>
    <w:p w:rsidR="00665979" w:rsidRDefault="00665979" w:rsidP="00665979">
      <w:pPr>
        <w:tabs>
          <w:tab w:val="left" w:pos="3402"/>
        </w:tabs>
        <w:spacing w:line="280" w:lineRule="atLeast"/>
        <w:ind w:left="3402" w:hanging="3402"/>
        <w:rPr>
          <w:rFonts w:cs="Calibri"/>
          <w:szCs w:val="24"/>
        </w:rPr>
      </w:pPr>
      <w:r>
        <w:rPr>
          <w:rFonts w:cs="Calibri"/>
          <w:szCs w:val="24"/>
        </w:rPr>
        <w:t>OP</w:t>
      </w:r>
      <w:r>
        <w:rPr>
          <w:rFonts w:cs="Calibri"/>
          <w:szCs w:val="24"/>
        </w:rPr>
        <w:tab/>
        <w:t>operační program</w:t>
      </w:r>
    </w:p>
    <w:p w:rsidR="00665979" w:rsidRDefault="00665979" w:rsidP="00665979">
      <w:pPr>
        <w:tabs>
          <w:tab w:val="left" w:pos="3402"/>
        </w:tabs>
        <w:spacing w:line="280" w:lineRule="atLeast"/>
        <w:ind w:left="3402" w:hanging="3402"/>
        <w:rPr>
          <w:rFonts w:cs="Calibri"/>
          <w:szCs w:val="24"/>
        </w:rPr>
      </w:pPr>
      <w:r>
        <w:rPr>
          <w:rFonts w:cs="Calibri"/>
          <w:szCs w:val="24"/>
        </w:rPr>
        <w:t>OPPI</w:t>
      </w:r>
      <w:r>
        <w:rPr>
          <w:rFonts w:cs="Calibri"/>
          <w:szCs w:val="24"/>
        </w:rPr>
        <w:tab/>
        <w:t>Operační program Podnikání a inovace</w:t>
      </w:r>
    </w:p>
    <w:p w:rsidR="00665979" w:rsidRDefault="00665979" w:rsidP="00665979">
      <w:pPr>
        <w:tabs>
          <w:tab w:val="left" w:pos="3402"/>
        </w:tabs>
        <w:spacing w:line="280" w:lineRule="atLeast"/>
        <w:ind w:left="3402" w:hanging="3402"/>
        <w:rPr>
          <w:rFonts w:cs="Calibri"/>
          <w:szCs w:val="24"/>
        </w:rPr>
      </w:pPr>
      <w:r>
        <w:rPr>
          <w:rFonts w:cs="Calibri"/>
          <w:szCs w:val="24"/>
        </w:rPr>
        <w:t>OP PIK</w:t>
      </w:r>
      <w:r>
        <w:rPr>
          <w:rFonts w:cs="Calibri"/>
          <w:szCs w:val="24"/>
        </w:rPr>
        <w:tab/>
        <w:t>Operační program Podnikání a inovace pro konkurenceschopnost</w:t>
      </w:r>
    </w:p>
    <w:p w:rsidR="00665979" w:rsidRDefault="00665979" w:rsidP="00665979">
      <w:pPr>
        <w:tabs>
          <w:tab w:val="left" w:pos="3402"/>
        </w:tabs>
        <w:spacing w:line="280" w:lineRule="atLeast"/>
        <w:ind w:left="3402" w:hanging="3402"/>
        <w:rPr>
          <w:rFonts w:cs="Calibri"/>
          <w:szCs w:val="24"/>
        </w:rPr>
      </w:pPr>
      <w:r>
        <w:rPr>
          <w:rFonts w:cs="Calibri"/>
          <w:szCs w:val="24"/>
        </w:rPr>
        <w:t>OPPP</w:t>
      </w:r>
      <w:r>
        <w:rPr>
          <w:rFonts w:cs="Calibri"/>
          <w:szCs w:val="24"/>
        </w:rPr>
        <w:tab/>
        <w:t>Operační program Průmysl a podnikání</w:t>
      </w:r>
    </w:p>
    <w:p w:rsidR="00665979" w:rsidRDefault="00665979" w:rsidP="00665979">
      <w:pPr>
        <w:tabs>
          <w:tab w:val="left" w:pos="3402"/>
        </w:tabs>
        <w:spacing w:line="280" w:lineRule="atLeast"/>
        <w:ind w:left="3402" w:hanging="3402"/>
        <w:rPr>
          <w:rFonts w:cs="Calibri"/>
          <w:szCs w:val="24"/>
        </w:rPr>
      </w:pPr>
      <w:r>
        <w:rPr>
          <w:rFonts w:cs="Calibri"/>
          <w:szCs w:val="24"/>
        </w:rPr>
        <w:t>ROP</w:t>
      </w:r>
      <w:r>
        <w:rPr>
          <w:rFonts w:cs="Calibri"/>
          <w:szCs w:val="24"/>
        </w:rPr>
        <w:tab/>
        <w:t>Regionální operační program</w:t>
      </w:r>
    </w:p>
    <w:p w:rsidR="00665979" w:rsidRDefault="00665979" w:rsidP="00665979">
      <w:pPr>
        <w:tabs>
          <w:tab w:val="left" w:pos="3402"/>
        </w:tabs>
        <w:spacing w:line="280" w:lineRule="atLeast"/>
        <w:ind w:left="3402" w:hanging="3402"/>
        <w:rPr>
          <w:rFonts w:cs="Calibri"/>
          <w:szCs w:val="24"/>
        </w:rPr>
      </w:pPr>
      <w:r>
        <w:rPr>
          <w:rFonts w:cs="Calibri"/>
          <w:szCs w:val="24"/>
        </w:rPr>
        <w:t>SDEU</w:t>
      </w:r>
      <w:r>
        <w:rPr>
          <w:rFonts w:cs="Calibri"/>
          <w:szCs w:val="24"/>
        </w:rPr>
        <w:tab/>
        <w:t>Soudní dvůr Evropské unie</w:t>
      </w:r>
    </w:p>
    <w:p w:rsidR="00EC63B5" w:rsidRDefault="00EC63B5" w:rsidP="00665979">
      <w:pPr>
        <w:tabs>
          <w:tab w:val="left" w:pos="3402"/>
        </w:tabs>
        <w:spacing w:line="280" w:lineRule="atLeast"/>
        <w:ind w:left="3402" w:hanging="3402"/>
        <w:rPr>
          <w:rFonts w:cs="Calibri"/>
          <w:szCs w:val="24"/>
        </w:rPr>
      </w:pPr>
      <w:r>
        <w:rPr>
          <w:rFonts w:cs="Calibri"/>
          <w:szCs w:val="24"/>
        </w:rPr>
        <w:t>SFRB</w:t>
      </w:r>
      <w:r>
        <w:rPr>
          <w:rFonts w:cs="Calibri"/>
          <w:szCs w:val="24"/>
        </w:rPr>
        <w:tab/>
        <w:t>Státní fond rozvoje bydlení</w:t>
      </w:r>
    </w:p>
    <w:p w:rsidR="00665979" w:rsidRDefault="00665979" w:rsidP="00665979">
      <w:pPr>
        <w:tabs>
          <w:tab w:val="left" w:pos="3402"/>
        </w:tabs>
        <w:spacing w:line="280" w:lineRule="atLeast"/>
        <w:ind w:left="3402" w:hanging="3402"/>
        <w:rPr>
          <w:rFonts w:cs="Calibri"/>
          <w:szCs w:val="24"/>
        </w:rPr>
      </w:pPr>
      <w:r>
        <w:rPr>
          <w:rFonts w:cs="Calibri"/>
          <w:szCs w:val="24"/>
        </w:rPr>
        <w:t>SICAF</w:t>
      </w:r>
      <w:r>
        <w:rPr>
          <w:rFonts w:cs="Calibri"/>
          <w:szCs w:val="24"/>
        </w:rPr>
        <w:tab/>
        <w:t>Société d'i</w:t>
      </w:r>
      <w:r w:rsidRPr="006A68CD">
        <w:rPr>
          <w:rFonts w:cs="Calibri"/>
          <w:szCs w:val="24"/>
        </w:rPr>
        <w:t xml:space="preserve">nvestissement à </w:t>
      </w:r>
      <w:r>
        <w:rPr>
          <w:rFonts w:cs="Calibri"/>
          <w:szCs w:val="24"/>
        </w:rPr>
        <w:t>c</w:t>
      </w:r>
      <w:r w:rsidRPr="006A68CD">
        <w:rPr>
          <w:rFonts w:cs="Calibri"/>
          <w:szCs w:val="24"/>
        </w:rPr>
        <w:t>apital</w:t>
      </w:r>
      <w:r>
        <w:rPr>
          <w:rFonts w:cs="Calibri"/>
          <w:szCs w:val="24"/>
        </w:rPr>
        <w:t xml:space="preserve"> fixe</w:t>
      </w:r>
    </w:p>
    <w:p w:rsidR="00665979" w:rsidRDefault="00665979" w:rsidP="00665979">
      <w:pPr>
        <w:tabs>
          <w:tab w:val="left" w:pos="3402"/>
        </w:tabs>
        <w:spacing w:line="280" w:lineRule="atLeast"/>
        <w:ind w:left="3402" w:hanging="3402"/>
        <w:rPr>
          <w:rFonts w:cs="Calibri"/>
          <w:szCs w:val="24"/>
        </w:rPr>
      </w:pPr>
      <w:r>
        <w:rPr>
          <w:rFonts w:cs="Calibri"/>
          <w:szCs w:val="24"/>
        </w:rPr>
        <w:t>SICAV</w:t>
      </w:r>
      <w:r>
        <w:rPr>
          <w:rFonts w:cs="Calibri"/>
          <w:szCs w:val="24"/>
        </w:rPr>
        <w:tab/>
        <w:t>Société d'i</w:t>
      </w:r>
      <w:r w:rsidRPr="006A68CD">
        <w:rPr>
          <w:rFonts w:cs="Calibri"/>
          <w:szCs w:val="24"/>
        </w:rPr>
        <w:t xml:space="preserve">nvestissement à </w:t>
      </w:r>
      <w:r>
        <w:rPr>
          <w:rFonts w:cs="Calibri"/>
          <w:szCs w:val="24"/>
        </w:rPr>
        <w:t>c</w:t>
      </w:r>
      <w:r w:rsidRPr="006A68CD">
        <w:rPr>
          <w:rFonts w:cs="Calibri"/>
          <w:szCs w:val="24"/>
        </w:rPr>
        <w:t>apital</w:t>
      </w:r>
      <w:r>
        <w:rPr>
          <w:rFonts w:cs="Calibri"/>
          <w:szCs w:val="24"/>
        </w:rPr>
        <w:t xml:space="preserve"> v</w:t>
      </w:r>
      <w:r w:rsidRPr="006A68CD">
        <w:rPr>
          <w:rFonts w:cs="Calibri"/>
          <w:szCs w:val="24"/>
        </w:rPr>
        <w:t>ariable</w:t>
      </w:r>
    </w:p>
    <w:p w:rsidR="00665979" w:rsidRDefault="00665979" w:rsidP="00665979">
      <w:pPr>
        <w:tabs>
          <w:tab w:val="left" w:pos="3402"/>
        </w:tabs>
        <w:spacing w:line="280" w:lineRule="atLeast"/>
        <w:ind w:left="3402" w:hanging="3402"/>
        <w:rPr>
          <w:rFonts w:cs="Calibri"/>
          <w:szCs w:val="24"/>
        </w:rPr>
      </w:pPr>
      <w:r>
        <w:rPr>
          <w:rFonts w:cs="Calibri"/>
          <w:szCs w:val="24"/>
        </w:rPr>
        <w:t>SMEG</w:t>
      </w:r>
      <w:r>
        <w:rPr>
          <w:rFonts w:cs="Calibri"/>
          <w:szCs w:val="24"/>
        </w:rPr>
        <w:tab/>
        <w:t>SME Guarantee Facility</w:t>
      </w:r>
    </w:p>
    <w:p w:rsidR="00665979" w:rsidRDefault="00665979" w:rsidP="00665979">
      <w:pPr>
        <w:tabs>
          <w:tab w:val="left" w:pos="3402"/>
        </w:tabs>
        <w:spacing w:line="280" w:lineRule="atLeast"/>
        <w:ind w:left="3402" w:hanging="3402"/>
        <w:rPr>
          <w:rFonts w:cs="Calibri"/>
          <w:szCs w:val="24"/>
        </w:rPr>
      </w:pPr>
      <w:r>
        <w:rPr>
          <w:rFonts w:cs="Calibri"/>
          <w:szCs w:val="24"/>
        </w:rPr>
        <w:t>SPV</w:t>
      </w:r>
      <w:r>
        <w:rPr>
          <w:rFonts w:cs="Calibri"/>
          <w:szCs w:val="24"/>
        </w:rPr>
        <w:tab/>
        <w:t>Special Purpose Vehicle (prostředek zvláštního určení)</w:t>
      </w:r>
    </w:p>
    <w:p w:rsidR="00665979" w:rsidRDefault="00665979" w:rsidP="00665979">
      <w:pPr>
        <w:tabs>
          <w:tab w:val="left" w:pos="3402"/>
        </w:tabs>
        <w:spacing w:line="280" w:lineRule="atLeast"/>
        <w:ind w:left="3402" w:hanging="3402"/>
        <w:rPr>
          <w:rFonts w:cs="Calibri"/>
          <w:szCs w:val="24"/>
        </w:rPr>
      </w:pPr>
      <w:r>
        <w:rPr>
          <w:rFonts w:cs="Calibri"/>
          <w:szCs w:val="24"/>
        </w:rPr>
        <w:t>SSR</w:t>
      </w:r>
      <w:r>
        <w:rPr>
          <w:rFonts w:cs="Calibri"/>
          <w:szCs w:val="24"/>
        </w:rPr>
        <w:tab/>
        <w:t>Společný strategický rámec</w:t>
      </w:r>
    </w:p>
    <w:p w:rsidR="00665979" w:rsidRDefault="00665979" w:rsidP="00665979">
      <w:pPr>
        <w:tabs>
          <w:tab w:val="left" w:pos="3402"/>
        </w:tabs>
        <w:spacing w:line="280" w:lineRule="atLeast"/>
        <w:ind w:left="3402" w:hanging="3402"/>
        <w:rPr>
          <w:rFonts w:cs="Calibri"/>
          <w:szCs w:val="24"/>
        </w:rPr>
      </w:pPr>
      <w:r>
        <w:rPr>
          <w:rFonts w:cs="Calibri"/>
          <w:szCs w:val="24"/>
        </w:rPr>
        <w:t>SVE</w:t>
      </w:r>
      <w:r>
        <w:rPr>
          <w:rFonts w:cs="Calibri"/>
          <w:szCs w:val="24"/>
        </w:rPr>
        <w:tab/>
        <w:t>Střední a východní Evropa</w:t>
      </w:r>
    </w:p>
    <w:p w:rsidR="00665979" w:rsidRDefault="00665979" w:rsidP="00665979">
      <w:pPr>
        <w:tabs>
          <w:tab w:val="left" w:pos="3402"/>
        </w:tabs>
        <w:spacing w:line="280" w:lineRule="atLeast"/>
        <w:ind w:left="3402" w:hanging="3402"/>
        <w:rPr>
          <w:rFonts w:cs="Calibri"/>
          <w:szCs w:val="24"/>
        </w:rPr>
      </w:pPr>
      <w:r>
        <w:rPr>
          <w:rFonts w:cs="Calibri"/>
          <w:szCs w:val="24"/>
        </w:rPr>
        <w:t>TAČR</w:t>
      </w:r>
      <w:r>
        <w:rPr>
          <w:rFonts w:cs="Calibri"/>
          <w:szCs w:val="24"/>
        </w:rPr>
        <w:tab/>
        <w:t>Technologická agentura České republiky</w:t>
      </w:r>
    </w:p>
    <w:p w:rsidR="00665979" w:rsidRDefault="00665979" w:rsidP="00665979">
      <w:pPr>
        <w:tabs>
          <w:tab w:val="left" w:pos="3402"/>
        </w:tabs>
        <w:spacing w:line="280" w:lineRule="atLeast"/>
        <w:ind w:left="3402" w:hanging="3402"/>
        <w:rPr>
          <w:rFonts w:cs="Calibri"/>
          <w:szCs w:val="24"/>
        </w:rPr>
      </w:pPr>
      <w:r>
        <w:rPr>
          <w:rFonts w:cs="Calibri"/>
          <w:szCs w:val="24"/>
        </w:rPr>
        <w:t>tailor-made instrument</w:t>
      </w:r>
      <w:r>
        <w:rPr>
          <w:rFonts w:cs="Calibri"/>
          <w:szCs w:val="24"/>
        </w:rPr>
        <w:tab/>
        <w:t>finanční nástroj speciálně „ušitý na míru“ identifikovanému tržnímu selhání</w:t>
      </w:r>
    </w:p>
    <w:p w:rsidR="00665979" w:rsidRDefault="00665979" w:rsidP="00665979">
      <w:pPr>
        <w:tabs>
          <w:tab w:val="left" w:pos="3402"/>
        </w:tabs>
        <w:spacing w:line="280" w:lineRule="atLeast"/>
        <w:ind w:left="3402" w:hanging="3402"/>
        <w:rPr>
          <w:rFonts w:cs="Calibri"/>
          <w:szCs w:val="24"/>
        </w:rPr>
      </w:pPr>
      <w:r>
        <w:rPr>
          <w:rFonts w:cs="Calibri"/>
          <w:szCs w:val="24"/>
        </w:rPr>
        <w:t>ÚOHS</w:t>
      </w:r>
      <w:r>
        <w:rPr>
          <w:rFonts w:cs="Calibri"/>
          <w:szCs w:val="24"/>
        </w:rPr>
        <w:tab/>
        <w:t>Úřad pro ochranu hospodářské soutěže</w:t>
      </w:r>
    </w:p>
    <w:p w:rsidR="00665979" w:rsidRDefault="00665979" w:rsidP="00665979">
      <w:pPr>
        <w:tabs>
          <w:tab w:val="left" w:pos="3402"/>
        </w:tabs>
        <w:spacing w:line="280" w:lineRule="atLeast"/>
        <w:ind w:left="3402" w:hanging="3402"/>
        <w:rPr>
          <w:rFonts w:cs="Calibri"/>
          <w:szCs w:val="24"/>
        </w:rPr>
      </w:pPr>
      <w:r>
        <w:rPr>
          <w:rFonts w:cs="Calibri"/>
          <w:szCs w:val="24"/>
        </w:rPr>
        <w:t>VO</w:t>
      </w:r>
      <w:r>
        <w:rPr>
          <w:rFonts w:cs="Calibri"/>
          <w:szCs w:val="24"/>
        </w:rPr>
        <w:tab/>
        <w:t>výzkumná organizace</w:t>
      </w:r>
    </w:p>
    <w:p w:rsidR="00665979" w:rsidRDefault="00665979" w:rsidP="00665979">
      <w:pPr>
        <w:tabs>
          <w:tab w:val="left" w:pos="3402"/>
        </w:tabs>
        <w:spacing w:line="280" w:lineRule="atLeast"/>
        <w:ind w:left="3402" w:hanging="3402"/>
        <w:rPr>
          <w:rFonts w:cs="Calibri"/>
          <w:szCs w:val="24"/>
        </w:rPr>
      </w:pPr>
      <w:r w:rsidRPr="00113BDA">
        <w:rPr>
          <w:rFonts w:cs="Calibri"/>
          <w:szCs w:val="24"/>
        </w:rPr>
        <w:t>ZISIF</w:t>
      </w:r>
      <w:r>
        <w:rPr>
          <w:rFonts w:cs="Calibri"/>
          <w:szCs w:val="24"/>
        </w:rPr>
        <w:tab/>
      </w:r>
      <w:r w:rsidRPr="00113BDA">
        <w:rPr>
          <w:rFonts w:cs="Calibri"/>
          <w:szCs w:val="24"/>
        </w:rPr>
        <w:t>zákon č. 240/2013 Sb., o investičních společnostech a investičních fondech a</w:t>
      </w:r>
      <w:r>
        <w:rPr>
          <w:rFonts w:cs="Calibri"/>
          <w:szCs w:val="24"/>
        </w:rPr>
        <w:t xml:space="preserve"> navazující podzákonné předpisy</w:t>
      </w:r>
    </w:p>
    <w:p w:rsidR="00665979" w:rsidRDefault="00665979" w:rsidP="00665979">
      <w:pPr>
        <w:tabs>
          <w:tab w:val="left" w:pos="3402"/>
        </w:tabs>
        <w:spacing w:line="280" w:lineRule="atLeast"/>
        <w:ind w:left="3402" w:hanging="3402"/>
        <w:rPr>
          <w:rFonts w:cs="Calibri"/>
          <w:szCs w:val="24"/>
        </w:rPr>
      </w:pPr>
      <w:r w:rsidRPr="00113BDA">
        <w:rPr>
          <w:rFonts w:cs="Calibri"/>
          <w:szCs w:val="24"/>
        </w:rPr>
        <w:t>ZVZ</w:t>
      </w:r>
      <w:r>
        <w:rPr>
          <w:rFonts w:cs="Calibri"/>
          <w:szCs w:val="24"/>
        </w:rPr>
        <w:tab/>
      </w:r>
      <w:r w:rsidRPr="00113BDA">
        <w:rPr>
          <w:rFonts w:cs="Calibri"/>
          <w:szCs w:val="24"/>
        </w:rPr>
        <w:t>zákon č. 137/2006 Sb., o veřejných zakázkách, ve znění pozdějších předpisů a navazující podzákonné předpisy,</w:t>
      </w:r>
    </w:p>
    <w:p w:rsidR="002C41C1" w:rsidRPr="00AD3B4B" w:rsidRDefault="002C41C1" w:rsidP="00171AF5"/>
    <w:sectPr w:rsidR="002C41C1" w:rsidRPr="00AD3B4B" w:rsidSect="006D5148">
      <w:headerReference w:type="default" r:id="rId33"/>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B1F" w:rsidRDefault="00DC3B1F" w:rsidP="006561E1">
      <w:r>
        <w:separator/>
      </w:r>
    </w:p>
  </w:endnote>
  <w:endnote w:type="continuationSeparator" w:id="0">
    <w:p w:rsidR="00DC3B1F" w:rsidRDefault="00DC3B1F" w:rsidP="00656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B1F" w:rsidRDefault="00DC3B1F" w:rsidP="00EB27E7">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DC3B1F" w:rsidRDefault="00DC3B1F">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7765645"/>
      <w:docPartObj>
        <w:docPartGallery w:val="Page Numbers (Bottom of Page)"/>
        <w:docPartUnique/>
      </w:docPartObj>
    </w:sdtPr>
    <w:sdtContent>
      <w:p w:rsidR="00DC3B1F" w:rsidRDefault="00DC3B1F" w:rsidP="00060A95">
        <w:pPr>
          <w:tabs>
            <w:tab w:val="center" w:pos="4536"/>
            <w:tab w:val="left" w:pos="4678"/>
            <w:tab w:val="right" w:pos="9072"/>
          </w:tabs>
          <w:spacing w:after="120"/>
          <w:jc w:val="center"/>
        </w:pPr>
        <w:r>
          <w:rPr>
            <w:rFonts w:ascii="Arial" w:hAnsi="Arial" w:cs="Arial"/>
            <w:b/>
            <w:bCs/>
            <w:color w:val="000099"/>
            <w:spacing w:val="70"/>
            <w:sz w:val="18"/>
          </w:rPr>
          <w:t>INVESTICE DO VAŠÍ BUDOUCNOSTI</w:t>
        </w:r>
      </w:p>
    </w:sdtContent>
  </w:sdt>
  <w:p w:rsidR="00DC3B1F" w:rsidRDefault="00DC3B1F">
    <w:pPr>
      <w:pStyle w:val="Zpat"/>
      <w:jc w:val="center"/>
    </w:pPr>
    <w:sdt>
      <w:sdtPr>
        <w:id w:val="-674342188"/>
        <w:docPartObj>
          <w:docPartGallery w:val="Page Numbers (Bottom of Page)"/>
          <w:docPartUnique/>
        </w:docPartObj>
      </w:sdtPr>
      <w:sdtContent>
        <w:r>
          <w:fldChar w:fldCharType="begin"/>
        </w:r>
        <w:r>
          <w:instrText>PAGE   \* MERGEFORMAT</w:instrText>
        </w:r>
        <w:r>
          <w:fldChar w:fldCharType="separate"/>
        </w:r>
        <w:r w:rsidR="00A60B7B">
          <w:rPr>
            <w:noProof/>
          </w:rPr>
          <w:t>76</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B1F" w:rsidRDefault="00DC3B1F" w:rsidP="00EB27E7">
    <w:pPr>
      <w:tabs>
        <w:tab w:val="center" w:pos="4536"/>
        <w:tab w:val="right" w:pos="9072"/>
      </w:tabs>
      <w:jc w:val="center"/>
    </w:pPr>
    <w:r>
      <w:rPr>
        <w:noProof/>
      </w:rPr>
      <w:drawing>
        <wp:anchor distT="0" distB="0" distL="114300" distR="114300" simplePos="0" relativeHeight="251661824" behindDoc="0" locked="0" layoutInCell="1" allowOverlap="1" wp14:anchorId="5F701DFD" wp14:editId="6B3B6446">
          <wp:simplePos x="0" y="0"/>
          <wp:positionH relativeFrom="column">
            <wp:posOffset>-81059</wp:posOffset>
          </wp:positionH>
          <wp:positionV relativeFrom="paragraph">
            <wp:posOffset>-4182745</wp:posOffset>
          </wp:positionV>
          <wp:extent cx="1820849" cy="890546"/>
          <wp:effectExtent l="0" t="0" r="0" b="0"/>
          <wp:wrapNone/>
          <wp:docPr id="67" name="Obrázek 10"/>
          <wp:cNvGraphicFramePr/>
          <a:graphic xmlns:a="http://schemas.openxmlformats.org/drawingml/2006/main">
            <a:graphicData uri="http://schemas.openxmlformats.org/drawingml/2006/picture">
              <pic:pic xmlns:pic="http://schemas.openxmlformats.org/drawingml/2006/picture">
                <pic:nvPicPr>
                  <pic:cNvPr id="67" name="Obrázek 1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0849" cy="8905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715E495F" wp14:editId="4931B9B2">
          <wp:simplePos x="0" y="0"/>
          <wp:positionH relativeFrom="column">
            <wp:posOffset>4291054</wp:posOffset>
          </wp:positionH>
          <wp:positionV relativeFrom="paragraph">
            <wp:posOffset>-3655695</wp:posOffset>
          </wp:positionV>
          <wp:extent cx="1327785" cy="253365"/>
          <wp:effectExtent l="0" t="0" r="5715" b="0"/>
          <wp:wrapNone/>
          <wp:docPr id="3" name="Picture 15" descr="Deloitte_no_backgrou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loitte_no_background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7785" cy="2533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000099"/>
        <w:spacing w:val="70"/>
        <w:sz w:val="18"/>
      </w:rPr>
      <w:t>INVESTICE DO VAŠÍ BUDOUCNOSTI</w:t>
    </w:r>
  </w:p>
  <w:p w:rsidR="00DC3B1F" w:rsidRDefault="00DC3B1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B1F" w:rsidRDefault="00DC3B1F" w:rsidP="006561E1">
      <w:r>
        <w:separator/>
      </w:r>
    </w:p>
  </w:footnote>
  <w:footnote w:type="continuationSeparator" w:id="0">
    <w:p w:rsidR="00DC3B1F" w:rsidRDefault="00DC3B1F" w:rsidP="006561E1">
      <w:r>
        <w:continuationSeparator/>
      </w:r>
    </w:p>
  </w:footnote>
  <w:footnote w:id="1">
    <w:p w:rsidR="00DC3B1F" w:rsidRDefault="00DC3B1F" w:rsidP="009F5E79">
      <w:pPr>
        <w:pStyle w:val="Textpoznpodarou"/>
      </w:pPr>
      <w:r w:rsidRPr="00B42113">
        <w:rPr>
          <w:rStyle w:val="Znakapoznpodarou"/>
          <w:rFonts w:ascii="Calibri" w:hAnsi="Calibri" w:cs="Calibri"/>
        </w:rPr>
        <w:footnoteRef/>
      </w:r>
      <w:r>
        <w:rPr>
          <w:rFonts w:ascii="Calibri" w:hAnsi="Calibri" w:cs="Calibri"/>
        </w:rPr>
        <w:t>N</w:t>
      </w:r>
      <w:r w:rsidRPr="00B42113">
        <w:rPr>
          <w:rFonts w:ascii="Calibri" w:hAnsi="Calibri" w:cs="Calibri"/>
        </w:rPr>
        <w:t>ařízení (EU, EURATOM) č. 966/2012 Evropského parlamentu a Rady ze dne 25. října 2012, kterým se stanoví finanční pravidla o souhrnném rozpočtu Unie a o zrušení nařízení Rady (ES, Euratom) č. 1605/2002</w:t>
      </w:r>
      <w:r>
        <w:rPr>
          <w:rFonts w:ascii="Calibri" w:hAnsi="Calibri" w:cs="Calibri"/>
        </w:rPr>
        <w:t xml:space="preserve">, Úř. v. EU č. L 298 ze dne </w:t>
      </w:r>
      <w:r w:rsidRPr="00B42113">
        <w:rPr>
          <w:rFonts w:ascii="Calibri" w:hAnsi="Calibri" w:cs="Calibri"/>
        </w:rPr>
        <w:t>26.10.2012</w:t>
      </w:r>
      <w:r>
        <w:rPr>
          <w:rFonts w:ascii="Calibri" w:hAnsi="Calibri" w:cs="Calibri"/>
        </w:rPr>
        <w:t>, str. 1.</w:t>
      </w:r>
    </w:p>
  </w:footnote>
  <w:footnote w:id="2">
    <w:p w:rsidR="00DC3B1F" w:rsidRDefault="00DC3B1F" w:rsidP="009F5E79">
      <w:pPr>
        <w:pStyle w:val="Textpoznpodarou"/>
      </w:pPr>
      <w:r w:rsidRPr="00FF2B84">
        <w:rPr>
          <w:rStyle w:val="Znakapoznpodarou"/>
          <w:rFonts w:ascii="Calibri" w:hAnsi="Calibri" w:cs="Calibri"/>
        </w:rPr>
        <w:footnoteRef/>
      </w:r>
      <w:r w:rsidRPr="00FF2B84">
        <w:rPr>
          <w:rFonts w:ascii="Calibri" w:hAnsi="Calibri" w:cs="Calibri"/>
        </w:rPr>
        <w:t xml:space="preserve"> Viz prováděcí nařízení Komise (EU) č. 964/2014 ze dne 11. září 2014, kterým se stanoví prováděcí pravidla k nařízení Evropského parlamentu a Rady (EU) č. 1303/2013, pokud jde o standardní podmínky pro finanční nástroje, Úř. v. EU</w:t>
      </w:r>
      <w:r>
        <w:rPr>
          <w:rFonts w:ascii="Calibri" w:hAnsi="Calibri" w:cs="Calibri"/>
        </w:rPr>
        <w:t xml:space="preserve"> č.</w:t>
      </w:r>
      <w:r w:rsidRPr="00FF2B84">
        <w:rPr>
          <w:rFonts w:ascii="Calibri" w:hAnsi="Calibri" w:cs="Calibri"/>
        </w:rPr>
        <w:t xml:space="preserve"> L 271 ze dne 12.9.2014, str. 16.</w:t>
      </w:r>
    </w:p>
  </w:footnote>
  <w:footnote w:id="3">
    <w:p w:rsidR="00DC3B1F" w:rsidRDefault="00DC3B1F" w:rsidP="009F5E79">
      <w:pPr>
        <w:pStyle w:val="Textpoznpodarou"/>
      </w:pPr>
      <w:r w:rsidRPr="00FF2B84">
        <w:rPr>
          <w:rStyle w:val="Znakapoznpodarou"/>
          <w:rFonts w:ascii="Calibri" w:hAnsi="Calibri" w:cs="Calibri"/>
        </w:rPr>
        <w:footnoteRef/>
      </w:r>
      <w:r w:rsidRPr="00FF2B84">
        <w:rPr>
          <w:rFonts w:ascii="Calibri" w:hAnsi="Calibri" w:cs="Calibri"/>
        </w:rPr>
        <w:t xml:space="preserve">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 Úř. v. EU </w:t>
      </w:r>
      <w:r>
        <w:rPr>
          <w:rFonts w:ascii="Calibri" w:hAnsi="Calibri" w:cs="Calibri"/>
        </w:rPr>
        <w:t xml:space="preserve">č. </w:t>
      </w:r>
      <w:r w:rsidRPr="00FF2B84">
        <w:rPr>
          <w:rFonts w:ascii="Calibri" w:hAnsi="Calibri" w:cs="Calibri"/>
        </w:rPr>
        <w:t>L 347 ze dne 20.12.2013, str. 320.</w:t>
      </w:r>
    </w:p>
  </w:footnote>
  <w:footnote w:id="4">
    <w:p w:rsidR="00DC3B1F" w:rsidRDefault="00DC3B1F" w:rsidP="009F5E79">
      <w:pPr>
        <w:pStyle w:val="Textpoznpodarou"/>
      </w:pPr>
      <w:r>
        <w:rPr>
          <w:rStyle w:val="Znakapoznpodarou"/>
        </w:rPr>
        <w:footnoteRef/>
      </w:r>
      <w:r w:rsidRPr="00FB20E9">
        <w:rPr>
          <w:rFonts w:ascii="Calibri" w:hAnsi="Calibri" w:cs="Calibri"/>
        </w:rPr>
        <w:t xml:space="preserve">V tuto chvíli zejména </w:t>
      </w:r>
      <w:r>
        <w:rPr>
          <w:rFonts w:ascii="Calibri" w:hAnsi="Calibri" w:cs="Calibri"/>
        </w:rPr>
        <w:t>již uvedené prováděcí nařízení Komise (EU) č. 964/2014 a nařízení K</w:t>
      </w:r>
      <w:r w:rsidRPr="00FB20E9">
        <w:rPr>
          <w:rFonts w:ascii="Calibri" w:hAnsi="Calibri" w:cs="Calibri"/>
        </w:rPr>
        <w:t>omise v přenesené pravomoci (EU) č. 480/2014 ze dne 3. března 2014, kterým se doplňuje nařízení Evropského parlamentu a Rady (EU) č. 1303/2013 o společných ustanoveních o Evropském fondu pro regionální rozvoj, Evropském sociálním fondu, Fondu soudržnosti, Evropském zemědělském fondu pro rozvoj venkova a Evropském námořním a rybářském fondu a o obecných ustanoveních o Evropském fondu pro regionální rozvoj, Evropském sociálním fondu, Fondu soudržnosti a Evropském námořním a rybářském fondu</w:t>
      </w:r>
      <w:r>
        <w:rPr>
          <w:rFonts w:ascii="Calibri" w:hAnsi="Calibri" w:cs="Calibri"/>
        </w:rPr>
        <w:t>, Úř. v. EU č. L 138 ze dne 13. 5. 2014, str. 5.</w:t>
      </w:r>
    </w:p>
  </w:footnote>
  <w:footnote w:id="5">
    <w:p w:rsidR="00DC3B1F" w:rsidRDefault="00DC3B1F" w:rsidP="00BF6C4F">
      <w:pPr>
        <w:pStyle w:val="Textpoznpodarou"/>
      </w:pPr>
      <w:r w:rsidRPr="00C12A00">
        <w:rPr>
          <w:rStyle w:val="Znakapoznpodarou"/>
          <w:rFonts w:cs="Calibri"/>
        </w:rPr>
        <w:footnoteRef/>
      </w:r>
      <w:r w:rsidRPr="00C12A00">
        <w:rPr>
          <w:rFonts w:cs="Calibri"/>
        </w:rPr>
        <w:t xml:space="preserve"> Bude záviset na legislativě (podmínky čerpání FN).</w:t>
      </w:r>
    </w:p>
  </w:footnote>
  <w:footnote w:id="6">
    <w:p w:rsidR="00DC3B1F" w:rsidRDefault="00DC3B1F" w:rsidP="00DF6E0B">
      <w:pPr>
        <w:pStyle w:val="Textpoznpodarou"/>
        <w:jc w:val="left"/>
      </w:pPr>
      <w:r w:rsidRPr="00BA2BE0">
        <w:rPr>
          <w:rStyle w:val="Znakapoznpodarou"/>
          <w:rFonts w:ascii="Calibri" w:hAnsi="Calibri" w:cs="Calibri"/>
        </w:rPr>
        <w:footnoteRef/>
      </w:r>
      <w:r w:rsidRPr="00BA2BE0">
        <w:rPr>
          <w:rFonts w:ascii="Calibri" w:hAnsi="Calibri" w:cs="Calibri"/>
        </w:rPr>
        <w:t xml:space="preserve"> Ke dni 10.11.2014 byly všechny uvedené části metodiky Komise dostupné na webové adrese </w:t>
      </w:r>
      <w:hyperlink r:id="rId1" w:history="1">
        <w:r w:rsidRPr="00BA2BE0">
          <w:rPr>
            <w:rStyle w:val="Hypertextovodkaz"/>
            <w:rFonts w:cs="Calibri"/>
          </w:rPr>
          <w:t>http://ec.europa.eu/regional_policy/thefunds/fin_inst/index_en.cfm</w:t>
        </w:r>
      </w:hyperlink>
    </w:p>
  </w:footnote>
  <w:footnote w:id="7">
    <w:p w:rsidR="00DC3B1F" w:rsidRDefault="00DC3B1F" w:rsidP="00CC70F8">
      <w:pPr>
        <w:pStyle w:val="Textpoznpodarou"/>
      </w:pPr>
      <w:r>
        <w:rPr>
          <w:rStyle w:val="Znakapoznpodarou"/>
          <w:rFonts w:cs="Arial"/>
        </w:rPr>
        <w:footnoteRef/>
      </w:r>
      <w:r>
        <w:t xml:space="preserve"> ČSÚ</w:t>
      </w:r>
    </w:p>
  </w:footnote>
  <w:footnote w:id="8">
    <w:p w:rsidR="00DC3B1F" w:rsidRDefault="00DC3B1F" w:rsidP="00492C7A">
      <w:pPr>
        <w:pStyle w:val="Textpoznpodarou"/>
      </w:pPr>
      <w:r>
        <w:rPr>
          <w:rStyle w:val="Znakapoznpodarou"/>
          <w:rFonts w:cs="Arial"/>
        </w:rPr>
        <w:footnoteRef/>
      </w:r>
      <w:r>
        <w:t xml:space="preserve"> ČSÚ</w:t>
      </w:r>
    </w:p>
  </w:footnote>
  <w:footnote w:id="9">
    <w:p w:rsidR="00DC3B1F" w:rsidRDefault="00DC3B1F" w:rsidP="00D222C7">
      <w:pPr>
        <w:pStyle w:val="Textpoznpodarou"/>
      </w:pPr>
      <w:r w:rsidRPr="003D6230">
        <w:rPr>
          <w:rStyle w:val="Znakapoznpodarou"/>
          <w:rFonts w:ascii="Calibri" w:hAnsi="Calibri" w:cs="Calibri"/>
        </w:rPr>
        <w:footnoteRef/>
      </w:r>
      <w:r w:rsidRPr="003D6230">
        <w:t xml:space="preserve"> Viz Evropská komise (2013). Ex ante assessment</w:t>
      </w:r>
      <w:r>
        <w:t xml:space="preserve"> </w:t>
      </w:r>
      <w:r w:rsidRPr="003D6230">
        <w:t>of</w:t>
      </w:r>
      <w:r>
        <w:t xml:space="preserve"> </w:t>
      </w:r>
      <w:r w:rsidRPr="003D6230">
        <w:t>the EU SME initiative</w:t>
      </w:r>
      <w:r>
        <w:t>, s. 26</w:t>
      </w:r>
    </w:p>
  </w:footnote>
  <w:footnote w:id="10">
    <w:p w:rsidR="00DC3B1F" w:rsidRDefault="00DC3B1F" w:rsidP="00D222C7">
      <w:pPr>
        <w:pStyle w:val="Textpoznpodarou"/>
      </w:pPr>
      <w:r>
        <w:rPr>
          <w:rStyle w:val="Znakapoznpodarou"/>
          <w:rFonts w:cs="Arial"/>
        </w:rPr>
        <w:footnoteRef/>
      </w:r>
      <w:r>
        <w:t>European Investment Fund, SME Access to Finance in Czech Republic – Evaluation study</w:t>
      </w:r>
    </w:p>
  </w:footnote>
  <w:footnote w:id="11">
    <w:p w:rsidR="00DC3B1F" w:rsidRDefault="00DC3B1F" w:rsidP="00492C7A">
      <w:pPr>
        <w:pStyle w:val="Textpoznpodarou"/>
      </w:pPr>
      <w:r w:rsidRPr="00C12A00">
        <w:rPr>
          <w:rStyle w:val="Znakapoznpodarou"/>
          <w:rFonts w:cs="Calibri"/>
        </w:rPr>
        <w:footnoteRef/>
      </w:r>
      <w:r w:rsidRPr="00DF6E0B">
        <w:rPr>
          <w:rFonts w:cs="Calibri"/>
        </w:rPr>
        <w:t xml:space="preserve">   Evropa: EU 28, Švýcarsko, Makedonie, Srbsko a Černá Hora. </w:t>
      </w:r>
      <w:r w:rsidRPr="00C12A00">
        <w:rPr>
          <w:rFonts w:cs="Calibri"/>
        </w:rPr>
        <w:t>Ukrajina a Bosna a Herzegovina, které jsou součástí statistik EVCA chybí v datech o HDP, neboť tyto země EUROSTAT ve své databázi nenabízí. Data za Ukrajinu byla proto zároveň odečtena z EVCA statistik o investicích PE/VC v Evropě. Co se týče Bosny a Herzegoviny, nebylo možné ji z dat EVCA odečíst, neboť nejsou samostatně dostupná, nicméně nezahrnutí HDP této země ve výpočtu nemůže podstatně snížit kvalitu dat s ohledem na její nízký podíl na evropském HDP.</w:t>
      </w:r>
    </w:p>
  </w:footnote>
  <w:footnote w:id="12">
    <w:p w:rsidR="00DC3B1F" w:rsidRDefault="00DC3B1F" w:rsidP="00492C7A">
      <w:pPr>
        <w:pStyle w:val="Textpoznpodarou"/>
      </w:pPr>
      <w:r w:rsidRPr="00C12A00">
        <w:rPr>
          <w:rStyle w:val="Znakapoznpodarou"/>
          <w:rFonts w:cs="Calibri"/>
        </w:rPr>
        <w:footnoteRef/>
      </w:r>
      <w:r w:rsidRPr="00C12A00">
        <w:rPr>
          <w:rFonts w:cs="Calibri"/>
        </w:rPr>
        <w:t>Seed kapitál má 0,5% podíl na celkových PE investicích, 3,5x více než za roky 2007-2012.</w:t>
      </w:r>
    </w:p>
  </w:footnote>
  <w:footnote w:id="13">
    <w:p w:rsidR="00DC3B1F" w:rsidRDefault="00DC3B1F" w:rsidP="000F6778">
      <w:pPr>
        <w:pStyle w:val="Textpoznpodarou"/>
      </w:pPr>
      <w:r>
        <w:rPr>
          <w:rStyle w:val="Znakapoznpodarou"/>
          <w:rFonts w:cs="Arial"/>
        </w:rPr>
        <w:footnoteRef/>
      </w:r>
      <w:r>
        <w:t xml:space="preserve"> Struktura a alokace v prioritních osách OPPI 2007 -2013, dostupné na: http://www.dotacni.info/wp-content/uploads/2013/07/Tabulky-k-OPPI.pdf</w:t>
      </w:r>
    </w:p>
  </w:footnote>
  <w:footnote w:id="14">
    <w:p w:rsidR="00DC3B1F" w:rsidRDefault="00DC3B1F" w:rsidP="000F6778">
      <w:pPr>
        <w:pStyle w:val="Textpoznpodarou"/>
        <w:jc w:val="left"/>
      </w:pPr>
      <w:r>
        <w:rPr>
          <w:rStyle w:val="Znakapoznpodarou"/>
          <w:rFonts w:cs="Arial"/>
        </w:rPr>
        <w:footnoteRef/>
      </w:r>
      <w:r>
        <w:t xml:space="preserve"> ROP Moravskoslezsko 2007 – 2013, dostupné na: http://www.rr-moravskoslezsko.cz/</w:t>
      </w:r>
    </w:p>
  </w:footnote>
  <w:footnote w:id="15">
    <w:p w:rsidR="00DC3B1F" w:rsidRDefault="00DC3B1F" w:rsidP="000F6778">
      <w:pPr>
        <w:pStyle w:val="Textpoznpodarou"/>
        <w:jc w:val="left"/>
      </w:pPr>
      <w:r>
        <w:rPr>
          <w:rStyle w:val="Znakapoznpodarou"/>
          <w:rFonts w:cs="Arial"/>
        </w:rPr>
        <w:footnoteRef/>
      </w:r>
      <w:r>
        <w:t xml:space="preserve"> ČTVRTLETNÍ MONITOROVACÍ ZPRÁVA O PRŮBĚHU ČERPÁNÍ STRUKTURÁLNÍCH FONDŮ, FONDU SOUDRŽNOSTI V PROGRAMOVÉM OBDOBÍ 2007–2013 dostupné na: http://www.strukturalni-fondy.cz/getmedia/8db7b709-bce3-4fa8-b0c8-437f1610a10c/CMZ_2014_IIQ_elektronicka.pdf</w:t>
      </w:r>
    </w:p>
  </w:footnote>
  <w:footnote w:id="16">
    <w:p w:rsidR="00DC3B1F" w:rsidRDefault="00DC3B1F" w:rsidP="000C38AE">
      <w:pPr>
        <w:pStyle w:val="Textpoznpodarou"/>
        <w:jc w:val="left"/>
      </w:pPr>
      <w:r>
        <w:rPr>
          <w:rStyle w:val="Znakapoznpodarou"/>
          <w:rFonts w:cs="Arial"/>
        </w:rPr>
        <w:footnoteRef/>
      </w:r>
      <w:r>
        <w:t xml:space="preserve"> Program na podporu podnikatelských nemovitostí a infrastruktury: dostupné na: http://dataplan.info/img_upload/7bdb1584e3b8a53d337518d988763f8d/program-na-podporu-podnikatelskrch-nemovitosty-a-infrastruktury.pdf</w:t>
      </w:r>
    </w:p>
  </w:footnote>
  <w:footnote w:id="17">
    <w:p w:rsidR="00DC3B1F" w:rsidRDefault="00DC3B1F" w:rsidP="00EE0F25">
      <w:pPr>
        <w:pStyle w:val="Textpoznpodarou"/>
      </w:pPr>
      <w:r>
        <w:rPr>
          <w:rStyle w:val="Znakapoznpodarou"/>
          <w:rFonts w:cs="Arial"/>
        </w:rPr>
        <w:footnoteRef/>
      </w:r>
      <w:r w:rsidRPr="00A22D14">
        <w:t>http://energostat.cz/obnovitelne-zdroje.html</w:t>
      </w:r>
    </w:p>
  </w:footnote>
  <w:footnote w:id="18">
    <w:p w:rsidR="00DC3B1F" w:rsidRDefault="00DC3B1F" w:rsidP="00EE0F25">
      <w:pPr>
        <w:pStyle w:val="Textpoznpodarou"/>
      </w:pPr>
      <w:r>
        <w:rPr>
          <w:rStyle w:val="Znakapoznpodarou"/>
          <w:rFonts w:cs="Arial"/>
        </w:rPr>
        <w:footnoteRef/>
      </w:r>
      <w:r w:rsidRPr="009E5087">
        <w:t>http://www.czba.cz/aktuality/statistiky-vyroby-bioplynu-za-rok-2013.html</w:t>
      </w:r>
    </w:p>
  </w:footnote>
  <w:footnote w:id="19">
    <w:p w:rsidR="00DC3B1F" w:rsidRDefault="00DC3B1F" w:rsidP="00EE0F25">
      <w:pPr>
        <w:pStyle w:val="Textpoznpodarou"/>
      </w:pPr>
      <w:r>
        <w:rPr>
          <w:rStyle w:val="Znakapoznpodarou"/>
          <w:rFonts w:cs="Arial"/>
        </w:rPr>
        <w:footnoteRef/>
      </w:r>
      <w:r w:rsidRPr="00A22D14">
        <w:t>http://www.czba.cz/files/ceska-bioplynova-asociace/uploads/files/EnEfBPS-komplet.pdf</w:t>
      </w:r>
    </w:p>
  </w:footnote>
  <w:footnote w:id="20">
    <w:p w:rsidR="00DC3B1F" w:rsidRDefault="00DC3B1F" w:rsidP="00DC310F">
      <w:pPr>
        <w:pStyle w:val="Textpoznpodarou"/>
      </w:pPr>
      <w:r>
        <w:rPr>
          <w:rStyle w:val="Znakapoznpodarou"/>
          <w:rFonts w:cs="Arial"/>
        </w:rPr>
        <w:footnoteRef/>
      </w:r>
      <w:r>
        <w:t xml:space="preserve"> http://www.opzp.cz/soubor-ke-stazeni/52/15729-vyrocni_zprava_opzp_2013_vc_priloh.pdf</w:t>
      </w:r>
    </w:p>
  </w:footnote>
  <w:footnote w:id="21">
    <w:p w:rsidR="00DC3B1F" w:rsidRDefault="00DC3B1F" w:rsidP="00884BD3">
      <w:pPr>
        <w:pStyle w:val="Textpoznpodarou"/>
      </w:pPr>
      <w:r>
        <w:rPr>
          <w:rStyle w:val="Znakapoznpodarou"/>
          <w:rFonts w:cs="Arial"/>
        </w:rPr>
        <w:footnoteRef/>
      </w:r>
      <w:r>
        <w:t xml:space="preserve"> Příprava podkladů pro akční plán energetické efektivnosti (SEVEN o.p.s.)</w:t>
      </w:r>
    </w:p>
  </w:footnote>
  <w:footnote w:id="22">
    <w:p w:rsidR="00DC3B1F" w:rsidRDefault="00DC3B1F" w:rsidP="00D2362B">
      <w:pPr>
        <w:pStyle w:val="Textpoznpodarou"/>
      </w:pPr>
      <w:r>
        <w:rPr>
          <w:rStyle w:val="Znakapoznpodarou"/>
          <w:rFonts w:cs="Arial"/>
        </w:rPr>
        <w:footnoteRef/>
      </w:r>
      <w:r>
        <w:t xml:space="preserve"> http://www.kombinovana-vyroba.cz/?id=151005#</w:t>
      </w:r>
    </w:p>
  </w:footnote>
  <w:footnote w:id="23">
    <w:p w:rsidR="00DC3B1F" w:rsidRDefault="00DC3B1F" w:rsidP="009F71DE">
      <w:pPr>
        <w:pStyle w:val="Textpoznpodarou"/>
      </w:pPr>
      <w:r>
        <w:rPr>
          <w:rStyle w:val="Znakapoznpodarou"/>
          <w:rFonts w:cs="Arial"/>
        </w:rPr>
        <w:footnoteRef/>
      </w:r>
      <w:r>
        <w:t xml:space="preserve"> Zpráva o pokroku v oblasti KVET v ČR, MPO, Červen 2012,</w:t>
      </w:r>
    </w:p>
  </w:footnote>
  <w:footnote w:id="24">
    <w:p w:rsidR="00DC3B1F" w:rsidRDefault="00DC3B1F" w:rsidP="009F71DE">
      <w:pPr>
        <w:pStyle w:val="Textpoznpodarou"/>
      </w:pPr>
      <w:r>
        <w:rPr>
          <w:rStyle w:val="Znakapoznpodarou"/>
          <w:rFonts w:cs="Arial"/>
        </w:rPr>
        <w:footnoteRef/>
      </w:r>
      <w:r>
        <w:t xml:space="preserve"> Plán rozvoje kogenerace pro ČR, Listopad 2014, CODE2</w:t>
      </w:r>
    </w:p>
  </w:footnote>
  <w:footnote w:id="25">
    <w:p w:rsidR="00DC3B1F" w:rsidRDefault="00DC3B1F" w:rsidP="00087DE7">
      <w:pPr>
        <w:pStyle w:val="Textpoznpodarou"/>
      </w:pPr>
      <w:r>
        <w:rPr>
          <w:rStyle w:val="Znakapoznpodarou"/>
          <w:rFonts w:cs="Arial"/>
        </w:rPr>
        <w:footnoteRef/>
      </w:r>
      <w:r>
        <w:t xml:space="preserve"> http://energetika.tzb-info.cz/teplarenstvi/11742-teplarny-modernizuji-rozvody-tepla</w:t>
      </w:r>
    </w:p>
  </w:footnote>
  <w:footnote w:id="26">
    <w:p w:rsidR="00DC3B1F" w:rsidRDefault="00DC3B1F" w:rsidP="00087DE7">
      <w:pPr>
        <w:pStyle w:val="Textpoznpodarou"/>
      </w:pPr>
      <w:r>
        <w:rPr>
          <w:rStyle w:val="Znakapoznpodarou"/>
          <w:rFonts w:cs="Arial"/>
        </w:rPr>
        <w:footnoteRef/>
      </w:r>
      <w:r>
        <w:t xml:space="preserve"> http://zpravy.e15.cz/byznys/prumysl-a-energetika/miliardy-za-lepsi-rozvody-tepla-na-upravy-cekaji-stovky-kilometru-trubek-1087125#utm_source=zpravy&amp;utm_medium=selfpromo&amp;utm_campaign=e15rss</w:t>
      </w:r>
    </w:p>
  </w:footnote>
  <w:footnote w:id="27">
    <w:p w:rsidR="00DC3B1F" w:rsidRDefault="00DC3B1F" w:rsidP="00CE0F8D">
      <w:pPr>
        <w:pStyle w:val="Textpoznpodarou"/>
      </w:pPr>
      <w:r>
        <w:rPr>
          <w:rStyle w:val="Znakapoznpodarou"/>
          <w:rFonts w:cs="Arial"/>
        </w:rPr>
        <w:footnoteRef/>
      </w:r>
      <w:r>
        <w:t xml:space="preserve"> NOVÁK Svatoslav: Rozvoj a usnadnění výstavby sítí nové generace v CR, ICT Unie, Bratislava 10/2014</w:t>
      </w:r>
    </w:p>
  </w:footnote>
  <w:footnote w:id="28">
    <w:p w:rsidR="00DC3B1F" w:rsidRDefault="00DC3B1F" w:rsidP="00F16512">
      <w:pPr>
        <w:pStyle w:val="Textpoznpodarou"/>
      </w:pPr>
      <w:r>
        <w:rPr>
          <w:rStyle w:val="Znakapoznpodarou"/>
          <w:rFonts w:cs="Arial"/>
        </w:rPr>
        <w:footnoteRef/>
      </w:r>
      <w:r>
        <w:t xml:space="preserve"> Stav k 1.7.2014 – zdroj: </w:t>
      </w:r>
      <w:hyperlink r:id="rId2" w:history="1">
        <w:r>
          <w:rPr>
            <w:rStyle w:val="Hypertextovodkaz"/>
          </w:rPr>
          <w:t>https://www.ctu.cz/ctu-online/pruzkum-nga.html</w:t>
        </w:r>
      </w:hyperlink>
    </w:p>
  </w:footnote>
  <w:footnote w:id="29">
    <w:p w:rsidR="00DC3B1F" w:rsidRDefault="00DC3B1F">
      <w:pPr>
        <w:pStyle w:val="Textpoznpodarou"/>
      </w:pPr>
      <w:r>
        <w:rPr>
          <w:rStyle w:val="Znakapoznpodarou"/>
        </w:rPr>
        <w:footnoteRef/>
      </w:r>
      <w:r>
        <w:t xml:space="preserve"> </w:t>
      </w:r>
      <w:r w:rsidRPr="00F16512">
        <w:t>http://www.mpo.cz/dokument154646.html</w:t>
      </w:r>
      <w:r>
        <w:t>.</w:t>
      </w:r>
    </w:p>
  </w:footnote>
  <w:footnote w:id="30">
    <w:p w:rsidR="00DC3B1F" w:rsidRDefault="00DC3B1F" w:rsidP="00012C12">
      <w:pPr>
        <w:pStyle w:val="Textpoznpodarou"/>
      </w:pPr>
      <w:r w:rsidRPr="00C12A00">
        <w:rPr>
          <w:rStyle w:val="Znakapoznpodarou"/>
          <w:rFonts w:cs="Calibri"/>
        </w:rPr>
        <w:footnoteRef/>
      </w:r>
      <w:r w:rsidRPr="00C12A00">
        <w:rPr>
          <w:rFonts w:cs="Calibri"/>
        </w:rPr>
        <w:t xml:space="preserve"> Z hlediska finančních nástrojů pro MSP významně novelizován zákonem č. 501/2012 Sb., kterým se mění zákon č. 218/2000 Sb., o rozpočtových pravidlech a o změně některých souvisejících zákonů (rozpočtová pravidla), ve znění pozdějších předpisů, a některé další zákony. Prostředky státního rozpočtu ČR mohou být nyní vedeny výhradně na účtech ČNB.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B1F" w:rsidRDefault="00DC3B1F">
    <w:pPr>
      <w:pStyle w:val="Zhlav"/>
    </w:pPr>
    <w:r>
      <w:rPr>
        <w:noProof/>
      </w:rPr>
      <w:drawing>
        <wp:anchor distT="0" distB="0" distL="114300" distR="114300" simplePos="0" relativeHeight="251656704" behindDoc="0" locked="0" layoutInCell="1" allowOverlap="1" wp14:anchorId="738BC33E" wp14:editId="53CE1942">
          <wp:simplePos x="0" y="0"/>
          <wp:positionH relativeFrom="column">
            <wp:posOffset>3964305</wp:posOffset>
          </wp:positionH>
          <wp:positionV relativeFrom="paragraph">
            <wp:posOffset>17780</wp:posOffset>
          </wp:positionV>
          <wp:extent cx="1803400" cy="316865"/>
          <wp:effectExtent l="0" t="0" r="6350" b="6985"/>
          <wp:wrapNone/>
          <wp:docPr id="1" name="obrázek 10" descr="EU logo EEI 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EU logo EEI C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3400" cy="316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24ABDCDC" wp14:editId="70449C44">
          <wp:simplePos x="0" y="0"/>
          <wp:positionH relativeFrom="column">
            <wp:posOffset>-17145</wp:posOffset>
          </wp:positionH>
          <wp:positionV relativeFrom="paragraph">
            <wp:posOffset>63500</wp:posOffset>
          </wp:positionV>
          <wp:extent cx="817880" cy="264795"/>
          <wp:effectExtent l="0" t="0" r="1270" b="190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7880" cy="2647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B1F" w:rsidRDefault="00DC3B1F">
    <w:pPr>
      <w:pStyle w:val="Zhlav"/>
    </w:pPr>
    <w:r>
      <w:rPr>
        <w:noProof/>
      </w:rPr>
      <w:t xml:space="preserve"> </w:t>
    </w:r>
    <w:r>
      <w:rPr>
        <w:noProof/>
      </w:rPr>
      <w:drawing>
        <wp:anchor distT="0" distB="0" distL="114300" distR="114300" simplePos="0" relativeHeight="251658752" behindDoc="0" locked="0" layoutInCell="1" allowOverlap="1" wp14:anchorId="05411DA6" wp14:editId="2E1B0BD9">
          <wp:simplePos x="0" y="0"/>
          <wp:positionH relativeFrom="column">
            <wp:posOffset>3959225</wp:posOffset>
          </wp:positionH>
          <wp:positionV relativeFrom="paragraph">
            <wp:posOffset>170180</wp:posOffset>
          </wp:positionV>
          <wp:extent cx="1803400" cy="316865"/>
          <wp:effectExtent l="0" t="0" r="6350" b="6985"/>
          <wp:wrapNone/>
          <wp:docPr id="4" name="obrázek 4" descr="EU logo EEI 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 logo EEI C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3400" cy="316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5EA2538E" wp14:editId="146C529E">
          <wp:simplePos x="0" y="0"/>
          <wp:positionH relativeFrom="column">
            <wp:posOffset>25400</wp:posOffset>
          </wp:positionH>
          <wp:positionV relativeFrom="paragraph">
            <wp:posOffset>215900</wp:posOffset>
          </wp:positionV>
          <wp:extent cx="817880" cy="264795"/>
          <wp:effectExtent l="0" t="0" r="1270" b="1905"/>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7880" cy="2647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B1F" w:rsidRDefault="00DC3B1F">
    <w:pPr>
      <w:pStyle w:val="Zhlav"/>
    </w:pPr>
    <w:r>
      <w:rPr>
        <w:noProof/>
      </w:rPr>
      <w:drawing>
        <wp:anchor distT="0" distB="0" distL="114300" distR="114300" simplePos="0" relativeHeight="251655680" behindDoc="0" locked="0" layoutInCell="1" allowOverlap="1">
          <wp:simplePos x="0" y="0"/>
          <wp:positionH relativeFrom="column">
            <wp:posOffset>-54610</wp:posOffset>
          </wp:positionH>
          <wp:positionV relativeFrom="paragraph">
            <wp:posOffset>-86360</wp:posOffset>
          </wp:positionV>
          <wp:extent cx="817880" cy="264795"/>
          <wp:effectExtent l="0" t="0" r="1270" b="1905"/>
          <wp:wrapNone/>
          <wp:docPr id="1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880" cy="2647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simplePos x="0" y="0"/>
          <wp:positionH relativeFrom="column">
            <wp:posOffset>4112260</wp:posOffset>
          </wp:positionH>
          <wp:positionV relativeFrom="paragraph">
            <wp:posOffset>-142875</wp:posOffset>
          </wp:positionV>
          <wp:extent cx="1803400" cy="316865"/>
          <wp:effectExtent l="0" t="0" r="6350" b="6985"/>
          <wp:wrapNone/>
          <wp:docPr id="13" name="obrázek 3" descr="EU logo EEI 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EU logo EEI CZ"/>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3400" cy="3168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4031"/>
    <w:multiLevelType w:val="hybridMultilevel"/>
    <w:tmpl w:val="C0C029B6"/>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nsid w:val="060F2C39"/>
    <w:multiLevelType w:val="hybridMultilevel"/>
    <w:tmpl w:val="75BC1D64"/>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nsid w:val="06B3372B"/>
    <w:multiLevelType w:val="multilevel"/>
    <w:tmpl w:val="0405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
    <w:nsid w:val="101B19D8"/>
    <w:multiLevelType w:val="hybridMultilevel"/>
    <w:tmpl w:val="E0E67456"/>
    <w:lvl w:ilvl="0" w:tplc="98347F98">
      <w:numFmt w:val="bullet"/>
      <w:lvlText w:val="•"/>
      <w:lvlJc w:val="left"/>
      <w:pPr>
        <w:ind w:left="1065" w:hanging="705"/>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65038C0"/>
    <w:multiLevelType w:val="hybridMultilevel"/>
    <w:tmpl w:val="40149D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9563633"/>
    <w:multiLevelType w:val="hybridMultilevel"/>
    <w:tmpl w:val="C0C029B6"/>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
    <w:nsid w:val="2250136E"/>
    <w:multiLevelType w:val="multilevel"/>
    <w:tmpl w:val="18222E50"/>
    <w:lvl w:ilvl="0">
      <w:start w:val="1"/>
      <w:numFmt w:val="decimal"/>
      <w:pStyle w:val="Nadpis1"/>
      <w:lvlText w:val="%1"/>
      <w:lvlJc w:val="left"/>
      <w:pPr>
        <w:ind w:left="432" w:hanging="432"/>
      </w:pPr>
      <w:rPr>
        <w:rFonts w:cs="Times New Roman"/>
      </w:rPr>
    </w:lvl>
    <w:lvl w:ilvl="1">
      <w:start w:val="1"/>
      <w:numFmt w:val="decimal"/>
      <w:pStyle w:val="Nadpis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dpis4"/>
      <w:lvlText w:val="%1.%2.%3.%4"/>
      <w:lvlJc w:val="left"/>
      <w:pPr>
        <w:ind w:left="864" w:hanging="864"/>
      </w:pPr>
      <w:rPr>
        <w:rFonts w:cs="Times New Roman"/>
      </w:rPr>
    </w:lvl>
    <w:lvl w:ilvl="4">
      <w:start w:val="1"/>
      <w:numFmt w:val="decimal"/>
      <w:pStyle w:val="Nadpis5"/>
      <w:lvlText w:val="%1.%2.%3.%4.%5"/>
      <w:lvlJc w:val="left"/>
      <w:pPr>
        <w:ind w:left="1008" w:hanging="1008"/>
      </w:pPr>
      <w:rPr>
        <w:rFonts w:cs="Times New Roman"/>
      </w:rPr>
    </w:lvl>
    <w:lvl w:ilvl="5">
      <w:start w:val="1"/>
      <w:numFmt w:val="decimal"/>
      <w:pStyle w:val="Nadpis6"/>
      <w:lvlText w:val="%1.%2.%3.%4.%5.%6"/>
      <w:lvlJc w:val="left"/>
      <w:pPr>
        <w:ind w:left="1152" w:hanging="1152"/>
      </w:pPr>
      <w:rPr>
        <w:rFonts w:cs="Times New Roman"/>
      </w:rPr>
    </w:lvl>
    <w:lvl w:ilvl="6">
      <w:start w:val="1"/>
      <w:numFmt w:val="decimal"/>
      <w:pStyle w:val="Nadpis7"/>
      <w:lvlText w:val="%1.%2.%3.%4.%5.%6.%7"/>
      <w:lvlJc w:val="left"/>
      <w:pPr>
        <w:ind w:left="1296" w:hanging="1296"/>
      </w:pPr>
      <w:rPr>
        <w:rFonts w:cs="Times New Roman"/>
      </w:rPr>
    </w:lvl>
    <w:lvl w:ilvl="7">
      <w:start w:val="1"/>
      <w:numFmt w:val="decimal"/>
      <w:pStyle w:val="Nadpis8"/>
      <w:lvlText w:val="%1.%2.%3.%4.%5.%6.%7.%8"/>
      <w:lvlJc w:val="left"/>
      <w:pPr>
        <w:ind w:left="1440" w:hanging="1440"/>
      </w:pPr>
      <w:rPr>
        <w:rFonts w:cs="Times New Roman"/>
      </w:rPr>
    </w:lvl>
    <w:lvl w:ilvl="8">
      <w:start w:val="1"/>
      <w:numFmt w:val="decimal"/>
      <w:pStyle w:val="Nadpis9"/>
      <w:lvlText w:val="%1.%2.%3.%4.%5.%6.%7.%8.%9"/>
      <w:lvlJc w:val="left"/>
      <w:pPr>
        <w:ind w:left="1584" w:hanging="1584"/>
      </w:pPr>
      <w:rPr>
        <w:rFonts w:cs="Times New Roman"/>
      </w:rPr>
    </w:lvl>
  </w:abstractNum>
  <w:abstractNum w:abstractNumId="7">
    <w:nsid w:val="246323AE"/>
    <w:multiLevelType w:val="hybridMultilevel"/>
    <w:tmpl w:val="EA100E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8BF5559"/>
    <w:multiLevelType w:val="multilevel"/>
    <w:tmpl w:val="54968AE0"/>
    <w:lvl w:ilvl="0">
      <w:start w:val="1"/>
      <w:numFmt w:val="decimal"/>
      <w:lvlText w:val="%1"/>
      <w:lvlJc w:val="left"/>
      <w:pPr>
        <w:ind w:left="432" w:hanging="432"/>
      </w:pPr>
      <w:rPr>
        <w:rFonts w:cs="Times New Roman" w:hint="default"/>
      </w:rPr>
    </w:lvl>
    <w:lvl w:ilvl="1">
      <w:start w:val="1"/>
      <w:numFmt w:val="decimal"/>
      <w:lvlText w:val="%1.%2"/>
      <w:lvlJc w:val="left"/>
      <w:pPr>
        <w:ind w:left="718"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9">
    <w:nsid w:val="29746FEE"/>
    <w:multiLevelType w:val="hybridMultilevel"/>
    <w:tmpl w:val="C0C029B6"/>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nsid w:val="29D47750"/>
    <w:multiLevelType w:val="multilevel"/>
    <w:tmpl w:val="BBCC0F14"/>
    <w:lvl w:ilvl="0">
      <w:start w:val="1"/>
      <w:numFmt w:val="decimal"/>
      <w:lvlText w:val="%1."/>
      <w:lvlJc w:val="left"/>
      <w:pPr>
        <w:ind w:left="720" w:hanging="360"/>
      </w:pPr>
      <w:rPr>
        <w:rFonts w:cs="Times New Roman"/>
      </w:rPr>
    </w:lvl>
    <w:lvl w:ilvl="1">
      <w:numFmt w:val="bullet"/>
      <w:lvlText w:val="•"/>
      <w:lvlJc w:val="left"/>
      <w:pPr>
        <w:ind w:left="1440" w:hanging="360"/>
      </w:pPr>
      <w:rPr>
        <w:rFonts w:ascii="Calibri" w:eastAsia="Times New Roman" w:hAnsi="Calibri"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nsid w:val="2A140B6C"/>
    <w:multiLevelType w:val="hybridMultilevel"/>
    <w:tmpl w:val="224CFE86"/>
    <w:lvl w:ilvl="0" w:tplc="98347F98">
      <w:numFmt w:val="bullet"/>
      <w:lvlText w:val="•"/>
      <w:lvlJc w:val="left"/>
      <w:pPr>
        <w:ind w:left="1065" w:hanging="705"/>
      </w:pPr>
      <w:rPr>
        <w:rFonts w:ascii="Calibri" w:eastAsia="Times New Roman" w:hAnsi="Calibri"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BE35A6C"/>
    <w:multiLevelType w:val="hybridMultilevel"/>
    <w:tmpl w:val="742AD13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D8D24DA"/>
    <w:multiLevelType w:val="hybridMultilevel"/>
    <w:tmpl w:val="085AD1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2E750D60"/>
    <w:multiLevelType w:val="hybridMultilevel"/>
    <w:tmpl w:val="C26C5E6A"/>
    <w:lvl w:ilvl="0" w:tplc="04050001">
      <w:start w:val="1"/>
      <w:numFmt w:val="bullet"/>
      <w:lvlText w:val=""/>
      <w:lvlJc w:val="left"/>
      <w:pPr>
        <w:ind w:left="774" w:hanging="360"/>
      </w:pPr>
      <w:rPr>
        <w:rFonts w:ascii="Symbol" w:hAnsi="Symbol" w:hint="default"/>
      </w:rPr>
    </w:lvl>
    <w:lvl w:ilvl="1" w:tplc="04050003" w:tentative="1">
      <w:start w:val="1"/>
      <w:numFmt w:val="bullet"/>
      <w:lvlText w:val="o"/>
      <w:lvlJc w:val="left"/>
      <w:pPr>
        <w:ind w:left="1494" w:hanging="360"/>
      </w:pPr>
      <w:rPr>
        <w:rFonts w:ascii="Courier New" w:hAnsi="Courier New" w:hint="default"/>
      </w:rPr>
    </w:lvl>
    <w:lvl w:ilvl="2" w:tplc="04050005" w:tentative="1">
      <w:start w:val="1"/>
      <w:numFmt w:val="bullet"/>
      <w:lvlText w:val=""/>
      <w:lvlJc w:val="left"/>
      <w:pPr>
        <w:ind w:left="2214" w:hanging="360"/>
      </w:pPr>
      <w:rPr>
        <w:rFonts w:ascii="Wingdings" w:hAnsi="Wingdings" w:hint="default"/>
      </w:rPr>
    </w:lvl>
    <w:lvl w:ilvl="3" w:tplc="04050001" w:tentative="1">
      <w:start w:val="1"/>
      <w:numFmt w:val="bullet"/>
      <w:lvlText w:val=""/>
      <w:lvlJc w:val="left"/>
      <w:pPr>
        <w:ind w:left="2934" w:hanging="360"/>
      </w:pPr>
      <w:rPr>
        <w:rFonts w:ascii="Symbol" w:hAnsi="Symbol" w:hint="default"/>
      </w:rPr>
    </w:lvl>
    <w:lvl w:ilvl="4" w:tplc="04050003" w:tentative="1">
      <w:start w:val="1"/>
      <w:numFmt w:val="bullet"/>
      <w:lvlText w:val="o"/>
      <w:lvlJc w:val="left"/>
      <w:pPr>
        <w:ind w:left="3654" w:hanging="360"/>
      </w:pPr>
      <w:rPr>
        <w:rFonts w:ascii="Courier New" w:hAnsi="Courier New" w:hint="default"/>
      </w:rPr>
    </w:lvl>
    <w:lvl w:ilvl="5" w:tplc="04050005" w:tentative="1">
      <w:start w:val="1"/>
      <w:numFmt w:val="bullet"/>
      <w:lvlText w:val=""/>
      <w:lvlJc w:val="left"/>
      <w:pPr>
        <w:ind w:left="4374" w:hanging="360"/>
      </w:pPr>
      <w:rPr>
        <w:rFonts w:ascii="Wingdings" w:hAnsi="Wingdings" w:hint="default"/>
      </w:rPr>
    </w:lvl>
    <w:lvl w:ilvl="6" w:tplc="04050001" w:tentative="1">
      <w:start w:val="1"/>
      <w:numFmt w:val="bullet"/>
      <w:lvlText w:val=""/>
      <w:lvlJc w:val="left"/>
      <w:pPr>
        <w:ind w:left="5094" w:hanging="360"/>
      </w:pPr>
      <w:rPr>
        <w:rFonts w:ascii="Symbol" w:hAnsi="Symbol" w:hint="default"/>
      </w:rPr>
    </w:lvl>
    <w:lvl w:ilvl="7" w:tplc="04050003" w:tentative="1">
      <w:start w:val="1"/>
      <w:numFmt w:val="bullet"/>
      <w:lvlText w:val="o"/>
      <w:lvlJc w:val="left"/>
      <w:pPr>
        <w:ind w:left="5814" w:hanging="360"/>
      </w:pPr>
      <w:rPr>
        <w:rFonts w:ascii="Courier New" w:hAnsi="Courier New" w:hint="default"/>
      </w:rPr>
    </w:lvl>
    <w:lvl w:ilvl="8" w:tplc="04050005" w:tentative="1">
      <w:start w:val="1"/>
      <w:numFmt w:val="bullet"/>
      <w:lvlText w:val=""/>
      <w:lvlJc w:val="left"/>
      <w:pPr>
        <w:ind w:left="6534" w:hanging="360"/>
      </w:pPr>
      <w:rPr>
        <w:rFonts w:ascii="Wingdings" w:hAnsi="Wingdings" w:hint="default"/>
      </w:rPr>
    </w:lvl>
  </w:abstractNum>
  <w:abstractNum w:abstractNumId="15">
    <w:nsid w:val="2F0E75AA"/>
    <w:multiLevelType w:val="hybridMultilevel"/>
    <w:tmpl w:val="B026288E"/>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6">
    <w:nsid w:val="30113583"/>
    <w:multiLevelType w:val="hybridMultilevel"/>
    <w:tmpl w:val="5B928A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0E90DB4"/>
    <w:multiLevelType w:val="hybridMultilevel"/>
    <w:tmpl w:val="E55CA14E"/>
    <w:lvl w:ilvl="0" w:tplc="04050001">
      <w:start w:val="1"/>
      <w:numFmt w:val="bullet"/>
      <w:lvlText w:val=""/>
      <w:lvlJc w:val="left"/>
      <w:pPr>
        <w:ind w:left="778" w:hanging="360"/>
      </w:pPr>
      <w:rPr>
        <w:rFonts w:ascii="Symbol" w:hAnsi="Symbol" w:hint="default"/>
      </w:rPr>
    </w:lvl>
    <w:lvl w:ilvl="1" w:tplc="04050003">
      <w:start w:val="1"/>
      <w:numFmt w:val="bullet"/>
      <w:lvlText w:val="o"/>
      <w:lvlJc w:val="left"/>
      <w:pPr>
        <w:ind w:left="1498" w:hanging="360"/>
      </w:pPr>
      <w:rPr>
        <w:rFonts w:ascii="Courier New" w:hAnsi="Courier New" w:hint="default"/>
      </w:rPr>
    </w:lvl>
    <w:lvl w:ilvl="2" w:tplc="04050005" w:tentative="1">
      <w:start w:val="1"/>
      <w:numFmt w:val="bullet"/>
      <w:lvlText w:val=""/>
      <w:lvlJc w:val="left"/>
      <w:pPr>
        <w:ind w:left="2218" w:hanging="360"/>
      </w:pPr>
      <w:rPr>
        <w:rFonts w:ascii="Wingdings" w:hAnsi="Wingdings" w:hint="default"/>
      </w:rPr>
    </w:lvl>
    <w:lvl w:ilvl="3" w:tplc="04050001" w:tentative="1">
      <w:start w:val="1"/>
      <w:numFmt w:val="bullet"/>
      <w:lvlText w:val=""/>
      <w:lvlJc w:val="left"/>
      <w:pPr>
        <w:ind w:left="2938" w:hanging="360"/>
      </w:pPr>
      <w:rPr>
        <w:rFonts w:ascii="Symbol" w:hAnsi="Symbol" w:hint="default"/>
      </w:rPr>
    </w:lvl>
    <w:lvl w:ilvl="4" w:tplc="04050003" w:tentative="1">
      <w:start w:val="1"/>
      <w:numFmt w:val="bullet"/>
      <w:lvlText w:val="o"/>
      <w:lvlJc w:val="left"/>
      <w:pPr>
        <w:ind w:left="3658" w:hanging="360"/>
      </w:pPr>
      <w:rPr>
        <w:rFonts w:ascii="Courier New" w:hAnsi="Courier New" w:hint="default"/>
      </w:rPr>
    </w:lvl>
    <w:lvl w:ilvl="5" w:tplc="04050005" w:tentative="1">
      <w:start w:val="1"/>
      <w:numFmt w:val="bullet"/>
      <w:lvlText w:val=""/>
      <w:lvlJc w:val="left"/>
      <w:pPr>
        <w:ind w:left="4378" w:hanging="360"/>
      </w:pPr>
      <w:rPr>
        <w:rFonts w:ascii="Wingdings" w:hAnsi="Wingdings" w:hint="default"/>
      </w:rPr>
    </w:lvl>
    <w:lvl w:ilvl="6" w:tplc="04050001" w:tentative="1">
      <w:start w:val="1"/>
      <w:numFmt w:val="bullet"/>
      <w:lvlText w:val=""/>
      <w:lvlJc w:val="left"/>
      <w:pPr>
        <w:ind w:left="5098" w:hanging="360"/>
      </w:pPr>
      <w:rPr>
        <w:rFonts w:ascii="Symbol" w:hAnsi="Symbol" w:hint="default"/>
      </w:rPr>
    </w:lvl>
    <w:lvl w:ilvl="7" w:tplc="04050003" w:tentative="1">
      <w:start w:val="1"/>
      <w:numFmt w:val="bullet"/>
      <w:lvlText w:val="o"/>
      <w:lvlJc w:val="left"/>
      <w:pPr>
        <w:ind w:left="5818" w:hanging="360"/>
      </w:pPr>
      <w:rPr>
        <w:rFonts w:ascii="Courier New" w:hAnsi="Courier New" w:hint="default"/>
      </w:rPr>
    </w:lvl>
    <w:lvl w:ilvl="8" w:tplc="04050005" w:tentative="1">
      <w:start w:val="1"/>
      <w:numFmt w:val="bullet"/>
      <w:lvlText w:val=""/>
      <w:lvlJc w:val="left"/>
      <w:pPr>
        <w:ind w:left="6538" w:hanging="360"/>
      </w:pPr>
      <w:rPr>
        <w:rFonts w:ascii="Wingdings" w:hAnsi="Wingdings" w:hint="default"/>
      </w:rPr>
    </w:lvl>
  </w:abstractNum>
  <w:abstractNum w:abstractNumId="18">
    <w:nsid w:val="382C39B2"/>
    <w:multiLevelType w:val="multilevel"/>
    <w:tmpl w:val="2F7E48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390E174C"/>
    <w:multiLevelType w:val="hybridMultilevel"/>
    <w:tmpl w:val="42DC455E"/>
    <w:lvl w:ilvl="0" w:tplc="FEB62C22">
      <w:start w:val="1"/>
      <w:numFmt w:val="decimal"/>
      <w:lvlText w:val="%1."/>
      <w:lvlJc w:val="left"/>
      <w:pPr>
        <w:ind w:left="720" w:hanging="360"/>
      </w:pPr>
      <w:rPr>
        <w:rFonts w:cs="Times New Roman"/>
      </w:rPr>
    </w:lvl>
    <w:lvl w:ilvl="1" w:tplc="04050003" w:tentative="1">
      <w:start w:val="1"/>
      <w:numFmt w:val="lowerLetter"/>
      <w:lvlText w:val="%2."/>
      <w:lvlJc w:val="left"/>
      <w:pPr>
        <w:ind w:left="1440" w:hanging="360"/>
      </w:pPr>
      <w:rPr>
        <w:rFonts w:cs="Times New Roman"/>
      </w:rPr>
    </w:lvl>
    <w:lvl w:ilvl="2" w:tplc="04050005" w:tentative="1">
      <w:start w:val="1"/>
      <w:numFmt w:val="lowerRoman"/>
      <w:lvlText w:val="%3."/>
      <w:lvlJc w:val="right"/>
      <w:pPr>
        <w:ind w:left="2160" w:hanging="180"/>
      </w:pPr>
      <w:rPr>
        <w:rFonts w:cs="Times New Roman"/>
      </w:rPr>
    </w:lvl>
    <w:lvl w:ilvl="3" w:tplc="04050001" w:tentative="1">
      <w:start w:val="1"/>
      <w:numFmt w:val="decimal"/>
      <w:lvlText w:val="%4."/>
      <w:lvlJc w:val="left"/>
      <w:pPr>
        <w:ind w:left="2880" w:hanging="360"/>
      </w:pPr>
      <w:rPr>
        <w:rFonts w:cs="Times New Roman"/>
      </w:rPr>
    </w:lvl>
    <w:lvl w:ilvl="4" w:tplc="04050003" w:tentative="1">
      <w:start w:val="1"/>
      <w:numFmt w:val="lowerLetter"/>
      <w:lvlText w:val="%5."/>
      <w:lvlJc w:val="left"/>
      <w:pPr>
        <w:ind w:left="3600" w:hanging="360"/>
      </w:pPr>
      <w:rPr>
        <w:rFonts w:cs="Times New Roman"/>
      </w:rPr>
    </w:lvl>
    <w:lvl w:ilvl="5" w:tplc="04050005" w:tentative="1">
      <w:start w:val="1"/>
      <w:numFmt w:val="lowerRoman"/>
      <w:lvlText w:val="%6."/>
      <w:lvlJc w:val="right"/>
      <w:pPr>
        <w:ind w:left="4320" w:hanging="180"/>
      </w:pPr>
      <w:rPr>
        <w:rFonts w:cs="Times New Roman"/>
      </w:rPr>
    </w:lvl>
    <w:lvl w:ilvl="6" w:tplc="04050001" w:tentative="1">
      <w:start w:val="1"/>
      <w:numFmt w:val="decimal"/>
      <w:lvlText w:val="%7."/>
      <w:lvlJc w:val="left"/>
      <w:pPr>
        <w:ind w:left="5040" w:hanging="360"/>
      </w:pPr>
      <w:rPr>
        <w:rFonts w:cs="Times New Roman"/>
      </w:rPr>
    </w:lvl>
    <w:lvl w:ilvl="7" w:tplc="04050003" w:tentative="1">
      <w:start w:val="1"/>
      <w:numFmt w:val="lowerLetter"/>
      <w:lvlText w:val="%8."/>
      <w:lvlJc w:val="left"/>
      <w:pPr>
        <w:ind w:left="5760" w:hanging="360"/>
      </w:pPr>
      <w:rPr>
        <w:rFonts w:cs="Times New Roman"/>
      </w:rPr>
    </w:lvl>
    <w:lvl w:ilvl="8" w:tplc="04050005" w:tentative="1">
      <w:start w:val="1"/>
      <w:numFmt w:val="lowerRoman"/>
      <w:lvlText w:val="%9."/>
      <w:lvlJc w:val="right"/>
      <w:pPr>
        <w:ind w:left="6480" w:hanging="180"/>
      </w:pPr>
      <w:rPr>
        <w:rFonts w:cs="Times New Roman"/>
      </w:rPr>
    </w:lvl>
  </w:abstractNum>
  <w:abstractNum w:abstractNumId="20">
    <w:nsid w:val="403020B9"/>
    <w:multiLevelType w:val="hybridMultilevel"/>
    <w:tmpl w:val="2130A27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
    <w:nsid w:val="460D1268"/>
    <w:multiLevelType w:val="hybridMultilevel"/>
    <w:tmpl w:val="8DDE2628"/>
    <w:lvl w:ilvl="0" w:tplc="0405000F">
      <w:start w:val="1"/>
      <w:numFmt w:val="bullet"/>
      <w:lvlText w:val=""/>
      <w:lvlJc w:val="left"/>
      <w:pPr>
        <w:ind w:left="720" w:hanging="360"/>
      </w:pPr>
      <w:rPr>
        <w:rFonts w:ascii="Symbol" w:hAnsi="Symbol" w:hint="default"/>
      </w:rPr>
    </w:lvl>
    <w:lvl w:ilvl="1" w:tplc="04050019" w:tentative="1">
      <w:start w:val="1"/>
      <w:numFmt w:val="bullet"/>
      <w:lvlText w:val="o"/>
      <w:lvlJc w:val="left"/>
      <w:pPr>
        <w:ind w:left="1440" w:hanging="360"/>
      </w:pPr>
      <w:rPr>
        <w:rFonts w:ascii="Courier New" w:hAnsi="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22">
    <w:nsid w:val="4C191206"/>
    <w:multiLevelType w:val="hybridMultilevel"/>
    <w:tmpl w:val="BBCC0F14"/>
    <w:lvl w:ilvl="0" w:tplc="04050017">
      <w:start w:val="1"/>
      <w:numFmt w:val="decimal"/>
      <w:lvlText w:val="%1."/>
      <w:lvlJc w:val="left"/>
      <w:pPr>
        <w:ind w:left="720" w:hanging="360"/>
      </w:pPr>
      <w:rPr>
        <w:rFonts w:cs="Times New Roman"/>
      </w:rPr>
    </w:lvl>
    <w:lvl w:ilvl="1" w:tplc="04050019">
      <w:numFmt w:val="bullet"/>
      <w:lvlText w:val="•"/>
      <w:lvlJc w:val="left"/>
      <w:pPr>
        <w:ind w:left="1440" w:hanging="360"/>
      </w:pPr>
      <w:rPr>
        <w:rFonts w:ascii="Calibri" w:eastAsia="Times New Roman" w:hAnsi="Calibri" w:hint="default"/>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3">
    <w:nsid w:val="4D0502D2"/>
    <w:multiLevelType w:val="hybridMultilevel"/>
    <w:tmpl w:val="BCE2C074"/>
    <w:lvl w:ilvl="0" w:tplc="0405000F">
      <w:start w:val="1"/>
      <w:numFmt w:val="bullet"/>
      <w:lvlText w:val=""/>
      <w:lvlJc w:val="left"/>
      <w:pPr>
        <w:ind w:left="1080" w:hanging="360"/>
      </w:pPr>
      <w:rPr>
        <w:rFonts w:ascii="Symbol" w:hAnsi="Symbol" w:hint="default"/>
      </w:rPr>
    </w:lvl>
    <w:lvl w:ilvl="1" w:tplc="DB643056">
      <w:start w:val="1"/>
      <w:numFmt w:val="bullet"/>
      <w:lvlText w:val="o"/>
      <w:lvlJc w:val="left"/>
      <w:pPr>
        <w:ind w:left="1800" w:hanging="360"/>
      </w:pPr>
      <w:rPr>
        <w:rFonts w:ascii="Courier New" w:hAnsi="Courier New" w:hint="default"/>
      </w:rPr>
    </w:lvl>
    <w:lvl w:ilvl="2" w:tplc="0405001B" w:tentative="1">
      <w:start w:val="1"/>
      <w:numFmt w:val="bullet"/>
      <w:lvlText w:val=""/>
      <w:lvlJc w:val="left"/>
      <w:pPr>
        <w:ind w:left="2520" w:hanging="360"/>
      </w:pPr>
      <w:rPr>
        <w:rFonts w:ascii="Wingdings" w:hAnsi="Wingdings" w:hint="default"/>
      </w:rPr>
    </w:lvl>
    <w:lvl w:ilvl="3" w:tplc="0405000F" w:tentative="1">
      <w:start w:val="1"/>
      <w:numFmt w:val="bullet"/>
      <w:lvlText w:val=""/>
      <w:lvlJc w:val="left"/>
      <w:pPr>
        <w:ind w:left="3240" w:hanging="360"/>
      </w:pPr>
      <w:rPr>
        <w:rFonts w:ascii="Symbol" w:hAnsi="Symbol" w:hint="default"/>
      </w:rPr>
    </w:lvl>
    <w:lvl w:ilvl="4" w:tplc="04050019" w:tentative="1">
      <w:start w:val="1"/>
      <w:numFmt w:val="bullet"/>
      <w:lvlText w:val="o"/>
      <w:lvlJc w:val="left"/>
      <w:pPr>
        <w:ind w:left="3960" w:hanging="360"/>
      </w:pPr>
      <w:rPr>
        <w:rFonts w:ascii="Courier New" w:hAnsi="Courier New" w:hint="default"/>
      </w:rPr>
    </w:lvl>
    <w:lvl w:ilvl="5" w:tplc="0405001B" w:tentative="1">
      <w:start w:val="1"/>
      <w:numFmt w:val="bullet"/>
      <w:lvlText w:val=""/>
      <w:lvlJc w:val="left"/>
      <w:pPr>
        <w:ind w:left="4680" w:hanging="360"/>
      </w:pPr>
      <w:rPr>
        <w:rFonts w:ascii="Wingdings" w:hAnsi="Wingdings" w:hint="default"/>
      </w:rPr>
    </w:lvl>
    <w:lvl w:ilvl="6" w:tplc="0405000F" w:tentative="1">
      <w:start w:val="1"/>
      <w:numFmt w:val="bullet"/>
      <w:lvlText w:val=""/>
      <w:lvlJc w:val="left"/>
      <w:pPr>
        <w:ind w:left="5400" w:hanging="360"/>
      </w:pPr>
      <w:rPr>
        <w:rFonts w:ascii="Symbol" w:hAnsi="Symbol" w:hint="default"/>
      </w:rPr>
    </w:lvl>
    <w:lvl w:ilvl="7" w:tplc="04050019" w:tentative="1">
      <w:start w:val="1"/>
      <w:numFmt w:val="bullet"/>
      <w:lvlText w:val="o"/>
      <w:lvlJc w:val="left"/>
      <w:pPr>
        <w:ind w:left="6120" w:hanging="360"/>
      </w:pPr>
      <w:rPr>
        <w:rFonts w:ascii="Courier New" w:hAnsi="Courier New" w:hint="default"/>
      </w:rPr>
    </w:lvl>
    <w:lvl w:ilvl="8" w:tplc="0405001B" w:tentative="1">
      <w:start w:val="1"/>
      <w:numFmt w:val="bullet"/>
      <w:lvlText w:val=""/>
      <w:lvlJc w:val="left"/>
      <w:pPr>
        <w:ind w:left="6840" w:hanging="360"/>
      </w:pPr>
      <w:rPr>
        <w:rFonts w:ascii="Wingdings" w:hAnsi="Wingdings" w:hint="default"/>
      </w:rPr>
    </w:lvl>
  </w:abstractNum>
  <w:abstractNum w:abstractNumId="24">
    <w:nsid w:val="521B0E28"/>
    <w:multiLevelType w:val="hybridMultilevel"/>
    <w:tmpl w:val="9B2A0D9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
    <w:nsid w:val="53D27922"/>
    <w:multiLevelType w:val="hybridMultilevel"/>
    <w:tmpl w:val="3118DFB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7B913C5"/>
    <w:multiLevelType w:val="hybridMultilevel"/>
    <w:tmpl w:val="4DEA5902"/>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
    <w:nsid w:val="58D24641"/>
    <w:multiLevelType w:val="hybridMultilevel"/>
    <w:tmpl w:val="BF7223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E3554F7"/>
    <w:multiLevelType w:val="hybridMultilevel"/>
    <w:tmpl w:val="ECAE89D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
    <w:nsid w:val="5F921F82"/>
    <w:multiLevelType w:val="hybridMultilevel"/>
    <w:tmpl w:val="DF322FF8"/>
    <w:lvl w:ilvl="0" w:tplc="04050001">
      <w:numFmt w:val="bullet"/>
      <w:lvlText w:val="•"/>
      <w:lvlJc w:val="left"/>
      <w:pPr>
        <w:ind w:left="1065" w:hanging="705"/>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158380D"/>
    <w:multiLevelType w:val="multilevel"/>
    <w:tmpl w:val="040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nsid w:val="625A6A0B"/>
    <w:multiLevelType w:val="hybridMultilevel"/>
    <w:tmpl w:val="41A48C46"/>
    <w:lvl w:ilvl="0" w:tplc="FFFFFFFF">
      <w:start w:val="1"/>
      <w:numFmt w:val="bullet"/>
      <w:lvlText w:val="•"/>
      <w:lvlJc w:val="left"/>
      <w:pPr>
        <w:tabs>
          <w:tab w:val="num" w:pos="1080"/>
        </w:tabs>
        <w:ind w:left="1080" w:hanging="360"/>
      </w:pPr>
      <w:rPr>
        <w:rFonts w:ascii="Arial" w:hAnsi="Aria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nsid w:val="62A75FF2"/>
    <w:multiLevelType w:val="hybridMultilevel"/>
    <w:tmpl w:val="04DA6A26"/>
    <w:lvl w:ilvl="0" w:tplc="418E36F0">
      <w:start w:val="1"/>
      <w:numFmt w:val="decimal"/>
      <w:lvlText w:val="%1."/>
      <w:lvlJc w:val="left"/>
      <w:pPr>
        <w:ind w:left="720" w:hanging="360"/>
      </w:pPr>
      <w:rPr>
        <w:rFonts w:cs="Times New Roman"/>
      </w:rPr>
    </w:lvl>
    <w:lvl w:ilvl="1" w:tplc="04050003">
      <w:start w:val="1"/>
      <w:numFmt w:val="lowerLetter"/>
      <w:lvlText w:val="%2."/>
      <w:lvlJc w:val="left"/>
      <w:pPr>
        <w:ind w:left="1440" w:hanging="360"/>
      </w:pPr>
      <w:rPr>
        <w:rFonts w:cs="Times New Roman"/>
      </w:rPr>
    </w:lvl>
    <w:lvl w:ilvl="2" w:tplc="04050005" w:tentative="1">
      <w:start w:val="1"/>
      <w:numFmt w:val="lowerRoman"/>
      <w:lvlText w:val="%3."/>
      <w:lvlJc w:val="right"/>
      <w:pPr>
        <w:ind w:left="2160" w:hanging="180"/>
      </w:pPr>
      <w:rPr>
        <w:rFonts w:cs="Times New Roman"/>
      </w:rPr>
    </w:lvl>
    <w:lvl w:ilvl="3" w:tplc="04050001" w:tentative="1">
      <w:start w:val="1"/>
      <w:numFmt w:val="decimal"/>
      <w:lvlText w:val="%4."/>
      <w:lvlJc w:val="left"/>
      <w:pPr>
        <w:ind w:left="2880" w:hanging="360"/>
      </w:pPr>
      <w:rPr>
        <w:rFonts w:cs="Times New Roman"/>
      </w:rPr>
    </w:lvl>
    <w:lvl w:ilvl="4" w:tplc="04050003" w:tentative="1">
      <w:start w:val="1"/>
      <w:numFmt w:val="lowerLetter"/>
      <w:lvlText w:val="%5."/>
      <w:lvlJc w:val="left"/>
      <w:pPr>
        <w:ind w:left="3600" w:hanging="360"/>
      </w:pPr>
      <w:rPr>
        <w:rFonts w:cs="Times New Roman"/>
      </w:rPr>
    </w:lvl>
    <w:lvl w:ilvl="5" w:tplc="04050005" w:tentative="1">
      <w:start w:val="1"/>
      <w:numFmt w:val="lowerRoman"/>
      <w:lvlText w:val="%6."/>
      <w:lvlJc w:val="right"/>
      <w:pPr>
        <w:ind w:left="4320" w:hanging="180"/>
      </w:pPr>
      <w:rPr>
        <w:rFonts w:cs="Times New Roman"/>
      </w:rPr>
    </w:lvl>
    <w:lvl w:ilvl="6" w:tplc="04050001" w:tentative="1">
      <w:start w:val="1"/>
      <w:numFmt w:val="decimal"/>
      <w:lvlText w:val="%7."/>
      <w:lvlJc w:val="left"/>
      <w:pPr>
        <w:ind w:left="5040" w:hanging="360"/>
      </w:pPr>
      <w:rPr>
        <w:rFonts w:cs="Times New Roman"/>
      </w:rPr>
    </w:lvl>
    <w:lvl w:ilvl="7" w:tplc="04050003" w:tentative="1">
      <w:start w:val="1"/>
      <w:numFmt w:val="lowerLetter"/>
      <w:lvlText w:val="%8."/>
      <w:lvlJc w:val="left"/>
      <w:pPr>
        <w:ind w:left="5760" w:hanging="360"/>
      </w:pPr>
      <w:rPr>
        <w:rFonts w:cs="Times New Roman"/>
      </w:rPr>
    </w:lvl>
    <w:lvl w:ilvl="8" w:tplc="04050005" w:tentative="1">
      <w:start w:val="1"/>
      <w:numFmt w:val="lowerRoman"/>
      <w:lvlText w:val="%9."/>
      <w:lvlJc w:val="right"/>
      <w:pPr>
        <w:ind w:left="6480" w:hanging="180"/>
      </w:pPr>
      <w:rPr>
        <w:rFonts w:cs="Times New Roman"/>
      </w:rPr>
    </w:lvl>
  </w:abstractNum>
  <w:abstractNum w:abstractNumId="33">
    <w:nsid w:val="6B1017F8"/>
    <w:multiLevelType w:val="hybridMultilevel"/>
    <w:tmpl w:val="8012A76A"/>
    <w:lvl w:ilvl="0" w:tplc="0405000F">
      <w:start w:val="1"/>
      <w:numFmt w:val="decimal"/>
      <w:lvlText w:val="%1."/>
      <w:lvlJc w:val="left"/>
      <w:pPr>
        <w:ind w:left="720" w:hanging="360"/>
      </w:pPr>
      <w:rPr>
        <w:rFonts w:cs="Times New Roman" w:hint="default"/>
      </w:rPr>
    </w:lvl>
    <w:lvl w:ilvl="1" w:tplc="04050019">
      <w:start w:val="1"/>
      <w:numFmt w:val="bullet"/>
      <w:lvlText w:val="o"/>
      <w:lvlJc w:val="left"/>
      <w:pPr>
        <w:ind w:left="1440" w:hanging="360"/>
      </w:pPr>
      <w:rPr>
        <w:rFonts w:ascii="Courier New" w:hAnsi="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34">
    <w:nsid w:val="6D58053C"/>
    <w:multiLevelType w:val="hybridMultilevel"/>
    <w:tmpl w:val="F028D2DA"/>
    <w:lvl w:ilvl="0" w:tplc="0405000F">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74E251A9"/>
    <w:multiLevelType w:val="hybridMultilevel"/>
    <w:tmpl w:val="C0C029B6"/>
    <w:lvl w:ilvl="0" w:tplc="04050001">
      <w:start w:val="1"/>
      <w:numFmt w:val="decimal"/>
      <w:lvlText w:val="%1."/>
      <w:lvlJc w:val="left"/>
      <w:pPr>
        <w:ind w:left="720" w:hanging="360"/>
      </w:pPr>
      <w:rPr>
        <w:rFonts w:cs="Times New Roman"/>
      </w:rPr>
    </w:lvl>
    <w:lvl w:ilvl="1" w:tplc="04050003">
      <w:start w:val="1"/>
      <w:numFmt w:val="lowerLetter"/>
      <w:lvlText w:val="%2."/>
      <w:lvlJc w:val="left"/>
      <w:pPr>
        <w:ind w:left="1440" w:hanging="360"/>
      </w:pPr>
      <w:rPr>
        <w:rFonts w:cs="Times New Roman"/>
      </w:rPr>
    </w:lvl>
    <w:lvl w:ilvl="2" w:tplc="04050005" w:tentative="1">
      <w:start w:val="1"/>
      <w:numFmt w:val="lowerRoman"/>
      <w:lvlText w:val="%3."/>
      <w:lvlJc w:val="right"/>
      <w:pPr>
        <w:ind w:left="2160" w:hanging="180"/>
      </w:pPr>
      <w:rPr>
        <w:rFonts w:cs="Times New Roman"/>
      </w:rPr>
    </w:lvl>
    <w:lvl w:ilvl="3" w:tplc="04050001" w:tentative="1">
      <w:start w:val="1"/>
      <w:numFmt w:val="decimal"/>
      <w:lvlText w:val="%4."/>
      <w:lvlJc w:val="left"/>
      <w:pPr>
        <w:ind w:left="2880" w:hanging="360"/>
      </w:pPr>
      <w:rPr>
        <w:rFonts w:cs="Times New Roman"/>
      </w:rPr>
    </w:lvl>
    <w:lvl w:ilvl="4" w:tplc="04050003" w:tentative="1">
      <w:start w:val="1"/>
      <w:numFmt w:val="lowerLetter"/>
      <w:lvlText w:val="%5."/>
      <w:lvlJc w:val="left"/>
      <w:pPr>
        <w:ind w:left="3600" w:hanging="360"/>
      </w:pPr>
      <w:rPr>
        <w:rFonts w:cs="Times New Roman"/>
      </w:rPr>
    </w:lvl>
    <w:lvl w:ilvl="5" w:tplc="04050005" w:tentative="1">
      <w:start w:val="1"/>
      <w:numFmt w:val="lowerRoman"/>
      <w:lvlText w:val="%6."/>
      <w:lvlJc w:val="right"/>
      <w:pPr>
        <w:ind w:left="4320" w:hanging="180"/>
      </w:pPr>
      <w:rPr>
        <w:rFonts w:cs="Times New Roman"/>
      </w:rPr>
    </w:lvl>
    <w:lvl w:ilvl="6" w:tplc="04050001" w:tentative="1">
      <w:start w:val="1"/>
      <w:numFmt w:val="decimal"/>
      <w:lvlText w:val="%7."/>
      <w:lvlJc w:val="left"/>
      <w:pPr>
        <w:ind w:left="5040" w:hanging="360"/>
      </w:pPr>
      <w:rPr>
        <w:rFonts w:cs="Times New Roman"/>
      </w:rPr>
    </w:lvl>
    <w:lvl w:ilvl="7" w:tplc="04050003" w:tentative="1">
      <w:start w:val="1"/>
      <w:numFmt w:val="lowerLetter"/>
      <w:lvlText w:val="%8."/>
      <w:lvlJc w:val="left"/>
      <w:pPr>
        <w:ind w:left="5760" w:hanging="360"/>
      </w:pPr>
      <w:rPr>
        <w:rFonts w:cs="Times New Roman"/>
      </w:rPr>
    </w:lvl>
    <w:lvl w:ilvl="8" w:tplc="04050005" w:tentative="1">
      <w:start w:val="1"/>
      <w:numFmt w:val="lowerRoman"/>
      <w:lvlText w:val="%9."/>
      <w:lvlJc w:val="right"/>
      <w:pPr>
        <w:ind w:left="6480" w:hanging="180"/>
      </w:pPr>
      <w:rPr>
        <w:rFonts w:cs="Times New Roman"/>
      </w:rPr>
    </w:lvl>
  </w:abstractNum>
  <w:abstractNum w:abstractNumId="36">
    <w:nsid w:val="77861DEF"/>
    <w:multiLevelType w:val="hybridMultilevel"/>
    <w:tmpl w:val="08842EDE"/>
    <w:lvl w:ilvl="0" w:tplc="0405000F">
      <w:start w:val="1"/>
      <w:numFmt w:val="bullet"/>
      <w:lvlText w:val="•"/>
      <w:lvlJc w:val="left"/>
      <w:pPr>
        <w:tabs>
          <w:tab w:val="num" w:pos="1080"/>
        </w:tabs>
        <w:ind w:left="1080" w:hanging="360"/>
      </w:pPr>
      <w:rPr>
        <w:rFonts w:ascii="Arial" w:hAnsi="Arial" w:hint="default"/>
      </w:rPr>
    </w:lvl>
    <w:lvl w:ilvl="1" w:tplc="04050019">
      <w:start w:val="1"/>
      <w:numFmt w:val="bullet"/>
      <w:lvlText w:val="o"/>
      <w:lvlJc w:val="left"/>
      <w:pPr>
        <w:ind w:left="1800" w:hanging="360"/>
      </w:pPr>
      <w:rPr>
        <w:rFonts w:ascii="Courier New" w:hAnsi="Courier New" w:hint="default"/>
      </w:rPr>
    </w:lvl>
    <w:lvl w:ilvl="2" w:tplc="0405001B" w:tentative="1">
      <w:start w:val="1"/>
      <w:numFmt w:val="bullet"/>
      <w:lvlText w:val=""/>
      <w:lvlJc w:val="left"/>
      <w:pPr>
        <w:ind w:left="2520" w:hanging="360"/>
      </w:pPr>
      <w:rPr>
        <w:rFonts w:ascii="Wingdings" w:hAnsi="Wingdings" w:hint="default"/>
      </w:rPr>
    </w:lvl>
    <w:lvl w:ilvl="3" w:tplc="0405000F" w:tentative="1">
      <w:start w:val="1"/>
      <w:numFmt w:val="bullet"/>
      <w:lvlText w:val=""/>
      <w:lvlJc w:val="left"/>
      <w:pPr>
        <w:ind w:left="3240" w:hanging="360"/>
      </w:pPr>
      <w:rPr>
        <w:rFonts w:ascii="Symbol" w:hAnsi="Symbol" w:hint="default"/>
      </w:rPr>
    </w:lvl>
    <w:lvl w:ilvl="4" w:tplc="04050019" w:tentative="1">
      <w:start w:val="1"/>
      <w:numFmt w:val="bullet"/>
      <w:lvlText w:val="o"/>
      <w:lvlJc w:val="left"/>
      <w:pPr>
        <w:ind w:left="3960" w:hanging="360"/>
      </w:pPr>
      <w:rPr>
        <w:rFonts w:ascii="Courier New" w:hAnsi="Courier New" w:hint="default"/>
      </w:rPr>
    </w:lvl>
    <w:lvl w:ilvl="5" w:tplc="0405001B" w:tentative="1">
      <w:start w:val="1"/>
      <w:numFmt w:val="bullet"/>
      <w:lvlText w:val=""/>
      <w:lvlJc w:val="left"/>
      <w:pPr>
        <w:ind w:left="4680" w:hanging="360"/>
      </w:pPr>
      <w:rPr>
        <w:rFonts w:ascii="Wingdings" w:hAnsi="Wingdings" w:hint="default"/>
      </w:rPr>
    </w:lvl>
    <w:lvl w:ilvl="6" w:tplc="0405000F" w:tentative="1">
      <w:start w:val="1"/>
      <w:numFmt w:val="bullet"/>
      <w:lvlText w:val=""/>
      <w:lvlJc w:val="left"/>
      <w:pPr>
        <w:ind w:left="5400" w:hanging="360"/>
      </w:pPr>
      <w:rPr>
        <w:rFonts w:ascii="Symbol" w:hAnsi="Symbol" w:hint="default"/>
      </w:rPr>
    </w:lvl>
    <w:lvl w:ilvl="7" w:tplc="04050019" w:tentative="1">
      <w:start w:val="1"/>
      <w:numFmt w:val="bullet"/>
      <w:lvlText w:val="o"/>
      <w:lvlJc w:val="left"/>
      <w:pPr>
        <w:ind w:left="6120" w:hanging="360"/>
      </w:pPr>
      <w:rPr>
        <w:rFonts w:ascii="Courier New" w:hAnsi="Courier New" w:hint="default"/>
      </w:rPr>
    </w:lvl>
    <w:lvl w:ilvl="8" w:tplc="0405001B" w:tentative="1">
      <w:start w:val="1"/>
      <w:numFmt w:val="bullet"/>
      <w:lvlText w:val=""/>
      <w:lvlJc w:val="left"/>
      <w:pPr>
        <w:ind w:left="6840" w:hanging="360"/>
      </w:pPr>
      <w:rPr>
        <w:rFonts w:ascii="Wingdings" w:hAnsi="Wingdings" w:hint="default"/>
      </w:rPr>
    </w:lvl>
  </w:abstractNum>
  <w:abstractNum w:abstractNumId="37">
    <w:nsid w:val="7AD80A48"/>
    <w:multiLevelType w:val="hybridMultilevel"/>
    <w:tmpl w:val="5EB00808"/>
    <w:lvl w:ilvl="0" w:tplc="418E36F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7B762295"/>
    <w:multiLevelType w:val="hybridMultilevel"/>
    <w:tmpl w:val="B2D41B5C"/>
    <w:lvl w:ilvl="0" w:tplc="04050001">
      <w:numFmt w:val="bullet"/>
      <w:lvlText w:val="•"/>
      <w:lvlJc w:val="left"/>
      <w:pPr>
        <w:ind w:left="1425" w:hanging="705"/>
      </w:pPr>
      <w:rPr>
        <w:rFonts w:ascii="Calibri" w:eastAsia="Times New Roman" w:hAnsi="Calibri"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9">
    <w:nsid w:val="7CC854D8"/>
    <w:multiLevelType w:val="hybridMultilevel"/>
    <w:tmpl w:val="938E4F10"/>
    <w:lvl w:ilvl="0" w:tplc="98347F98">
      <w:start w:val="1"/>
      <w:numFmt w:val="decimal"/>
      <w:lvlText w:val="%1."/>
      <w:lvlJc w:val="left"/>
      <w:pPr>
        <w:tabs>
          <w:tab w:val="num" w:pos="720"/>
        </w:tabs>
        <w:ind w:left="720" w:hanging="360"/>
      </w:pPr>
      <w:rPr>
        <w:rFonts w:cs="Times New Roman"/>
      </w:rPr>
    </w:lvl>
    <w:lvl w:ilvl="1" w:tplc="04050003"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num w:numId="1">
    <w:abstractNumId w:val="2"/>
  </w:num>
  <w:num w:numId="2">
    <w:abstractNumId w:val="6"/>
  </w:num>
  <w:num w:numId="3">
    <w:abstractNumId w:val="11"/>
  </w:num>
  <w:num w:numId="4">
    <w:abstractNumId w:val="3"/>
  </w:num>
  <w:num w:numId="5">
    <w:abstractNumId w:val="36"/>
  </w:num>
  <w:num w:numId="6">
    <w:abstractNumId w:val="31"/>
  </w:num>
  <w:num w:numId="7">
    <w:abstractNumId w:val="38"/>
  </w:num>
  <w:num w:numId="8">
    <w:abstractNumId w:val="25"/>
  </w:num>
  <w:num w:numId="9">
    <w:abstractNumId w:val="34"/>
  </w:num>
  <w:num w:numId="10">
    <w:abstractNumId w:val="4"/>
  </w:num>
  <w:num w:numId="11">
    <w:abstractNumId w:val="29"/>
  </w:num>
  <w:num w:numId="12">
    <w:abstractNumId w:val="12"/>
  </w:num>
  <w:num w:numId="13">
    <w:abstractNumId w:val="37"/>
  </w:num>
  <w:num w:numId="14">
    <w:abstractNumId w:val="23"/>
  </w:num>
  <w:num w:numId="15">
    <w:abstractNumId w:val="7"/>
  </w:num>
  <w:num w:numId="16">
    <w:abstractNumId w:val="30"/>
  </w:num>
  <w:num w:numId="17">
    <w:abstractNumId w:val="22"/>
  </w:num>
  <w:num w:numId="18">
    <w:abstractNumId w:val="19"/>
  </w:num>
  <w:num w:numId="19">
    <w:abstractNumId w:val="0"/>
  </w:num>
  <w:num w:numId="20">
    <w:abstractNumId w:val="5"/>
  </w:num>
  <w:num w:numId="21">
    <w:abstractNumId w:val="9"/>
  </w:num>
  <w:num w:numId="22">
    <w:abstractNumId w:val="32"/>
  </w:num>
  <w:num w:numId="23">
    <w:abstractNumId w:val="15"/>
  </w:num>
  <w:num w:numId="24">
    <w:abstractNumId w:val="35"/>
  </w:num>
  <w:num w:numId="25">
    <w:abstractNumId w:val="1"/>
  </w:num>
  <w:num w:numId="26">
    <w:abstractNumId w:val="10"/>
  </w:num>
  <w:num w:numId="27">
    <w:abstractNumId w:val="39"/>
  </w:num>
  <w:num w:numId="28">
    <w:abstractNumId w:val="17"/>
  </w:num>
  <w:num w:numId="29">
    <w:abstractNumId w:val="13"/>
  </w:num>
  <w:num w:numId="30">
    <w:abstractNumId w:val="21"/>
  </w:num>
  <w:num w:numId="31">
    <w:abstractNumId w:val="8"/>
  </w:num>
  <w:num w:numId="32">
    <w:abstractNumId w:val="14"/>
  </w:num>
  <w:num w:numId="33">
    <w:abstractNumId w:val="33"/>
  </w:num>
  <w:num w:numId="34">
    <w:abstractNumId w:val="6"/>
  </w:num>
  <w:num w:numId="35">
    <w:abstractNumId w:val="6"/>
  </w:num>
  <w:num w:numId="36">
    <w:abstractNumId w:val="6"/>
  </w:num>
  <w:num w:numId="37">
    <w:abstractNumId w:val="6"/>
  </w:num>
  <w:num w:numId="38">
    <w:abstractNumId w:val="18"/>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20"/>
  </w:num>
  <w:num w:numId="42">
    <w:abstractNumId w:val="16"/>
  </w:num>
  <w:num w:numId="43">
    <w:abstractNumId w:val="26"/>
  </w:num>
  <w:num w:numId="44">
    <w:abstractNumId w:val="28"/>
  </w:num>
  <w:num w:numId="45">
    <w:abstractNumId w:val="6"/>
  </w:num>
  <w:num w:numId="46">
    <w:abstractNumId w:val="2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visionView w:markup="0"/>
  <w:trackRevisions/>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1E1"/>
    <w:rsid w:val="0000024E"/>
    <w:rsid w:val="00001374"/>
    <w:rsid w:val="00003EAA"/>
    <w:rsid w:val="00004922"/>
    <w:rsid w:val="00007ACF"/>
    <w:rsid w:val="00007B41"/>
    <w:rsid w:val="00007F94"/>
    <w:rsid w:val="00011070"/>
    <w:rsid w:val="00012C12"/>
    <w:rsid w:val="000132D7"/>
    <w:rsid w:val="0001651A"/>
    <w:rsid w:val="00017DD1"/>
    <w:rsid w:val="00022E4C"/>
    <w:rsid w:val="0002484F"/>
    <w:rsid w:val="00024EB3"/>
    <w:rsid w:val="0002761F"/>
    <w:rsid w:val="00030ED0"/>
    <w:rsid w:val="000348F9"/>
    <w:rsid w:val="00037204"/>
    <w:rsid w:val="0004113A"/>
    <w:rsid w:val="00042BEB"/>
    <w:rsid w:val="00042F62"/>
    <w:rsid w:val="000437EF"/>
    <w:rsid w:val="0004640B"/>
    <w:rsid w:val="0004720B"/>
    <w:rsid w:val="00050C6E"/>
    <w:rsid w:val="0005545B"/>
    <w:rsid w:val="00055E54"/>
    <w:rsid w:val="00060A95"/>
    <w:rsid w:val="000625EC"/>
    <w:rsid w:val="000628B2"/>
    <w:rsid w:val="00064FB2"/>
    <w:rsid w:val="00065F1C"/>
    <w:rsid w:val="0006649B"/>
    <w:rsid w:val="00066655"/>
    <w:rsid w:val="00067B11"/>
    <w:rsid w:val="00070476"/>
    <w:rsid w:val="000704DD"/>
    <w:rsid w:val="0007393D"/>
    <w:rsid w:val="000750C2"/>
    <w:rsid w:val="000754A0"/>
    <w:rsid w:val="00075B31"/>
    <w:rsid w:val="00076233"/>
    <w:rsid w:val="000771AD"/>
    <w:rsid w:val="00080229"/>
    <w:rsid w:val="00082D6D"/>
    <w:rsid w:val="00084399"/>
    <w:rsid w:val="000858D8"/>
    <w:rsid w:val="00087025"/>
    <w:rsid w:val="00087DE7"/>
    <w:rsid w:val="00091B20"/>
    <w:rsid w:val="000924E1"/>
    <w:rsid w:val="0009727E"/>
    <w:rsid w:val="000A0F88"/>
    <w:rsid w:val="000A47FD"/>
    <w:rsid w:val="000A6D74"/>
    <w:rsid w:val="000B58F5"/>
    <w:rsid w:val="000C1B4F"/>
    <w:rsid w:val="000C38AE"/>
    <w:rsid w:val="000C4262"/>
    <w:rsid w:val="000C685B"/>
    <w:rsid w:val="000C77DB"/>
    <w:rsid w:val="000D2962"/>
    <w:rsid w:val="000D691E"/>
    <w:rsid w:val="000E1BCA"/>
    <w:rsid w:val="000E21F7"/>
    <w:rsid w:val="000F1B78"/>
    <w:rsid w:val="000F506E"/>
    <w:rsid w:val="000F6475"/>
    <w:rsid w:val="000F6778"/>
    <w:rsid w:val="000F7549"/>
    <w:rsid w:val="00101728"/>
    <w:rsid w:val="001042DB"/>
    <w:rsid w:val="001075B2"/>
    <w:rsid w:val="0011037F"/>
    <w:rsid w:val="00110693"/>
    <w:rsid w:val="00114B09"/>
    <w:rsid w:val="00117750"/>
    <w:rsid w:val="00120172"/>
    <w:rsid w:val="0012655B"/>
    <w:rsid w:val="00130190"/>
    <w:rsid w:val="001356F7"/>
    <w:rsid w:val="00137503"/>
    <w:rsid w:val="00140663"/>
    <w:rsid w:val="00141FEF"/>
    <w:rsid w:val="00143B54"/>
    <w:rsid w:val="00147B43"/>
    <w:rsid w:val="00151A1C"/>
    <w:rsid w:val="0015223E"/>
    <w:rsid w:val="00152EB4"/>
    <w:rsid w:val="00153995"/>
    <w:rsid w:val="001540D5"/>
    <w:rsid w:val="00154F3F"/>
    <w:rsid w:val="0015702C"/>
    <w:rsid w:val="00157F20"/>
    <w:rsid w:val="00161CDE"/>
    <w:rsid w:val="00164C49"/>
    <w:rsid w:val="00166BB5"/>
    <w:rsid w:val="00167E3C"/>
    <w:rsid w:val="00171AF5"/>
    <w:rsid w:val="001766AE"/>
    <w:rsid w:val="00177177"/>
    <w:rsid w:val="00180EC1"/>
    <w:rsid w:val="00181306"/>
    <w:rsid w:val="00182A6F"/>
    <w:rsid w:val="00182C7A"/>
    <w:rsid w:val="0018303A"/>
    <w:rsid w:val="001834F9"/>
    <w:rsid w:val="00185D09"/>
    <w:rsid w:val="001907AB"/>
    <w:rsid w:val="001909F1"/>
    <w:rsid w:val="0019410B"/>
    <w:rsid w:val="001A055B"/>
    <w:rsid w:val="001A1530"/>
    <w:rsid w:val="001A247D"/>
    <w:rsid w:val="001A387B"/>
    <w:rsid w:val="001A49E4"/>
    <w:rsid w:val="001A5636"/>
    <w:rsid w:val="001A7724"/>
    <w:rsid w:val="001B3024"/>
    <w:rsid w:val="001B56F4"/>
    <w:rsid w:val="001B5F67"/>
    <w:rsid w:val="001C11D4"/>
    <w:rsid w:val="001C1C0E"/>
    <w:rsid w:val="001C3828"/>
    <w:rsid w:val="001C426D"/>
    <w:rsid w:val="001C5E56"/>
    <w:rsid w:val="001D1197"/>
    <w:rsid w:val="001D1877"/>
    <w:rsid w:val="001D1EEF"/>
    <w:rsid w:val="001D283B"/>
    <w:rsid w:val="001D32AD"/>
    <w:rsid w:val="001D3F9D"/>
    <w:rsid w:val="001D55F5"/>
    <w:rsid w:val="001D5892"/>
    <w:rsid w:val="001D5B0A"/>
    <w:rsid w:val="001D5BA9"/>
    <w:rsid w:val="001D7FF0"/>
    <w:rsid w:val="001E25C5"/>
    <w:rsid w:val="001E6A57"/>
    <w:rsid w:val="001E77F4"/>
    <w:rsid w:val="001F19D0"/>
    <w:rsid w:val="001F221B"/>
    <w:rsid w:val="001F2B49"/>
    <w:rsid w:val="001F3C28"/>
    <w:rsid w:val="001F6C5A"/>
    <w:rsid w:val="002071A4"/>
    <w:rsid w:val="0020777F"/>
    <w:rsid w:val="00207FA8"/>
    <w:rsid w:val="00210500"/>
    <w:rsid w:val="00210FAA"/>
    <w:rsid w:val="00211542"/>
    <w:rsid w:val="00213C25"/>
    <w:rsid w:val="0021517B"/>
    <w:rsid w:val="002156A5"/>
    <w:rsid w:val="00215AA6"/>
    <w:rsid w:val="002212C5"/>
    <w:rsid w:val="00221769"/>
    <w:rsid w:val="002223E8"/>
    <w:rsid w:val="0022341D"/>
    <w:rsid w:val="0022745A"/>
    <w:rsid w:val="00233938"/>
    <w:rsid w:val="00233AA6"/>
    <w:rsid w:val="00233FF1"/>
    <w:rsid w:val="0023435E"/>
    <w:rsid w:val="00237CC2"/>
    <w:rsid w:val="002454F8"/>
    <w:rsid w:val="00246C0F"/>
    <w:rsid w:val="002519A6"/>
    <w:rsid w:val="00253334"/>
    <w:rsid w:val="0025404E"/>
    <w:rsid w:val="00254911"/>
    <w:rsid w:val="00254F5C"/>
    <w:rsid w:val="00257A77"/>
    <w:rsid w:val="00261EC0"/>
    <w:rsid w:val="00261EEA"/>
    <w:rsid w:val="00262688"/>
    <w:rsid w:val="00266F8F"/>
    <w:rsid w:val="00267AC6"/>
    <w:rsid w:val="00272B8D"/>
    <w:rsid w:val="00273228"/>
    <w:rsid w:val="00273523"/>
    <w:rsid w:val="0027432F"/>
    <w:rsid w:val="0027471A"/>
    <w:rsid w:val="0027489B"/>
    <w:rsid w:val="00274941"/>
    <w:rsid w:val="002814BA"/>
    <w:rsid w:val="002903A5"/>
    <w:rsid w:val="00290DFB"/>
    <w:rsid w:val="002939CA"/>
    <w:rsid w:val="00293BFD"/>
    <w:rsid w:val="002976AD"/>
    <w:rsid w:val="002A0C4B"/>
    <w:rsid w:val="002A223E"/>
    <w:rsid w:val="002A3E74"/>
    <w:rsid w:val="002A5076"/>
    <w:rsid w:val="002A74A2"/>
    <w:rsid w:val="002A74A5"/>
    <w:rsid w:val="002B0641"/>
    <w:rsid w:val="002B17E8"/>
    <w:rsid w:val="002B1906"/>
    <w:rsid w:val="002B4186"/>
    <w:rsid w:val="002B71BA"/>
    <w:rsid w:val="002B7553"/>
    <w:rsid w:val="002B75F1"/>
    <w:rsid w:val="002C1AB4"/>
    <w:rsid w:val="002C20A0"/>
    <w:rsid w:val="002C3F1F"/>
    <w:rsid w:val="002C41C1"/>
    <w:rsid w:val="002D3016"/>
    <w:rsid w:val="002D44D9"/>
    <w:rsid w:val="002D5FD5"/>
    <w:rsid w:val="002E31F4"/>
    <w:rsid w:val="002E56FD"/>
    <w:rsid w:val="002E6FA9"/>
    <w:rsid w:val="002F4C89"/>
    <w:rsid w:val="002F526D"/>
    <w:rsid w:val="002F5775"/>
    <w:rsid w:val="003005E7"/>
    <w:rsid w:val="00301DE0"/>
    <w:rsid w:val="0030272F"/>
    <w:rsid w:val="00302DEC"/>
    <w:rsid w:val="003034CE"/>
    <w:rsid w:val="003036BA"/>
    <w:rsid w:val="00303F95"/>
    <w:rsid w:val="003041F2"/>
    <w:rsid w:val="00307228"/>
    <w:rsid w:val="00312A2F"/>
    <w:rsid w:val="003139C5"/>
    <w:rsid w:val="00314653"/>
    <w:rsid w:val="00314E5A"/>
    <w:rsid w:val="003168BC"/>
    <w:rsid w:val="00317598"/>
    <w:rsid w:val="00321D5D"/>
    <w:rsid w:val="003256DD"/>
    <w:rsid w:val="00327214"/>
    <w:rsid w:val="00327AFA"/>
    <w:rsid w:val="00330F00"/>
    <w:rsid w:val="003315B6"/>
    <w:rsid w:val="003352BE"/>
    <w:rsid w:val="00336EDA"/>
    <w:rsid w:val="00337832"/>
    <w:rsid w:val="00341EE0"/>
    <w:rsid w:val="00341F0D"/>
    <w:rsid w:val="00342B00"/>
    <w:rsid w:val="0034406F"/>
    <w:rsid w:val="0034465A"/>
    <w:rsid w:val="00345D65"/>
    <w:rsid w:val="00346709"/>
    <w:rsid w:val="00346D26"/>
    <w:rsid w:val="00353930"/>
    <w:rsid w:val="00353E05"/>
    <w:rsid w:val="003547A1"/>
    <w:rsid w:val="0035620F"/>
    <w:rsid w:val="0035682A"/>
    <w:rsid w:val="00357635"/>
    <w:rsid w:val="0036269F"/>
    <w:rsid w:val="00363C8C"/>
    <w:rsid w:val="00363ED2"/>
    <w:rsid w:val="003664A3"/>
    <w:rsid w:val="003709F3"/>
    <w:rsid w:val="00371565"/>
    <w:rsid w:val="00372FCD"/>
    <w:rsid w:val="00374036"/>
    <w:rsid w:val="00376D28"/>
    <w:rsid w:val="00381A20"/>
    <w:rsid w:val="0038394F"/>
    <w:rsid w:val="00385FEA"/>
    <w:rsid w:val="00391779"/>
    <w:rsid w:val="003944D2"/>
    <w:rsid w:val="00395562"/>
    <w:rsid w:val="00396F7C"/>
    <w:rsid w:val="00397581"/>
    <w:rsid w:val="003A0BF1"/>
    <w:rsid w:val="003A15F0"/>
    <w:rsid w:val="003A2F93"/>
    <w:rsid w:val="003A392B"/>
    <w:rsid w:val="003A4726"/>
    <w:rsid w:val="003A49F2"/>
    <w:rsid w:val="003A65D8"/>
    <w:rsid w:val="003B0210"/>
    <w:rsid w:val="003B30D8"/>
    <w:rsid w:val="003B5840"/>
    <w:rsid w:val="003C1FC5"/>
    <w:rsid w:val="003C3334"/>
    <w:rsid w:val="003C3C3B"/>
    <w:rsid w:val="003C558B"/>
    <w:rsid w:val="003D0264"/>
    <w:rsid w:val="003D16D1"/>
    <w:rsid w:val="003D32B3"/>
    <w:rsid w:val="003D3569"/>
    <w:rsid w:val="003D4DE6"/>
    <w:rsid w:val="003D6230"/>
    <w:rsid w:val="003D6542"/>
    <w:rsid w:val="003E04B5"/>
    <w:rsid w:val="003E419F"/>
    <w:rsid w:val="003F030E"/>
    <w:rsid w:val="003F1C5F"/>
    <w:rsid w:val="003F31B1"/>
    <w:rsid w:val="003F3714"/>
    <w:rsid w:val="004013FB"/>
    <w:rsid w:val="0040162B"/>
    <w:rsid w:val="004037F8"/>
    <w:rsid w:val="0041151E"/>
    <w:rsid w:val="00416BF2"/>
    <w:rsid w:val="00420900"/>
    <w:rsid w:val="0042157F"/>
    <w:rsid w:val="00422202"/>
    <w:rsid w:val="00424AC3"/>
    <w:rsid w:val="004252B0"/>
    <w:rsid w:val="004265D2"/>
    <w:rsid w:val="0043123A"/>
    <w:rsid w:val="00431C55"/>
    <w:rsid w:val="00432D23"/>
    <w:rsid w:val="00433B1F"/>
    <w:rsid w:val="0043406F"/>
    <w:rsid w:val="004341BB"/>
    <w:rsid w:val="0044158E"/>
    <w:rsid w:val="00441CBF"/>
    <w:rsid w:val="0044371E"/>
    <w:rsid w:val="004437C3"/>
    <w:rsid w:val="004441B7"/>
    <w:rsid w:val="00446716"/>
    <w:rsid w:val="00451931"/>
    <w:rsid w:val="00454BFC"/>
    <w:rsid w:val="00455AA4"/>
    <w:rsid w:val="00455BE2"/>
    <w:rsid w:val="00457989"/>
    <w:rsid w:val="00457C2C"/>
    <w:rsid w:val="00461E71"/>
    <w:rsid w:val="00462E37"/>
    <w:rsid w:val="0046464A"/>
    <w:rsid w:val="00464F2B"/>
    <w:rsid w:val="00467406"/>
    <w:rsid w:val="00470789"/>
    <w:rsid w:val="004730F6"/>
    <w:rsid w:val="00473B0C"/>
    <w:rsid w:val="00474270"/>
    <w:rsid w:val="00476BF3"/>
    <w:rsid w:val="0048265B"/>
    <w:rsid w:val="004827C0"/>
    <w:rsid w:val="004838BB"/>
    <w:rsid w:val="00485E0D"/>
    <w:rsid w:val="00492C7A"/>
    <w:rsid w:val="00493943"/>
    <w:rsid w:val="004942C8"/>
    <w:rsid w:val="004A570D"/>
    <w:rsid w:val="004A6621"/>
    <w:rsid w:val="004A6B9A"/>
    <w:rsid w:val="004A725C"/>
    <w:rsid w:val="004A77D6"/>
    <w:rsid w:val="004B120C"/>
    <w:rsid w:val="004B17A5"/>
    <w:rsid w:val="004B1C1E"/>
    <w:rsid w:val="004B1E3D"/>
    <w:rsid w:val="004B3511"/>
    <w:rsid w:val="004B4338"/>
    <w:rsid w:val="004B4E2F"/>
    <w:rsid w:val="004B64B9"/>
    <w:rsid w:val="004B76CB"/>
    <w:rsid w:val="004B7EA0"/>
    <w:rsid w:val="004C24A2"/>
    <w:rsid w:val="004C2D90"/>
    <w:rsid w:val="004C5E4C"/>
    <w:rsid w:val="004C6349"/>
    <w:rsid w:val="004D36A4"/>
    <w:rsid w:val="004D493B"/>
    <w:rsid w:val="004E149F"/>
    <w:rsid w:val="004E215E"/>
    <w:rsid w:val="004E2D62"/>
    <w:rsid w:val="004E6079"/>
    <w:rsid w:val="004F5853"/>
    <w:rsid w:val="00500226"/>
    <w:rsid w:val="00501D3E"/>
    <w:rsid w:val="00501EE7"/>
    <w:rsid w:val="005037F8"/>
    <w:rsid w:val="005057AD"/>
    <w:rsid w:val="005062AE"/>
    <w:rsid w:val="005068CA"/>
    <w:rsid w:val="0050754F"/>
    <w:rsid w:val="0050796E"/>
    <w:rsid w:val="00513334"/>
    <w:rsid w:val="005144D9"/>
    <w:rsid w:val="005162A5"/>
    <w:rsid w:val="00522D5F"/>
    <w:rsid w:val="00526115"/>
    <w:rsid w:val="005268FF"/>
    <w:rsid w:val="00526D8E"/>
    <w:rsid w:val="0053667B"/>
    <w:rsid w:val="0053674C"/>
    <w:rsid w:val="00540AE5"/>
    <w:rsid w:val="00540DD7"/>
    <w:rsid w:val="005415B9"/>
    <w:rsid w:val="0054384C"/>
    <w:rsid w:val="00545716"/>
    <w:rsid w:val="00554CC1"/>
    <w:rsid w:val="0055724C"/>
    <w:rsid w:val="00557F94"/>
    <w:rsid w:val="00560201"/>
    <w:rsid w:val="005624AB"/>
    <w:rsid w:val="00562B73"/>
    <w:rsid w:val="005631D6"/>
    <w:rsid w:val="0056345A"/>
    <w:rsid w:val="005649DD"/>
    <w:rsid w:val="005650F7"/>
    <w:rsid w:val="00565E36"/>
    <w:rsid w:val="00565F47"/>
    <w:rsid w:val="0057020D"/>
    <w:rsid w:val="0057130F"/>
    <w:rsid w:val="005720B7"/>
    <w:rsid w:val="00575323"/>
    <w:rsid w:val="00580151"/>
    <w:rsid w:val="005828A0"/>
    <w:rsid w:val="00583593"/>
    <w:rsid w:val="005857F6"/>
    <w:rsid w:val="005865A5"/>
    <w:rsid w:val="00587409"/>
    <w:rsid w:val="00591361"/>
    <w:rsid w:val="0059147B"/>
    <w:rsid w:val="00592357"/>
    <w:rsid w:val="00592D19"/>
    <w:rsid w:val="00593057"/>
    <w:rsid w:val="0059431E"/>
    <w:rsid w:val="00594D51"/>
    <w:rsid w:val="00595CE2"/>
    <w:rsid w:val="005A11F7"/>
    <w:rsid w:val="005A1754"/>
    <w:rsid w:val="005A29C6"/>
    <w:rsid w:val="005A2EE0"/>
    <w:rsid w:val="005A4876"/>
    <w:rsid w:val="005B3E0F"/>
    <w:rsid w:val="005B5934"/>
    <w:rsid w:val="005B7D5B"/>
    <w:rsid w:val="005C03D6"/>
    <w:rsid w:val="005C30FC"/>
    <w:rsid w:val="005C3778"/>
    <w:rsid w:val="005D3CBE"/>
    <w:rsid w:val="005D6CA2"/>
    <w:rsid w:val="005E3B29"/>
    <w:rsid w:val="005E501D"/>
    <w:rsid w:val="005E533B"/>
    <w:rsid w:val="005E630A"/>
    <w:rsid w:val="005F1974"/>
    <w:rsid w:val="005F201F"/>
    <w:rsid w:val="005F2B40"/>
    <w:rsid w:val="005F2CF1"/>
    <w:rsid w:val="006005E9"/>
    <w:rsid w:val="00600F84"/>
    <w:rsid w:val="00601FF2"/>
    <w:rsid w:val="0060500B"/>
    <w:rsid w:val="00605487"/>
    <w:rsid w:val="006070C6"/>
    <w:rsid w:val="006075D5"/>
    <w:rsid w:val="00610D2B"/>
    <w:rsid w:val="00614BDA"/>
    <w:rsid w:val="00617198"/>
    <w:rsid w:val="0061784B"/>
    <w:rsid w:val="006212F6"/>
    <w:rsid w:val="0062144E"/>
    <w:rsid w:val="006220EA"/>
    <w:rsid w:val="0062488F"/>
    <w:rsid w:val="00625C37"/>
    <w:rsid w:val="00626F2E"/>
    <w:rsid w:val="006279AB"/>
    <w:rsid w:val="006317C6"/>
    <w:rsid w:val="00635F85"/>
    <w:rsid w:val="006416BA"/>
    <w:rsid w:val="006448CF"/>
    <w:rsid w:val="00655FEF"/>
    <w:rsid w:val="006561E1"/>
    <w:rsid w:val="006567F2"/>
    <w:rsid w:val="00656A0E"/>
    <w:rsid w:val="00661000"/>
    <w:rsid w:val="00662349"/>
    <w:rsid w:val="00664618"/>
    <w:rsid w:val="00664E27"/>
    <w:rsid w:val="00665979"/>
    <w:rsid w:val="00670BD5"/>
    <w:rsid w:val="0067101E"/>
    <w:rsid w:val="00671E30"/>
    <w:rsid w:val="00674307"/>
    <w:rsid w:val="006747DD"/>
    <w:rsid w:val="00677C02"/>
    <w:rsid w:val="00680B5C"/>
    <w:rsid w:val="0068157A"/>
    <w:rsid w:val="00683E47"/>
    <w:rsid w:val="00683F34"/>
    <w:rsid w:val="0069045C"/>
    <w:rsid w:val="00691942"/>
    <w:rsid w:val="006931CD"/>
    <w:rsid w:val="00694AD9"/>
    <w:rsid w:val="006A0D72"/>
    <w:rsid w:val="006A1E7C"/>
    <w:rsid w:val="006A4A73"/>
    <w:rsid w:val="006A74BB"/>
    <w:rsid w:val="006A7DD3"/>
    <w:rsid w:val="006B5500"/>
    <w:rsid w:val="006B58EE"/>
    <w:rsid w:val="006B6540"/>
    <w:rsid w:val="006C2B8B"/>
    <w:rsid w:val="006C4374"/>
    <w:rsid w:val="006C4A17"/>
    <w:rsid w:val="006C55C7"/>
    <w:rsid w:val="006C56BA"/>
    <w:rsid w:val="006C7B31"/>
    <w:rsid w:val="006C7B7E"/>
    <w:rsid w:val="006D5148"/>
    <w:rsid w:val="006D5DBA"/>
    <w:rsid w:val="006E0171"/>
    <w:rsid w:val="006E379A"/>
    <w:rsid w:val="006E4D0C"/>
    <w:rsid w:val="006E7E23"/>
    <w:rsid w:val="006F1A2A"/>
    <w:rsid w:val="006F42A5"/>
    <w:rsid w:val="006F4666"/>
    <w:rsid w:val="006F5127"/>
    <w:rsid w:val="006F59FB"/>
    <w:rsid w:val="006F6D5C"/>
    <w:rsid w:val="006F7AAC"/>
    <w:rsid w:val="00700CAA"/>
    <w:rsid w:val="00700EF1"/>
    <w:rsid w:val="007013B8"/>
    <w:rsid w:val="0070320F"/>
    <w:rsid w:val="00706BAA"/>
    <w:rsid w:val="00711310"/>
    <w:rsid w:val="007130D4"/>
    <w:rsid w:val="00716AD5"/>
    <w:rsid w:val="0071724D"/>
    <w:rsid w:val="00722500"/>
    <w:rsid w:val="00722998"/>
    <w:rsid w:val="00722B2E"/>
    <w:rsid w:val="00723858"/>
    <w:rsid w:val="00723EA3"/>
    <w:rsid w:val="0072403F"/>
    <w:rsid w:val="0072485A"/>
    <w:rsid w:val="007309BE"/>
    <w:rsid w:val="00732070"/>
    <w:rsid w:val="00733F9C"/>
    <w:rsid w:val="00734D71"/>
    <w:rsid w:val="00735089"/>
    <w:rsid w:val="0073587E"/>
    <w:rsid w:val="00737851"/>
    <w:rsid w:val="007409CC"/>
    <w:rsid w:val="0074157F"/>
    <w:rsid w:val="00746FF4"/>
    <w:rsid w:val="0075128B"/>
    <w:rsid w:val="00751551"/>
    <w:rsid w:val="00752004"/>
    <w:rsid w:val="00753240"/>
    <w:rsid w:val="007579EF"/>
    <w:rsid w:val="007579FE"/>
    <w:rsid w:val="00760EB7"/>
    <w:rsid w:val="0076490D"/>
    <w:rsid w:val="00765D98"/>
    <w:rsid w:val="00770E77"/>
    <w:rsid w:val="007752F0"/>
    <w:rsid w:val="00776424"/>
    <w:rsid w:val="00776BD0"/>
    <w:rsid w:val="007774D1"/>
    <w:rsid w:val="00777F5C"/>
    <w:rsid w:val="00783E95"/>
    <w:rsid w:val="00784717"/>
    <w:rsid w:val="00784C2F"/>
    <w:rsid w:val="00785FE9"/>
    <w:rsid w:val="00790914"/>
    <w:rsid w:val="007920AF"/>
    <w:rsid w:val="00793E8B"/>
    <w:rsid w:val="007974FA"/>
    <w:rsid w:val="007A0F3F"/>
    <w:rsid w:val="007A127D"/>
    <w:rsid w:val="007A197B"/>
    <w:rsid w:val="007A24AE"/>
    <w:rsid w:val="007A65C4"/>
    <w:rsid w:val="007A699E"/>
    <w:rsid w:val="007B07AF"/>
    <w:rsid w:val="007B0DDE"/>
    <w:rsid w:val="007B1543"/>
    <w:rsid w:val="007B3F79"/>
    <w:rsid w:val="007B463D"/>
    <w:rsid w:val="007B6168"/>
    <w:rsid w:val="007B669C"/>
    <w:rsid w:val="007B7552"/>
    <w:rsid w:val="007B7673"/>
    <w:rsid w:val="007C0E86"/>
    <w:rsid w:val="007C1D48"/>
    <w:rsid w:val="007C252C"/>
    <w:rsid w:val="007C2546"/>
    <w:rsid w:val="007C5364"/>
    <w:rsid w:val="007C55DD"/>
    <w:rsid w:val="007C6E8B"/>
    <w:rsid w:val="007D1614"/>
    <w:rsid w:val="007E2558"/>
    <w:rsid w:val="007E2F0B"/>
    <w:rsid w:val="007E3EF9"/>
    <w:rsid w:val="007E49E5"/>
    <w:rsid w:val="007E4F38"/>
    <w:rsid w:val="007E52EE"/>
    <w:rsid w:val="007E6559"/>
    <w:rsid w:val="007F1467"/>
    <w:rsid w:val="007F1B20"/>
    <w:rsid w:val="007F1F28"/>
    <w:rsid w:val="007F23E6"/>
    <w:rsid w:val="007F2C10"/>
    <w:rsid w:val="007F3497"/>
    <w:rsid w:val="007F5B4B"/>
    <w:rsid w:val="007F5D7C"/>
    <w:rsid w:val="007F7407"/>
    <w:rsid w:val="0080112E"/>
    <w:rsid w:val="0080213F"/>
    <w:rsid w:val="0080268E"/>
    <w:rsid w:val="00807CDD"/>
    <w:rsid w:val="0081650C"/>
    <w:rsid w:val="008175FD"/>
    <w:rsid w:val="00817840"/>
    <w:rsid w:val="00820B35"/>
    <w:rsid w:val="0082465D"/>
    <w:rsid w:val="0082490D"/>
    <w:rsid w:val="00825EDE"/>
    <w:rsid w:val="00826470"/>
    <w:rsid w:val="00830A45"/>
    <w:rsid w:val="00831C64"/>
    <w:rsid w:val="008346A6"/>
    <w:rsid w:val="00835CCA"/>
    <w:rsid w:val="008369BD"/>
    <w:rsid w:val="00837575"/>
    <w:rsid w:val="008425CE"/>
    <w:rsid w:val="00842D40"/>
    <w:rsid w:val="008436B9"/>
    <w:rsid w:val="0084453C"/>
    <w:rsid w:val="00852EEF"/>
    <w:rsid w:val="00856105"/>
    <w:rsid w:val="0086149D"/>
    <w:rsid w:val="00864C12"/>
    <w:rsid w:val="008674AE"/>
    <w:rsid w:val="008703AB"/>
    <w:rsid w:val="008717C7"/>
    <w:rsid w:val="008726F2"/>
    <w:rsid w:val="00874B52"/>
    <w:rsid w:val="00877984"/>
    <w:rsid w:val="008779D7"/>
    <w:rsid w:val="00884BD3"/>
    <w:rsid w:val="0088558C"/>
    <w:rsid w:val="0088620F"/>
    <w:rsid w:val="00886600"/>
    <w:rsid w:val="00895066"/>
    <w:rsid w:val="00896015"/>
    <w:rsid w:val="00897143"/>
    <w:rsid w:val="008A2A16"/>
    <w:rsid w:val="008A38AA"/>
    <w:rsid w:val="008A50E2"/>
    <w:rsid w:val="008A6523"/>
    <w:rsid w:val="008A7E6D"/>
    <w:rsid w:val="008B0887"/>
    <w:rsid w:val="008B1A7A"/>
    <w:rsid w:val="008C0681"/>
    <w:rsid w:val="008C1A6E"/>
    <w:rsid w:val="008C2B16"/>
    <w:rsid w:val="008C3F1A"/>
    <w:rsid w:val="008C4DC6"/>
    <w:rsid w:val="008C5DF6"/>
    <w:rsid w:val="008D341C"/>
    <w:rsid w:val="008D34F3"/>
    <w:rsid w:val="008D4ED1"/>
    <w:rsid w:val="008D55D2"/>
    <w:rsid w:val="008D58C0"/>
    <w:rsid w:val="008D5DBB"/>
    <w:rsid w:val="008E1170"/>
    <w:rsid w:val="008E6992"/>
    <w:rsid w:val="008F18A7"/>
    <w:rsid w:val="008F2E6C"/>
    <w:rsid w:val="008F5FDA"/>
    <w:rsid w:val="008F6EE4"/>
    <w:rsid w:val="008F6F0F"/>
    <w:rsid w:val="009033D3"/>
    <w:rsid w:val="00904344"/>
    <w:rsid w:val="00904B2F"/>
    <w:rsid w:val="00906820"/>
    <w:rsid w:val="00906EF1"/>
    <w:rsid w:val="00907A85"/>
    <w:rsid w:val="00910B3D"/>
    <w:rsid w:val="00910E6B"/>
    <w:rsid w:val="0091224C"/>
    <w:rsid w:val="00912340"/>
    <w:rsid w:val="00914708"/>
    <w:rsid w:val="00914D67"/>
    <w:rsid w:val="0091664E"/>
    <w:rsid w:val="009202AB"/>
    <w:rsid w:val="00923976"/>
    <w:rsid w:val="00924113"/>
    <w:rsid w:val="00925F89"/>
    <w:rsid w:val="0092746B"/>
    <w:rsid w:val="00933328"/>
    <w:rsid w:val="00933D27"/>
    <w:rsid w:val="00934179"/>
    <w:rsid w:val="00935CA2"/>
    <w:rsid w:val="009410E2"/>
    <w:rsid w:val="00942A69"/>
    <w:rsid w:val="00943C1D"/>
    <w:rsid w:val="00945823"/>
    <w:rsid w:val="0094720A"/>
    <w:rsid w:val="00947692"/>
    <w:rsid w:val="00947D4F"/>
    <w:rsid w:val="00951180"/>
    <w:rsid w:val="0095230B"/>
    <w:rsid w:val="00953BAD"/>
    <w:rsid w:val="009544F5"/>
    <w:rsid w:val="009638E3"/>
    <w:rsid w:val="00964166"/>
    <w:rsid w:val="009655FB"/>
    <w:rsid w:val="009672AB"/>
    <w:rsid w:val="009677DA"/>
    <w:rsid w:val="0097025B"/>
    <w:rsid w:val="0097251C"/>
    <w:rsid w:val="00972C92"/>
    <w:rsid w:val="009745A0"/>
    <w:rsid w:val="00974F99"/>
    <w:rsid w:val="009763F0"/>
    <w:rsid w:val="00976C2B"/>
    <w:rsid w:val="00977C1E"/>
    <w:rsid w:val="009821CF"/>
    <w:rsid w:val="00982E44"/>
    <w:rsid w:val="0098449A"/>
    <w:rsid w:val="009877DC"/>
    <w:rsid w:val="009916BF"/>
    <w:rsid w:val="00992F61"/>
    <w:rsid w:val="00994D93"/>
    <w:rsid w:val="0099508D"/>
    <w:rsid w:val="009A0183"/>
    <w:rsid w:val="009A5AA7"/>
    <w:rsid w:val="009A5E84"/>
    <w:rsid w:val="009B149A"/>
    <w:rsid w:val="009B1D9D"/>
    <w:rsid w:val="009B35F7"/>
    <w:rsid w:val="009B489A"/>
    <w:rsid w:val="009B54C6"/>
    <w:rsid w:val="009B5E78"/>
    <w:rsid w:val="009B6732"/>
    <w:rsid w:val="009B748A"/>
    <w:rsid w:val="009C3357"/>
    <w:rsid w:val="009D1228"/>
    <w:rsid w:val="009D1887"/>
    <w:rsid w:val="009D2041"/>
    <w:rsid w:val="009D2704"/>
    <w:rsid w:val="009D4CE5"/>
    <w:rsid w:val="009D4EBB"/>
    <w:rsid w:val="009D6004"/>
    <w:rsid w:val="009D6315"/>
    <w:rsid w:val="009E112A"/>
    <w:rsid w:val="009E2316"/>
    <w:rsid w:val="009E2A81"/>
    <w:rsid w:val="009E2B43"/>
    <w:rsid w:val="009E3569"/>
    <w:rsid w:val="009E5087"/>
    <w:rsid w:val="009E69D4"/>
    <w:rsid w:val="009F0422"/>
    <w:rsid w:val="009F1CB7"/>
    <w:rsid w:val="009F3BD3"/>
    <w:rsid w:val="009F3BF2"/>
    <w:rsid w:val="009F5864"/>
    <w:rsid w:val="009F5E79"/>
    <w:rsid w:val="009F71DE"/>
    <w:rsid w:val="00A00276"/>
    <w:rsid w:val="00A012BD"/>
    <w:rsid w:val="00A01C91"/>
    <w:rsid w:val="00A028C7"/>
    <w:rsid w:val="00A03312"/>
    <w:rsid w:val="00A058FC"/>
    <w:rsid w:val="00A1045A"/>
    <w:rsid w:val="00A10509"/>
    <w:rsid w:val="00A1578C"/>
    <w:rsid w:val="00A208B0"/>
    <w:rsid w:val="00A21A86"/>
    <w:rsid w:val="00A21C4B"/>
    <w:rsid w:val="00A22D14"/>
    <w:rsid w:val="00A24C20"/>
    <w:rsid w:val="00A2518F"/>
    <w:rsid w:val="00A25D0A"/>
    <w:rsid w:val="00A264E4"/>
    <w:rsid w:val="00A312FC"/>
    <w:rsid w:val="00A318D8"/>
    <w:rsid w:val="00A326BA"/>
    <w:rsid w:val="00A327EF"/>
    <w:rsid w:val="00A32863"/>
    <w:rsid w:val="00A34E7D"/>
    <w:rsid w:val="00A35566"/>
    <w:rsid w:val="00A35F56"/>
    <w:rsid w:val="00A37C13"/>
    <w:rsid w:val="00A37E26"/>
    <w:rsid w:val="00A44356"/>
    <w:rsid w:val="00A448AD"/>
    <w:rsid w:val="00A45129"/>
    <w:rsid w:val="00A4738F"/>
    <w:rsid w:val="00A4775F"/>
    <w:rsid w:val="00A505F9"/>
    <w:rsid w:val="00A52253"/>
    <w:rsid w:val="00A5296D"/>
    <w:rsid w:val="00A57419"/>
    <w:rsid w:val="00A57DC5"/>
    <w:rsid w:val="00A60B7B"/>
    <w:rsid w:val="00A61E42"/>
    <w:rsid w:val="00A63D6A"/>
    <w:rsid w:val="00A71273"/>
    <w:rsid w:val="00A7260A"/>
    <w:rsid w:val="00A76993"/>
    <w:rsid w:val="00A773FD"/>
    <w:rsid w:val="00A831DF"/>
    <w:rsid w:val="00A83BEC"/>
    <w:rsid w:val="00A87C5B"/>
    <w:rsid w:val="00A9409D"/>
    <w:rsid w:val="00A9490C"/>
    <w:rsid w:val="00A97410"/>
    <w:rsid w:val="00AA0534"/>
    <w:rsid w:val="00AA113A"/>
    <w:rsid w:val="00AB02DD"/>
    <w:rsid w:val="00AB060B"/>
    <w:rsid w:val="00AB35E4"/>
    <w:rsid w:val="00AC0419"/>
    <w:rsid w:val="00AC3040"/>
    <w:rsid w:val="00AC3046"/>
    <w:rsid w:val="00AC461F"/>
    <w:rsid w:val="00AC4ED5"/>
    <w:rsid w:val="00AC6B9D"/>
    <w:rsid w:val="00AD0B95"/>
    <w:rsid w:val="00AD1B74"/>
    <w:rsid w:val="00AD2884"/>
    <w:rsid w:val="00AD3B4B"/>
    <w:rsid w:val="00AD4C8C"/>
    <w:rsid w:val="00AD572D"/>
    <w:rsid w:val="00AD5A9E"/>
    <w:rsid w:val="00AE1ECA"/>
    <w:rsid w:val="00AE497F"/>
    <w:rsid w:val="00AE5C7E"/>
    <w:rsid w:val="00AE6259"/>
    <w:rsid w:val="00AE634D"/>
    <w:rsid w:val="00AF0645"/>
    <w:rsid w:val="00AF1864"/>
    <w:rsid w:val="00AF4747"/>
    <w:rsid w:val="00AF73F8"/>
    <w:rsid w:val="00B009CE"/>
    <w:rsid w:val="00B01508"/>
    <w:rsid w:val="00B0299B"/>
    <w:rsid w:val="00B065A5"/>
    <w:rsid w:val="00B076DA"/>
    <w:rsid w:val="00B117C7"/>
    <w:rsid w:val="00B14A26"/>
    <w:rsid w:val="00B17A4B"/>
    <w:rsid w:val="00B20D11"/>
    <w:rsid w:val="00B21DA0"/>
    <w:rsid w:val="00B2265B"/>
    <w:rsid w:val="00B2284C"/>
    <w:rsid w:val="00B24532"/>
    <w:rsid w:val="00B25898"/>
    <w:rsid w:val="00B3105E"/>
    <w:rsid w:val="00B32E6E"/>
    <w:rsid w:val="00B345B5"/>
    <w:rsid w:val="00B36AAB"/>
    <w:rsid w:val="00B407EA"/>
    <w:rsid w:val="00B42113"/>
    <w:rsid w:val="00B43CE0"/>
    <w:rsid w:val="00B455E6"/>
    <w:rsid w:val="00B46BA5"/>
    <w:rsid w:val="00B46E74"/>
    <w:rsid w:val="00B520FD"/>
    <w:rsid w:val="00B531AB"/>
    <w:rsid w:val="00B55A25"/>
    <w:rsid w:val="00B55D0C"/>
    <w:rsid w:val="00B55F2E"/>
    <w:rsid w:val="00B56695"/>
    <w:rsid w:val="00B570CF"/>
    <w:rsid w:val="00B572CD"/>
    <w:rsid w:val="00B60191"/>
    <w:rsid w:val="00B62BDF"/>
    <w:rsid w:val="00B62E6E"/>
    <w:rsid w:val="00B67416"/>
    <w:rsid w:val="00B70279"/>
    <w:rsid w:val="00B71B6D"/>
    <w:rsid w:val="00B7680C"/>
    <w:rsid w:val="00B76B9F"/>
    <w:rsid w:val="00B82F19"/>
    <w:rsid w:val="00B84186"/>
    <w:rsid w:val="00B86104"/>
    <w:rsid w:val="00B902C2"/>
    <w:rsid w:val="00B92348"/>
    <w:rsid w:val="00B924F6"/>
    <w:rsid w:val="00B94C36"/>
    <w:rsid w:val="00B952C3"/>
    <w:rsid w:val="00B9734A"/>
    <w:rsid w:val="00B97E1D"/>
    <w:rsid w:val="00BA2BE0"/>
    <w:rsid w:val="00BA49FA"/>
    <w:rsid w:val="00BA4F30"/>
    <w:rsid w:val="00BA5DF2"/>
    <w:rsid w:val="00BA7F9E"/>
    <w:rsid w:val="00BB0031"/>
    <w:rsid w:val="00BB05CA"/>
    <w:rsid w:val="00BB41FE"/>
    <w:rsid w:val="00BB623D"/>
    <w:rsid w:val="00BB77F5"/>
    <w:rsid w:val="00BB7E29"/>
    <w:rsid w:val="00BB7ECF"/>
    <w:rsid w:val="00BC082C"/>
    <w:rsid w:val="00BC0AB6"/>
    <w:rsid w:val="00BC0F7C"/>
    <w:rsid w:val="00BC2284"/>
    <w:rsid w:val="00BC238F"/>
    <w:rsid w:val="00BC3B41"/>
    <w:rsid w:val="00BC774A"/>
    <w:rsid w:val="00BC7BCA"/>
    <w:rsid w:val="00BD2105"/>
    <w:rsid w:val="00BD2563"/>
    <w:rsid w:val="00BD2982"/>
    <w:rsid w:val="00BD2BD5"/>
    <w:rsid w:val="00BD42FB"/>
    <w:rsid w:val="00BD4CA2"/>
    <w:rsid w:val="00BD56C8"/>
    <w:rsid w:val="00BD61F4"/>
    <w:rsid w:val="00BD64C2"/>
    <w:rsid w:val="00BD65CE"/>
    <w:rsid w:val="00BD7EA5"/>
    <w:rsid w:val="00BE02E1"/>
    <w:rsid w:val="00BE5796"/>
    <w:rsid w:val="00BE582F"/>
    <w:rsid w:val="00BE5DED"/>
    <w:rsid w:val="00BE7E98"/>
    <w:rsid w:val="00BF0553"/>
    <w:rsid w:val="00BF3C48"/>
    <w:rsid w:val="00BF6C4F"/>
    <w:rsid w:val="00BF704B"/>
    <w:rsid w:val="00BF7B3E"/>
    <w:rsid w:val="00C0114A"/>
    <w:rsid w:val="00C02E46"/>
    <w:rsid w:val="00C04635"/>
    <w:rsid w:val="00C06F89"/>
    <w:rsid w:val="00C12A00"/>
    <w:rsid w:val="00C14D9E"/>
    <w:rsid w:val="00C157A9"/>
    <w:rsid w:val="00C20B34"/>
    <w:rsid w:val="00C23E66"/>
    <w:rsid w:val="00C2784F"/>
    <w:rsid w:val="00C30A3F"/>
    <w:rsid w:val="00C31247"/>
    <w:rsid w:val="00C32F03"/>
    <w:rsid w:val="00C34D6B"/>
    <w:rsid w:val="00C3608F"/>
    <w:rsid w:val="00C41D7D"/>
    <w:rsid w:val="00C44033"/>
    <w:rsid w:val="00C4648F"/>
    <w:rsid w:val="00C478B4"/>
    <w:rsid w:val="00C500F0"/>
    <w:rsid w:val="00C51032"/>
    <w:rsid w:val="00C5256C"/>
    <w:rsid w:val="00C525C3"/>
    <w:rsid w:val="00C57033"/>
    <w:rsid w:val="00C60ECD"/>
    <w:rsid w:val="00C62E3D"/>
    <w:rsid w:val="00C634F4"/>
    <w:rsid w:val="00C658E2"/>
    <w:rsid w:val="00C65FDB"/>
    <w:rsid w:val="00C74817"/>
    <w:rsid w:val="00C81F05"/>
    <w:rsid w:val="00C83592"/>
    <w:rsid w:val="00C84376"/>
    <w:rsid w:val="00C84C92"/>
    <w:rsid w:val="00C85EB1"/>
    <w:rsid w:val="00C87CB0"/>
    <w:rsid w:val="00C90621"/>
    <w:rsid w:val="00C910D3"/>
    <w:rsid w:val="00C94E02"/>
    <w:rsid w:val="00C975D7"/>
    <w:rsid w:val="00C97F4A"/>
    <w:rsid w:val="00CA0217"/>
    <w:rsid w:val="00CA0881"/>
    <w:rsid w:val="00CA0F31"/>
    <w:rsid w:val="00CA1A8B"/>
    <w:rsid w:val="00CA3874"/>
    <w:rsid w:val="00CA4A28"/>
    <w:rsid w:val="00CA5DF6"/>
    <w:rsid w:val="00CA70B9"/>
    <w:rsid w:val="00CA7F3B"/>
    <w:rsid w:val="00CB125B"/>
    <w:rsid w:val="00CB148C"/>
    <w:rsid w:val="00CB2CB9"/>
    <w:rsid w:val="00CB76E1"/>
    <w:rsid w:val="00CC1774"/>
    <w:rsid w:val="00CC3A99"/>
    <w:rsid w:val="00CC4646"/>
    <w:rsid w:val="00CC4CA2"/>
    <w:rsid w:val="00CC70F8"/>
    <w:rsid w:val="00CC7695"/>
    <w:rsid w:val="00CD09D2"/>
    <w:rsid w:val="00CD170D"/>
    <w:rsid w:val="00CE0F8D"/>
    <w:rsid w:val="00CF29B1"/>
    <w:rsid w:val="00CF554B"/>
    <w:rsid w:val="00CF705E"/>
    <w:rsid w:val="00CF7099"/>
    <w:rsid w:val="00CF7943"/>
    <w:rsid w:val="00D004DA"/>
    <w:rsid w:val="00D00C54"/>
    <w:rsid w:val="00D01585"/>
    <w:rsid w:val="00D02B3C"/>
    <w:rsid w:val="00D03ACF"/>
    <w:rsid w:val="00D053DB"/>
    <w:rsid w:val="00D06C0D"/>
    <w:rsid w:val="00D07C1D"/>
    <w:rsid w:val="00D10947"/>
    <w:rsid w:val="00D10F4D"/>
    <w:rsid w:val="00D12A61"/>
    <w:rsid w:val="00D14008"/>
    <w:rsid w:val="00D144BB"/>
    <w:rsid w:val="00D15FCA"/>
    <w:rsid w:val="00D205D4"/>
    <w:rsid w:val="00D20A8E"/>
    <w:rsid w:val="00D2182C"/>
    <w:rsid w:val="00D222C7"/>
    <w:rsid w:val="00D23452"/>
    <w:rsid w:val="00D2362B"/>
    <w:rsid w:val="00D31A73"/>
    <w:rsid w:val="00D33BF7"/>
    <w:rsid w:val="00D3534A"/>
    <w:rsid w:val="00D35C74"/>
    <w:rsid w:val="00D36323"/>
    <w:rsid w:val="00D400D6"/>
    <w:rsid w:val="00D4221A"/>
    <w:rsid w:val="00D42234"/>
    <w:rsid w:val="00D42F02"/>
    <w:rsid w:val="00D433D2"/>
    <w:rsid w:val="00D44E6E"/>
    <w:rsid w:val="00D46647"/>
    <w:rsid w:val="00D468EC"/>
    <w:rsid w:val="00D478D0"/>
    <w:rsid w:val="00D514A2"/>
    <w:rsid w:val="00D522F6"/>
    <w:rsid w:val="00D542C6"/>
    <w:rsid w:val="00D54D70"/>
    <w:rsid w:val="00D57630"/>
    <w:rsid w:val="00D60347"/>
    <w:rsid w:val="00D63CD7"/>
    <w:rsid w:val="00D660E9"/>
    <w:rsid w:val="00D668B8"/>
    <w:rsid w:val="00D73F61"/>
    <w:rsid w:val="00D740C1"/>
    <w:rsid w:val="00D74FA7"/>
    <w:rsid w:val="00D75AD2"/>
    <w:rsid w:val="00D76BFD"/>
    <w:rsid w:val="00D8097B"/>
    <w:rsid w:val="00D85309"/>
    <w:rsid w:val="00D87B80"/>
    <w:rsid w:val="00D90D1B"/>
    <w:rsid w:val="00D9149C"/>
    <w:rsid w:val="00D92A2B"/>
    <w:rsid w:val="00D93287"/>
    <w:rsid w:val="00D93517"/>
    <w:rsid w:val="00D93D15"/>
    <w:rsid w:val="00D94DB7"/>
    <w:rsid w:val="00D95716"/>
    <w:rsid w:val="00D95BB8"/>
    <w:rsid w:val="00D96B03"/>
    <w:rsid w:val="00DA05A3"/>
    <w:rsid w:val="00DA0A7A"/>
    <w:rsid w:val="00DA272E"/>
    <w:rsid w:val="00DA2C62"/>
    <w:rsid w:val="00DA2E6E"/>
    <w:rsid w:val="00DA4827"/>
    <w:rsid w:val="00DA5BBF"/>
    <w:rsid w:val="00DA7C20"/>
    <w:rsid w:val="00DB5BBE"/>
    <w:rsid w:val="00DB6FD0"/>
    <w:rsid w:val="00DB7744"/>
    <w:rsid w:val="00DB7968"/>
    <w:rsid w:val="00DC0186"/>
    <w:rsid w:val="00DC0610"/>
    <w:rsid w:val="00DC25FE"/>
    <w:rsid w:val="00DC310F"/>
    <w:rsid w:val="00DC3742"/>
    <w:rsid w:val="00DC3B1F"/>
    <w:rsid w:val="00DC3BF2"/>
    <w:rsid w:val="00DC6459"/>
    <w:rsid w:val="00DD1393"/>
    <w:rsid w:val="00DD4FB3"/>
    <w:rsid w:val="00DD69BE"/>
    <w:rsid w:val="00DE094D"/>
    <w:rsid w:val="00DE1D35"/>
    <w:rsid w:val="00DE2499"/>
    <w:rsid w:val="00DE5096"/>
    <w:rsid w:val="00DF1003"/>
    <w:rsid w:val="00DF5537"/>
    <w:rsid w:val="00DF66B0"/>
    <w:rsid w:val="00DF6E0B"/>
    <w:rsid w:val="00E0031A"/>
    <w:rsid w:val="00E00F58"/>
    <w:rsid w:val="00E01C2E"/>
    <w:rsid w:val="00E036D0"/>
    <w:rsid w:val="00E0486A"/>
    <w:rsid w:val="00E05BEC"/>
    <w:rsid w:val="00E05EDA"/>
    <w:rsid w:val="00E07015"/>
    <w:rsid w:val="00E10886"/>
    <w:rsid w:val="00E10E27"/>
    <w:rsid w:val="00E15F70"/>
    <w:rsid w:val="00E162FA"/>
    <w:rsid w:val="00E20A73"/>
    <w:rsid w:val="00E2157A"/>
    <w:rsid w:val="00E21713"/>
    <w:rsid w:val="00E21CF1"/>
    <w:rsid w:val="00E26FF6"/>
    <w:rsid w:val="00E27D33"/>
    <w:rsid w:val="00E32C8D"/>
    <w:rsid w:val="00E37C0D"/>
    <w:rsid w:val="00E37E17"/>
    <w:rsid w:val="00E4523A"/>
    <w:rsid w:val="00E4531F"/>
    <w:rsid w:val="00E46D7D"/>
    <w:rsid w:val="00E4726C"/>
    <w:rsid w:val="00E512EE"/>
    <w:rsid w:val="00E5241B"/>
    <w:rsid w:val="00E5251D"/>
    <w:rsid w:val="00E528C8"/>
    <w:rsid w:val="00E52A0C"/>
    <w:rsid w:val="00E53E47"/>
    <w:rsid w:val="00E54F18"/>
    <w:rsid w:val="00E55D8B"/>
    <w:rsid w:val="00E55DA2"/>
    <w:rsid w:val="00E576F0"/>
    <w:rsid w:val="00E57CCB"/>
    <w:rsid w:val="00E60F31"/>
    <w:rsid w:val="00E6270B"/>
    <w:rsid w:val="00E67AB6"/>
    <w:rsid w:val="00E67F3E"/>
    <w:rsid w:val="00E81F0F"/>
    <w:rsid w:val="00E82C7F"/>
    <w:rsid w:val="00E84A5E"/>
    <w:rsid w:val="00E856AA"/>
    <w:rsid w:val="00E8581D"/>
    <w:rsid w:val="00E94D58"/>
    <w:rsid w:val="00EA08CF"/>
    <w:rsid w:val="00EA09B1"/>
    <w:rsid w:val="00EA0A6F"/>
    <w:rsid w:val="00EA1153"/>
    <w:rsid w:val="00EA4FE9"/>
    <w:rsid w:val="00EA6531"/>
    <w:rsid w:val="00EA73DA"/>
    <w:rsid w:val="00EB2189"/>
    <w:rsid w:val="00EB2427"/>
    <w:rsid w:val="00EB27E7"/>
    <w:rsid w:val="00EB2EA9"/>
    <w:rsid w:val="00EB6AD5"/>
    <w:rsid w:val="00EB72F9"/>
    <w:rsid w:val="00EB7775"/>
    <w:rsid w:val="00EC1CBD"/>
    <w:rsid w:val="00EC3E54"/>
    <w:rsid w:val="00EC4743"/>
    <w:rsid w:val="00EC52E6"/>
    <w:rsid w:val="00EC63B5"/>
    <w:rsid w:val="00EC6FF2"/>
    <w:rsid w:val="00EC7DAF"/>
    <w:rsid w:val="00ED007C"/>
    <w:rsid w:val="00ED3407"/>
    <w:rsid w:val="00ED799A"/>
    <w:rsid w:val="00ED7E45"/>
    <w:rsid w:val="00EE0F25"/>
    <w:rsid w:val="00EE1BAE"/>
    <w:rsid w:val="00EE22FF"/>
    <w:rsid w:val="00EE3C49"/>
    <w:rsid w:val="00EE497E"/>
    <w:rsid w:val="00EE4D47"/>
    <w:rsid w:val="00EE73AE"/>
    <w:rsid w:val="00EF03E0"/>
    <w:rsid w:val="00EF1E0D"/>
    <w:rsid w:val="00EF28C3"/>
    <w:rsid w:val="00EF7455"/>
    <w:rsid w:val="00F02D76"/>
    <w:rsid w:val="00F06C91"/>
    <w:rsid w:val="00F0788B"/>
    <w:rsid w:val="00F12884"/>
    <w:rsid w:val="00F15B24"/>
    <w:rsid w:val="00F16512"/>
    <w:rsid w:val="00F20A2F"/>
    <w:rsid w:val="00F2306B"/>
    <w:rsid w:val="00F24282"/>
    <w:rsid w:val="00F256B1"/>
    <w:rsid w:val="00F259B8"/>
    <w:rsid w:val="00F27678"/>
    <w:rsid w:val="00F3237D"/>
    <w:rsid w:val="00F352AF"/>
    <w:rsid w:val="00F373F8"/>
    <w:rsid w:val="00F40196"/>
    <w:rsid w:val="00F404E6"/>
    <w:rsid w:val="00F41130"/>
    <w:rsid w:val="00F42B2F"/>
    <w:rsid w:val="00F4423D"/>
    <w:rsid w:val="00F44E1B"/>
    <w:rsid w:val="00F451FA"/>
    <w:rsid w:val="00F47219"/>
    <w:rsid w:val="00F5333D"/>
    <w:rsid w:val="00F5578A"/>
    <w:rsid w:val="00F560B1"/>
    <w:rsid w:val="00F56C23"/>
    <w:rsid w:val="00F61ADE"/>
    <w:rsid w:val="00F61C2C"/>
    <w:rsid w:val="00F6236B"/>
    <w:rsid w:val="00F63058"/>
    <w:rsid w:val="00F63691"/>
    <w:rsid w:val="00F638D6"/>
    <w:rsid w:val="00F66480"/>
    <w:rsid w:val="00F701E7"/>
    <w:rsid w:val="00F705C6"/>
    <w:rsid w:val="00F70B42"/>
    <w:rsid w:val="00F71905"/>
    <w:rsid w:val="00F746BE"/>
    <w:rsid w:val="00F74B06"/>
    <w:rsid w:val="00F75FB4"/>
    <w:rsid w:val="00F7637F"/>
    <w:rsid w:val="00F76C3E"/>
    <w:rsid w:val="00F7702D"/>
    <w:rsid w:val="00F80B02"/>
    <w:rsid w:val="00F81216"/>
    <w:rsid w:val="00F820AE"/>
    <w:rsid w:val="00F82857"/>
    <w:rsid w:val="00F82B75"/>
    <w:rsid w:val="00F8333A"/>
    <w:rsid w:val="00F850FB"/>
    <w:rsid w:val="00F92BAC"/>
    <w:rsid w:val="00F96669"/>
    <w:rsid w:val="00F96A08"/>
    <w:rsid w:val="00F97B1B"/>
    <w:rsid w:val="00FA1A2F"/>
    <w:rsid w:val="00FB06C0"/>
    <w:rsid w:val="00FB19EB"/>
    <w:rsid w:val="00FB20E9"/>
    <w:rsid w:val="00FB2CAD"/>
    <w:rsid w:val="00FB2DAF"/>
    <w:rsid w:val="00FB3B08"/>
    <w:rsid w:val="00FB627F"/>
    <w:rsid w:val="00FC0C17"/>
    <w:rsid w:val="00FC3830"/>
    <w:rsid w:val="00FC38F3"/>
    <w:rsid w:val="00FC63D6"/>
    <w:rsid w:val="00FD0045"/>
    <w:rsid w:val="00FD1A9F"/>
    <w:rsid w:val="00FD32E5"/>
    <w:rsid w:val="00FD3F8D"/>
    <w:rsid w:val="00FD433E"/>
    <w:rsid w:val="00FD7585"/>
    <w:rsid w:val="00FE0A43"/>
    <w:rsid w:val="00FE101F"/>
    <w:rsid w:val="00FE5BCE"/>
    <w:rsid w:val="00FF09C2"/>
    <w:rsid w:val="00FF22B2"/>
    <w:rsid w:val="00FF2B84"/>
    <w:rsid w:val="00FF34B6"/>
    <w:rsid w:val="00FF4517"/>
    <w:rsid w:val="00FF5121"/>
    <w:rsid w:val="00FF600E"/>
    <w:rsid w:val="00FF6973"/>
    <w:rsid w:val="00FF70E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ln">
    <w:name w:val="Normal"/>
    <w:qFormat/>
    <w:rsid w:val="00A21A86"/>
    <w:pPr>
      <w:overflowPunct w:val="0"/>
      <w:autoSpaceDE w:val="0"/>
      <w:autoSpaceDN w:val="0"/>
      <w:adjustRightInd w:val="0"/>
      <w:jc w:val="both"/>
      <w:textAlignment w:val="baseline"/>
    </w:pPr>
    <w:rPr>
      <w:rFonts w:ascii="Calibri" w:hAnsi="Calibri"/>
      <w:szCs w:val="20"/>
    </w:rPr>
  </w:style>
  <w:style w:type="paragraph" w:styleId="Nadpis1">
    <w:name w:val="heading 1"/>
    <w:basedOn w:val="Normln"/>
    <w:next w:val="Normln"/>
    <w:link w:val="Nadpis1Char"/>
    <w:uiPriority w:val="99"/>
    <w:qFormat/>
    <w:rsid w:val="00F75FB4"/>
    <w:pPr>
      <w:keepNext/>
      <w:keepLines/>
      <w:numPr>
        <w:numId w:val="2"/>
      </w:numPr>
      <w:spacing w:before="480"/>
      <w:outlineLvl w:val="0"/>
    </w:pPr>
    <w:rPr>
      <w:rFonts w:ascii="Cambria" w:hAnsi="Cambria"/>
      <w:b/>
      <w:bCs/>
      <w:color w:val="1F497D"/>
      <w:sz w:val="32"/>
      <w:szCs w:val="28"/>
    </w:rPr>
  </w:style>
  <w:style w:type="paragraph" w:styleId="Nadpis2">
    <w:name w:val="heading 2"/>
    <w:basedOn w:val="Normln"/>
    <w:next w:val="Normln"/>
    <w:link w:val="Nadpis2Char"/>
    <w:uiPriority w:val="99"/>
    <w:qFormat/>
    <w:rsid w:val="00CC70F8"/>
    <w:pPr>
      <w:keepNext/>
      <w:keepLines/>
      <w:numPr>
        <w:ilvl w:val="1"/>
        <w:numId w:val="2"/>
      </w:numPr>
      <w:spacing w:before="200" w:after="240"/>
      <w:outlineLvl w:val="1"/>
    </w:pPr>
    <w:rPr>
      <w:rFonts w:ascii="Cambria" w:hAnsi="Cambria"/>
      <w:b/>
      <w:bCs/>
      <w:color w:val="548DD4"/>
      <w:sz w:val="28"/>
      <w:szCs w:val="26"/>
    </w:rPr>
  </w:style>
  <w:style w:type="paragraph" w:styleId="Nadpis3">
    <w:name w:val="heading 3"/>
    <w:basedOn w:val="Normln"/>
    <w:next w:val="Normln"/>
    <w:link w:val="Nadpis3Char"/>
    <w:uiPriority w:val="99"/>
    <w:qFormat/>
    <w:rsid w:val="009D1228"/>
    <w:pPr>
      <w:keepNext/>
      <w:keepLines/>
      <w:numPr>
        <w:ilvl w:val="2"/>
        <w:numId w:val="2"/>
      </w:numPr>
      <w:spacing w:before="200" w:after="240"/>
      <w:outlineLvl w:val="2"/>
    </w:pPr>
    <w:rPr>
      <w:rFonts w:ascii="Cambria" w:hAnsi="Cambria"/>
      <w:b/>
      <w:bCs/>
      <w:color w:val="548DD4"/>
      <w:sz w:val="28"/>
    </w:rPr>
  </w:style>
  <w:style w:type="paragraph" w:styleId="Nadpis4">
    <w:name w:val="heading 4"/>
    <w:basedOn w:val="Normln"/>
    <w:next w:val="Normln"/>
    <w:link w:val="Nadpis4Char"/>
    <w:uiPriority w:val="99"/>
    <w:qFormat/>
    <w:rsid w:val="00B9734A"/>
    <w:pPr>
      <w:keepNext/>
      <w:keepLines/>
      <w:numPr>
        <w:ilvl w:val="3"/>
        <w:numId w:val="2"/>
      </w:numPr>
      <w:spacing w:before="200"/>
      <w:outlineLvl w:val="3"/>
    </w:pPr>
    <w:rPr>
      <w:rFonts w:ascii="Cambria" w:hAnsi="Cambria"/>
      <w:b/>
      <w:bCs/>
      <w:i/>
      <w:iCs/>
      <w:color w:val="4F81BD"/>
    </w:rPr>
  </w:style>
  <w:style w:type="paragraph" w:styleId="Nadpis5">
    <w:name w:val="heading 5"/>
    <w:basedOn w:val="Normln"/>
    <w:next w:val="Normln"/>
    <w:link w:val="Nadpis5Char"/>
    <w:uiPriority w:val="99"/>
    <w:qFormat/>
    <w:rsid w:val="00B9734A"/>
    <w:pPr>
      <w:keepNext/>
      <w:keepLines/>
      <w:numPr>
        <w:ilvl w:val="4"/>
        <w:numId w:val="2"/>
      </w:numPr>
      <w:spacing w:before="200"/>
      <w:outlineLvl w:val="4"/>
    </w:pPr>
    <w:rPr>
      <w:rFonts w:ascii="Cambria" w:hAnsi="Cambria"/>
      <w:color w:val="243F60"/>
    </w:rPr>
  </w:style>
  <w:style w:type="paragraph" w:styleId="Nadpis6">
    <w:name w:val="heading 6"/>
    <w:basedOn w:val="Normln"/>
    <w:next w:val="Normln"/>
    <w:link w:val="Nadpis6Char"/>
    <w:uiPriority w:val="99"/>
    <w:qFormat/>
    <w:rsid w:val="00B9734A"/>
    <w:pPr>
      <w:keepNext/>
      <w:keepLines/>
      <w:numPr>
        <w:ilvl w:val="5"/>
        <w:numId w:val="2"/>
      </w:numPr>
      <w:spacing w:before="200"/>
      <w:outlineLvl w:val="5"/>
    </w:pPr>
    <w:rPr>
      <w:rFonts w:ascii="Cambria" w:hAnsi="Cambria"/>
      <w:i/>
      <w:iCs/>
      <w:color w:val="243F60"/>
    </w:rPr>
  </w:style>
  <w:style w:type="paragraph" w:styleId="Nadpis7">
    <w:name w:val="heading 7"/>
    <w:basedOn w:val="Normln"/>
    <w:next w:val="Normln"/>
    <w:link w:val="Nadpis7Char"/>
    <w:uiPriority w:val="99"/>
    <w:qFormat/>
    <w:rsid w:val="00B9734A"/>
    <w:pPr>
      <w:keepNext/>
      <w:keepLines/>
      <w:numPr>
        <w:ilvl w:val="6"/>
        <w:numId w:val="2"/>
      </w:numPr>
      <w:spacing w:before="200"/>
      <w:outlineLvl w:val="6"/>
    </w:pPr>
    <w:rPr>
      <w:rFonts w:ascii="Cambria" w:hAnsi="Cambria"/>
      <w:i/>
      <w:iCs/>
      <w:color w:val="404040"/>
    </w:rPr>
  </w:style>
  <w:style w:type="paragraph" w:styleId="Nadpis8">
    <w:name w:val="heading 8"/>
    <w:basedOn w:val="Normln"/>
    <w:next w:val="Normln"/>
    <w:link w:val="Nadpis8Char"/>
    <w:uiPriority w:val="99"/>
    <w:qFormat/>
    <w:rsid w:val="00B9734A"/>
    <w:pPr>
      <w:keepNext/>
      <w:keepLines/>
      <w:numPr>
        <w:ilvl w:val="7"/>
        <w:numId w:val="2"/>
      </w:numPr>
      <w:spacing w:before="200"/>
      <w:outlineLvl w:val="7"/>
    </w:pPr>
    <w:rPr>
      <w:rFonts w:ascii="Cambria" w:hAnsi="Cambria"/>
      <w:color w:val="404040"/>
      <w:sz w:val="20"/>
    </w:rPr>
  </w:style>
  <w:style w:type="paragraph" w:styleId="Nadpis9">
    <w:name w:val="heading 9"/>
    <w:basedOn w:val="Normln"/>
    <w:next w:val="Normln"/>
    <w:link w:val="Nadpis9Char"/>
    <w:uiPriority w:val="99"/>
    <w:qFormat/>
    <w:rsid w:val="00B9734A"/>
    <w:pPr>
      <w:keepNext/>
      <w:keepLines/>
      <w:numPr>
        <w:ilvl w:val="8"/>
        <w:numId w:val="2"/>
      </w:numPr>
      <w:spacing w:before="20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F75FB4"/>
    <w:rPr>
      <w:rFonts w:ascii="Cambria" w:hAnsi="Cambria"/>
      <w:b/>
      <w:bCs/>
      <w:color w:val="1F497D"/>
      <w:sz w:val="32"/>
      <w:szCs w:val="28"/>
    </w:rPr>
  </w:style>
  <w:style w:type="character" w:customStyle="1" w:styleId="Nadpis2Char">
    <w:name w:val="Nadpis 2 Char"/>
    <w:basedOn w:val="Standardnpsmoodstavce"/>
    <w:link w:val="Nadpis2"/>
    <w:uiPriority w:val="99"/>
    <w:locked/>
    <w:rsid w:val="00CC70F8"/>
    <w:rPr>
      <w:rFonts w:ascii="Cambria" w:hAnsi="Cambria" w:cs="Times New Roman"/>
      <w:b/>
      <w:bCs/>
      <w:color w:val="548DD4"/>
      <w:sz w:val="26"/>
      <w:szCs w:val="26"/>
      <w:lang w:val="cs-CZ" w:eastAsia="cs-CZ" w:bidi="ar-SA"/>
    </w:rPr>
  </w:style>
  <w:style w:type="character" w:customStyle="1" w:styleId="Nadpis3Char">
    <w:name w:val="Nadpis 3 Char"/>
    <w:basedOn w:val="Standardnpsmoodstavce"/>
    <w:link w:val="Nadpis3"/>
    <w:uiPriority w:val="99"/>
    <w:locked/>
    <w:rsid w:val="009D1228"/>
    <w:rPr>
      <w:rFonts w:ascii="Cambria" w:hAnsi="Cambria" w:cs="Times New Roman"/>
      <w:b/>
      <w:bCs/>
      <w:color w:val="548DD4"/>
      <w:sz w:val="28"/>
      <w:lang w:val="cs-CZ" w:eastAsia="cs-CZ" w:bidi="ar-SA"/>
    </w:rPr>
  </w:style>
  <w:style w:type="character" w:customStyle="1" w:styleId="Nadpis4Char">
    <w:name w:val="Nadpis 4 Char"/>
    <w:basedOn w:val="Standardnpsmoodstavce"/>
    <w:link w:val="Nadpis4"/>
    <w:uiPriority w:val="99"/>
    <w:locked/>
    <w:rsid w:val="00B9734A"/>
    <w:rPr>
      <w:rFonts w:ascii="Cambria" w:hAnsi="Cambria" w:cs="Times New Roman"/>
      <w:b/>
      <w:bCs/>
      <w:i/>
      <w:iCs/>
      <w:color w:val="4F81BD"/>
      <w:sz w:val="22"/>
      <w:lang w:val="cs-CZ" w:eastAsia="cs-CZ" w:bidi="ar-SA"/>
    </w:rPr>
  </w:style>
  <w:style w:type="character" w:customStyle="1" w:styleId="Nadpis5Char">
    <w:name w:val="Nadpis 5 Char"/>
    <w:basedOn w:val="Standardnpsmoodstavce"/>
    <w:link w:val="Nadpis5"/>
    <w:uiPriority w:val="99"/>
    <w:locked/>
    <w:rsid w:val="00B9734A"/>
    <w:rPr>
      <w:rFonts w:ascii="Cambria" w:hAnsi="Cambria" w:cs="Times New Roman"/>
      <w:color w:val="243F60"/>
      <w:sz w:val="22"/>
      <w:lang w:val="cs-CZ" w:eastAsia="cs-CZ" w:bidi="ar-SA"/>
    </w:rPr>
  </w:style>
  <w:style w:type="character" w:customStyle="1" w:styleId="Nadpis6Char">
    <w:name w:val="Nadpis 6 Char"/>
    <w:basedOn w:val="Standardnpsmoodstavce"/>
    <w:link w:val="Nadpis6"/>
    <w:uiPriority w:val="99"/>
    <w:locked/>
    <w:rsid w:val="00B9734A"/>
    <w:rPr>
      <w:rFonts w:ascii="Cambria" w:hAnsi="Cambria" w:cs="Times New Roman"/>
      <w:i/>
      <w:iCs/>
      <w:color w:val="243F60"/>
      <w:sz w:val="22"/>
      <w:lang w:val="cs-CZ" w:eastAsia="cs-CZ" w:bidi="ar-SA"/>
    </w:rPr>
  </w:style>
  <w:style w:type="character" w:customStyle="1" w:styleId="Nadpis7Char">
    <w:name w:val="Nadpis 7 Char"/>
    <w:basedOn w:val="Standardnpsmoodstavce"/>
    <w:link w:val="Nadpis7"/>
    <w:uiPriority w:val="99"/>
    <w:locked/>
    <w:rsid w:val="00B9734A"/>
    <w:rPr>
      <w:rFonts w:ascii="Cambria" w:hAnsi="Cambria" w:cs="Times New Roman"/>
      <w:i/>
      <w:iCs/>
      <w:color w:val="404040"/>
      <w:sz w:val="22"/>
      <w:lang w:val="cs-CZ" w:eastAsia="cs-CZ" w:bidi="ar-SA"/>
    </w:rPr>
  </w:style>
  <w:style w:type="character" w:customStyle="1" w:styleId="Nadpis8Char">
    <w:name w:val="Nadpis 8 Char"/>
    <w:basedOn w:val="Standardnpsmoodstavce"/>
    <w:link w:val="Nadpis8"/>
    <w:uiPriority w:val="99"/>
    <w:semiHidden/>
    <w:locked/>
    <w:rsid w:val="00B9734A"/>
    <w:rPr>
      <w:rFonts w:ascii="Cambria" w:hAnsi="Cambria" w:cs="Times New Roman"/>
      <w:color w:val="404040"/>
      <w:lang w:val="cs-CZ" w:eastAsia="cs-CZ" w:bidi="ar-SA"/>
    </w:rPr>
  </w:style>
  <w:style w:type="character" w:customStyle="1" w:styleId="Nadpis9Char">
    <w:name w:val="Nadpis 9 Char"/>
    <w:basedOn w:val="Standardnpsmoodstavce"/>
    <w:link w:val="Nadpis9"/>
    <w:uiPriority w:val="99"/>
    <w:semiHidden/>
    <w:locked/>
    <w:rsid w:val="00B9734A"/>
    <w:rPr>
      <w:rFonts w:ascii="Cambria" w:hAnsi="Cambria" w:cs="Times New Roman"/>
      <w:i/>
      <w:iCs/>
      <w:color w:val="404040"/>
      <w:lang w:val="cs-CZ" w:eastAsia="cs-CZ" w:bidi="ar-SA"/>
    </w:rPr>
  </w:style>
  <w:style w:type="paragraph" w:styleId="Textbubliny">
    <w:name w:val="Balloon Text"/>
    <w:basedOn w:val="Normln"/>
    <w:link w:val="TextbublinyChar"/>
    <w:uiPriority w:val="99"/>
    <w:semiHidden/>
    <w:rsid w:val="003709F3"/>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3709F3"/>
    <w:rPr>
      <w:rFonts w:ascii="Tahoma" w:hAnsi="Tahoma" w:cs="Tahoma"/>
      <w:sz w:val="16"/>
      <w:szCs w:val="16"/>
    </w:rPr>
  </w:style>
  <w:style w:type="paragraph" w:styleId="Zhlav">
    <w:name w:val="header"/>
    <w:basedOn w:val="Normln"/>
    <w:link w:val="ZhlavChar"/>
    <w:uiPriority w:val="99"/>
    <w:rsid w:val="006561E1"/>
    <w:pPr>
      <w:tabs>
        <w:tab w:val="center" w:pos="4536"/>
        <w:tab w:val="right" w:pos="9072"/>
      </w:tabs>
    </w:pPr>
  </w:style>
  <w:style w:type="character" w:customStyle="1" w:styleId="ZhlavChar">
    <w:name w:val="Záhlaví Char"/>
    <w:basedOn w:val="Standardnpsmoodstavce"/>
    <w:link w:val="Zhlav"/>
    <w:uiPriority w:val="99"/>
    <w:locked/>
    <w:rsid w:val="006561E1"/>
    <w:rPr>
      <w:rFonts w:ascii="Calibri" w:hAnsi="Calibri" w:cs="Times New Roman"/>
      <w:sz w:val="22"/>
    </w:rPr>
  </w:style>
  <w:style w:type="paragraph" w:styleId="Zpat">
    <w:name w:val="footer"/>
    <w:basedOn w:val="Normln"/>
    <w:link w:val="ZpatChar"/>
    <w:uiPriority w:val="99"/>
    <w:rsid w:val="006561E1"/>
    <w:pPr>
      <w:tabs>
        <w:tab w:val="center" w:pos="4536"/>
        <w:tab w:val="right" w:pos="9072"/>
      </w:tabs>
    </w:pPr>
  </w:style>
  <w:style w:type="character" w:customStyle="1" w:styleId="ZpatChar">
    <w:name w:val="Zápatí Char"/>
    <w:basedOn w:val="Standardnpsmoodstavce"/>
    <w:link w:val="Zpat"/>
    <w:uiPriority w:val="99"/>
    <w:locked/>
    <w:rsid w:val="006561E1"/>
    <w:rPr>
      <w:rFonts w:ascii="Calibri" w:hAnsi="Calibri" w:cs="Times New Roman"/>
      <w:sz w:val="22"/>
    </w:rPr>
  </w:style>
  <w:style w:type="character" w:styleId="Hypertextovodkaz">
    <w:name w:val="Hyperlink"/>
    <w:basedOn w:val="Standardnpsmoodstavce"/>
    <w:uiPriority w:val="99"/>
    <w:rsid w:val="000C1B4F"/>
    <w:rPr>
      <w:rFonts w:cs="Times New Roman"/>
      <w:color w:val="0000FF"/>
      <w:u w:val="single"/>
    </w:rPr>
  </w:style>
  <w:style w:type="character" w:styleId="slostrnky">
    <w:name w:val="page number"/>
    <w:basedOn w:val="Standardnpsmoodstavce"/>
    <w:uiPriority w:val="99"/>
    <w:rsid w:val="000C1B4F"/>
    <w:rPr>
      <w:rFonts w:cs="Times New Roman"/>
    </w:rPr>
  </w:style>
  <w:style w:type="paragraph" w:styleId="Odstavecseseznamem">
    <w:name w:val="List Paragraph"/>
    <w:basedOn w:val="Normln"/>
    <w:link w:val="OdstavecseseznamemChar"/>
    <w:uiPriority w:val="99"/>
    <w:qFormat/>
    <w:rsid w:val="00EB7775"/>
    <w:pPr>
      <w:ind w:left="720"/>
      <w:contextualSpacing/>
    </w:pPr>
  </w:style>
  <w:style w:type="character" w:styleId="Znakapoznpodarou">
    <w:name w:val="footnote reference"/>
    <w:aliases w:val="Überschrift 4 Zchn1,Título 4 Car Zchn,Heading 4 Char1 Car Zchn,no vale 2 Zchn,no vale 2 Car Zchn,PGI Fußnote Ziffer,BVI fnr,Footnote symbol,Footnote Reference Superscript,Appel note de bas de p,Appel note de bas de page,Légende"/>
    <w:basedOn w:val="Standardnpsmoodstavce"/>
    <w:uiPriority w:val="99"/>
    <w:rsid w:val="00CC70F8"/>
    <w:rPr>
      <w:rFonts w:ascii="Arial" w:hAnsi="Arial" w:cs="Times New Roman"/>
      <w:sz w:val="16"/>
      <w:vertAlign w:val="superscript"/>
    </w:rPr>
  </w:style>
  <w:style w:type="paragraph" w:styleId="Textpoznpodarou">
    <w:name w:val="footnote text"/>
    <w:aliases w:val="Char1,Schriftart: 9 pt,Schriftart: 10 pt,Schriftart: 8 pt,Text poznámky pod čiarou 007,Footnote,Fußnotentextf,Geneva 9,Font: Geneva 9,Boston 10,f,pozn. pod čarou,Text pozn. pod čarou1,Char Char Char1,Footnote Text Char1,o,fn"/>
    <w:basedOn w:val="Normln"/>
    <w:link w:val="TextpoznpodarouChar"/>
    <w:uiPriority w:val="99"/>
    <w:rsid w:val="00CC70F8"/>
    <w:pPr>
      <w:overflowPunct/>
      <w:autoSpaceDE/>
      <w:autoSpaceDN/>
      <w:adjustRightInd/>
      <w:textAlignment w:val="auto"/>
    </w:pPr>
    <w:rPr>
      <w:rFonts w:ascii="Arial" w:hAnsi="Arial" w:cs="Arial"/>
      <w:sz w:val="16"/>
      <w:lang w:eastAsia="en-US"/>
    </w:rPr>
  </w:style>
  <w:style w:type="character" w:customStyle="1" w:styleId="TextpoznpodarouChar">
    <w:name w:val="Text pozn. pod čarou Char"/>
    <w:aliases w:val="Char1 Char,Schriftart: 9 pt Char,Schriftart: 10 pt Char,Schriftart: 8 pt Char,Text poznámky pod čiarou 007 Char,Footnote Char,Fußnotentextf Char,Geneva 9 Char,Font: Geneva 9 Char,Boston 10 Char,f Char,pozn. pod čarou Char"/>
    <w:basedOn w:val="Standardnpsmoodstavce"/>
    <w:link w:val="Textpoznpodarou"/>
    <w:uiPriority w:val="99"/>
    <w:locked/>
    <w:rsid w:val="00CC70F8"/>
    <w:rPr>
      <w:rFonts w:ascii="Arial" w:hAnsi="Arial" w:cs="Arial"/>
      <w:sz w:val="16"/>
      <w:lang w:eastAsia="en-US"/>
    </w:rPr>
  </w:style>
  <w:style w:type="paragraph" w:styleId="Titulek">
    <w:name w:val="caption"/>
    <w:basedOn w:val="Normln"/>
    <w:next w:val="Normln"/>
    <w:link w:val="TitulekChar"/>
    <w:uiPriority w:val="99"/>
    <w:qFormat/>
    <w:rsid w:val="00CC70F8"/>
    <w:pPr>
      <w:overflowPunct/>
      <w:autoSpaceDE/>
      <w:autoSpaceDN/>
      <w:adjustRightInd/>
      <w:textAlignment w:val="auto"/>
    </w:pPr>
    <w:rPr>
      <w:rFonts w:ascii="Arial" w:hAnsi="Arial" w:cs="Arial"/>
      <w:b/>
      <w:bCs/>
      <w:color w:val="4F81BD"/>
      <w:sz w:val="20"/>
      <w:lang w:eastAsia="en-US"/>
    </w:rPr>
  </w:style>
  <w:style w:type="character" w:customStyle="1" w:styleId="TitulekChar">
    <w:name w:val="Titulek Char"/>
    <w:basedOn w:val="Standardnpsmoodstavce"/>
    <w:link w:val="Titulek"/>
    <w:uiPriority w:val="99"/>
    <w:locked/>
    <w:rsid w:val="00CC70F8"/>
    <w:rPr>
      <w:rFonts w:ascii="Arial" w:hAnsi="Arial" w:cs="Arial"/>
      <w:b/>
      <w:bCs/>
      <w:color w:val="4F81BD"/>
      <w:lang w:eastAsia="en-US"/>
    </w:rPr>
  </w:style>
  <w:style w:type="table" w:customStyle="1" w:styleId="TableGridLight1">
    <w:name w:val="Table Grid Light1"/>
    <w:uiPriority w:val="99"/>
    <w:rsid w:val="00CC70F8"/>
    <w:rPr>
      <w:sz w:val="20"/>
      <w:szCs w:val="20"/>
      <w:lang w:val="en-US"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Neslovannadpisy">
    <w:name w:val="Nečíslované nadpisy"/>
    <w:basedOn w:val="Normln"/>
    <w:uiPriority w:val="99"/>
    <w:rsid w:val="00A57419"/>
    <w:pPr>
      <w:spacing w:after="120"/>
    </w:pPr>
    <w:rPr>
      <w:b/>
      <w:color w:val="18B462"/>
    </w:rPr>
  </w:style>
  <w:style w:type="table" w:customStyle="1" w:styleId="Deloittetable1">
    <w:name w:val="Deloitte table 1"/>
    <w:uiPriority w:val="99"/>
    <w:rsid w:val="00A21A86"/>
    <w:rPr>
      <w:rFonts w:ascii="Arial" w:hAnsi="Arial"/>
      <w:sz w:val="19"/>
      <w:szCs w:val="20"/>
    </w:rPr>
    <w:tblPr>
      <w:tblInd w:w="0" w:type="dxa"/>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style>
  <w:style w:type="paragraph" w:customStyle="1" w:styleId="Vtneslovannadpis">
    <w:name w:val="Větší nečíslovaný nadpis"/>
    <w:basedOn w:val="Neslovannadpisy"/>
    <w:uiPriority w:val="99"/>
    <w:rsid w:val="00A21A86"/>
    <w:pPr>
      <w:spacing w:after="240"/>
    </w:pPr>
    <w:rPr>
      <w:rFonts w:ascii="Cambria" w:hAnsi="Cambria"/>
      <w:color w:val="548DD4"/>
      <w:sz w:val="24"/>
    </w:rPr>
  </w:style>
  <w:style w:type="character" w:customStyle="1" w:styleId="OdstavecseseznamemChar">
    <w:name w:val="Odstavec se seznamem Char"/>
    <w:link w:val="Odstavecseseznamem"/>
    <w:uiPriority w:val="99"/>
    <w:locked/>
    <w:rsid w:val="008346A6"/>
    <w:rPr>
      <w:rFonts w:ascii="Calibri" w:hAnsi="Calibri"/>
      <w:sz w:val="22"/>
    </w:rPr>
  </w:style>
  <w:style w:type="table" w:styleId="Mkatabulky">
    <w:name w:val="Table Grid"/>
    <w:aliases w:val="Deloitte table 3"/>
    <w:basedOn w:val="Normlntabulka"/>
    <w:uiPriority w:val="99"/>
    <w:rsid w:val="002B7553"/>
    <w:rPr>
      <w:rFonts w:ascii="Arial" w:hAnsi="Arial"/>
      <w:sz w:val="19"/>
      <w:szCs w:val="20"/>
    </w:rPr>
    <w:tblPr>
      <w:tblBorders>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cs="Times New Roman"/>
        <w:b/>
        <w:color w:val="FFFFFF"/>
        <w:sz w:val="19"/>
      </w:rPr>
      <w:tblPr/>
      <w:tcPr>
        <w:shd w:val="clear" w:color="auto" w:fill="72C7E7"/>
      </w:tcPr>
    </w:tblStylePr>
    <w:tblStylePr w:type="firstCol">
      <w:rPr>
        <w:rFonts w:ascii="Arial" w:hAnsi="Arial" w:cs="Times New Roman"/>
        <w:sz w:val="19"/>
      </w:rPr>
    </w:tblStylePr>
  </w:style>
  <w:style w:type="paragraph" w:customStyle="1" w:styleId="Textpspvku">
    <w:name w:val="Text příspěvku"/>
    <w:basedOn w:val="Normln"/>
    <w:uiPriority w:val="99"/>
    <w:rsid w:val="00FF70E4"/>
    <w:pPr>
      <w:tabs>
        <w:tab w:val="left" w:pos="284"/>
      </w:tabs>
      <w:overflowPunct/>
      <w:autoSpaceDE/>
      <w:autoSpaceDN/>
      <w:adjustRightInd/>
      <w:spacing w:after="120"/>
      <w:textAlignment w:val="auto"/>
    </w:pPr>
    <w:rPr>
      <w:szCs w:val="24"/>
      <w:lang w:eastAsia="en-US"/>
    </w:rPr>
  </w:style>
  <w:style w:type="table" w:customStyle="1" w:styleId="Deloittetable2">
    <w:name w:val="Deloitte table 2"/>
    <w:uiPriority w:val="99"/>
    <w:rsid w:val="00E528C8"/>
    <w:rPr>
      <w:rFonts w:ascii="Arial" w:hAnsi="Arial"/>
      <w:sz w:val="19"/>
      <w:szCs w:val="20"/>
    </w:rPr>
    <w:tblPr>
      <w:tblInd w:w="0" w:type="dxa"/>
      <w:tblBorders>
        <w:bottom w:val="single" w:sz="4" w:space="0" w:color="00A1DE"/>
        <w:insideH w:val="single" w:sz="4" w:space="0" w:color="00A1DE"/>
      </w:tblBorders>
      <w:tblCellMar>
        <w:top w:w="28" w:type="dxa"/>
        <w:left w:w="28" w:type="dxa"/>
        <w:bottom w:w="28" w:type="dxa"/>
        <w:right w:w="28" w:type="dxa"/>
      </w:tblCellMar>
    </w:tblPr>
    <w:tcPr>
      <w:shd w:val="clear" w:color="auto" w:fill="FFFFFF"/>
    </w:tcPr>
  </w:style>
  <w:style w:type="character" w:customStyle="1" w:styleId="BodytextChar">
    <w:name w:val="Body text Char"/>
    <w:link w:val="BodyText1"/>
    <w:uiPriority w:val="99"/>
    <w:locked/>
    <w:rsid w:val="00416BF2"/>
    <w:rPr>
      <w:rFonts w:ascii="Arial" w:hAnsi="Arial"/>
      <w:color w:val="000000"/>
      <w:sz w:val="48"/>
      <w:lang w:val="cs-CZ" w:eastAsia="en-US"/>
    </w:rPr>
  </w:style>
  <w:style w:type="paragraph" w:customStyle="1" w:styleId="BodyText1">
    <w:name w:val="Body Text1"/>
    <w:link w:val="BodytextChar"/>
    <w:uiPriority w:val="99"/>
    <w:rsid w:val="00416BF2"/>
    <w:rPr>
      <w:rFonts w:ascii="Arial" w:hAnsi="Arial" w:cs="Arial"/>
      <w:color w:val="000000"/>
      <w:sz w:val="19"/>
      <w:szCs w:val="48"/>
      <w:lang w:eastAsia="en-US"/>
    </w:rPr>
  </w:style>
  <w:style w:type="character" w:styleId="Odkaznakoment">
    <w:name w:val="annotation reference"/>
    <w:basedOn w:val="Standardnpsmoodstavce"/>
    <w:uiPriority w:val="99"/>
    <w:semiHidden/>
    <w:rsid w:val="001F3C28"/>
    <w:rPr>
      <w:rFonts w:cs="Times New Roman"/>
      <w:sz w:val="16"/>
      <w:szCs w:val="16"/>
    </w:rPr>
  </w:style>
  <w:style w:type="paragraph" w:styleId="Textkomente">
    <w:name w:val="annotation text"/>
    <w:basedOn w:val="Normln"/>
    <w:link w:val="TextkomenteChar"/>
    <w:uiPriority w:val="99"/>
    <w:semiHidden/>
    <w:rsid w:val="001F3C28"/>
    <w:rPr>
      <w:sz w:val="20"/>
    </w:rPr>
  </w:style>
  <w:style w:type="character" w:customStyle="1" w:styleId="TextkomenteChar">
    <w:name w:val="Text komentáře Char"/>
    <w:basedOn w:val="Standardnpsmoodstavce"/>
    <w:link w:val="Textkomente"/>
    <w:uiPriority w:val="99"/>
    <w:semiHidden/>
    <w:locked/>
    <w:rsid w:val="001F3C28"/>
    <w:rPr>
      <w:rFonts w:ascii="Calibri" w:hAnsi="Calibri" w:cs="Times New Roman"/>
    </w:rPr>
  </w:style>
  <w:style w:type="paragraph" w:styleId="Pedmtkomente">
    <w:name w:val="annotation subject"/>
    <w:basedOn w:val="Textkomente"/>
    <w:next w:val="Textkomente"/>
    <w:link w:val="PedmtkomenteChar"/>
    <w:uiPriority w:val="99"/>
    <w:semiHidden/>
    <w:rsid w:val="001F3C28"/>
    <w:rPr>
      <w:b/>
      <w:bCs/>
    </w:rPr>
  </w:style>
  <w:style w:type="character" w:customStyle="1" w:styleId="PedmtkomenteChar">
    <w:name w:val="Předmět komentáře Char"/>
    <w:basedOn w:val="TextkomenteChar"/>
    <w:link w:val="Pedmtkomente"/>
    <w:uiPriority w:val="99"/>
    <w:semiHidden/>
    <w:locked/>
    <w:rsid w:val="001F3C28"/>
    <w:rPr>
      <w:rFonts w:ascii="Calibri" w:hAnsi="Calibri" w:cs="Times New Roman"/>
      <w:b/>
      <w:bCs/>
    </w:rPr>
  </w:style>
  <w:style w:type="paragraph" w:styleId="Obsah1">
    <w:name w:val="toc 1"/>
    <w:basedOn w:val="Normln"/>
    <w:next w:val="Normln"/>
    <w:autoRedefine/>
    <w:uiPriority w:val="39"/>
    <w:locked/>
    <w:rsid w:val="006075D5"/>
    <w:pPr>
      <w:tabs>
        <w:tab w:val="left" w:pos="426"/>
        <w:tab w:val="right" w:leader="dot" w:pos="9060"/>
      </w:tabs>
    </w:pPr>
  </w:style>
  <w:style w:type="paragraph" w:styleId="Obsah2">
    <w:name w:val="toc 2"/>
    <w:basedOn w:val="Normln"/>
    <w:next w:val="Normln"/>
    <w:autoRedefine/>
    <w:uiPriority w:val="39"/>
    <w:locked/>
    <w:rsid w:val="0022745A"/>
    <w:pPr>
      <w:ind w:left="220"/>
    </w:pPr>
  </w:style>
  <w:style w:type="paragraph" w:styleId="Obsah3">
    <w:name w:val="toc 3"/>
    <w:basedOn w:val="Normln"/>
    <w:next w:val="Normln"/>
    <w:autoRedefine/>
    <w:uiPriority w:val="39"/>
    <w:locked/>
    <w:rsid w:val="0022745A"/>
    <w:pPr>
      <w:ind w:left="440"/>
    </w:pPr>
  </w:style>
  <w:style w:type="character" w:customStyle="1" w:styleId="hps">
    <w:name w:val="hps"/>
    <w:basedOn w:val="Standardnpsmoodstavce"/>
    <w:uiPriority w:val="99"/>
    <w:rsid w:val="009F5E79"/>
    <w:rPr>
      <w:rFonts w:cs="Times New Roman"/>
    </w:rPr>
  </w:style>
  <w:style w:type="paragraph" w:styleId="Zkladntext">
    <w:name w:val="Body Text"/>
    <w:basedOn w:val="Normln"/>
    <w:link w:val="ZkladntextChar"/>
    <w:uiPriority w:val="99"/>
    <w:locked/>
    <w:rsid w:val="00BF6C4F"/>
    <w:pPr>
      <w:overflowPunct/>
      <w:autoSpaceDE/>
      <w:autoSpaceDN/>
      <w:adjustRightInd/>
      <w:spacing w:after="240" w:line="240" w:lineRule="atLeast"/>
      <w:textAlignment w:val="auto"/>
    </w:pPr>
    <w:rPr>
      <w:rFonts w:ascii="Georgia" w:hAnsi="Georgia"/>
      <w:sz w:val="24"/>
      <w:lang w:eastAsia="en-US"/>
    </w:rPr>
  </w:style>
  <w:style w:type="character" w:customStyle="1" w:styleId="ZkladntextChar">
    <w:name w:val="Základní text Char"/>
    <w:basedOn w:val="Standardnpsmoodstavce"/>
    <w:link w:val="Zkladntext"/>
    <w:uiPriority w:val="99"/>
    <w:locked/>
    <w:rsid w:val="00BF6C4F"/>
    <w:rPr>
      <w:rFonts w:ascii="Georgia" w:hAnsi="Georgia" w:cs="Times New Roman"/>
      <w:sz w:val="24"/>
      <w:lang w:val="cs-CZ"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ln">
    <w:name w:val="Normal"/>
    <w:qFormat/>
    <w:rsid w:val="00A21A86"/>
    <w:pPr>
      <w:overflowPunct w:val="0"/>
      <w:autoSpaceDE w:val="0"/>
      <w:autoSpaceDN w:val="0"/>
      <w:adjustRightInd w:val="0"/>
      <w:jc w:val="both"/>
      <w:textAlignment w:val="baseline"/>
    </w:pPr>
    <w:rPr>
      <w:rFonts w:ascii="Calibri" w:hAnsi="Calibri"/>
      <w:szCs w:val="20"/>
    </w:rPr>
  </w:style>
  <w:style w:type="paragraph" w:styleId="Nadpis1">
    <w:name w:val="heading 1"/>
    <w:basedOn w:val="Normln"/>
    <w:next w:val="Normln"/>
    <w:link w:val="Nadpis1Char"/>
    <w:uiPriority w:val="99"/>
    <w:qFormat/>
    <w:rsid w:val="00F75FB4"/>
    <w:pPr>
      <w:keepNext/>
      <w:keepLines/>
      <w:numPr>
        <w:numId w:val="2"/>
      </w:numPr>
      <w:spacing w:before="480"/>
      <w:outlineLvl w:val="0"/>
    </w:pPr>
    <w:rPr>
      <w:rFonts w:ascii="Cambria" w:hAnsi="Cambria"/>
      <w:b/>
      <w:bCs/>
      <w:color w:val="1F497D"/>
      <w:sz w:val="32"/>
      <w:szCs w:val="28"/>
    </w:rPr>
  </w:style>
  <w:style w:type="paragraph" w:styleId="Nadpis2">
    <w:name w:val="heading 2"/>
    <w:basedOn w:val="Normln"/>
    <w:next w:val="Normln"/>
    <w:link w:val="Nadpis2Char"/>
    <w:uiPriority w:val="99"/>
    <w:qFormat/>
    <w:rsid w:val="00CC70F8"/>
    <w:pPr>
      <w:keepNext/>
      <w:keepLines/>
      <w:numPr>
        <w:ilvl w:val="1"/>
        <w:numId w:val="2"/>
      </w:numPr>
      <w:spacing w:before="200" w:after="240"/>
      <w:outlineLvl w:val="1"/>
    </w:pPr>
    <w:rPr>
      <w:rFonts w:ascii="Cambria" w:hAnsi="Cambria"/>
      <w:b/>
      <w:bCs/>
      <w:color w:val="548DD4"/>
      <w:sz w:val="28"/>
      <w:szCs w:val="26"/>
    </w:rPr>
  </w:style>
  <w:style w:type="paragraph" w:styleId="Nadpis3">
    <w:name w:val="heading 3"/>
    <w:basedOn w:val="Normln"/>
    <w:next w:val="Normln"/>
    <w:link w:val="Nadpis3Char"/>
    <w:uiPriority w:val="99"/>
    <w:qFormat/>
    <w:rsid w:val="009D1228"/>
    <w:pPr>
      <w:keepNext/>
      <w:keepLines/>
      <w:numPr>
        <w:ilvl w:val="2"/>
        <w:numId w:val="2"/>
      </w:numPr>
      <w:spacing w:before="200" w:after="240"/>
      <w:outlineLvl w:val="2"/>
    </w:pPr>
    <w:rPr>
      <w:rFonts w:ascii="Cambria" w:hAnsi="Cambria"/>
      <w:b/>
      <w:bCs/>
      <w:color w:val="548DD4"/>
      <w:sz w:val="28"/>
    </w:rPr>
  </w:style>
  <w:style w:type="paragraph" w:styleId="Nadpis4">
    <w:name w:val="heading 4"/>
    <w:basedOn w:val="Normln"/>
    <w:next w:val="Normln"/>
    <w:link w:val="Nadpis4Char"/>
    <w:uiPriority w:val="99"/>
    <w:qFormat/>
    <w:rsid w:val="00B9734A"/>
    <w:pPr>
      <w:keepNext/>
      <w:keepLines/>
      <w:numPr>
        <w:ilvl w:val="3"/>
        <w:numId w:val="2"/>
      </w:numPr>
      <w:spacing w:before="200"/>
      <w:outlineLvl w:val="3"/>
    </w:pPr>
    <w:rPr>
      <w:rFonts w:ascii="Cambria" w:hAnsi="Cambria"/>
      <w:b/>
      <w:bCs/>
      <w:i/>
      <w:iCs/>
      <w:color w:val="4F81BD"/>
    </w:rPr>
  </w:style>
  <w:style w:type="paragraph" w:styleId="Nadpis5">
    <w:name w:val="heading 5"/>
    <w:basedOn w:val="Normln"/>
    <w:next w:val="Normln"/>
    <w:link w:val="Nadpis5Char"/>
    <w:uiPriority w:val="99"/>
    <w:qFormat/>
    <w:rsid w:val="00B9734A"/>
    <w:pPr>
      <w:keepNext/>
      <w:keepLines/>
      <w:numPr>
        <w:ilvl w:val="4"/>
        <w:numId w:val="2"/>
      </w:numPr>
      <w:spacing w:before="200"/>
      <w:outlineLvl w:val="4"/>
    </w:pPr>
    <w:rPr>
      <w:rFonts w:ascii="Cambria" w:hAnsi="Cambria"/>
      <w:color w:val="243F60"/>
    </w:rPr>
  </w:style>
  <w:style w:type="paragraph" w:styleId="Nadpis6">
    <w:name w:val="heading 6"/>
    <w:basedOn w:val="Normln"/>
    <w:next w:val="Normln"/>
    <w:link w:val="Nadpis6Char"/>
    <w:uiPriority w:val="99"/>
    <w:qFormat/>
    <w:rsid w:val="00B9734A"/>
    <w:pPr>
      <w:keepNext/>
      <w:keepLines/>
      <w:numPr>
        <w:ilvl w:val="5"/>
        <w:numId w:val="2"/>
      </w:numPr>
      <w:spacing w:before="200"/>
      <w:outlineLvl w:val="5"/>
    </w:pPr>
    <w:rPr>
      <w:rFonts w:ascii="Cambria" w:hAnsi="Cambria"/>
      <w:i/>
      <w:iCs/>
      <w:color w:val="243F60"/>
    </w:rPr>
  </w:style>
  <w:style w:type="paragraph" w:styleId="Nadpis7">
    <w:name w:val="heading 7"/>
    <w:basedOn w:val="Normln"/>
    <w:next w:val="Normln"/>
    <w:link w:val="Nadpis7Char"/>
    <w:uiPriority w:val="99"/>
    <w:qFormat/>
    <w:rsid w:val="00B9734A"/>
    <w:pPr>
      <w:keepNext/>
      <w:keepLines/>
      <w:numPr>
        <w:ilvl w:val="6"/>
        <w:numId w:val="2"/>
      </w:numPr>
      <w:spacing w:before="200"/>
      <w:outlineLvl w:val="6"/>
    </w:pPr>
    <w:rPr>
      <w:rFonts w:ascii="Cambria" w:hAnsi="Cambria"/>
      <w:i/>
      <w:iCs/>
      <w:color w:val="404040"/>
    </w:rPr>
  </w:style>
  <w:style w:type="paragraph" w:styleId="Nadpis8">
    <w:name w:val="heading 8"/>
    <w:basedOn w:val="Normln"/>
    <w:next w:val="Normln"/>
    <w:link w:val="Nadpis8Char"/>
    <w:uiPriority w:val="99"/>
    <w:qFormat/>
    <w:rsid w:val="00B9734A"/>
    <w:pPr>
      <w:keepNext/>
      <w:keepLines/>
      <w:numPr>
        <w:ilvl w:val="7"/>
        <w:numId w:val="2"/>
      </w:numPr>
      <w:spacing w:before="200"/>
      <w:outlineLvl w:val="7"/>
    </w:pPr>
    <w:rPr>
      <w:rFonts w:ascii="Cambria" w:hAnsi="Cambria"/>
      <w:color w:val="404040"/>
      <w:sz w:val="20"/>
    </w:rPr>
  </w:style>
  <w:style w:type="paragraph" w:styleId="Nadpis9">
    <w:name w:val="heading 9"/>
    <w:basedOn w:val="Normln"/>
    <w:next w:val="Normln"/>
    <w:link w:val="Nadpis9Char"/>
    <w:uiPriority w:val="99"/>
    <w:qFormat/>
    <w:rsid w:val="00B9734A"/>
    <w:pPr>
      <w:keepNext/>
      <w:keepLines/>
      <w:numPr>
        <w:ilvl w:val="8"/>
        <w:numId w:val="2"/>
      </w:numPr>
      <w:spacing w:before="20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F75FB4"/>
    <w:rPr>
      <w:rFonts w:ascii="Cambria" w:hAnsi="Cambria"/>
      <w:b/>
      <w:bCs/>
      <w:color w:val="1F497D"/>
      <w:sz w:val="32"/>
      <w:szCs w:val="28"/>
    </w:rPr>
  </w:style>
  <w:style w:type="character" w:customStyle="1" w:styleId="Nadpis2Char">
    <w:name w:val="Nadpis 2 Char"/>
    <w:basedOn w:val="Standardnpsmoodstavce"/>
    <w:link w:val="Nadpis2"/>
    <w:uiPriority w:val="99"/>
    <w:locked/>
    <w:rsid w:val="00CC70F8"/>
    <w:rPr>
      <w:rFonts w:ascii="Cambria" w:hAnsi="Cambria" w:cs="Times New Roman"/>
      <w:b/>
      <w:bCs/>
      <w:color w:val="548DD4"/>
      <w:sz w:val="26"/>
      <w:szCs w:val="26"/>
      <w:lang w:val="cs-CZ" w:eastAsia="cs-CZ" w:bidi="ar-SA"/>
    </w:rPr>
  </w:style>
  <w:style w:type="character" w:customStyle="1" w:styleId="Nadpis3Char">
    <w:name w:val="Nadpis 3 Char"/>
    <w:basedOn w:val="Standardnpsmoodstavce"/>
    <w:link w:val="Nadpis3"/>
    <w:uiPriority w:val="99"/>
    <w:locked/>
    <w:rsid w:val="009D1228"/>
    <w:rPr>
      <w:rFonts w:ascii="Cambria" w:hAnsi="Cambria" w:cs="Times New Roman"/>
      <w:b/>
      <w:bCs/>
      <w:color w:val="548DD4"/>
      <w:sz w:val="28"/>
      <w:lang w:val="cs-CZ" w:eastAsia="cs-CZ" w:bidi="ar-SA"/>
    </w:rPr>
  </w:style>
  <w:style w:type="character" w:customStyle="1" w:styleId="Nadpis4Char">
    <w:name w:val="Nadpis 4 Char"/>
    <w:basedOn w:val="Standardnpsmoodstavce"/>
    <w:link w:val="Nadpis4"/>
    <w:uiPriority w:val="99"/>
    <w:locked/>
    <w:rsid w:val="00B9734A"/>
    <w:rPr>
      <w:rFonts w:ascii="Cambria" w:hAnsi="Cambria" w:cs="Times New Roman"/>
      <w:b/>
      <w:bCs/>
      <w:i/>
      <w:iCs/>
      <w:color w:val="4F81BD"/>
      <w:sz w:val="22"/>
      <w:lang w:val="cs-CZ" w:eastAsia="cs-CZ" w:bidi="ar-SA"/>
    </w:rPr>
  </w:style>
  <w:style w:type="character" w:customStyle="1" w:styleId="Nadpis5Char">
    <w:name w:val="Nadpis 5 Char"/>
    <w:basedOn w:val="Standardnpsmoodstavce"/>
    <w:link w:val="Nadpis5"/>
    <w:uiPriority w:val="99"/>
    <w:locked/>
    <w:rsid w:val="00B9734A"/>
    <w:rPr>
      <w:rFonts w:ascii="Cambria" w:hAnsi="Cambria" w:cs="Times New Roman"/>
      <w:color w:val="243F60"/>
      <w:sz w:val="22"/>
      <w:lang w:val="cs-CZ" w:eastAsia="cs-CZ" w:bidi="ar-SA"/>
    </w:rPr>
  </w:style>
  <w:style w:type="character" w:customStyle="1" w:styleId="Nadpis6Char">
    <w:name w:val="Nadpis 6 Char"/>
    <w:basedOn w:val="Standardnpsmoodstavce"/>
    <w:link w:val="Nadpis6"/>
    <w:uiPriority w:val="99"/>
    <w:locked/>
    <w:rsid w:val="00B9734A"/>
    <w:rPr>
      <w:rFonts w:ascii="Cambria" w:hAnsi="Cambria" w:cs="Times New Roman"/>
      <w:i/>
      <w:iCs/>
      <w:color w:val="243F60"/>
      <w:sz w:val="22"/>
      <w:lang w:val="cs-CZ" w:eastAsia="cs-CZ" w:bidi="ar-SA"/>
    </w:rPr>
  </w:style>
  <w:style w:type="character" w:customStyle="1" w:styleId="Nadpis7Char">
    <w:name w:val="Nadpis 7 Char"/>
    <w:basedOn w:val="Standardnpsmoodstavce"/>
    <w:link w:val="Nadpis7"/>
    <w:uiPriority w:val="99"/>
    <w:locked/>
    <w:rsid w:val="00B9734A"/>
    <w:rPr>
      <w:rFonts w:ascii="Cambria" w:hAnsi="Cambria" w:cs="Times New Roman"/>
      <w:i/>
      <w:iCs/>
      <w:color w:val="404040"/>
      <w:sz w:val="22"/>
      <w:lang w:val="cs-CZ" w:eastAsia="cs-CZ" w:bidi="ar-SA"/>
    </w:rPr>
  </w:style>
  <w:style w:type="character" w:customStyle="1" w:styleId="Nadpis8Char">
    <w:name w:val="Nadpis 8 Char"/>
    <w:basedOn w:val="Standardnpsmoodstavce"/>
    <w:link w:val="Nadpis8"/>
    <w:uiPriority w:val="99"/>
    <w:semiHidden/>
    <w:locked/>
    <w:rsid w:val="00B9734A"/>
    <w:rPr>
      <w:rFonts w:ascii="Cambria" w:hAnsi="Cambria" w:cs="Times New Roman"/>
      <w:color w:val="404040"/>
      <w:lang w:val="cs-CZ" w:eastAsia="cs-CZ" w:bidi="ar-SA"/>
    </w:rPr>
  </w:style>
  <w:style w:type="character" w:customStyle="1" w:styleId="Nadpis9Char">
    <w:name w:val="Nadpis 9 Char"/>
    <w:basedOn w:val="Standardnpsmoodstavce"/>
    <w:link w:val="Nadpis9"/>
    <w:uiPriority w:val="99"/>
    <w:semiHidden/>
    <w:locked/>
    <w:rsid w:val="00B9734A"/>
    <w:rPr>
      <w:rFonts w:ascii="Cambria" w:hAnsi="Cambria" w:cs="Times New Roman"/>
      <w:i/>
      <w:iCs/>
      <w:color w:val="404040"/>
      <w:lang w:val="cs-CZ" w:eastAsia="cs-CZ" w:bidi="ar-SA"/>
    </w:rPr>
  </w:style>
  <w:style w:type="paragraph" w:styleId="Textbubliny">
    <w:name w:val="Balloon Text"/>
    <w:basedOn w:val="Normln"/>
    <w:link w:val="TextbublinyChar"/>
    <w:uiPriority w:val="99"/>
    <w:semiHidden/>
    <w:rsid w:val="003709F3"/>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3709F3"/>
    <w:rPr>
      <w:rFonts w:ascii="Tahoma" w:hAnsi="Tahoma" w:cs="Tahoma"/>
      <w:sz w:val="16"/>
      <w:szCs w:val="16"/>
    </w:rPr>
  </w:style>
  <w:style w:type="paragraph" w:styleId="Zhlav">
    <w:name w:val="header"/>
    <w:basedOn w:val="Normln"/>
    <w:link w:val="ZhlavChar"/>
    <w:uiPriority w:val="99"/>
    <w:rsid w:val="006561E1"/>
    <w:pPr>
      <w:tabs>
        <w:tab w:val="center" w:pos="4536"/>
        <w:tab w:val="right" w:pos="9072"/>
      </w:tabs>
    </w:pPr>
  </w:style>
  <w:style w:type="character" w:customStyle="1" w:styleId="ZhlavChar">
    <w:name w:val="Záhlaví Char"/>
    <w:basedOn w:val="Standardnpsmoodstavce"/>
    <w:link w:val="Zhlav"/>
    <w:uiPriority w:val="99"/>
    <w:locked/>
    <w:rsid w:val="006561E1"/>
    <w:rPr>
      <w:rFonts w:ascii="Calibri" w:hAnsi="Calibri" w:cs="Times New Roman"/>
      <w:sz w:val="22"/>
    </w:rPr>
  </w:style>
  <w:style w:type="paragraph" w:styleId="Zpat">
    <w:name w:val="footer"/>
    <w:basedOn w:val="Normln"/>
    <w:link w:val="ZpatChar"/>
    <w:uiPriority w:val="99"/>
    <w:rsid w:val="006561E1"/>
    <w:pPr>
      <w:tabs>
        <w:tab w:val="center" w:pos="4536"/>
        <w:tab w:val="right" w:pos="9072"/>
      </w:tabs>
    </w:pPr>
  </w:style>
  <w:style w:type="character" w:customStyle="1" w:styleId="ZpatChar">
    <w:name w:val="Zápatí Char"/>
    <w:basedOn w:val="Standardnpsmoodstavce"/>
    <w:link w:val="Zpat"/>
    <w:uiPriority w:val="99"/>
    <w:locked/>
    <w:rsid w:val="006561E1"/>
    <w:rPr>
      <w:rFonts w:ascii="Calibri" w:hAnsi="Calibri" w:cs="Times New Roman"/>
      <w:sz w:val="22"/>
    </w:rPr>
  </w:style>
  <w:style w:type="character" w:styleId="Hypertextovodkaz">
    <w:name w:val="Hyperlink"/>
    <w:basedOn w:val="Standardnpsmoodstavce"/>
    <w:uiPriority w:val="99"/>
    <w:rsid w:val="000C1B4F"/>
    <w:rPr>
      <w:rFonts w:cs="Times New Roman"/>
      <w:color w:val="0000FF"/>
      <w:u w:val="single"/>
    </w:rPr>
  </w:style>
  <w:style w:type="character" w:styleId="slostrnky">
    <w:name w:val="page number"/>
    <w:basedOn w:val="Standardnpsmoodstavce"/>
    <w:uiPriority w:val="99"/>
    <w:rsid w:val="000C1B4F"/>
    <w:rPr>
      <w:rFonts w:cs="Times New Roman"/>
    </w:rPr>
  </w:style>
  <w:style w:type="paragraph" w:styleId="Odstavecseseznamem">
    <w:name w:val="List Paragraph"/>
    <w:basedOn w:val="Normln"/>
    <w:link w:val="OdstavecseseznamemChar"/>
    <w:uiPriority w:val="99"/>
    <w:qFormat/>
    <w:rsid w:val="00EB7775"/>
    <w:pPr>
      <w:ind w:left="720"/>
      <w:contextualSpacing/>
    </w:pPr>
  </w:style>
  <w:style w:type="character" w:styleId="Znakapoznpodarou">
    <w:name w:val="footnote reference"/>
    <w:aliases w:val="Überschrift 4 Zchn1,Título 4 Car Zchn,Heading 4 Char1 Car Zchn,no vale 2 Zchn,no vale 2 Car Zchn,PGI Fußnote Ziffer,BVI fnr,Footnote symbol,Footnote Reference Superscript,Appel note de bas de p,Appel note de bas de page,Légende"/>
    <w:basedOn w:val="Standardnpsmoodstavce"/>
    <w:uiPriority w:val="99"/>
    <w:rsid w:val="00CC70F8"/>
    <w:rPr>
      <w:rFonts w:ascii="Arial" w:hAnsi="Arial" w:cs="Times New Roman"/>
      <w:sz w:val="16"/>
      <w:vertAlign w:val="superscript"/>
    </w:rPr>
  </w:style>
  <w:style w:type="paragraph" w:styleId="Textpoznpodarou">
    <w:name w:val="footnote text"/>
    <w:aliases w:val="Char1,Schriftart: 9 pt,Schriftart: 10 pt,Schriftart: 8 pt,Text poznámky pod čiarou 007,Footnote,Fußnotentextf,Geneva 9,Font: Geneva 9,Boston 10,f,pozn. pod čarou,Text pozn. pod čarou1,Char Char Char1,Footnote Text Char1,o,fn"/>
    <w:basedOn w:val="Normln"/>
    <w:link w:val="TextpoznpodarouChar"/>
    <w:uiPriority w:val="99"/>
    <w:rsid w:val="00CC70F8"/>
    <w:pPr>
      <w:overflowPunct/>
      <w:autoSpaceDE/>
      <w:autoSpaceDN/>
      <w:adjustRightInd/>
      <w:textAlignment w:val="auto"/>
    </w:pPr>
    <w:rPr>
      <w:rFonts w:ascii="Arial" w:hAnsi="Arial" w:cs="Arial"/>
      <w:sz w:val="16"/>
      <w:lang w:eastAsia="en-US"/>
    </w:rPr>
  </w:style>
  <w:style w:type="character" w:customStyle="1" w:styleId="TextpoznpodarouChar">
    <w:name w:val="Text pozn. pod čarou Char"/>
    <w:aliases w:val="Char1 Char,Schriftart: 9 pt Char,Schriftart: 10 pt Char,Schriftart: 8 pt Char,Text poznámky pod čiarou 007 Char,Footnote Char,Fußnotentextf Char,Geneva 9 Char,Font: Geneva 9 Char,Boston 10 Char,f Char,pozn. pod čarou Char"/>
    <w:basedOn w:val="Standardnpsmoodstavce"/>
    <w:link w:val="Textpoznpodarou"/>
    <w:uiPriority w:val="99"/>
    <w:locked/>
    <w:rsid w:val="00CC70F8"/>
    <w:rPr>
      <w:rFonts w:ascii="Arial" w:hAnsi="Arial" w:cs="Arial"/>
      <w:sz w:val="16"/>
      <w:lang w:eastAsia="en-US"/>
    </w:rPr>
  </w:style>
  <w:style w:type="paragraph" w:styleId="Titulek">
    <w:name w:val="caption"/>
    <w:basedOn w:val="Normln"/>
    <w:next w:val="Normln"/>
    <w:link w:val="TitulekChar"/>
    <w:uiPriority w:val="99"/>
    <w:qFormat/>
    <w:rsid w:val="00CC70F8"/>
    <w:pPr>
      <w:overflowPunct/>
      <w:autoSpaceDE/>
      <w:autoSpaceDN/>
      <w:adjustRightInd/>
      <w:textAlignment w:val="auto"/>
    </w:pPr>
    <w:rPr>
      <w:rFonts w:ascii="Arial" w:hAnsi="Arial" w:cs="Arial"/>
      <w:b/>
      <w:bCs/>
      <w:color w:val="4F81BD"/>
      <w:sz w:val="20"/>
      <w:lang w:eastAsia="en-US"/>
    </w:rPr>
  </w:style>
  <w:style w:type="character" w:customStyle="1" w:styleId="TitulekChar">
    <w:name w:val="Titulek Char"/>
    <w:basedOn w:val="Standardnpsmoodstavce"/>
    <w:link w:val="Titulek"/>
    <w:uiPriority w:val="99"/>
    <w:locked/>
    <w:rsid w:val="00CC70F8"/>
    <w:rPr>
      <w:rFonts w:ascii="Arial" w:hAnsi="Arial" w:cs="Arial"/>
      <w:b/>
      <w:bCs/>
      <w:color w:val="4F81BD"/>
      <w:lang w:eastAsia="en-US"/>
    </w:rPr>
  </w:style>
  <w:style w:type="table" w:customStyle="1" w:styleId="TableGridLight1">
    <w:name w:val="Table Grid Light1"/>
    <w:uiPriority w:val="99"/>
    <w:rsid w:val="00CC70F8"/>
    <w:rPr>
      <w:sz w:val="20"/>
      <w:szCs w:val="20"/>
      <w:lang w:val="en-US"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Neslovannadpisy">
    <w:name w:val="Nečíslované nadpisy"/>
    <w:basedOn w:val="Normln"/>
    <w:uiPriority w:val="99"/>
    <w:rsid w:val="00A57419"/>
    <w:pPr>
      <w:spacing w:after="120"/>
    </w:pPr>
    <w:rPr>
      <w:b/>
      <w:color w:val="18B462"/>
    </w:rPr>
  </w:style>
  <w:style w:type="table" w:customStyle="1" w:styleId="Deloittetable1">
    <w:name w:val="Deloitte table 1"/>
    <w:uiPriority w:val="99"/>
    <w:rsid w:val="00A21A86"/>
    <w:rPr>
      <w:rFonts w:ascii="Arial" w:hAnsi="Arial"/>
      <w:sz w:val="19"/>
      <w:szCs w:val="20"/>
    </w:rPr>
    <w:tblPr>
      <w:tblInd w:w="0" w:type="dxa"/>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style>
  <w:style w:type="paragraph" w:customStyle="1" w:styleId="Vtneslovannadpis">
    <w:name w:val="Větší nečíslovaný nadpis"/>
    <w:basedOn w:val="Neslovannadpisy"/>
    <w:uiPriority w:val="99"/>
    <w:rsid w:val="00A21A86"/>
    <w:pPr>
      <w:spacing w:after="240"/>
    </w:pPr>
    <w:rPr>
      <w:rFonts w:ascii="Cambria" w:hAnsi="Cambria"/>
      <w:color w:val="548DD4"/>
      <w:sz w:val="24"/>
    </w:rPr>
  </w:style>
  <w:style w:type="character" w:customStyle="1" w:styleId="OdstavecseseznamemChar">
    <w:name w:val="Odstavec se seznamem Char"/>
    <w:link w:val="Odstavecseseznamem"/>
    <w:uiPriority w:val="99"/>
    <w:locked/>
    <w:rsid w:val="008346A6"/>
    <w:rPr>
      <w:rFonts w:ascii="Calibri" w:hAnsi="Calibri"/>
      <w:sz w:val="22"/>
    </w:rPr>
  </w:style>
  <w:style w:type="table" w:styleId="Mkatabulky">
    <w:name w:val="Table Grid"/>
    <w:aliases w:val="Deloitte table 3"/>
    <w:basedOn w:val="Normlntabulka"/>
    <w:uiPriority w:val="99"/>
    <w:rsid w:val="002B7553"/>
    <w:rPr>
      <w:rFonts w:ascii="Arial" w:hAnsi="Arial"/>
      <w:sz w:val="19"/>
      <w:szCs w:val="20"/>
    </w:rPr>
    <w:tblPr>
      <w:tblBorders>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cs="Times New Roman"/>
        <w:b/>
        <w:color w:val="FFFFFF"/>
        <w:sz w:val="19"/>
      </w:rPr>
      <w:tblPr/>
      <w:tcPr>
        <w:shd w:val="clear" w:color="auto" w:fill="72C7E7"/>
      </w:tcPr>
    </w:tblStylePr>
    <w:tblStylePr w:type="firstCol">
      <w:rPr>
        <w:rFonts w:ascii="Arial" w:hAnsi="Arial" w:cs="Times New Roman"/>
        <w:sz w:val="19"/>
      </w:rPr>
    </w:tblStylePr>
  </w:style>
  <w:style w:type="paragraph" w:customStyle="1" w:styleId="Textpspvku">
    <w:name w:val="Text příspěvku"/>
    <w:basedOn w:val="Normln"/>
    <w:uiPriority w:val="99"/>
    <w:rsid w:val="00FF70E4"/>
    <w:pPr>
      <w:tabs>
        <w:tab w:val="left" w:pos="284"/>
      </w:tabs>
      <w:overflowPunct/>
      <w:autoSpaceDE/>
      <w:autoSpaceDN/>
      <w:adjustRightInd/>
      <w:spacing w:after="120"/>
      <w:textAlignment w:val="auto"/>
    </w:pPr>
    <w:rPr>
      <w:szCs w:val="24"/>
      <w:lang w:eastAsia="en-US"/>
    </w:rPr>
  </w:style>
  <w:style w:type="table" w:customStyle="1" w:styleId="Deloittetable2">
    <w:name w:val="Deloitte table 2"/>
    <w:uiPriority w:val="99"/>
    <w:rsid w:val="00E528C8"/>
    <w:rPr>
      <w:rFonts w:ascii="Arial" w:hAnsi="Arial"/>
      <w:sz w:val="19"/>
      <w:szCs w:val="20"/>
    </w:rPr>
    <w:tblPr>
      <w:tblInd w:w="0" w:type="dxa"/>
      <w:tblBorders>
        <w:bottom w:val="single" w:sz="4" w:space="0" w:color="00A1DE"/>
        <w:insideH w:val="single" w:sz="4" w:space="0" w:color="00A1DE"/>
      </w:tblBorders>
      <w:tblCellMar>
        <w:top w:w="28" w:type="dxa"/>
        <w:left w:w="28" w:type="dxa"/>
        <w:bottom w:w="28" w:type="dxa"/>
        <w:right w:w="28" w:type="dxa"/>
      </w:tblCellMar>
    </w:tblPr>
    <w:tcPr>
      <w:shd w:val="clear" w:color="auto" w:fill="FFFFFF"/>
    </w:tcPr>
  </w:style>
  <w:style w:type="character" w:customStyle="1" w:styleId="BodytextChar">
    <w:name w:val="Body text Char"/>
    <w:link w:val="BodyText1"/>
    <w:uiPriority w:val="99"/>
    <w:locked/>
    <w:rsid w:val="00416BF2"/>
    <w:rPr>
      <w:rFonts w:ascii="Arial" w:hAnsi="Arial"/>
      <w:color w:val="000000"/>
      <w:sz w:val="48"/>
      <w:lang w:val="cs-CZ" w:eastAsia="en-US"/>
    </w:rPr>
  </w:style>
  <w:style w:type="paragraph" w:customStyle="1" w:styleId="BodyText1">
    <w:name w:val="Body Text1"/>
    <w:link w:val="BodytextChar"/>
    <w:uiPriority w:val="99"/>
    <w:rsid w:val="00416BF2"/>
    <w:rPr>
      <w:rFonts w:ascii="Arial" w:hAnsi="Arial" w:cs="Arial"/>
      <w:color w:val="000000"/>
      <w:sz w:val="19"/>
      <w:szCs w:val="48"/>
      <w:lang w:eastAsia="en-US"/>
    </w:rPr>
  </w:style>
  <w:style w:type="character" w:styleId="Odkaznakoment">
    <w:name w:val="annotation reference"/>
    <w:basedOn w:val="Standardnpsmoodstavce"/>
    <w:uiPriority w:val="99"/>
    <w:semiHidden/>
    <w:rsid w:val="001F3C28"/>
    <w:rPr>
      <w:rFonts w:cs="Times New Roman"/>
      <w:sz w:val="16"/>
      <w:szCs w:val="16"/>
    </w:rPr>
  </w:style>
  <w:style w:type="paragraph" w:styleId="Textkomente">
    <w:name w:val="annotation text"/>
    <w:basedOn w:val="Normln"/>
    <w:link w:val="TextkomenteChar"/>
    <w:uiPriority w:val="99"/>
    <w:semiHidden/>
    <w:rsid w:val="001F3C28"/>
    <w:rPr>
      <w:sz w:val="20"/>
    </w:rPr>
  </w:style>
  <w:style w:type="character" w:customStyle="1" w:styleId="TextkomenteChar">
    <w:name w:val="Text komentáře Char"/>
    <w:basedOn w:val="Standardnpsmoodstavce"/>
    <w:link w:val="Textkomente"/>
    <w:uiPriority w:val="99"/>
    <w:semiHidden/>
    <w:locked/>
    <w:rsid w:val="001F3C28"/>
    <w:rPr>
      <w:rFonts w:ascii="Calibri" w:hAnsi="Calibri" w:cs="Times New Roman"/>
    </w:rPr>
  </w:style>
  <w:style w:type="paragraph" w:styleId="Pedmtkomente">
    <w:name w:val="annotation subject"/>
    <w:basedOn w:val="Textkomente"/>
    <w:next w:val="Textkomente"/>
    <w:link w:val="PedmtkomenteChar"/>
    <w:uiPriority w:val="99"/>
    <w:semiHidden/>
    <w:rsid w:val="001F3C28"/>
    <w:rPr>
      <w:b/>
      <w:bCs/>
    </w:rPr>
  </w:style>
  <w:style w:type="character" w:customStyle="1" w:styleId="PedmtkomenteChar">
    <w:name w:val="Předmět komentáře Char"/>
    <w:basedOn w:val="TextkomenteChar"/>
    <w:link w:val="Pedmtkomente"/>
    <w:uiPriority w:val="99"/>
    <w:semiHidden/>
    <w:locked/>
    <w:rsid w:val="001F3C28"/>
    <w:rPr>
      <w:rFonts w:ascii="Calibri" w:hAnsi="Calibri" w:cs="Times New Roman"/>
      <w:b/>
      <w:bCs/>
    </w:rPr>
  </w:style>
  <w:style w:type="paragraph" w:styleId="Obsah1">
    <w:name w:val="toc 1"/>
    <w:basedOn w:val="Normln"/>
    <w:next w:val="Normln"/>
    <w:autoRedefine/>
    <w:uiPriority w:val="39"/>
    <w:locked/>
    <w:rsid w:val="006075D5"/>
    <w:pPr>
      <w:tabs>
        <w:tab w:val="left" w:pos="426"/>
        <w:tab w:val="right" w:leader="dot" w:pos="9060"/>
      </w:tabs>
    </w:pPr>
  </w:style>
  <w:style w:type="paragraph" w:styleId="Obsah2">
    <w:name w:val="toc 2"/>
    <w:basedOn w:val="Normln"/>
    <w:next w:val="Normln"/>
    <w:autoRedefine/>
    <w:uiPriority w:val="39"/>
    <w:locked/>
    <w:rsid w:val="0022745A"/>
    <w:pPr>
      <w:ind w:left="220"/>
    </w:pPr>
  </w:style>
  <w:style w:type="paragraph" w:styleId="Obsah3">
    <w:name w:val="toc 3"/>
    <w:basedOn w:val="Normln"/>
    <w:next w:val="Normln"/>
    <w:autoRedefine/>
    <w:uiPriority w:val="39"/>
    <w:locked/>
    <w:rsid w:val="0022745A"/>
    <w:pPr>
      <w:ind w:left="440"/>
    </w:pPr>
  </w:style>
  <w:style w:type="character" w:customStyle="1" w:styleId="hps">
    <w:name w:val="hps"/>
    <w:basedOn w:val="Standardnpsmoodstavce"/>
    <w:uiPriority w:val="99"/>
    <w:rsid w:val="009F5E79"/>
    <w:rPr>
      <w:rFonts w:cs="Times New Roman"/>
    </w:rPr>
  </w:style>
  <w:style w:type="paragraph" w:styleId="Zkladntext">
    <w:name w:val="Body Text"/>
    <w:basedOn w:val="Normln"/>
    <w:link w:val="ZkladntextChar"/>
    <w:uiPriority w:val="99"/>
    <w:locked/>
    <w:rsid w:val="00BF6C4F"/>
    <w:pPr>
      <w:overflowPunct/>
      <w:autoSpaceDE/>
      <w:autoSpaceDN/>
      <w:adjustRightInd/>
      <w:spacing w:after="240" w:line="240" w:lineRule="atLeast"/>
      <w:textAlignment w:val="auto"/>
    </w:pPr>
    <w:rPr>
      <w:rFonts w:ascii="Georgia" w:hAnsi="Georgia"/>
      <w:sz w:val="24"/>
      <w:lang w:eastAsia="en-US"/>
    </w:rPr>
  </w:style>
  <w:style w:type="character" w:customStyle="1" w:styleId="ZkladntextChar">
    <w:name w:val="Základní text Char"/>
    <w:basedOn w:val="Standardnpsmoodstavce"/>
    <w:link w:val="Zkladntext"/>
    <w:uiPriority w:val="99"/>
    <w:locked/>
    <w:rsid w:val="00BF6C4F"/>
    <w:rPr>
      <w:rFonts w:ascii="Georgia" w:hAnsi="Georgia" w:cs="Times New Roman"/>
      <w:sz w:val="24"/>
      <w:lang w:val="cs-CZ"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502222">
      <w:marLeft w:val="0"/>
      <w:marRight w:val="0"/>
      <w:marTop w:val="0"/>
      <w:marBottom w:val="0"/>
      <w:divBdr>
        <w:top w:val="none" w:sz="0" w:space="0" w:color="auto"/>
        <w:left w:val="none" w:sz="0" w:space="0" w:color="auto"/>
        <w:bottom w:val="none" w:sz="0" w:space="0" w:color="auto"/>
        <w:right w:val="none" w:sz="0" w:space="0" w:color="auto"/>
      </w:divBdr>
    </w:div>
    <w:div w:id="749502223">
      <w:marLeft w:val="0"/>
      <w:marRight w:val="0"/>
      <w:marTop w:val="0"/>
      <w:marBottom w:val="0"/>
      <w:divBdr>
        <w:top w:val="none" w:sz="0" w:space="0" w:color="auto"/>
        <w:left w:val="none" w:sz="0" w:space="0" w:color="auto"/>
        <w:bottom w:val="none" w:sz="0" w:space="0" w:color="auto"/>
        <w:right w:val="none" w:sz="0" w:space="0" w:color="auto"/>
      </w:divBdr>
    </w:div>
    <w:div w:id="749502224">
      <w:marLeft w:val="0"/>
      <w:marRight w:val="0"/>
      <w:marTop w:val="0"/>
      <w:marBottom w:val="0"/>
      <w:divBdr>
        <w:top w:val="none" w:sz="0" w:space="0" w:color="auto"/>
        <w:left w:val="none" w:sz="0" w:space="0" w:color="auto"/>
        <w:bottom w:val="none" w:sz="0" w:space="0" w:color="auto"/>
        <w:right w:val="none" w:sz="0" w:space="0" w:color="auto"/>
      </w:divBdr>
    </w:div>
    <w:div w:id="749502225">
      <w:marLeft w:val="0"/>
      <w:marRight w:val="0"/>
      <w:marTop w:val="0"/>
      <w:marBottom w:val="0"/>
      <w:divBdr>
        <w:top w:val="none" w:sz="0" w:space="0" w:color="auto"/>
        <w:left w:val="none" w:sz="0" w:space="0" w:color="auto"/>
        <w:bottom w:val="none" w:sz="0" w:space="0" w:color="auto"/>
        <w:right w:val="none" w:sz="0" w:space="0" w:color="auto"/>
      </w:divBdr>
    </w:div>
    <w:div w:id="749502226">
      <w:marLeft w:val="0"/>
      <w:marRight w:val="0"/>
      <w:marTop w:val="0"/>
      <w:marBottom w:val="0"/>
      <w:divBdr>
        <w:top w:val="none" w:sz="0" w:space="0" w:color="auto"/>
        <w:left w:val="none" w:sz="0" w:space="0" w:color="auto"/>
        <w:bottom w:val="none" w:sz="0" w:space="0" w:color="auto"/>
        <w:right w:val="none" w:sz="0" w:space="0" w:color="auto"/>
      </w:divBdr>
    </w:div>
    <w:div w:id="749502227">
      <w:marLeft w:val="0"/>
      <w:marRight w:val="0"/>
      <w:marTop w:val="0"/>
      <w:marBottom w:val="0"/>
      <w:divBdr>
        <w:top w:val="none" w:sz="0" w:space="0" w:color="auto"/>
        <w:left w:val="none" w:sz="0" w:space="0" w:color="auto"/>
        <w:bottom w:val="none" w:sz="0" w:space="0" w:color="auto"/>
        <w:right w:val="none" w:sz="0" w:space="0" w:color="auto"/>
      </w:divBdr>
    </w:div>
    <w:div w:id="749502228">
      <w:marLeft w:val="0"/>
      <w:marRight w:val="0"/>
      <w:marTop w:val="0"/>
      <w:marBottom w:val="0"/>
      <w:divBdr>
        <w:top w:val="none" w:sz="0" w:space="0" w:color="auto"/>
        <w:left w:val="none" w:sz="0" w:space="0" w:color="auto"/>
        <w:bottom w:val="none" w:sz="0" w:space="0" w:color="auto"/>
        <w:right w:val="none" w:sz="0" w:space="0" w:color="auto"/>
      </w:divBdr>
    </w:div>
    <w:div w:id="749502229">
      <w:marLeft w:val="0"/>
      <w:marRight w:val="0"/>
      <w:marTop w:val="0"/>
      <w:marBottom w:val="0"/>
      <w:divBdr>
        <w:top w:val="none" w:sz="0" w:space="0" w:color="auto"/>
        <w:left w:val="none" w:sz="0" w:space="0" w:color="auto"/>
        <w:bottom w:val="none" w:sz="0" w:space="0" w:color="auto"/>
        <w:right w:val="none" w:sz="0" w:space="0" w:color="auto"/>
      </w:divBdr>
    </w:div>
    <w:div w:id="749502230">
      <w:marLeft w:val="0"/>
      <w:marRight w:val="0"/>
      <w:marTop w:val="0"/>
      <w:marBottom w:val="0"/>
      <w:divBdr>
        <w:top w:val="none" w:sz="0" w:space="0" w:color="auto"/>
        <w:left w:val="none" w:sz="0" w:space="0" w:color="auto"/>
        <w:bottom w:val="none" w:sz="0" w:space="0" w:color="auto"/>
        <w:right w:val="none" w:sz="0" w:space="0" w:color="auto"/>
      </w:divBdr>
    </w:div>
    <w:div w:id="749502231">
      <w:marLeft w:val="0"/>
      <w:marRight w:val="0"/>
      <w:marTop w:val="0"/>
      <w:marBottom w:val="0"/>
      <w:divBdr>
        <w:top w:val="none" w:sz="0" w:space="0" w:color="auto"/>
        <w:left w:val="none" w:sz="0" w:space="0" w:color="auto"/>
        <w:bottom w:val="none" w:sz="0" w:space="0" w:color="auto"/>
        <w:right w:val="none" w:sz="0" w:space="0" w:color="auto"/>
      </w:divBdr>
    </w:div>
    <w:div w:id="749502232">
      <w:marLeft w:val="0"/>
      <w:marRight w:val="0"/>
      <w:marTop w:val="0"/>
      <w:marBottom w:val="0"/>
      <w:divBdr>
        <w:top w:val="none" w:sz="0" w:space="0" w:color="auto"/>
        <w:left w:val="none" w:sz="0" w:space="0" w:color="auto"/>
        <w:bottom w:val="none" w:sz="0" w:space="0" w:color="auto"/>
        <w:right w:val="none" w:sz="0" w:space="0" w:color="auto"/>
      </w:divBdr>
    </w:div>
    <w:div w:id="749502233">
      <w:marLeft w:val="0"/>
      <w:marRight w:val="0"/>
      <w:marTop w:val="0"/>
      <w:marBottom w:val="0"/>
      <w:divBdr>
        <w:top w:val="none" w:sz="0" w:space="0" w:color="auto"/>
        <w:left w:val="none" w:sz="0" w:space="0" w:color="auto"/>
        <w:bottom w:val="none" w:sz="0" w:space="0" w:color="auto"/>
        <w:right w:val="none" w:sz="0" w:space="0" w:color="auto"/>
      </w:divBdr>
    </w:div>
    <w:div w:id="749502234">
      <w:marLeft w:val="0"/>
      <w:marRight w:val="0"/>
      <w:marTop w:val="0"/>
      <w:marBottom w:val="0"/>
      <w:divBdr>
        <w:top w:val="none" w:sz="0" w:space="0" w:color="auto"/>
        <w:left w:val="none" w:sz="0" w:space="0" w:color="auto"/>
        <w:bottom w:val="none" w:sz="0" w:space="0" w:color="auto"/>
        <w:right w:val="none" w:sz="0" w:space="0" w:color="auto"/>
      </w:divBdr>
    </w:div>
    <w:div w:id="749502235">
      <w:marLeft w:val="0"/>
      <w:marRight w:val="0"/>
      <w:marTop w:val="0"/>
      <w:marBottom w:val="0"/>
      <w:divBdr>
        <w:top w:val="none" w:sz="0" w:space="0" w:color="auto"/>
        <w:left w:val="none" w:sz="0" w:space="0" w:color="auto"/>
        <w:bottom w:val="none" w:sz="0" w:space="0" w:color="auto"/>
        <w:right w:val="none" w:sz="0" w:space="0" w:color="auto"/>
      </w:divBdr>
    </w:div>
    <w:div w:id="749502236">
      <w:marLeft w:val="0"/>
      <w:marRight w:val="0"/>
      <w:marTop w:val="0"/>
      <w:marBottom w:val="0"/>
      <w:divBdr>
        <w:top w:val="none" w:sz="0" w:space="0" w:color="auto"/>
        <w:left w:val="none" w:sz="0" w:space="0" w:color="auto"/>
        <w:bottom w:val="none" w:sz="0" w:space="0" w:color="auto"/>
        <w:right w:val="none" w:sz="0" w:space="0" w:color="auto"/>
      </w:divBdr>
    </w:div>
    <w:div w:id="749502237">
      <w:marLeft w:val="0"/>
      <w:marRight w:val="0"/>
      <w:marTop w:val="0"/>
      <w:marBottom w:val="0"/>
      <w:divBdr>
        <w:top w:val="none" w:sz="0" w:space="0" w:color="auto"/>
        <w:left w:val="none" w:sz="0" w:space="0" w:color="auto"/>
        <w:bottom w:val="none" w:sz="0" w:space="0" w:color="auto"/>
        <w:right w:val="none" w:sz="0" w:space="0" w:color="auto"/>
      </w:divBdr>
    </w:div>
    <w:div w:id="749502238">
      <w:marLeft w:val="0"/>
      <w:marRight w:val="0"/>
      <w:marTop w:val="0"/>
      <w:marBottom w:val="0"/>
      <w:divBdr>
        <w:top w:val="none" w:sz="0" w:space="0" w:color="auto"/>
        <w:left w:val="none" w:sz="0" w:space="0" w:color="auto"/>
        <w:bottom w:val="none" w:sz="0" w:space="0" w:color="auto"/>
        <w:right w:val="none" w:sz="0" w:space="0" w:color="auto"/>
      </w:divBdr>
    </w:div>
    <w:div w:id="749502239">
      <w:marLeft w:val="0"/>
      <w:marRight w:val="0"/>
      <w:marTop w:val="0"/>
      <w:marBottom w:val="0"/>
      <w:divBdr>
        <w:top w:val="none" w:sz="0" w:space="0" w:color="auto"/>
        <w:left w:val="none" w:sz="0" w:space="0" w:color="auto"/>
        <w:bottom w:val="none" w:sz="0" w:space="0" w:color="auto"/>
        <w:right w:val="none" w:sz="0" w:space="0" w:color="auto"/>
      </w:divBdr>
    </w:div>
    <w:div w:id="749502240">
      <w:marLeft w:val="0"/>
      <w:marRight w:val="0"/>
      <w:marTop w:val="0"/>
      <w:marBottom w:val="0"/>
      <w:divBdr>
        <w:top w:val="none" w:sz="0" w:space="0" w:color="auto"/>
        <w:left w:val="none" w:sz="0" w:space="0" w:color="auto"/>
        <w:bottom w:val="none" w:sz="0" w:space="0" w:color="auto"/>
        <w:right w:val="none" w:sz="0" w:space="0" w:color="auto"/>
      </w:divBdr>
    </w:div>
    <w:div w:id="749502241">
      <w:marLeft w:val="0"/>
      <w:marRight w:val="0"/>
      <w:marTop w:val="0"/>
      <w:marBottom w:val="0"/>
      <w:divBdr>
        <w:top w:val="none" w:sz="0" w:space="0" w:color="auto"/>
        <w:left w:val="none" w:sz="0" w:space="0" w:color="auto"/>
        <w:bottom w:val="none" w:sz="0" w:space="0" w:color="auto"/>
        <w:right w:val="none" w:sz="0" w:space="0" w:color="auto"/>
      </w:divBdr>
    </w:div>
    <w:div w:id="749502242">
      <w:marLeft w:val="0"/>
      <w:marRight w:val="0"/>
      <w:marTop w:val="0"/>
      <w:marBottom w:val="0"/>
      <w:divBdr>
        <w:top w:val="none" w:sz="0" w:space="0" w:color="auto"/>
        <w:left w:val="none" w:sz="0" w:space="0" w:color="auto"/>
        <w:bottom w:val="none" w:sz="0" w:space="0" w:color="auto"/>
        <w:right w:val="none" w:sz="0" w:space="0" w:color="auto"/>
      </w:divBdr>
    </w:div>
    <w:div w:id="749502243">
      <w:marLeft w:val="0"/>
      <w:marRight w:val="0"/>
      <w:marTop w:val="0"/>
      <w:marBottom w:val="0"/>
      <w:divBdr>
        <w:top w:val="none" w:sz="0" w:space="0" w:color="auto"/>
        <w:left w:val="none" w:sz="0" w:space="0" w:color="auto"/>
        <w:bottom w:val="none" w:sz="0" w:space="0" w:color="auto"/>
        <w:right w:val="none" w:sz="0" w:space="0" w:color="auto"/>
      </w:divBdr>
    </w:div>
    <w:div w:id="749502244">
      <w:marLeft w:val="0"/>
      <w:marRight w:val="0"/>
      <w:marTop w:val="0"/>
      <w:marBottom w:val="0"/>
      <w:divBdr>
        <w:top w:val="none" w:sz="0" w:space="0" w:color="auto"/>
        <w:left w:val="none" w:sz="0" w:space="0" w:color="auto"/>
        <w:bottom w:val="none" w:sz="0" w:space="0" w:color="auto"/>
        <w:right w:val="none" w:sz="0" w:space="0" w:color="auto"/>
      </w:divBdr>
    </w:div>
    <w:div w:id="749502245">
      <w:marLeft w:val="0"/>
      <w:marRight w:val="0"/>
      <w:marTop w:val="0"/>
      <w:marBottom w:val="0"/>
      <w:divBdr>
        <w:top w:val="none" w:sz="0" w:space="0" w:color="auto"/>
        <w:left w:val="none" w:sz="0" w:space="0" w:color="auto"/>
        <w:bottom w:val="none" w:sz="0" w:space="0" w:color="auto"/>
        <w:right w:val="none" w:sz="0" w:space="0" w:color="auto"/>
      </w:divBdr>
    </w:div>
    <w:div w:id="749502246">
      <w:marLeft w:val="0"/>
      <w:marRight w:val="0"/>
      <w:marTop w:val="0"/>
      <w:marBottom w:val="0"/>
      <w:divBdr>
        <w:top w:val="none" w:sz="0" w:space="0" w:color="auto"/>
        <w:left w:val="none" w:sz="0" w:space="0" w:color="auto"/>
        <w:bottom w:val="none" w:sz="0" w:space="0" w:color="auto"/>
        <w:right w:val="none" w:sz="0" w:space="0" w:color="auto"/>
      </w:divBdr>
    </w:div>
    <w:div w:id="749502247">
      <w:marLeft w:val="0"/>
      <w:marRight w:val="0"/>
      <w:marTop w:val="0"/>
      <w:marBottom w:val="0"/>
      <w:divBdr>
        <w:top w:val="none" w:sz="0" w:space="0" w:color="auto"/>
        <w:left w:val="none" w:sz="0" w:space="0" w:color="auto"/>
        <w:bottom w:val="none" w:sz="0" w:space="0" w:color="auto"/>
        <w:right w:val="none" w:sz="0" w:space="0" w:color="auto"/>
      </w:divBdr>
    </w:div>
    <w:div w:id="749502248">
      <w:marLeft w:val="0"/>
      <w:marRight w:val="0"/>
      <w:marTop w:val="0"/>
      <w:marBottom w:val="0"/>
      <w:divBdr>
        <w:top w:val="none" w:sz="0" w:space="0" w:color="auto"/>
        <w:left w:val="none" w:sz="0" w:space="0" w:color="auto"/>
        <w:bottom w:val="none" w:sz="0" w:space="0" w:color="auto"/>
        <w:right w:val="none" w:sz="0" w:space="0" w:color="auto"/>
      </w:divBdr>
    </w:div>
    <w:div w:id="749502249">
      <w:marLeft w:val="0"/>
      <w:marRight w:val="0"/>
      <w:marTop w:val="0"/>
      <w:marBottom w:val="0"/>
      <w:divBdr>
        <w:top w:val="none" w:sz="0" w:space="0" w:color="auto"/>
        <w:left w:val="none" w:sz="0" w:space="0" w:color="auto"/>
        <w:bottom w:val="none" w:sz="0" w:space="0" w:color="auto"/>
        <w:right w:val="none" w:sz="0" w:space="0" w:color="auto"/>
      </w:divBdr>
    </w:div>
    <w:div w:id="749502250">
      <w:marLeft w:val="0"/>
      <w:marRight w:val="0"/>
      <w:marTop w:val="0"/>
      <w:marBottom w:val="0"/>
      <w:divBdr>
        <w:top w:val="none" w:sz="0" w:space="0" w:color="auto"/>
        <w:left w:val="none" w:sz="0" w:space="0" w:color="auto"/>
        <w:bottom w:val="none" w:sz="0" w:space="0" w:color="auto"/>
        <w:right w:val="none" w:sz="0" w:space="0" w:color="auto"/>
      </w:divBdr>
    </w:div>
    <w:div w:id="749502251">
      <w:marLeft w:val="0"/>
      <w:marRight w:val="0"/>
      <w:marTop w:val="0"/>
      <w:marBottom w:val="0"/>
      <w:divBdr>
        <w:top w:val="none" w:sz="0" w:space="0" w:color="auto"/>
        <w:left w:val="none" w:sz="0" w:space="0" w:color="auto"/>
        <w:bottom w:val="none" w:sz="0" w:space="0" w:color="auto"/>
        <w:right w:val="none" w:sz="0" w:space="0" w:color="auto"/>
      </w:divBdr>
    </w:div>
    <w:div w:id="749502252">
      <w:marLeft w:val="0"/>
      <w:marRight w:val="0"/>
      <w:marTop w:val="0"/>
      <w:marBottom w:val="0"/>
      <w:divBdr>
        <w:top w:val="none" w:sz="0" w:space="0" w:color="auto"/>
        <w:left w:val="none" w:sz="0" w:space="0" w:color="auto"/>
        <w:bottom w:val="none" w:sz="0" w:space="0" w:color="auto"/>
        <w:right w:val="none" w:sz="0" w:space="0" w:color="auto"/>
      </w:divBdr>
    </w:div>
    <w:div w:id="749502253">
      <w:marLeft w:val="0"/>
      <w:marRight w:val="0"/>
      <w:marTop w:val="0"/>
      <w:marBottom w:val="0"/>
      <w:divBdr>
        <w:top w:val="none" w:sz="0" w:space="0" w:color="auto"/>
        <w:left w:val="none" w:sz="0" w:space="0" w:color="auto"/>
        <w:bottom w:val="none" w:sz="0" w:space="0" w:color="auto"/>
        <w:right w:val="none" w:sz="0" w:space="0" w:color="auto"/>
      </w:divBdr>
    </w:div>
    <w:div w:id="749502254">
      <w:marLeft w:val="0"/>
      <w:marRight w:val="0"/>
      <w:marTop w:val="0"/>
      <w:marBottom w:val="0"/>
      <w:divBdr>
        <w:top w:val="none" w:sz="0" w:space="0" w:color="auto"/>
        <w:left w:val="none" w:sz="0" w:space="0" w:color="auto"/>
        <w:bottom w:val="none" w:sz="0" w:space="0" w:color="auto"/>
        <w:right w:val="none" w:sz="0" w:space="0" w:color="auto"/>
      </w:divBdr>
    </w:div>
    <w:div w:id="749502255">
      <w:marLeft w:val="0"/>
      <w:marRight w:val="0"/>
      <w:marTop w:val="0"/>
      <w:marBottom w:val="0"/>
      <w:divBdr>
        <w:top w:val="none" w:sz="0" w:space="0" w:color="auto"/>
        <w:left w:val="none" w:sz="0" w:space="0" w:color="auto"/>
        <w:bottom w:val="none" w:sz="0" w:space="0" w:color="auto"/>
        <w:right w:val="none" w:sz="0" w:space="0" w:color="auto"/>
      </w:divBdr>
    </w:div>
    <w:div w:id="749502256">
      <w:marLeft w:val="0"/>
      <w:marRight w:val="0"/>
      <w:marTop w:val="0"/>
      <w:marBottom w:val="0"/>
      <w:divBdr>
        <w:top w:val="none" w:sz="0" w:space="0" w:color="auto"/>
        <w:left w:val="none" w:sz="0" w:space="0" w:color="auto"/>
        <w:bottom w:val="none" w:sz="0" w:space="0" w:color="auto"/>
        <w:right w:val="none" w:sz="0" w:space="0" w:color="auto"/>
      </w:divBdr>
    </w:div>
    <w:div w:id="749502257">
      <w:marLeft w:val="0"/>
      <w:marRight w:val="0"/>
      <w:marTop w:val="0"/>
      <w:marBottom w:val="0"/>
      <w:divBdr>
        <w:top w:val="none" w:sz="0" w:space="0" w:color="auto"/>
        <w:left w:val="none" w:sz="0" w:space="0" w:color="auto"/>
        <w:bottom w:val="none" w:sz="0" w:space="0" w:color="auto"/>
        <w:right w:val="none" w:sz="0" w:space="0" w:color="auto"/>
      </w:divBdr>
    </w:div>
    <w:div w:id="749502258">
      <w:marLeft w:val="0"/>
      <w:marRight w:val="0"/>
      <w:marTop w:val="0"/>
      <w:marBottom w:val="0"/>
      <w:divBdr>
        <w:top w:val="none" w:sz="0" w:space="0" w:color="auto"/>
        <w:left w:val="none" w:sz="0" w:space="0" w:color="auto"/>
        <w:bottom w:val="none" w:sz="0" w:space="0" w:color="auto"/>
        <w:right w:val="none" w:sz="0" w:space="0" w:color="auto"/>
      </w:divBdr>
    </w:div>
    <w:div w:id="749502259">
      <w:marLeft w:val="0"/>
      <w:marRight w:val="0"/>
      <w:marTop w:val="0"/>
      <w:marBottom w:val="0"/>
      <w:divBdr>
        <w:top w:val="none" w:sz="0" w:space="0" w:color="auto"/>
        <w:left w:val="none" w:sz="0" w:space="0" w:color="auto"/>
        <w:bottom w:val="none" w:sz="0" w:space="0" w:color="auto"/>
        <w:right w:val="none" w:sz="0" w:space="0" w:color="auto"/>
      </w:divBdr>
    </w:div>
    <w:div w:id="749502260">
      <w:marLeft w:val="0"/>
      <w:marRight w:val="0"/>
      <w:marTop w:val="0"/>
      <w:marBottom w:val="0"/>
      <w:divBdr>
        <w:top w:val="none" w:sz="0" w:space="0" w:color="auto"/>
        <w:left w:val="none" w:sz="0" w:space="0" w:color="auto"/>
        <w:bottom w:val="none" w:sz="0" w:space="0" w:color="auto"/>
        <w:right w:val="none" w:sz="0" w:space="0" w:color="auto"/>
      </w:divBdr>
    </w:div>
    <w:div w:id="749502261">
      <w:marLeft w:val="0"/>
      <w:marRight w:val="0"/>
      <w:marTop w:val="0"/>
      <w:marBottom w:val="0"/>
      <w:divBdr>
        <w:top w:val="none" w:sz="0" w:space="0" w:color="auto"/>
        <w:left w:val="none" w:sz="0" w:space="0" w:color="auto"/>
        <w:bottom w:val="none" w:sz="0" w:space="0" w:color="auto"/>
        <w:right w:val="none" w:sz="0" w:space="0" w:color="auto"/>
      </w:divBdr>
    </w:div>
    <w:div w:id="749502262">
      <w:marLeft w:val="0"/>
      <w:marRight w:val="0"/>
      <w:marTop w:val="0"/>
      <w:marBottom w:val="0"/>
      <w:divBdr>
        <w:top w:val="none" w:sz="0" w:space="0" w:color="auto"/>
        <w:left w:val="none" w:sz="0" w:space="0" w:color="auto"/>
        <w:bottom w:val="none" w:sz="0" w:space="0" w:color="auto"/>
        <w:right w:val="none" w:sz="0" w:space="0" w:color="auto"/>
      </w:divBdr>
    </w:div>
    <w:div w:id="749502263">
      <w:marLeft w:val="0"/>
      <w:marRight w:val="0"/>
      <w:marTop w:val="0"/>
      <w:marBottom w:val="0"/>
      <w:divBdr>
        <w:top w:val="none" w:sz="0" w:space="0" w:color="auto"/>
        <w:left w:val="none" w:sz="0" w:space="0" w:color="auto"/>
        <w:bottom w:val="none" w:sz="0" w:space="0" w:color="auto"/>
        <w:right w:val="none" w:sz="0" w:space="0" w:color="auto"/>
      </w:divBdr>
    </w:div>
    <w:div w:id="749502264">
      <w:marLeft w:val="0"/>
      <w:marRight w:val="0"/>
      <w:marTop w:val="0"/>
      <w:marBottom w:val="0"/>
      <w:divBdr>
        <w:top w:val="none" w:sz="0" w:space="0" w:color="auto"/>
        <w:left w:val="none" w:sz="0" w:space="0" w:color="auto"/>
        <w:bottom w:val="none" w:sz="0" w:space="0" w:color="auto"/>
        <w:right w:val="none" w:sz="0" w:space="0" w:color="auto"/>
      </w:divBdr>
    </w:div>
    <w:div w:id="749502265">
      <w:marLeft w:val="0"/>
      <w:marRight w:val="0"/>
      <w:marTop w:val="0"/>
      <w:marBottom w:val="0"/>
      <w:divBdr>
        <w:top w:val="none" w:sz="0" w:space="0" w:color="auto"/>
        <w:left w:val="none" w:sz="0" w:space="0" w:color="auto"/>
        <w:bottom w:val="none" w:sz="0" w:space="0" w:color="auto"/>
        <w:right w:val="none" w:sz="0" w:space="0" w:color="auto"/>
      </w:divBdr>
    </w:div>
    <w:div w:id="749502266">
      <w:marLeft w:val="0"/>
      <w:marRight w:val="0"/>
      <w:marTop w:val="0"/>
      <w:marBottom w:val="0"/>
      <w:divBdr>
        <w:top w:val="none" w:sz="0" w:space="0" w:color="auto"/>
        <w:left w:val="none" w:sz="0" w:space="0" w:color="auto"/>
        <w:bottom w:val="none" w:sz="0" w:space="0" w:color="auto"/>
        <w:right w:val="none" w:sz="0" w:space="0" w:color="auto"/>
      </w:divBdr>
    </w:div>
    <w:div w:id="749502267">
      <w:marLeft w:val="0"/>
      <w:marRight w:val="0"/>
      <w:marTop w:val="0"/>
      <w:marBottom w:val="0"/>
      <w:divBdr>
        <w:top w:val="none" w:sz="0" w:space="0" w:color="auto"/>
        <w:left w:val="none" w:sz="0" w:space="0" w:color="auto"/>
        <w:bottom w:val="none" w:sz="0" w:space="0" w:color="auto"/>
        <w:right w:val="none" w:sz="0" w:space="0" w:color="auto"/>
      </w:divBdr>
    </w:div>
    <w:div w:id="749502268">
      <w:marLeft w:val="0"/>
      <w:marRight w:val="0"/>
      <w:marTop w:val="0"/>
      <w:marBottom w:val="0"/>
      <w:divBdr>
        <w:top w:val="none" w:sz="0" w:space="0" w:color="auto"/>
        <w:left w:val="none" w:sz="0" w:space="0" w:color="auto"/>
        <w:bottom w:val="none" w:sz="0" w:space="0" w:color="auto"/>
        <w:right w:val="none" w:sz="0" w:space="0" w:color="auto"/>
      </w:divBdr>
    </w:div>
    <w:div w:id="749502269">
      <w:marLeft w:val="0"/>
      <w:marRight w:val="0"/>
      <w:marTop w:val="0"/>
      <w:marBottom w:val="0"/>
      <w:divBdr>
        <w:top w:val="none" w:sz="0" w:space="0" w:color="auto"/>
        <w:left w:val="none" w:sz="0" w:space="0" w:color="auto"/>
        <w:bottom w:val="none" w:sz="0" w:space="0" w:color="auto"/>
        <w:right w:val="none" w:sz="0" w:space="0" w:color="auto"/>
      </w:divBdr>
    </w:div>
    <w:div w:id="749502270">
      <w:marLeft w:val="0"/>
      <w:marRight w:val="0"/>
      <w:marTop w:val="0"/>
      <w:marBottom w:val="0"/>
      <w:divBdr>
        <w:top w:val="none" w:sz="0" w:space="0" w:color="auto"/>
        <w:left w:val="none" w:sz="0" w:space="0" w:color="auto"/>
        <w:bottom w:val="none" w:sz="0" w:space="0" w:color="auto"/>
        <w:right w:val="none" w:sz="0" w:space="0" w:color="auto"/>
      </w:divBdr>
    </w:div>
    <w:div w:id="749502271">
      <w:marLeft w:val="0"/>
      <w:marRight w:val="0"/>
      <w:marTop w:val="0"/>
      <w:marBottom w:val="0"/>
      <w:divBdr>
        <w:top w:val="none" w:sz="0" w:space="0" w:color="auto"/>
        <w:left w:val="none" w:sz="0" w:space="0" w:color="auto"/>
        <w:bottom w:val="none" w:sz="0" w:space="0" w:color="auto"/>
        <w:right w:val="none" w:sz="0" w:space="0" w:color="auto"/>
      </w:divBdr>
    </w:div>
    <w:div w:id="749502272">
      <w:marLeft w:val="0"/>
      <w:marRight w:val="0"/>
      <w:marTop w:val="0"/>
      <w:marBottom w:val="0"/>
      <w:divBdr>
        <w:top w:val="none" w:sz="0" w:space="0" w:color="auto"/>
        <w:left w:val="none" w:sz="0" w:space="0" w:color="auto"/>
        <w:bottom w:val="none" w:sz="0" w:space="0" w:color="auto"/>
        <w:right w:val="none" w:sz="0" w:space="0" w:color="auto"/>
      </w:divBdr>
    </w:div>
    <w:div w:id="749502273">
      <w:marLeft w:val="0"/>
      <w:marRight w:val="0"/>
      <w:marTop w:val="0"/>
      <w:marBottom w:val="0"/>
      <w:divBdr>
        <w:top w:val="none" w:sz="0" w:space="0" w:color="auto"/>
        <w:left w:val="none" w:sz="0" w:space="0" w:color="auto"/>
        <w:bottom w:val="none" w:sz="0" w:space="0" w:color="auto"/>
        <w:right w:val="none" w:sz="0" w:space="0" w:color="auto"/>
      </w:divBdr>
    </w:div>
    <w:div w:id="749502274">
      <w:marLeft w:val="0"/>
      <w:marRight w:val="0"/>
      <w:marTop w:val="0"/>
      <w:marBottom w:val="0"/>
      <w:divBdr>
        <w:top w:val="none" w:sz="0" w:space="0" w:color="auto"/>
        <w:left w:val="none" w:sz="0" w:space="0" w:color="auto"/>
        <w:bottom w:val="none" w:sz="0" w:space="0" w:color="auto"/>
        <w:right w:val="none" w:sz="0" w:space="0" w:color="auto"/>
      </w:divBdr>
    </w:div>
    <w:div w:id="749502275">
      <w:marLeft w:val="0"/>
      <w:marRight w:val="0"/>
      <w:marTop w:val="0"/>
      <w:marBottom w:val="0"/>
      <w:divBdr>
        <w:top w:val="none" w:sz="0" w:space="0" w:color="auto"/>
        <w:left w:val="none" w:sz="0" w:space="0" w:color="auto"/>
        <w:bottom w:val="none" w:sz="0" w:space="0" w:color="auto"/>
        <w:right w:val="none" w:sz="0" w:space="0" w:color="auto"/>
      </w:divBdr>
    </w:div>
    <w:div w:id="749502276">
      <w:marLeft w:val="0"/>
      <w:marRight w:val="0"/>
      <w:marTop w:val="0"/>
      <w:marBottom w:val="0"/>
      <w:divBdr>
        <w:top w:val="none" w:sz="0" w:space="0" w:color="auto"/>
        <w:left w:val="none" w:sz="0" w:space="0" w:color="auto"/>
        <w:bottom w:val="none" w:sz="0" w:space="0" w:color="auto"/>
        <w:right w:val="none" w:sz="0" w:space="0" w:color="auto"/>
      </w:divBdr>
    </w:div>
    <w:div w:id="749502277">
      <w:marLeft w:val="0"/>
      <w:marRight w:val="0"/>
      <w:marTop w:val="0"/>
      <w:marBottom w:val="0"/>
      <w:divBdr>
        <w:top w:val="none" w:sz="0" w:space="0" w:color="auto"/>
        <w:left w:val="none" w:sz="0" w:space="0" w:color="auto"/>
        <w:bottom w:val="none" w:sz="0" w:space="0" w:color="auto"/>
        <w:right w:val="none" w:sz="0" w:space="0" w:color="auto"/>
      </w:divBdr>
    </w:div>
    <w:div w:id="749502278">
      <w:marLeft w:val="0"/>
      <w:marRight w:val="0"/>
      <w:marTop w:val="0"/>
      <w:marBottom w:val="0"/>
      <w:divBdr>
        <w:top w:val="none" w:sz="0" w:space="0" w:color="auto"/>
        <w:left w:val="none" w:sz="0" w:space="0" w:color="auto"/>
        <w:bottom w:val="none" w:sz="0" w:space="0" w:color="auto"/>
        <w:right w:val="none" w:sz="0" w:space="0" w:color="auto"/>
      </w:divBdr>
    </w:div>
    <w:div w:id="749502279">
      <w:marLeft w:val="0"/>
      <w:marRight w:val="0"/>
      <w:marTop w:val="0"/>
      <w:marBottom w:val="0"/>
      <w:divBdr>
        <w:top w:val="none" w:sz="0" w:space="0" w:color="auto"/>
        <w:left w:val="none" w:sz="0" w:space="0" w:color="auto"/>
        <w:bottom w:val="none" w:sz="0" w:space="0" w:color="auto"/>
        <w:right w:val="none" w:sz="0" w:space="0" w:color="auto"/>
      </w:divBdr>
    </w:div>
    <w:div w:id="749502280">
      <w:marLeft w:val="0"/>
      <w:marRight w:val="0"/>
      <w:marTop w:val="0"/>
      <w:marBottom w:val="0"/>
      <w:divBdr>
        <w:top w:val="none" w:sz="0" w:space="0" w:color="auto"/>
        <w:left w:val="none" w:sz="0" w:space="0" w:color="auto"/>
        <w:bottom w:val="none" w:sz="0" w:space="0" w:color="auto"/>
        <w:right w:val="none" w:sz="0" w:space="0" w:color="auto"/>
      </w:divBdr>
    </w:div>
    <w:div w:id="749502281">
      <w:marLeft w:val="0"/>
      <w:marRight w:val="0"/>
      <w:marTop w:val="0"/>
      <w:marBottom w:val="0"/>
      <w:divBdr>
        <w:top w:val="none" w:sz="0" w:space="0" w:color="auto"/>
        <w:left w:val="none" w:sz="0" w:space="0" w:color="auto"/>
        <w:bottom w:val="none" w:sz="0" w:space="0" w:color="auto"/>
        <w:right w:val="none" w:sz="0" w:space="0" w:color="auto"/>
      </w:divBdr>
    </w:div>
    <w:div w:id="749502282">
      <w:marLeft w:val="0"/>
      <w:marRight w:val="0"/>
      <w:marTop w:val="0"/>
      <w:marBottom w:val="0"/>
      <w:divBdr>
        <w:top w:val="none" w:sz="0" w:space="0" w:color="auto"/>
        <w:left w:val="none" w:sz="0" w:space="0" w:color="auto"/>
        <w:bottom w:val="none" w:sz="0" w:space="0" w:color="auto"/>
        <w:right w:val="none" w:sz="0" w:space="0" w:color="auto"/>
      </w:divBdr>
    </w:div>
    <w:div w:id="749502283">
      <w:marLeft w:val="0"/>
      <w:marRight w:val="0"/>
      <w:marTop w:val="0"/>
      <w:marBottom w:val="0"/>
      <w:divBdr>
        <w:top w:val="none" w:sz="0" w:space="0" w:color="auto"/>
        <w:left w:val="none" w:sz="0" w:space="0" w:color="auto"/>
        <w:bottom w:val="none" w:sz="0" w:space="0" w:color="auto"/>
        <w:right w:val="none" w:sz="0" w:space="0" w:color="auto"/>
      </w:divBdr>
    </w:div>
    <w:div w:id="749502284">
      <w:marLeft w:val="0"/>
      <w:marRight w:val="0"/>
      <w:marTop w:val="0"/>
      <w:marBottom w:val="0"/>
      <w:divBdr>
        <w:top w:val="none" w:sz="0" w:space="0" w:color="auto"/>
        <w:left w:val="none" w:sz="0" w:space="0" w:color="auto"/>
        <w:bottom w:val="none" w:sz="0" w:space="0" w:color="auto"/>
        <w:right w:val="none" w:sz="0" w:space="0" w:color="auto"/>
      </w:divBdr>
    </w:div>
    <w:div w:id="749502285">
      <w:marLeft w:val="0"/>
      <w:marRight w:val="0"/>
      <w:marTop w:val="0"/>
      <w:marBottom w:val="0"/>
      <w:divBdr>
        <w:top w:val="none" w:sz="0" w:space="0" w:color="auto"/>
        <w:left w:val="none" w:sz="0" w:space="0" w:color="auto"/>
        <w:bottom w:val="none" w:sz="0" w:space="0" w:color="auto"/>
        <w:right w:val="none" w:sz="0" w:space="0" w:color="auto"/>
      </w:divBdr>
    </w:div>
    <w:div w:id="749502286">
      <w:marLeft w:val="0"/>
      <w:marRight w:val="0"/>
      <w:marTop w:val="0"/>
      <w:marBottom w:val="0"/>
      <w:divBdr>
        <w:top w:val="none" w:sz="0" w:space="0" w:color="auto"/>
        <w:left w:val="none" w:sz="0" w:space="0" w:color="auto"/>
        <w:bottom w:val="none" w:sz="0" w:space="0" w:color="auto"/>
        <w:right w:val="none" w:sz="0" w:space="0" w:color="auto"/>
      </w:divBdr>
    </w:div>
    <w:div w:id="749502287">
      <w:marLeft w:val="0"/>
      <w:marRight w:val="0"/>
      <w:marTop w:val="0"/>
      <w:marBottom w:val="0"/>
      <w:divBdr>
        <w:top w:val="none" w:sz="0" w:space="0" w:color="auto"/>
        <w:left w:val="none" w:sz="0" w:space="0" w:color="auto"/>
        <w:bottom w:val="none" w:sz="0" w:space="0" w:color="auto"/>
        <w:right w:val="none" w:sz="0" w:space="0" w:color="auto"/>
      </w:divBdr>
    </w:div>
    <w:div w:id="749502288">
      <w:marLeft w:val="0"/>
      <w:marRight w:val="0"/>
      <w:marTop w:val="0"/>
      <w:marBottom w:val="0"/>
      <w:divBdr>
        <w:top w:val="none" w:sz="0" w:space="0" w:color="auto"/>
        <w:left w:val="none" w:sz="0" w:space="0" w:color="auto"/>
        <w:bottom w:val="none" w:sz="0" w:space="0" w:color="auto"/>
        <w:right w:val="none" w:sz="0" w:space="0" w:color="auto"/>
      </w:divBdr>
    </w:div>
    <w:div w:id="749502289">
      <w:marLeft w:val="0"/>
      <w:marRight w:val="0"/>
      <w:marTop w:val="0"/>
      <w:marBottom w:val="0"/>
      <w:divBdr>
        <w:top w:val="none" w:sz="0" w:space="0" w:color="auto"/>
        <w:left w:val="none" w:sz="0" w:space="0" w:color="auto"/>
        <w:bottom w:val="none" w:sz="0" w:space="0" w:color="auto"/>
        <w:right w:val="none" w:sz="0" w:space="0" w:color="auto"/>
      </w:divBdr>
    </w:div>
    <w:div w:id="749502290">
      <w:marLeft w:val="0"/>
      <w:marRight w:val="0"/>
      <w:marTop w:val="0"/>
      <w:marBottom w:val="0"/>
      <w:divBdr>
        <w:top w:val="none" w:sz="0" w:space="0" w:color="auto"/>
        <w:left w:val="none" w:sz="0" w:space="0" w:color="auto"/>
        <w:bottom w:val="none" w:sz="0" w:space="0" w:color="auto"/>
        <w:right w:val="none" w:sz="0" w:space="0" w:color="auto"/>
      </w:divBdr>
    </w:div>
    <w:div w:id="749502291">
      <w:marLeft w:val="0"/>
      <w:marRight w:val="0"/>
      <w:marTop w:val="0"/>
      <w:marBottom w:val="0"/>
      <w:divBdr>
        <w:top w:val="none" w:sz="0" w:space="0" w:color="auto"/>
        <w:left w:val="none" w:sz="0" w:space="0" w:color="auto"/>
        <w:bottom w:val="none" w:sz="0" w:space="0" w:color="auto"/>
        <w:right w:val="none" w:sz="0" w:space="0" w:color="auto"/>
      </w:divBdr>
    </w:div>
    <w:div w:id="749502292">
      <w:marLeft w:val="0"/>
      <w:marRight w:val="0"/>
      <w:marTop w:val="0"/>
      <w:marBottom w:val="0"/>
      <w:divBdr>
        <w:top w:val="none" w:sz="0" w:space="0" w:color="auto"/>
        <w:left w:val="none" w:sz="0" w:space="0" w:color="auto"/>
        <w:bottom w:val="none" w:sz="0" w:space="0" w:color="auto"/>
        <w:right w:val="none" w:sz="0" w:space="0" w:color="auto"/>
      </w:divBdr>
    </w:div>
    <w:div w:id="749502293">
      <w:marLeft w:val="0"/>
      <w:marRight w:val="0"/>
      <w:marTop w:val="0"/>
      <w:marBottom w:val="0"/>
      <w:divBdr>
        <w:top w:val="none" w:sz="0" w:space="0" w:color="auto"/>
        <w:left w:val="none" w:sz="0" w:space="0" w:color="auto"/>
        <w:bottom w:val="none" w:sz="0" w:space="0" w:color="auto"/>
        <w:right w:val="none" w:sz="0" w:space="0" w:color="auto"/>
      </w:divBdr>
    </w:div>
    <w:div w:id="749502294">
      <w:marLeft w:val="0"/>
      <w:marRight w:val="0"/>
      <w:marTop w:val="0"/>
      <w:marBottom w:val="0"/>
      <w:divBdr>
        <w:top w:val="none" w:sz="0" w:space="0" w:color="auto"/>
        <w:left w:val="none" w:sz="0" w:space="0" w:color="auto"/>
        <w:bottom w:val="none" w:sz="0" w:space="0" w:color="auto"/>
        <w:right w:val="none" w:sz="0" w:space="0" w:color="auto"/>
      </w:divBdr>
    </w:div>
    <w:div w:id="749502295">
      <w:marLeft w:val="0"/>
      <w:marRight w:val="0"/>
      <w:marTop w:val="0"/>
      <w:marBottom w:val="0"/>
      <w:divBdr>
        <w:top w:val="none" w:sz="0" w:space="0" w:color="auto"/>
        <w:left w:val="none" w:sz="0" w:space="0" w:color="auto"/>
        <w:bottom w:val="none" w:sz="0" w:space="0" w:color="auto"/>
        <w:right w:val="none" w:sz="0" w:space="0" w:color="auto"/>
      </w:divBdr>
    </w:div>
    <w:div w:id="749502296">
      <w:marLeft w:val="0"/>
      <w:marRight w:val="0"/>
      <w:marTop w:val="0"/>
      <w:marBottom w:val="0"/>
      <w:divBdr>
        <w:top w:val="none" w:sz="0" w:space="0" w:color="auto"/>
        <w:left w:val="none" w:sz="0" w:space="0" w:color="auto"/>
        <w:bottom w:val="none" w:sz="0" w:space="0" w:color="auto"/>
        <w:right w:val="none" w:sz="0" w:space="0" w:color="auto"/>
      </w:divBdr>
    </w:div>
    <w:div w:id="749502297">
      <w:marLeft w:val="0"/>
      <w:marRight w:val="0"/>
      <w:marTop w:val="0"/>
      <w:marBottom w:val="0"/>
      <w:divBdr>
        <w:top w:val="none" w:sz="0" w:space="0" w:color="auto"/>
        <w:left w:val="none" w:sz="0" w:space="0" w:color="auto"/>
        <w:bottom w:val="none" w:sz="0" w:space="0" w:color="auto"/>
        <w:right w:val="none" w:sz="0" w:space="0" w:color="auto"/>
      </w:divBdr>
    </w:div>
    <w:div w:id="749502298">
      <w:marLeft w:val="0"/>
      <w:marRight w:val="0"/>
      <w:marTop w:val="0"/>
      <w:marBottom w:val="0"/>
      <w:divBdr>
        <w:top w:val="none" w:sz="0" w:space="0" w:color="auto"/>
        <w:left w:val="none" w:sz="0" w:space="0" w:color="auto"/>
        <w:bottom w:val="none" w:sz="0" w:space="0" w:color="auto"/>
        <w:right w:val="none" w:sz="0" w:space="0" w:color="auto"/>
      </w:divBdr>
    </w:div>
    <w:div w:id="749502299">
      <w:marLeft w:val="0"/>
      <w:marRight w:val="0"/>
      <w:marTop w:val="0"/>
      <w:marBottom w:val="0"/>
      <w:divBdr>
        <w:top w:val="none" w:sz="0" w:space="0" w:color="auto"/>
        <w:left w:val="none" w:sz="0" w:space="0" w:color="auto"/>
        <w:bottom w:val="none" w:sz="0" w:space="0" w:color="auto"/>
        <w:right w:val="none" w:sz="0" w:space="0" w:color="auto"/>
      </w:divBdr>
    </w:div>
    <w:div w:id="749502300">
      <w:marLeft w:val="0"/>
      <w:marRight w:val="0"/>
      <w:marTop w:val="0"/>
      <w:marBottom w:val="0"/>
      <w:divBdr>
        <w:top w:val="none" w:sz="0" w:space="0" w:color="auto"/>
        <w:left w:val="none" w:sz="0" w:space="0" w:color="auto"/>
        <w:bottom w:val="none" w:sz="0" w:space="0" w:color="auto"/>
        <w:right w:val="none" w:sz="0" w:space="0" w:color="auto"/>
      </w:divBdr>
    </w:div>
    <w:div w:id="749502301">
      <w:marLeft w:val="0"/>
      <w:marRight w:val="0"/>
      <w:marTop w:val="0"/>
      <w:marBottom w:val="0"/>
      <w:divBdr>
        <w:top w:val="none" w:sz="0" w:space="0" w:color="auto"/>
        <w:left w:val="none" w:sz="0" w:space="0" w:color="auto"/>
        <w:bottom w:val="none" w:sz="0" w:space="0" w:color="auto"/>
        <w:right w:val="none" w:sz="0" w:space="0" w:color="auto"/>
      </w:divBdr>
    </w:div>
    <w:div w:id="749502302">
      <w:marLeft w:val="0"/>
      <w:marRight w:val="0"/>
      <w:marTop w:val="0"/>
      <w:marBottom w:val="0"/>
      <w:divBdr>
        <w:top w:val="none" w:sz="0" w:space="0" w:color="auto"/>
        <w:left w:val="none" w:sz="0" w:space="0" w:color="auto"/>
        <w:bottom w:val="none" w:sz="0" w:space="0" w:color="auto"/>
        <w:right w:val="none" w:sz="0" w:space="0" w:color="auto"/>
      </w:divBdr>
    </w:div>
    <w:div w:id="749502303">
      <w:marLeft w:val="0"/>
      <w:marRight w:val="0"/>
      <w:marTop w:val="0"/>
      <w:marBottom w:val="0"/>
      <w:divBdr>
        <w:top w:val="none" w:sz="0" w:space="0" w:color="auto"/>
        <w:left w:val="none" w:sz="0" w:space="0" w:color="auto"/>
        <w:bottom w:val="none" w:sz="0" w:space="0" w:color="auto"/>
        <w:right w:val="none" w:sz="0" w:space="0" w:color="auto"/>
      </w:divBdr>
    </w:div>
    <w:div w:id="749502304">
      <w:marLeft w:val="0"/>
      <w:marRight w:val="0"/>
      <w:marTop w:val="0"/>
      <w:marBottom w:val="0"/>
      <w:divBdr>
        <w:top w:val="none" w:sz="0" w:space="0" w:color="auto"/>
        <w:left w:val="none" w:sz="0" w:space="0" w:color="auto"/>
        <w:bottom w:val="none" w:sz="0" w:space="0" w:color="auto"/>
        <w:right w:val="none" w:sz="0" w:space="0" w:color="auto"/>
      </w:divBdr>
    </w:div>
    <w:div w:id="749502305">
      <w:marLeft w:val="0"/>
      <w:marRight w:val="0"/>
      <w:marTop w:val="0"/>
      <w:marBottom w:val="0"/>
      <w:divBdr>
        <w:top w:val="none" w:sz="0" w:space="0" w:color="auto"/>
        <w:left w:val="none" w:sz="0" w:space="0" w:color="auto"/>
        <w:bottom w:val="none" w:sz="0" w:space="0" w:color="auto"/>
        <w:right w:val="none" w:sz="0" w:space="0" w:color="auto"/>
      </w:divBdr>
    </w:div>
    <w:div w:id="749502306">
      <w:marLeft w:val="0"/>
      <w:marRight w:val="0"/>
      <w:marTop w:val="0"/>
      <w:marBottom w:val="0"/>
      <w:divBdr>
        <w:top w:val="none" w:sz="0" w:space="0" w:color="auto"/>
        <w:left w:val="none" w:sz="0" w:space="0" w:color="auto"/>
        <w:bottom w:val="none" w:sz="0" w:space="0" w:color="auto"/>
        <w:right w:val="none" w:sz="0" w:space="0" w:color="auto"/>
      </w:divBdr>
    </w:div>
    <w:div w:id="749502307">
      <w:marLeft w:val="0"/>
      <w:marRight w:val="0"/>
      <w:marTop w:val="0"/>
      <w:marBottom w:val="0"/>
      <w:divBdr>
        <w:top w:val="none" w:sz="0" w:space="0" w:color="auto"/>
        <w:left w:val="none" w:sz="0" w:space="0" w:color="auto"/>
        <w:bottom w:val="none" w:sz="0" w:space="0" w:color="auto"/>
        <w:right w:val="none" w:sz="0" w:space="0" w:color="auto"/>
      </w:divBdr>
    </w:div>
    <w:div w:id="749502308">
      <w:marLeft w:val="0"/>
      <w:marRight w:val="0"/>
      <w:marTop w:val="0"/>
      <w:marBottom w:val="0"/>
      <w:divBdr>
        <w:top w:val="none" w:sz="0" w:space="0" w:color="auto"/>
        <w:left w:val="none" w:sz="0" w:space="0" w:color="auto"/>
        <w:bottom w:val="none" w:sz="0" w:space="0" w:color="auto"/>
        <w:right w:val="none" w:sz="0" w:space="0" w:color="auto"/>
      </w:divBdr>
    </w:div>
    <w:div w:id="749502309">
      <w:marLeft w:val="0"/>
      <w:marRight w:val="0"/>
      <w:marTop w:val="0"/>
      <w:marBottom w:val="0"/>
      <w:divBdr>
        <w:top w:val="none" w:sz="0" w:space="0" w:color="auto"/>
        <w:left w:val="none" w:sz="0" w:space="0" w:color="auto"/>
        <w:bottom w:val="none" w:sz="0" w:space="0" w:color="auto"/>
        <w:right w:val="none" w:sz="0" w:space="0" w:color="auto"/>
      </w:divBdr>
    </w:div>
    <w:div w:id="749502310">
      <w:marLeft w:val="0"/>
      <w:marRight w:val="0"/>
      <w:marTop w:val="0"/>
      <w:marBottom w:val="0"/>
      <w:divBdr>
        <w:top w:val="none" w:sz="0" w:space="0" w:color="auto"/>
        <w:left w:val="none" w:sz="0" w:space="0" w:color="auto"/>
        <w:bottom w:val="none" w:sz="0" w:space="0" w:color="auto"/>
        <w:right w:val="none" w:sz="0" w:space="0" w:color="auto"/>
      </w:divBdr>
    </w:div>
    <w:div w:id="749502311">
      <w:marLeft w:val="0"/>
      <w:marRight w:val="0"/>
      <w:marTop w:val="0"/>
      <w:marBottom w:val="0"/>
      <w:divBdr>
        <w:top w:val="none" w:sz="0" w:space="0" w:color="auto"/>
        <w:left w:val="none" w:sz="0" w:space="0" w:color="auto"/>
        <w:bottom w:val="none" w:sz="0" w:space="0" w:color="auto"/>
        <w:right w:val="none" w:sz="0" w:space="0" w:color="auto"/>
      </w:divBdr>
    </w:div>
    <w:div w:id="749502312">
      <w:marLeft w:val="0"/>
      <w:marRight w:val="0"/>
      <w:marTop w:val="0"/>
      <w:marBottom w:val="0"/>
      <w:divBdr>
        <w:top w:val="none" w:sz="0" w:space="0" w:color="auto"/>
        <w:left w:val="none" w:sz="0" w:space="0" w:color="auto"/>
        <w:bottom w:val="none" w:sz="0" w:space="0" w:color="auto"/>
        <w:right w:val="none" w:sz="0" w:space="0" w:color="auto"/>
      </w:divBdr>
    </w:div>
    <w:div w:id="749502313">
      <w:marLeft w:val="0"/>
      <w:marRight w:val="0"/>
      <w:marTop w:val="0"/>
      <w:marBottom w:val="0"/>
      <w:divBdr>
        <w:top w:val="none" w:sz="0" w:space="0" w:color="auto"/>
        <w:left w:val="none" w:sz="0" w:space="0" w:color="auto"/>
        <w:bottom w:val="none" w:sz="0" w:space="0" w:color="auto"/>
        <w:right w:val="none" w:sz="0" w:space="0" w:color="auto"/>
      </w:divBdr>
    </w:div>
    <w:div w:id="749502314">
      <w:marLeft w:val="0"/>
      <w:marRight w:val="0"/>
      <w:marTop w:val="0"/>
      <w:marBottom w:val="0"/>
      <w:divBdr>
        <w:top w:val="none" w:sz="0" w:space="0" w:color="auto"/>
        <w:left w:val="none" w:sz="0" w:space="0" w:color="auto"/>
        <w:bottom w:val="none" w:sz="0" w:space="0" w:color="auto"/>
        <w:right w:val="none" w:sz="0" w:space="0" w:color="auto"/>
      </w:divBdr>
    </w:div>
    <w:div w:id="749502315">
      <w:marLeft w:val="0"/>
      <w:marRight w:val="0"/>
      <w:marTop w:val="0"/>
      <w:marBottom w:val="0"/>
      <w:divBdr>
        <w:top w:val="none" w:sz="0" w:space="0" w:color="auto"/>
        <w:left w:val="none" w:sz="0" w:space="0" w:color="auto"/>
        <w:bottom w:val="none" w:sz="0" w:space="0" w:color="auto"/>
        <w:right w:val="none" w:sz="0" w:space="0" w:color="auto"/>
      </w:divBdr>
    </w:div>
    <w:div w:id="749502316">
      <w:marLeft w:val="0"/>
      <w:marRight w:val="0"/>
      <w:marTop w:val="0"/>
      <w:marBottom w:val="0"/>
      <w:divBdr>
        <w:top w:val="none" w:sz="0" w:space="0" w:color="auto"/>
        <w:left w:val="none" w:sz="0" w:space="0" w:color="auto"/>
        <w:bottom w:val="none" w:sz="0" w:space="0" w:color="auto"/>
        <w:right w:val="none" w:sz="0" w:space="0" w:color="auto"/>
      </w:divBdr>
    </w:div>
    <w:div w:id="749502317">
      <w:marLeft w:val="0"/>
      <w:marRight w:val="0"/>
      <w:marTop w:val="0"/>
      <w:marBottom w:val="0"/>
      <w:divBdr>
        <w:top w:val="none" w:sz="0" w:space="0" w:color="auto"/>
        <w:left w:val="none" w:sz="0" w:space="0" w:color="auto"/>
        <w:bottom w:val="none" w:sz="0" w:space="0" w:color="auto"/>
        <w:right w:val="none" w:sz="0" w:space="0" w:color="auto"/>
      </w:divBdr>
    </w:div>
    <w:div w:id="749502318">
      <w:marLeft w:val="0"/>
      <w:marRight w:val="0"/>
      <w:marTop w:val="0"/>
      <w:marBottom w:val="0"/>
      <w:divBdr>
        <w:top w:val="none" w:sz="0" w:space="0" w:color="auto"/>
        <w:left w:val="none" w:sz="0" w:space="0" w:color="auto"/>
        <w:bottom w:val="none" w:sz="0" w:space="0" w:color="auto"/>
        <w:right w:val="none" w:sz="0" w:space="0" w:color="auto"/>
      </w:divBdr>
    </w:div>
    <w:div w:id="749502319">
      <w:marLeft w:val="0"/>
      <w:marRight w:val="0"/>
      <w:marTop w:val="0"/>
      <w:marBottom w:val="0"/>
      <w:divBdr>
        <w:top w:val="none" w:sz="0" w:space="0" w:color="auto"/>
        <w:left w:val="none" w:sz="0" w:space="0" w:color="auto"/>
        <w:bottom w:val="none" w:sz="0" w:space="0" w:color="auto"/>
        <w:right w:val="none" w:sz="0" w:space="0" w:color="auto"/>
      </w:divBdr>
    </w:div>
    <w:div w:id="749502320">
      <w:marLeft w:val="0"/>
      <w:marRight w:val="0"/>
      <w:marTop w:val="0"/>
      <w:marBottom w:val="0"/>
      <w:divBdr>
        <w:top w:val="none" w:sz="0" w:space="0" w:color="auto"/>
        <w:left w:val="none" w:sz="0" w:space="0" w:color="auto"/>
        <w:bottom w:val="none" w:sz="0" w:space="0" w:color="auto"/>
        <w:right w:val="none" w:sz="0" w:space="0" w:color="auto"/>
      </w:divBdr>
    </w:div>
    <w:div w:id="749502321">
      <w:marLeft w:val="0"/>
      <w:marRight w:val="0"/>
      <w:marTop w:val="0"/>
      <w:marBottom w:val="0"/>
      <w:divBdr>
        <w:top w:val="none" w:sz="0" w:space="0" w:color="auto"/>
        <w:left w:val="none" w:sz="0" w:space="0" w:color="auto"/>
        <w:bottom w:val="none" w:sz="0" w:space="0" w:color="auto"/>
        <w:right w:val="none" w:sz="0" w:space="0" w:color="auto"/>
      </w:divBdr>
    </w:div>
    <w:div w:id="749502322">
      <w:marLeft w:val="0"/>
      <w:marRight w:val="0"/>
      <w:marTop w:val="0"/>
      <w:marBottom w:val="0"/>
      <w:divBdr>
        <w:top w:val="none" w:sz="0" w:space="0" w:color="auto"/>
        <w:left w:val="none" w:sz="0" w:space="0" w:color="auto"/>
        <w:bottom w:val="none" w:sz="0" w:space="0" w:color="auto"/>
        <w:right w:val="none" w:sz="0" w:space="0" w:color="auto"/>
      </w:divBdr>
    </w:div>
    <w:div w:id="749502323">
      <w:marLeft w:val="0"/>
      <w:marRight w:val="0"/>
      <w:marTop w:val="0"/>
      <w:marBottom w:val="0"/>
      <w:divBdr>
        <w:top w:val="none" w:sz="0" w:space="0" w:color="auto"/>
        <w:left w:val="none" w:sz="0" w:space="0" w:color="auto"/>
        <w:bottom w:val="none" w:sz="0" w:space="0" w:color="auto"/>
        <w:right w:val="none" w:sz="0" w:space="0" w:color="auto"/>
      </w:divBdr>
    </w:div>
    <w:div w:id="749502324">
      <w:marLeft w:val="0"/>
      <w:marRight w:val="0"/>
      <w:marTop w:val="0"/>
      <w:marBottom w:val="0"/>
      <w:divBdr>
        <w:top w:val="none" w:sz="0" w:space="0" w:color="auto"/>
        <w:left w:val="none" w:sz="0" w:space="0" w:color="auto"/>
        <w:bottom w:val="none" w:sz="0" w:space="0" w:color="auto"/>
        <w:right w:val="none" w:sz="0" w:space="0" w:color="auto"/>
      </w:divBdr>
    </w:div>
    <w:div w:id="749502325">
      <w:marLeft w:val="0"/>
      <w:marRight w:val="0"/>
      <w:marTop w:val="0"/>
      <w:marBottom w:val="0"/>
      <w:divBdr>
        <w:top w:val="none" w:sz="0" w:space="0" w:color="auto"/>
        <w:left w:val="none" w:sz="0" w:space="0" w:color="auto"/>
        <w:bottom w:val="none" w:sz="0" w:space="0" w:color="auto"/>
        <w:right w:val="none" w:sz="0" w:space="0" w:color="auto"/>
      </w:divBdr>
    </w:div>
    <w:div w:id="749502326">
      <w:marLeft w:val="0"/>
      <w:marRight w:val="0"/>
      <w:marTop w:val="0"/>
      <w:marBottom w:val="0"/>
      <w:divBdr>
        <w:top w:val="none" w:sz="0" w:space="0" w:color="auto"/>
        <w:left w:val="none" w:sz="0" w:space="0" w:color="auto"/>
        <w:bottom w:val="none" w:sz="0" w:space="0" w:color="auto"/>
        <w:right w:val="none" w:sz="0" w:space="0" w:color="auto"/>
      </w:divBdr>
    </w:div>
    <w:div w:id="749502327">
      <w:marLeft w:val="0"/>
      <w:marRight w:val="0"/>
      <w:marTop w:val="0"/>
      <w:marBottom w:val="0"/>
      <w:divBdr>
        <w:top w:val="none" w:sz="0" w:space="0" w:color="auto"/>
        <w:left w:val="none" w:sz="0" w:space="0" w:color="auto"/>
        <w:bottom w:val="none" w:sz="0" w:space="0" w:color="auto"/>
        <w:right w:val="none" w:sz="0" w:space="0" w:color="auto"/>
      </w:divBdr>
    </w:div>
    <w:div w:id="749502328">
      <w:marLeft w:val="0"/>
      <w:marRight w:val="0"/>
      <w:marTop w:val="0"/>
      <w:marBottom w:val="0"/>
      <w:divBdr>
        <w:top w:val="none" w:sz="0" w:space="0" w:color="auto"/>
        <w:left w:val="none" w:sz="0" w:space="0" w:color="auto"/>
        <w:bottom w:val="none" w:sz="0" w:space="0" w:color="auto"/>
        <w:right w:val="none" w:sz="0" w:space="0" w:color="auto"/>
      </w:divBdr>
    </w:div>
    <w:div w:id="749502329">
      <w:marLeft w:val="0"/>
      <w:marRight w:val="0"/>
      <w:marTop w:val="0"/>
      <w:marBottom w:val="0"/>
      <w:divBdr>
        <w:top w:val="none" w:sz="0" w:space="0" w:color="auto"/>
        <w:left w:val="none" w:sz="0" w:space="0" w:color="auto"/>
        <w:bottom w:val="none" w:sz="0" w:space="0" w:color="auto"/>
        <w:right w:val="none" w:sz="0" w:space="0" w:color="auto"/>
      </w:divBdr>
    </w:div>
    <w:div w:id="749502330">
      <w:marLeft w:val="0"/>
      <w:marRight w:val="0"/>
      <w:marTop w:val="0"/>
      <w:marBottom w:val="0"/>
      <w:divBdr>
        <w:top w:val="none" w:sz="0" w:space="0" w:color="auto"/>
        <w:left w:val="none" w:sz="0" w:space="0" w:color="auto"/>
        <w:bottom w:val="none" w:sz="0" w:space="0" w:color="auto"/>
        <w:right w:val="none" w:sz="0" w:space="0" w:color="auto"/>
      </w:divBdr>
    </w:div>
    <w:div w:id="7495023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image" Target="media/image15.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https://www.ctu.cz/ctu-online/pruzkum-nga.html"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ctu.cz/ctu-online/pruzkum-nga.html" TargetMode="External"/><Relationship Id="rId1" Type="http://schemas.openxmlformats.org/officeDocument/2006/relationships/hyperlink" Target="http://ec.europa.eu/regional_policy/thefunds/fin_inst/index_en.cf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665833333333344"/>
          <c:y val="6.0633680555555597E-2"/>
          <c:w val="0.7748347222222226"/>
          <c:h val="0.60949869791666667"/>
        </c:manualLayout>
      </c:layout>
      <c:barChart>
        <c:barDir val="col"/>
        <c:grouping val="clustered"/>
        <c:varyColors val="0"/>
        <c:ser>
          <c:idx val="0"/>
          <c:order val="0"/>
          <c:tx>
            <c:strRef>
              <c:f>investice!$A$4</c:f>
              <c:strCache>
                <c:ptCount val="1"/>
                <c:pt idx="0">
                  <c:v>Investice MSP (v mil. Kč)</c:v>
                </c:pt>
              </c:strCache>
            </c:strRef>
          </c:tx>
          <c:spPr>
            <a:solidFill>
              <a:schemeClr val="accent6">
                <a:lumMod val="75000"/>
              </a:schemeClr>
            </a:solidFill>
            <a:ln>
              <a:solidFill>
                <a:schemeClr val="accent6">
                  <a:lumMod val="50000"/>
                </a:schemeClr>
              </a:solidFill>
            </a:ln>
          </c:spPr>
          <c:invertIfNegative val="0"/>
          <c:dLbls>
            <c:spPr>
              <a:noFill/>
              <a:ln w="25388">
                <a:noFill/>
              </a:ln>
            </c:spPr>
            <c:txPr>
              <a:bodyPr rot="-5400000" vert="horz"/>
              <a:lstStyle/>
              <a:p>
                <a:pPr>
                  <a:defRPr/>
                </a:pPr>
                <a:endParaRPr lang="cs-CZ"/>
              </a:p>
            </c:txPr>
            <c:dLblPos val="ctr"/>
            <c:showLegendKey val="0"/>
            <c:showVal val="1"/>
            <c:showCatName val="0"/>
            <c:showSerName val="0"/>
            <c:showPercent val="0"/>
            <c:showBubbleSize val="0"/>
            <c:showLeaderLines val="0"/>
          </c:dLbls>
          <c:cat>
            <c:numRef>
              <c:f>investice!$B$3:$F$3</c:f>
              <c:numCache>
                <c:formatCode>General</c:formatCode>
                <c:ptCount val="5"/>
                <c:pt idx="0">
                  <c:v>2009</c:v>
                </c:pt>
                <c:pt idx="1">
                  <c:v>2010</c:v>
                </c:pt>
                <c:pt idx="2">
                  <c:v>2011</c:v>
                </c:pt>
                <c:pt idx="3">
                  <c:v>2012</c:v>
                </c:pt>
                <c:pt idx="4">
                  <c:v>2013</c:v>
                </c:pt>
              </c:numCache>
            </c:numRef>
          </c:cat>
          <c:val>
            <c:numRef>
              <c:f>investice!$B$4:$F$4</c:f>
              <c:numCache>
                <c:formatCode>#,##0</c:formatCode>
                <c:ptCount val="5"/>
                <c:pt idx="0">
                  <c:v>393595</c:v>
                </c:pt>
                <c:pt idx="1">
                  <c:v>386851</c:v>
                </c:pt>
                <c:pt idx="2">
                  <c:v>380212</c:v>
                </c:pt>
                <c:pt idx="3">
                  <c:v>353123</c:v>
                </c:pt>
                <c:pt idx="4">
                  <c:v>321385</c:v>
                </c:pt>
              </c:numCache>
            </c:numRef>
          </c:val>
        </c:ser>
        <c:dLbls>
          <c:showLegendKey val="0"/>
          <c:showVal val="0"/>
          <c:showCatName val="0"/>
          <c:showSerName val="0"/>
          <c:showPercent val="0"/>
          <c:showBubbleSize val="0"/>
        </c:dLbls>
        <c:gapWidth val="70"/>
        <c:axId val="184248576"/>
        <c:axId val="184250368"/>
      </c:barChart>
      <c:lineChart>
        <c:grouping val="standard"/>
        <c:varyColors val="0"/>
        <c:ser>
          <c:idx val="1"/>
          <c:order val="1"/>
          <c:tx>
            <c:strRef>
              <c:f>investice!$A$5</c:f>
              <c:strCache>
                <c:ptCount val="1"/>
                <c:pt idx="0">
                  <c:v>Investice celkem bez ohledu na velikost subjektu (v mil. Kč)</c:v>
                </c:pt>
              </c:strCache>
            </c:strRef>
          </c:tx>
          <c:spPr>
            <a:ln>
              <a:solidFill>
                <a:schemeClr val="accent6">
                  <a:lumMod val="50000"/>
                </a:schemeClr>
              </a:solidFill>
            </a:ln>
          </c:spPr>
          <c:marker>
            <c:spPr>
              <a:solidFill>
                <a:schemeClr val="accent6">
                  <a:lumMod val="50000"/>
                </a:schemeClr>
              </a:solidFill>
              <a:ln>
                <a:solidFill>
                  <a:schemeClr val="accent6">
                    <a:lumMod val="50000"/>
                  </a:schemeClr>
                </a:solidFill>
              </a:ln>
            </c:spPr>
          </c:marker>
          <c:dLbls>
            <c:spPr>
              <a:noFill/>
              <a:ln w="25388">
                <a:noFill/>
              </a:ln>
            </c:spPr>
            <c:dLblPos val="b"/>
            <c:showLegendKey val="0"/>
            <c:showVal val="1"/>
            <c:showCatName val="0"/>
            <c:showSerName val="0"/>
            <c:showPercent val="0"/>
            <c:showBubbleSize val="0"/>
            <c:showLeaderLines val="0"/>
          </c:dLbls>
          <c:cat>
            <c:numRef>
              <c:f>investice!$B$3:$F$3</c:f>
              <c:numCache>
                <c:formatCode>General</c:formatCode>
                <c:ptCount val="5"/>
                <c:pt idx="0">
                  <c:v>2009</c:v>
                </c:pt>
                <c:pt idx="1">
                  <c:v>2010</c:v>
                </c:pt>
                <c:pt idx="2">
                  <c:v>2011</c:v>
                </c:pt>
                <c:pt idx="3">
                  <c:v>2012</c:v>
                </c:pt>
                <c:pt idx="4">
                  <c:v>2013</c:v>
                </c:pt>
              </c:numCache>
            </c:numRef>
          </c:cat>
          <c:val>
            <c:numRef>
              <c:f>investice!$B$5:$F$5</c:f>
              <c:numCache>
                <c:formatCode>#,##0</c:formatCode>
                <c:ptCount val="5"/>
                <c:pt idx="0">
                  <c:v>644467</c:v>
                </c:pt>
                <c:pt idx="1">
                  <c:v>607265</c:v>
                </c:pt>
                <c:pt idx="2">
                  <c:v>635223</c:v>
                </c:pt>
                <c:pt idx="3">
                  <c:v>624845</c:v>
                </c:pt>
                <c:pt idx="4">
                  <c:v>581755</c:v>
                </c:pt>
              </c:numCache>
            </c:numRef>
          </c:val>
          <c:smooth val="0"/>
        </c:ser>
        <c:dLbls>
          <c:showLegendKey val="0"/>
          <c:showVal val="0"/>
          <c:showCatName val="0"/>
          <c:showSerName val="0"/>
          <c:showPercent val="0"/>
          <c:showBubbleSize val="0"/>
        </c:dLbls>
        <c:marker val="1"/>
        <c:smooth val="0"/>
        <c:axId val="184248576"/>
        <c:axId val="184250368"/>
      </c:lineChart>
      <c:catAx>
        <c:axId val="184248576"/>
        <c:scaling>
          <c:orientation val="minMax"/>
        </c:scaling>
        <c:delete val="0"/>
        <c:axPos val="b"/>
        <c:numFmt formatCode="General" sourceLinked="1"/>
        <c:majorTickMark val="out"/>
        <c:minorTickMark val="none"/>
        <c:tickLblPos val="nextTo"/>
        <c:crossAx val="184250368"/>
        <c:crosses val="autoZero"/>
        <c:auto val="1"/>
        <c:lblAlgn val="ctr"/>
        <c:lblOffset val="100"/>
        <c:noMultiLvlLbl val="0"/>
      </c:catAx>
      <c:valAx>
        <c:axId val="184250368"/>
        <c:scaling>
          <c:orientation val="minMax"/>
        </c:scaling>
        <c:delete val="0"/>
        <c:axPos val="l"/>
        <c:majorGridlines/>
        <c:numFmt formatCode="#,##0" sourceLinked="1"/>
        <c:majorTickMark val="out"/>
        <c:minorTickMark val="none"/>
        <c:tickLblPos val="nextTo"/>
        <c:crossAx val="184248576"/>
        <c:crosses val="autoZero"/>
        <c:crossBetween val="between"/>
      </c:valAx>
    </c:plotArea>
    <c:legend>
      <c:legendPos val="r"/>
      <c:layout>
        <c:manualLayout>
          <c:xMode val="edge"/>
          <c:yMode val="edge"/>
          <c:x val="1.282051282051282E-2"/>
          <c:y val="0.73575129533678751"/>
          <c:w val="0.91880341880341876"/>
          <c:h val="0.26943005181347152"/>
        </c:manualLayout>
      </c:layout>
      <c:overlay val="0"/>
    </c:legend>
    <c:plotVisOnly val="1"/>
    <c:dispBlanksAs val="gap"/>
    <c:showDLblsOverMax val="0"/>
  </c:chart>
  <c:spPr>
    <a:ln>
      <a:noFill/>
    </a:ln>
  </c:spPr>
  <c:txPr>
    <a:bodyPr/>
    <a:lstStyle/>
    <a:p>
      <a:pPr>
        <a:defRPr sz="785"/>
      </a:pPr>
      <a:endParaRPr lang="cs-CZ"/>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BA191-988B-43A2-B8D7-1257B6339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19FED669.dotm</Template>
  <TotalTime>55</TotalTime>
  <Pages>77</Pages>
  <Words>31010</Words>
  <Characters>182965</Characters>
  <Application>Microsoft Office Word</Application>
  <DocSecurity>0</DocSecurity>
  <Lines>1524</Lines>
  <Paragraphs>427</Paragraphs>
  <ScaleCrop>false</ScaleCrop>
  <HeadingPairs>
    <vt:vector size="2" baseType="variant">
      <vt:variant>
        <vt:lpstr>Název</vt:lpstr>
      </vt:variant>
      <vt:variant>
        <vt:i4>1</vt:i4>
      </vt:variant>
    </vt:vector>
  </HeadingPairs>
  <TitlesOfParts>
    <vt:vector size="1" baseType="lpstr">
      <vt:lpstr/>
    </vt:vector>
  </TitlesOfParts>
  <Company>Ministerstvo průmyslu a obchodu</Company>
  <LinksUpToDate>false</LinksUpToDate>
  <CharactersWithSpaces>213548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Laube Pavel</dc:creator>
  <cp:lastModifiedBy>Laube Pavel</cp:lastModifiedBy>
  <cp:revision>5</cp:revision>
  <cp:lastPrinted>2015-03-02T09:40:00Z</cp:lastPrinted>
  <dcterms:created xsi:type="dcterms:W3CDTF">2015-03-12T11:01:00Z</dcterms:created>
  <dcterms:modified xsi:type="dcterms:W3CDTF">2015-03-12T12:06:00Z</dcterms:modified>
</cp:coreProperties>
</file>