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67A" w:rsidRDefault="002A667A" w:rsidP="000C1B4F">
      <w:pPr>
        <w:rPr>
          <w:rFonts w:cs="Calibri"/>
          <w:b/>
          <w:spacing w:val="5"/>
          <w:kern w:val="28"/>
          <w:sz w:val="52"/>
          <w:szCs w:val="52"/>
        </w:rPr>
      </w:pPr>
    </w:p>
    <w:p w:rsidR="002A667A" w:rsidRDefault="002A667A" w:rsidP="00DF6E0B">
      <w:pPr>
        <w:jc w:val="center"/>
        <w:rPr>
          <w:rFonts w:cs="Calibri"/>
          <w:b/>
          <w:color w:val="4F81BD"/>
          <w:spacing w:val="5"/>
          <w:kern w:val="28"/>
          <w:sz w:val="52"/>
          <w:szCs w:val="52"/>
        </w:rPr>
      </w:pPr>
    </w:p>
    <w:p w:rsidR="002A667A" w:rsidRDefault="002A667A" w:rsidP="00DF6E0B">
      <w:pPr>
        <w:spacing w:after="120"/>
        <w:jc w:val="center"/>
        <w:rPr>
          <w:rFonts w:cs="Calibri"/>
          <w:b/>
          <w:color w:val="4F81BD"/>
          <w:spacing w:val="5"/>
          <w:kern w:val="28"/>
          <w:sz w:val="48"/>
          <w:szCs w:val="48"/>
        </w:rPr>
      </w:pPr>
    </w:p>
    <w:p w:rsidR="002A667A" w:rsidRDefault="002A667A" w:rsidP="00DF6E0B">
      <w:pPr>
        <w:spacing w:after="120"/>
        <w:jc w:val="center"/>
        <w:rPr>
          <w:rFonts w:cs="Calibri"/>
          <w:b/>
          <w:color w:val="4F81BD"/>
          <w:spacing w:val="5"/>
          <w:kern w:val="28"/>
          <w:sz w:val="48"/>
          <w:szCs w:val="48"/>
        </w:rPr>
      </w:pPr>
    </w:p>
    <w:p w:rsidR="002A667A" w:rsidRPr="00DF6E0B" w:rsidRDefault="002A667A" w:rsidP="00DF6E0B">
      <w:pPr>
        <w:spacing w:after="120"/>
        <w:jc w:val="center"/>
        <w:rPr>
          <w:rFonts w:cs="Calibri"/>
          <w:b/>
          <w:color w:val="4F81BD"/>
          <w:spacing w:val="5"/>
          <w:kern w:val="28"/>
          <w:sz w:val="48"/>
          <w:szCs w:val="48"/>
        </w:rPr>
      </w:pPr>
      <w:r w:rsidRPr="00DF6E0B">
        <w:rPr>
          <w:rFonts w:cs="Calibri"/>
          <w:b/>
          <w:color w:val="4F81BD"/>
          <w:spacing w:val="5"/>
          <w:kern w:val="28"/>
          <w:sz w:val="48"/>
          <w:szCs w:val="48"/>
        </w:rPr>
        <w:t>Předběžné posouzení finančních nástrojů</w:t>
      </w:r>
    </w:p>
    <w:p w:rsidR="002A667A" w:rsidRPr="00DF6E0B" w:rsidRDefault="002A667A" w:rsidP="00DF6E0B">
      <w:pPr>
        <w:spacing w:after="120"/>
        <w:jc w:val="center"/>
        <w:rPr>
          <w:color w:val="4F81BD"/>
          <w:sz w:val="48"/>
          <w:szCs w:val="48"/>
        </w:rPr>
      </w:pPr>
      <w:r w:rsidRPr="00DF6E0B">
        <w:rPr>
          <w:rFonts w:cs="Calibri"/>
          <w:b/>
          <w:color w:val="4F81BD"/>
          <w:spacing w:val="5"/>
          <w:kern w:val="28"/>
          <w:sz w:val="48"/>
          <w:szCs w:val="48"/>
        </w:rPr>
        <w:t>Operačního programu Podnikání a inovace pro konkurenceschopnost 2014-2020</w:t>
      </w:r>
    </w:p>
    <w:p w:rsidR="002A667A" w:rsidRPr="00EB7775" w:rsidRDefault="002A667A" w:rsidP="00EB7775"/>
    <w:p w:rsidR="002A667A" w:rsidRDefault="002A667A" w:rsidP="000C1B4F"/>
    <w:p w:rsidR="002A667A" w:rsidRPr="00DF6E0B" w:rsidRDefault="002A667A" w:rsidP="00DF6E0B">
      <w:pPr>
        <w:jc w:val="center"/>
        <w:rPr>
          <w:b/>
          <w:sz w:val="40"/>
          <w:szCs w:val="40"/>
        </w:rPr>
      </w:pPr>
      <w:r>
        <w:rPr>
          <w:b/>
          <w:sz w:val="40"/>
          <w:szCs w:val="40"/>
        </w:rPr>
        <w:t xml:space="preserve">Druhá </w:t>
      </w:r>
      <w:r w:rsidRPr="00DF6E0B">
        <w:rPr>
          <w:b/>
          <w:sz w:val="40"/>
          <w:szCs w:val="40"/>
        </w:rPr>
        <w:t>průběžná zpráva</w:t>
      </w:r>
    </w:p>
    <w:p w:rsidR="002A667A" w:rsidRPr="00DF6E0B" w:rsidRDefault="002A667A" w:rsidP="000C1B4F">
      <w:pPr>
        <w:rPr>
          <w:b/>
        </w:rPr>
      </w:pPr>
    </w:p>
    <w:p w:rsidR="002A667A" w:rsidRPr="00DF6E0B" w:rsidRDefault="002A667A" w:rsidP="000C1B4F">
      <w:pPr>
        <w:rPr>
          <w:b/>
        </w:rPr>
      </w:pPr>
    </w:p>
    <w:p w:rsidR="002A667A" w:rsidRPr="00DF6E0B" w:rsidRDefault="002A667A" w:rsidP="000C1B4F">
      <w:pPr>
        <w:rPr>
          <w:b/>
        </w:rPr>
      </w:pPr>
    </w:p>
    <w:p w:rsidR="002A667A" w:rsidRPr="00DF6E0B" w:rsidRDefault="002A667A" w:rsidP="000C1B4F">
      <w:pPr>
        <w:rPr>
          <w:b/>
        </w:rPr>
      </w:pPr>
    </w:p>
    <w:p w:rsidR="002A667A" w:rsidRPr="00DF6E0B" w:rsidRDefault="002A667A" w:rsidP="000C1B4F">
      <w:pPr>
        <w:rPr>
          <w:b/>
        </w:rPr>
      </w:pPr>
    </w:p>
    <w:p w:rsidR="002A667A" w:rsidRPr="00DF6E0B" w:rsidRDefault="002A667A" w:rsidP="000C1B4F">
      <w:pPr>
        <w:rPr>
          <w:b/>
        </w:rPr>
      </w:pPr>
    </w:p>
    <w:p w:rsidR="002A667A" w:rsidRDefault="002A667A">
      <w:pPr>
        <w:overflowPunct/>
        <w:autoSpaceDE/>
        <w:autoSpaceDN/>
        <w:adjustRightInd/>
        <w:jc w:val="left"/>
        <w:textAlignment w:val="auto"/>
        <w:rPr>
          <w:rFonts w:cs="Calibri"/>
          <w:b/>
          <w:sz w:val="32"/>
          <w:szCs w:val="32"/>
        </w:rPr>
      </w:pPr>
    </w:p>
    <w:p w:rsidR="002A667A" w:rsidRDefault="002A667A">
      <w:pPr>
        <w:overflowPunct/>
        <w:autoSpaceDE/>
        <w:autoSpaceDN/>
        <w:adjustRightInd/>
        <w:jc w:val="left"/>
        <w:textAlignment w:val="auto"/>
        <w:rPr>
          <w:rFonts w:cs="Calibri"/>
          <w:b/>
          <w:sz w:val="32"/>
          <w:szCs w:val="32"/>
        </w:rPr>
      </w:pPr>
    </w:p>
    <w:p w:rsidR="002A667A" w:rsidRDefault="002A667A">
      <w:pPr>
        <w:overflowPunct/>
        <w:autoSpaceDE/>
        <w:autoSpaceDN/>
        <w:adjustRightInd/>
        <w:jc w:val="left"/>
        <w:textAlignment w:val="auto"/>
        <w:rPr>
          <w:rFonts w:cs="Calibri"/>
          <w:b/>
          <w:sz w:val="32"/>
          <w:szCs w:val="32"/>
        </w:rPr>
      </w:pPr>
    </w:p>
    <w:p w:rsidR="002A667A" w:rsidRDefault="002A667A">
      <w:pPr>
        <w:overflowPunct/>
        <w:autoSpaceDE/>
        <w:autoSpaceDN/>
        <w:adjustRightInd/>
        <w:jc w:val="left"/>
        <w:textAlignment w:val="auto"/>
        <w:rPr>
          <w:rFonts w:cs="Calibri"/>
          <w:b/>
          <w:sz w:val="32"/>
          <w:szCs w:val="32"/>
        </w:rPr>
      </w:pPr>
    </w:p>
    <w:p w:rsidR="002A667A" w:rsidRDefault="002A667A">
      <w:pPr>
        <w:overflowPunct/>
        <w:autoSpaceDE/>
        <w:autoSpaceDN/>
        <w:adjustRightInd/>
        <w:jc w:val="left"/>
        <w:textAlignment w:val="auto"/>
        <w:rPr>
          <w:rFonts w:cs="Calibri"/>
          <w:b/>
          <w:sz w:val="32"/>
          <w:szCs w:val="32"/>
        </w:rPr>
      </w:pPr>
    </w:p>
    <w:p w:rsidR="002A667A" w:rsidRDefault="002A667A">
      <w:pPr>
        <w:overflowPunct/>
        <w:autoSpaceDE/>
        <w:autoSpaceDN/>
        <w:adjustRightInd/>
        <w:jc w:val="left"/>
        <w:textAlignment w:val="auto"/>
        <w:rPr>
          <w:rFonts w:cs="Calibri"/>
          <w:b/>
          <w:sz w:val="32"/>
          <w:szCs w:val="32"/>
        </w:rPr>
      </w:pPr>
    </w:p>
    <w:p w:rsidR="002A667A" w:rsidRDefault="002A667A">
      <w:pPr>
        <w:overflowPunct/>
        <w:autoSpaceDE/>
        <w:autoSpaceDN/>
        <w:adjustRightInd/>
        <w:jc w:val="left"/>
        <w:textAlignment w:val="auto"/>
        <w:rPr>
          <w:rFonts w:cs="Calibri"/>
          <w:b/>
          <w:sz w:val="32"/>
          <w:szCs w:val="32"/>
        </w:rPr>
      </w:pPr>
    </w:p>
    <w:p w:rsidR="002A667A" w:rsidRDefault="002A667A">
      <w:pPr>
        <w:overflowPunct/>
        <w:autoSpaceDE/>
        <w:autoSpaceDN/>
        <w:adjustRightInd/>
        <w:jc w:val="left"/>
        <w:textAlignment w:val="auto"/>
        <w:rPr>
          <w:rFonts w:cs="Calibri"/>
          <w:b/>
          <w:sz w:val="32"/>
          <w:szCs w:val="32"/>
        </w:rPr>
      </w:pPr>
    </w:p>
    <w:p w:rsidR="002A667A" w:rsidRDefault="002A667A">
      <w:pPr>
        <w:overflowPunct/>
        <w:autoSpaceDE/>
        <w:autoSpaceDN/>
        <w:adjustRightInd/>
        <w:jc w:val="left"/>
        <w:textAlignment w:val="auto"/>
        <w:rPr>
          <w:rFonts w:cs="Calibri"/>
          <w:b/>
          <w:sz w:val="32"/>
          <w:szCs w:val="32"/>
        </w:rPr>
      </w:pPr>
    </w:p>
    <w:p w:rsidR="002A667A" w:rsidRDefault="002A667A">
      <w:pPr>
        <w:overflowPunct/>
        <w:autoSpaceDE/>
        <w:autoSpaceDN/>
        <w:adjustRightInd/>
        <w:jc w:val="left"/>
        <w:textAlignment w:val="auto"/>
        <w:rPr>
          <w:rFonts w:cs="Calibri"/>
          <w:b/>
          <w:sz w:val="32"/>
          <w:szCs w:val="32"/>
        </w:rPr>
      </w:pPr>
    </w:p>
    <w:p w:rsidR="002A667A" w:rsidRPr="00DF6E0B" w:rsidRDefault="002A667A">
      <w:pPr>
        <w:overflowPunct/>
        <w:autoSpaceDE/>
        <w:autoSpaceDN/>
        <w:adjustRightInd/>
        <w:jc w:val="left"/>
        <w:textAlignment w:val="auto"/>
        <w:rPr>
          <w:rFonts w:cs="Calibri"/>
          <w:b/>
          <w:sz w:val="32"/>
          <w:szCs w:val="32"/>
        </w:rPr>
      </w:pPr>
      <w:r w:rsidRPr="00DF6E0B">
        <w:rPr>
          <w:rFonts w:cs="Calibri"/>
          <w:b/>
          <w:sz w:val="32"/>
          <w:szCs w:val="32"/>
        </w:rPr>
        <w:t>Březen 2015</w:t>
      </w:r>
    </w:p>
    <w:p w:rsidR="002A667A" w:rsidRPr="00DF6E0B" w:rsidRDefault="002A667A">
      <w:pPr>
        <w:overflowPunct/>
        <w:autoSpaceDE/>
        <w:autoSpaceDN/>
        <w:adjustRightInd/>
        <w:jc w:val="left"/>
        <w:textAlignment w:val="auto"/>
        <w:rPr>
          <w:rFonts w:cs="Calibri"/>
          <w:b/>
          <w:sz w:val="32"/>
          <w:szCs w:val="32"/>
        </w:rPr>
      </w:pPr>
    </w:p>
    <w:p w:rsidR="002A667A" w:rsidRDefault="002A667A">
      <w:pPr>
        <w:overflowPunct/>
        <w:autoSpaceDE/>
        <w:autoSpaceDN/>
        <w:adjustRightInd/>
        <w:jc w:val="left"/>
        <w:textAlignment w:val="auto"/>
        <w:rPr>
          <w:rFonts w:cs="Calibri"/>
          <w:b/>
          <w:sz w:val="32"/>
          <w:szCs w:val="32"/>
        </w:rPr>
      </w:pPr>
      <w:r w:rsidRPr="00DF6E0B">
        <w:rPr>
          <w:rFonts w:cs="Calibri"/>
          <w:b/>
          <w:sz w:val="32"/>
          <w:szCs w:val="32"/>
        </w:rPr>
        <w:t>Verze 1.</w:t>
      </w:r>
      <w:r>
        <w:rPr>
          <w:rFonts w:cs="Calibri"/>
          <w:b/>
          <w:sz w:val="32"/>
          <w:szCs w:val="32"/>
        </w:rPr>
        <w:t>1</w:t>
      </w:r>
    </w:p>
    <w:p w:rsidR="002A667A" w:rsidRDefault="002A667A">
      <w:pPr>
        <w:overflowPunct/>
        <w:autoSpaceDE/>
        <w:autoSpaceDN/>
        <w:adjustRightInd/>
        <w:jc w:val="left"/>
        <w:textAlignment w:val="auto"/>
        <w:rPr>
          <w:rFonts w:cs="Calibri"/>
          <w:b/>
          <w:sz w:val="32"/>
          <w:szCs w:val="32"/>
        </w:rPr>
      </w:pPr>
    </w:p>
    <w:p w:rsidR="002A667A" w:rsidRDefault="002A667A">
      <w:pPr>
        <w:overflowPunct/>
        <w:autoSpaceDE/>
        <w:autoSpaceDN/>
        <w:adjustRightInd/>
        <w:jc w:val="left"/>
        <w:textAlignment w:val="auto"/>
        <w:rPr>
          <w:rFonts w:cs="Calibri"/>
          <w:b/>
          <w:sz w:val="32"/>
          <w:szCs w:val="32"/>
        </w:rPr>
      </w:pPr>
    </w:p>
    <w:p w:rsidR="002A667A" w:rsidRDefault="002A667A">
      <w:pPr>
        <w:overflowPunct/>
        <w:autoSpaceDE/>
        <w:autoSpaceDN/>
        <w:adjustRightInd/>
        <w:jc w:val="left"/>
        <w:textAlignment w:val="auto"/>
        <w:rPr>
          <w:rFonts w:cs="Calibri"/>
          <w:b/>
          <w:sz w:val="32"/>
          <w:szCs w:val="32"/>
        </w:rPr>
      </w:pPr>
    </w:p>
    <w:p w:rsidR="002A667A" w:rsidRDefault="002A667A">
      <w:pPr>
        <w:overflowPunct/>
        <w:autoSpaceDE/>
        <w:autoSpaceDN/>
        <w:adjustRightInd/>
        <w:jc w:val="left"/>
        <w:textAlignment w:val="auto"/>
        <w:rPr>
          <w:rFonts w:cs="Calibri"/>
          <w:b/>
          <w:sz w:val="32"/>
          <w:szCs w:val="32"/>
        </w:rPr>
      </w:pPr>
    </w:p>
    <w:p w:rsidR="002A667A" w:rsidRPr="00012C12" w:rsidRDefault="002A667A" w:rsidP="00012C12">
      <w:pPr>
        <w:pStyle w:val="Nadpis1"/>
        <w:numPr>
          <w:ilvl w:val="0"/>
          <w:numId w:val="0"/>
        </w:numPr>
        <w:ind w:left="432" w:hanging="432"/>
      </w:pPr>
      <w:bookmarkStart w:id="0" w:name="_Toc413854323"/>
      <w:bookmarkStart w:id="1" w:name="_Toc414464594"/>
      <w:r w:rsidRPr="00012C12">
        <w:lastRenderedPageBreak/>
        <w:t>Obsah</w:t>
      </w:r>
      <w:bookmarkEnd w:id="0"/>
      <w:bookmarkEnd w:id="1"/>
    </w:p>
    <w:p w:rsidR="002A667A" w:rsidRPr="00DF6E0B" w:rsidRDefault="002A667A">
      <w:pPr>
        <w:overflowPunct/>
        <w:autoSpaceDE/>
        <w:autoSpaceDN/>
        <w:adjustRightInd/>
        <w:jc w:val="left"/>
        <w:textAlignment w:val="auto"/>
        <w:rPr>
          <w:rFonts w:ascii="Cambria" w:hAnsi="Cambria" w:cs="Calibri"/>
          <w:b/>
          <w:color w:val="4F81BD"/>
          <w:sz w:val="32"/>
          <w:szCs w:val="32"/>
        </w:rPr>
      </w:pPr>
    </w:p>
    <w:p w:rsidR="002A667A" w:rsidRDefault="002A667A">
      <w:pPr>
        <w:pStyle w:val="Obsah1"/>
        <w:rPr>
          <w:noProof/>
          <w:szCs w:val="22"/>
        </w:rPr>
      </w:pPr>
      <w:r>
        <w:rPr>
          <w:rFonts w:cs="Calibri"/>
          <w:szCs w:val="24"/>
        </w:rPr>
        <w:fldChar w:fldCharType="begin"/>
      </w:r>
      <w:r>
        <w:rPr>
          <w:rFonts w:cs="Calibri"/>
          <w:szCs w:val="24"/>
        </w:rPr>
        <w:instrText xml:space="preserve"> TOC \o "1-3" \h \z \u </w:instrText>
      </w:r>
      <w:r>
        <w:rPr>
          <w:rFonts w:cs="Calibri"/>
          <w:szCs w:val="24"/>
        </w:rPr>
        <w:fldChar w:fldCharType="separate"/>
      </w:r>
      <w:hyperlink w:anchor="_Toc414464594" w:history="1">
        <w:r w:rsidRPr="00DA38F1">
          <w:rPr>
            <w:rStyle w:val="Hypertextovodkaz"/>
            <w:noProof/>
          </w:rPr>
          <w:t>Obsah</w:t>
        </w:r>
        <w:r>
          <w:rPr>
            <w:noProof/>
            <w:webHidden/>
          </w:rPr>
          <w:tab/>
        </w:r>
        <w:r>
          <w:rPr>
            <w:noProof/>
            <w:webHidden/>
          </w:rPr>
          <w:fldChar w:fldCharType="begin"/>
        </w:r>
        <w:r>
          <w:rPr>
            <w:noProof/>
            <w:webHidden/>
          </w:rPr>
          <w:instrText xml:space="preserve"> PAGEREF _Toc414464594 \h </w:instrText>
        </w:r>
        <w:r>
          <w:rPr>
            <w:noProof/>
            <w:webHidden/>
          </w:rPr>
        </w:r>
        <w:r>
          <w:rPr>
            <w:noProof/>
            <w:webHidden/>
          </w:rPr>
          <w:fldChar w:fldCharType="separate"/>
        </w:r>
        <w:r w:rsidR="00C35BF8">
          <w:rPr>
            <w:noProof/>
            <w:webHidden/>
          </w:rPr>
          <w:t>1</w:t>
        </w:r>
        <w:r>
          <w:rPr>
            <w:noProof/>
            <w:webHidden/>
          </w:rPr>
          <w:fldChar w:fldCharType="end"/>
        </w:r>
      </w:hyperlink>
    </w:p>
    <w:p w:rsidR="002A667A" w:rsidRDefault="00C64D03">
      <w:pPr>
        <w:pStyle w:val="Obsah1"/>
        <w:rPr>
          <w:noProof/>
          <w:szCs w:val="22"/>
        </w:rPr>
      </w:pPr>
      <w:hyperlink w:anchor="_Toc414464595" w:history="1">
        <w:r w:rsidR="002A667A" w:rsidRPr="00DA38F1">
          <w:rPr>
            <w:rStyle w:val="Hypertextovodkaz"/>
            <w:noProof/>
          </w:rPr>
          <w:t>Úvod</w:t>
        </w:r>
        <w:r w:rsidR="002A667A">
          <w:rPr>
            <w:noProof/>
            <w:webHidden/>
          </w:rPr>
          <w:tab/>
        </w:r>
        <w:r w:rsidR="002A667A">
          <w:rPr>
            <w:noProof/>
            <w:webHidden/>
          </w:rPr>
          <w:fldChar w:fldCharType="begin"/>
        </w:r>
        <w:r w:rsidR="002A667A">
          <w:rPr>
            <w:noProof/>
            <w:webHidden/>
          </w:rPr>
          <w:instrText xml:space="preserve"> PAGEREF _Toc414464595 \h </w:instrText>
        </w:r>
        <w:r w:rsidR="002A667A">
          <w:rPr>
            <w:noProof/>
            <w:webHidden/>
          </w:rPr>
        </w:r>
        <w:r w:rsidR="002A667A">
          <w:rPr>
            <w:noProof/>
            <w:webHidden/>
          </w:rPr>
          <w:fldChar w:fldCharType="separate"/>
        </w:r>
        <w:r w:rsidR="00C35BF8">
          <w:rPr>
            <w:noProof/>
            <w:webHidden/>
          </w:rPr>
          <w:t>2</w:t>
        </w:r>
        <w:r w:rsidR="002A667A">
          <w:rPr>
            <w:noProof/>
            <w:webHidden/>
          </w:rPr>
          <w:fldChar w:fldCharType="end"/>
        </w:r>
      </w:hyperlink>
    </w:p>
    <w:p w:rsidR="002A667A" w:rsidRDefault="00C64D03">
      <w:pPr>
        <w:pStyle w:val="Obsah1"/>
        <w:rPr>
          <w:noProof/>
          <w:szCs w:val="22"/>
        </w:rPr>
      </w:pPr>
      <w:hyperlink w:anchor="_Toc414464596" w:history="1">
        <w:r w:rsidR="002A667A" w:rsidRPr="00DA38F1">
          <w:rPr>
            <w:rStyle w:val="Hypertextovodkaz"/>
            <w:noProof/>
          </w:rPr>
          <w:t>1</w:t>
        </w:r>
        <w:r w:rsidR="002A667A">
          <w:rPr>
            <w:noProof/>
            <w:szCs w:val="22"/>
          </w:rPr>
          <w:tab/>
        </w:r>
        <w:r w:rsidR="002A667A" w:rsidRPr="00DA38F1">
          <w:rPr>
            <w:rStyle w:val="Hypertextovodkaz"/>
            <w:noProof/>
          </w:rPr>
          <w:t>Návrh investiční strategie</w:t>
        </w:r>
        <w:r w:rsidR="002A667A">
          <w:rPr>
            <w:noProof/>
            <w:webHidden/>
          </w:rPr>
          <w:tab/>
        </w:r>
        <w:r w:rsidR="002A667A">
          <w:rPr>
            <w:noProof/>
            <w:webHidden/>
          </w:rPr>
          <w:fldChar w:fldCharType="begin"/>
        </w:r>
        <w:r w:rsidR="002A667A">
          <w:rPr>
            <w:noProof/>
            <w:webHidden/>
          </w:rPr>
          <w:instrText xml:space="preserve"> PAGEREF _Toc414464596 \h </w:instrText>
        </w:r>
        <w:r w:rsidR="002A667A">
          <w:rPr>
            <w:noProof/>
            <w:webHidden/>
          </w:rPr>
        </w:r>
        <w:r w:rsidR="002A667A">
          <w:rPr>
            <w:noProof/>
            <w:webHidden/>
          </w:rPr>
          <w:fldChar w:fldCharType="separate"/>
        </w:r>
        <w:r w:rsidR="00C35BF8">
          <w:rPr>
            <w:noProof/>
            <w:webHidden/>
          </w:rPr>
          <w:t>4</w:t>
        </w:r>
        <w:r w:rsidR="002A667A">
          <w:rPr>
            <w:noProof/>
            <w:webHidden/>
          </w:rPr>
          <w:fldChar w:fldCharType="end"/>
        </w:r>
      </w:hyperlink>
    </w:p>
    <w:p w:rsidR="002A667A" w:rsidRDefault="00C64D03">
      <w:pPr>
        <w:pStyle w:val="Obsah2"/>
        <w:tabs>
          <w:tab w:val="left" w:pos="720"/>
          <w:tab w:val="right" w:leader="dot" w:pos="9060"/>
        </w:tabs>
        <w:rPr>
          <w:noProof/>
          <w:szCs w:val="22"/>
        </w:rPr>
      </w:pPr>
      <w:hyperlink w:anchor="_Toc414464597" w:history="1">
        <w:r w:rsidR="002A667A" w:rsidRPr="00DA38F1">
          <w:rPr>
            <w:rStyle w:val="Hypertextovodkaz"/>
            <w:noProof/>
          </w:rPr>
          <w:t>1.1</w:t>
        </w:r>
        <w:r w:rsidR="002A667A">
          <w:rPr>
            <w:noProof/>
            <w:szCs w:val="22"/>
          </w:rPr>
          <w:tab/>
        </w:r>
        <w:r w:rsidR="002A667A" w:rsidRPr="00DA38F1">
          <w:rPr>
            <w:rStyle w:val="Hypertextovodkaz"/>
            <w:noProof/>
          </w:rPr>
          <w:t>Prioritní osa 1</w:t>
        </w:r>
        <w:r w:rsidR="002A667A">
          <w:rPr>
            <w:noProof/>
            <w:webHidden/>
          </w:rPr>
          <w:tab/>
        </w:r>
        <w:r w:rsidR="002A667A">
          <w:rPr>
            <w:noProof/>
            <w:webHidden/>
          </w:rPr>
          <w:fldChar w:fldCharType="begin"/>
        </w:r>
        <w:r w:rsidR="002A667A">
          <w:rPr>
            <w:noProof/>
            <w:webHidden/>
          </w:rPr>
          <w:instrText xml:space="preserve"> PAGEREF _Toc414464597 \h </w:instrText>
        </w:r>
        <w:r w:rsidR="002A667A">
          <w:rPr>
            <w:noProof/>
            <w:webHidden/>
          </w:rPr>
        </w:r>
        <w:r w:rsidR="002A667A">
          <w:rPr>
            <w:noProof/>
            <w:webHidden/>
          </w:rPr>
          <w:fldChar w:fldCharType="separate"/>
        </w:r>
        <w:r w:rsidR="00C35BF8">
          <w:rPr>
            <w:noProof/>
            <w:webHidden/>
          </w:rPr>
          <w:t>4</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598" w:history="1">
        <w:r w:rsidR="002A667A" w:rsidRPr="00DA38F1">
          <w:rPr>
            <w:rStyle w:val="Hypertextovodkaz"/>
            <w:noProof/>
          </w:rPr>
          <w:t>1.1.1</w:t>
        </w:r>
        <w:r w:rsidR="002A667A">
          <w:rPr>
            <w:noProof/>
            <w:szCs w:val="22"/>
          </w:rPr>
          <w:tab/>
        </w:r>
        <w:r w:rsidR="002A667A" w:rsidRPr="00DA38F1">
          <w:rPr>
            <w:rStyle w:val="Hypertextovodkaz"/>
            <w:noProof/>
          </w:rPr>
          <w:t>Odůvodnění volby oblasti podpory a návrhu nástroje</w:t>
        </w:r>
        <w:r w:rsidR="002A667A">
          <w:rPr>
            <w:noProof/>
            <w:webHidden/>
          </w:rPr>
          <w:tab/>
        </w:r>
        <w:r w:rsidR="002A667A">
          <w:rPr>
            <w:noProof/>
            <w:webHidden/>
          </w:rPr>
          <w:fldChar w:fldCharType="begin"/>
        </w:r>
        <w:r w:rsidR="002A667A">
          <w:rPr>
            <w:noProof/>
            <w:webHidden/>
          </w:rPr>
          <w:instrText xml:space="preserve"> PAGEREF _Toc414464598 \h </w:instrText>
        </w:r>
        <w:r w:rsidR="002A667A">
          <w:rPr>
            <w:noProof/>
            <w:webHidden/>
          </w:rPr>
        </w:r>
        <w:r w:rsidR="002A667A">
          <w:rPr>
            <w:noProof/>
            <w:webHidden/>
          </w:rPr>
          <w:fldChar w:fldCharType="separate"/>
        </w:r>
        <w:r w:rsidR="00C35BF8">
          <w:rPr>
            <w:noProof/>
            <w:webHidden/>
          </w:rPr>
          <w:t>4</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599" w:history="1">
        <w:r w:rsidR="002A667A" w:rsidRPr="00DA38F1">
          <w:rPr>
            <w:rStyle w:val="Hypertextovodkaz"/>
            <w:noProof/>
          </w:rPr>
          <w:t>1.1.2</w:t>
        </w:r>
        <w:r w:rsidR="002A667A">
          <w:rPr>
            <w:noProof/>
            <w:szCs w:val="22"/>
          </w:rPr>
          <w:tab/>
        </w:r>
        <w:r w:rsidR="002A667A" w:rsidRPr="00DA38F1">
          <w:rPr>
            <w:rStyle w:val="Hypertextovodkaz"/>
            <w:noProof/>
          </w:rPr>
          <w:t>Schéma fungování navrhovaného finančního nástroje</w:t>
        </w:r>
        <w:r w:rsidR="002A667A">
          <w:rPr>
            <w:noProof/>
            <w:webHidden/>
          </w:rPr>
          <w:tab/>
        </w:r>
        <w:r w:rsidR="002A667A">
          <w:rPr>
            <w:noProof/>
            <w:webHidden/>
          </w:rPr>
          <w:fldChar w:fldCharType="begin"/>
        </w:r>
        <w:r w:rsidR="002A667A">
          <w:rPr>
            <w:noProof/>
            <w:webHidden/>
          </w:rPr>
          <w:instrText xml:space="preserve"> PAGEREF _Toc414464599 \h </w:instrText>
        </w:r>
        <w:r w:rsidR="002A667A">
          <w:rPr>
            <w:noProof/>
            <w:webHidden/>
          </w:rPr>
        </w:r>
        <w:r w:rsidR="002A667A">
          <w:rPr>
            <w:noProof/>
            <w:webHidden/>
          </w:rPr>
          <w:fldChar w:fldCharType="separate"/>
        </w:r>
        <w:r w:rsidR="00C35BF8">
          <w:rPr>
            <w:noProof/>
            <w:webHidden/>
          </w:rPr>
          <w:t>6</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00" w:history="1">
        <w:r w:rsidR="002A667A" w:rsidRPr="00DA38F1">
          <w:rPr>
            <w:rStyle w:val="Hypertextovodkaz"/>
            <w:noProof/>
          </w:rPr>
          <w:t>1.1.3</w:t>
        </w:r>
        <w:r w:rsidR="002A667A">
          <w:rPr>
            <w:noProof/>
            <w:szCs w:val="22"/>
          </w:rPr>
          <w:tab/>
        </w:r>
        <w:r w:rsidR="002A667A" w:rsidRPr="00DA38F1">
          <w:rPr>
            <w:rStyle w:val="Hypertextovodkaz"/>
            <w:noProof/>
          </w:rPr>
          <w:t>Základní parametry finančního nástroje</w:t>
        </w:r>
        <w:r w:rsidR="002A667A">
          <w:rPr>
            <w:noProof/>
            <w:webHidden/>
          </w:rPr>
          <w:tab/>
        </w:r>
        <w:r w:rsidR="002A667A">
          <w:rPr>
            <w:noProof/>
            <w:webHidden/>
          </w:rPr>
          <w:fldChar w:fldCharType="begin"/>
        </w:r>
        <w:r w:rsidR="002A667A">
          <w:rPr>
            <w:noProof/>
            <w:webHidden/>
          </w:rPr>
          <w:instrText xml:space="preserve"> PAGEREF _Toc414464600 \h </w:instrText>
        </w:r>
        <w:r w:rsidR="002A667A">
          <w:rPr>
            <w:noProof/>
            <w:webHidden/>
          </w:rPr>
        </w:r>
        <w:r w:rsidR="002A667A">
          <w:rPr>
            <w:noProof/>
            <w:webHidden/>
          </w:rPr>
          <w:fldChar w:fldCharType="separate"/>
        </w:r>
        <w:r w:rsidR="00C35BF8">
          <w:rPr>
            <w:noProof/>
            <w:webHidden/>
          </w:rPr>
          <w:t>9</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01" w:history="1">
        <w:r w:rsidR="002A667A" w:rsidRPr="00DA38F1">
          <w:rPr>
            <w:rStyle w:val="Hypertextovodkaz"/>
            <w:noProof/>
          </w:rPr>
          <w:t>1.1.4</w:t>
        </w:r>
        <w:r w:rsidR="002A667A">
          <w:rPr>
            <w:noProof/>
            <w:szCs w:val="22"/>
          </w:rPr>
          <w:tab/>
        </w:r>
        <w:r w:rsidR="002A667A" w:rsidRPr="00DA38F1">
          <w:rPr>
            <w:rStyle w:val="Hypertextovodkaz"/>
            <w:noProof/>
          </w:rPr>
          <w:t>Posouzení zkušeností získaných v minulosti</w:t>
        </w:r>
        <w:r w:rsidR="002A667A">
          <w:rPr>
            <w:noProof/>
            <w:webHidden/>
          </w:rPr>
          <w:tab/>
        </w:r>
        <w:r w:rsidR="002A667A">
          <w:rPr>
            <w:noProof/>
            <w:webHidden/>
          </w:rPr>
          <w:fldChar w:fldCharType="begin"/>
        </w:r>
        <w:r w:rsidR="002A667A">
          <w:rPr>
            <w:noProof/>
            <w:webHidden/>
          </w:rPr>
          <w:instrText xml:space="preserve"> PAGEREF _Toc414464601 \h </w:instrText>
        </w:r>
        <w:r w:rsidR="002A667A">
          <w:rPr>
            <w:noProof/>
            <w:webHidden/>
          </w:rPr>
        </w:r>
        <w:r w:rsidR="002A667A">
          <w:rPr>
            <w:noProof/>
            <w:webHidden/>
          </w:rPr>
          <w:fldChar w:fldCharType="separate"/>
        </w:r>
        <w:r w:rsidR="00C35BF8">
          <w:rPr>
            <w:noProof/>
            <w:webHidden/>
          </w:rPr>
          <w:t>11</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02" w:history="1">
        <w:r w:rsidR="002A667A" w:rsidRPr="00DA38F1">
          <w:rPr>
            <w:rStyle w:val="Hypertextovodkaz"/>
            <w:noProof/>
          </w:rPr>
          <w:t>1.1.5</w:t>
        </w:r>
        <w:r w:rsidR="002A667A">
          <w:rPr>
            <w:noProof/>
            <w:szCs w:val="22"/>
          </w:rPr>
          <w:tab/>
        </w:r>
        <w:r w:rsidR="002A667A" w:rsidRPr="00DA38F1">
          <w:rPr>
            <w:rStyle w:val="Hypertextovodkaz"/>
            <w:noProof/>
          </w:rPr>
          <w:t>Očekávané výsledky finančního nástroje</w:t>
        </w:r>
        <w:r w:rsidR="002A667A">
          <w:rPr>
            <w:noProof/>
            <w:webHidden/>
          </w:rPr>
          <w:tab/>
        </w:r>
        <w:r w:rsidR="002A667A">
          <w:rPr>
            <w:noProof/>
            <w:webHidden/>
          </w:rPr>
          <w:fldChar w:fldCharType="begin"/>
        </w:r>
        <w:r w:rsidR="002A667A">
          <w:rPr>
            <w:noProof/>
            <w:webHidden/>
          </w:rPr>
          <w:instrText xml:space="preserve"> PAGEREF _Toc414464602 \h </w:instrText>
        </w:r>
        <w:r w:rsidR="002A667A">
          <w:rPr>
            <w:noProof/>
            <w:webHidden/>
          </w:rPr>
        </w:r>
        <w:r w:rsidR="002A667A">
          <w:rPr>
            <w:noProof/>
            <w:webHidden/>
          </w:rPr>
          <w:fldChar w:fldCharType="separate"/>
        </w:r>
        <w:r w:rsidR="00C35BF8">
          <w:rPr>
            <w:noProof/>
            <w:webHidden/>
          </w:rPr>
          <w:t>13</w:t>
        </w:r>
        <w:r w:rsidR="002A667A">
          <w:rPr>
            <w:noProof/>
            <w:webHidden/>
          </w:rPr>
          <w:fldChar w:fldCharType="end"/>
        </w:r>
      </w:hyperlink>
    </w:p>
    <w:p w:rsidR="002A667A" w:rsidRDefault="00C64D03">
      <w:pPr>
        <w:pStyle w:val="Obsah2"/>
        <w:tabs>
          <w:tab w:val="left" w:pos="720"/>
          <w:tab w:val="right" w:leader="dot" w:pos="9060"/>
        </w:tabs>
        <w:rPr>
          <w:noProof/>
          <w:szCs w:val="22"/>
        </w:rPr>
      </w:pPr>
      <w:hyperlink w:anchor="_Toc414464603" w:history="1">
        <w:r w:rsidR="002A667A" w:rsidRPr="00DA38F1">
          <w:rPr>
            <w:rStyle w:val="Hypertextovodkaz"/>
            <w:noProof/>
          </w:rPr>
          <w:t>1.2</w:t>
        </w:r>
        <w:r w:rsidR="002A667A">
          <w:rPr>
            <w:noProof/>
            <w:szCs w:val="22"/>
          </w:rPr>
          <w:tab/>
        </w:r>
        <w:r w:rsidR="002A667A" w:rsidRPr="00DA38F1">
          <w:rPr>
            <w:rStyle w:val="Hypertextovodkaz"/>
            <w:noProof/>
          </w:rPr>
          <w:t>Prioritní osa 2</w:t>
        </w:r>
        <w:r w:rsidR="002A667A">
          <w:rPr>
            <w:noProof/>
            <w:webHidden/>
          </w:rPr>
          <w:tab/>
        </w:r>
        <w:r w:rsidR="002A667A">
          <w:rPr>
            <w:noProof/>
            <w:webHidden/>
          </w:rPr>
          <w:fldChar w:fldCharType="begin"/>
        </w:r>
        <w:r w:rsidR="002A667A">
          <w:rPr>
            <w:noProof/>
            <w:webHidden/>
          </w:rPr>
          <w:instrText xml:space="preserve"> PAGEREF _Toc414464603 \h </w:instrText>
        </w:r>
        <w:r w:rsidR="002A667A">
          <w:rPr>
            <w:noProof/>
            <w:webHidden/>
          </w:rPr>
        </w:r>
        <w:r w:rsidR="002A667A">
          <w:rPr>
            <w:noProof/>
            <w:webHidden/>
          </w:rPr>
          <w:fldChar w:fldCharType="separate"/>
        </w:r>
        <w:r w:rsidR="00C35BF8">
          <w:rPr>
            <w:noProof/>
            <w:webHidden/>
          </w:rPr>
          <w:t>15</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04" w:history="1">
        <w:r w:rsidR="002A667A" w:rsidRPr="00DA38F1">
          <w:rPr>
            <w:rStyle w:val="Hypertextovodkaz"/>
            <w:noProof/>
          </w:rPr>
          <w:t>1.2.1</w:t>
        </w:r>
        <w:r w:rsidR="002A667A">
          <w:rPr>
            <w:noProof/>
            <w:szCs w:val="22"/>
          </w:rPr>
          <w:tab/>
        </w:r>
        <w:r w:rsidR="002A667A" w:rsidRPr="00DA38F1">
          <w:rPr>
            <w:rStyle w:val="Hypertextovodkaz"/>
            <w:noProof/>
          </w:rPr>
          <w:t>Odůvodnění volby oblasti podpory a návrhu nástroje</w:t>
        </w:r>
        <w:r w:rsidR="002A667A">
          <w:rPr>
            <w:noProof/>
            <w:webHidden/>
          </w:rPr>
          <w:tab/>
        </w:r>
        <w:r w:rsidR="002A667A">
          <w:rPr>
            <w:noProof/>
            <w:webHidden/>
          </w:rPr>
          <w:fldChar w:fldCharType="begin"/>
        </w:r>
        <w:r w:rsidR="002A667A">
          <w:rPr>
            <w:noProof/>
            <w:webHidden/>
          </w:rPr>
          <w:instrText xml:space="preserve"> PAGEREF _Toc414464604 \h </w:instrText>
        </w:r>
        <w:r w:rsidR="002A667A">
          <w:rPr>
            <w:noProof/>
            <w:webHidden/>
          </w:rPr>
        </w:r>
        <w:r w:rsidR="002A667A">
          <w:rPr>
            <w:noProof/>
            <w:webHidden/>
          </w:rPr>
          <w:fldChar w:fldCharType="separate"/>
        </w:r>
        <w:r w:rsidR="00C35BF8">
          <w:rPr>
            <w:noProof/>
            <w:webHidden/>
          </w:rPr>
          <w:t>15</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05" w:history="1">
        <w:r w:rsidR="002A667A" w:rsidRPr="00DA38F1">
          <w:rPr>
            <w:rStyle w:val="Hypertextovodkaz"/>
            <w:noProof/>
          </w:rPr>
          <w:t>1.2.2</w:t>
        </w:r>
        <w:r w:rsidR="002A667A">
          <w:rPr>
            <w:noProof/>
            <w:szCs w:val="22"/>
          </w:rPr>
          <w:tab/>
        </w:r>
        <w:r w:rsidR="002A667A" w:rsidRPr="00DA38F1">
          <w:rPr>
            <w:rStyle w:val="Hypertextovodkaz"/>
            <w:noProof/>
          </w:rPr>
          <w:t>Schéma fungování navrhovaného finančního nástroje</w:t>
        </w:r>
        <w:r w:rsidR="002A667A">
          <w:rPr>
            <w:noProof/>
            <w:webHidden/>
          </w:rPr>
          <w:tab/>
        </w:r>
        <w:r w:rsidR="002A667A">
          <w:rPr>
            <w:noProof/>
            <w:webHidden/>
          </w:rPr>
          <w:fldChar w:fldCharType="begin"/>
        </w:r>
        <w:r w:rsidR="002A667A">
          <w:rPr>
            <w:noProof/>
            <w:webHidden/>
          </w:rPr>
          <w:instrText xml:space="preserve"> PAGEREF _Toc414464605 \h </w:instrText>
        </w:r>
        <w:r w:rsidR="002A667A">
          <w:rPr>
            <w:noProof/>
            <w:webHidden/>
          </w:rPr>
        </w:r>
        <w:r w:rsidR="002A667A">
          <w:rPr>
            <w:noProof/>
            <w:webHidden/>
          </w:rPr>
          <w:fldChar w:fldCharType="separate"/>
        </w:r>
        <w:r w:rsidR="00C35BF8">
          <w:rPr>
            <w:noProof/>
            <w:webHidden/>
          </w:rPr>
          <w:t>19</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06" w:history="1">
        <w:r w:rsidR="002A667A" w:rsidRPr="00DA38F1">
          <w:rPr>
            <w:rStyle w:val="Hypertextovodkaz"/>
            <w:noProof/>
          </w:rPr>
          <w:t>1.2.3</w:t>
        </w:r>
        <w:r w:rsidR="002A667A">
          <w:rPr>
            <w:noProof/>
            <w:szCs w:val="22"/>
          </w:rPr>
          <w:tab/>
        </w:r>
        <w:r w:rsidR="002A667A" w:rsidRPr="00DA38F1">
          <w:rPr>
            <w:rStyle w:val="Hypertextovodkaz"/>
            <w:noProof/>
          </w:rPr>
          <w:t>Základní parametry finančního nástroje</w:t>
        </w:r>
        <w:r w:rsidR="002A667A">
          <w:rPr>
            <w:noProof/>
            <w:webHidden/>
          </w:rPr>
          <w:tab/>
        </w:r>
        <w:r w:rsidR="002A667A">
          <w:rPr>
            <w:noProof/>
            <w:webHidden/>
          </w:rPr>
          <w:fldChar w:fldCharType="begin"/>
        </w:r>
        <w:r w:rsidR="002A667A">
          <w:rPr>
            <w:noProof/>
            <w:webHidden/>
          </w:rPr>
          <w:instrText xml:space="preserve"> PAGEREF _Toc414464606 \h </w:instrText>
        </w:r>
        <w:r w:rsidR="002A667A">
          <w:rPr>
            <w:noProof/>
            <w:webHidden/>
          </w:rPr>
        </w:r>
        <w:r w:rsidR="002A667A">
          <w:rPr>
            <w:noProof/>
            <w:webHidden/>
          </w:rPr>
          <w:fldChar w:fldCharType="separate"/>
        </w:r>
        <w:r w:rsidR="00C35BF8">
          <w:rPr>
            <w:noProof/>
            <w:webHidden/>
          </w:rPr>
          <w:t>22</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07" w:history="1">
        <w:r w:rsidR="002A667A" w:rsidRPr="00DA38F1">
          <w:rPr>
            <w:rStyle w:val="Hypertextovodkaz"/>
            <w:noProof/>
          </w:rPr>
          <w:t>1.2.4</w:t>
        </w:r>
        <w:r w:rsidR="002A667A">
          <w:rPr>
            <w:noProof/>
            <w:szCs w:val="22"/>
          </w:rPr>
          <w:tab/>
        </w:r>
        <w:r w:rsidR="002A667A" w:rsidRPr="00DA38F1">
          <w:rPr>
            <w:rStyle w:val="Hypertextovodkaz"/>
            <w:noProof/>
          </w:rPr>
          <w:t>Posouzení zkušeností získaných v minulosti</w:t>
        </w:r>
        <w:r w:rsidR="002A667A">
          <w:rPr>
            <w:noProof/>
            <w:webHidden/>
          </w:rPr>
          <w:tab/>
        </w:r>
        <w:r w:rsidR="002A667A">
          <w:rPr>
            <w:noProof/>
            <w:webHidden/>
          </w:rPr>
          <w:fldChar w:fldCharType="begin"/>
        </w:r>
        <w:r w:rsidR="002A667A">
          <w:rPr>
            <w:noProof/>
            <w:webHidden/>
          </w:rPr>
          <w:instrText xml:space="preserve"> PAGEREF _Toc414464607 \h </w:instrText>
        </w:r>
        <w:r w:rsidR="002A667A">
          <w:rPr>
            <w:noProof/>
            <w:webHidden/>
          </w:rPr>
        </w:r>
        <w:r w:rsidR="002A667A">
          <w:rPr>
            <w:noProof/>
            <w:webHidden/>
          </w:rPr>
          <w:fldChar w:fldCharType="separate"/>
        </w:r>
        <w:r w:rsidR="00C35BF8">
          <w:rPr>
            <w:noProof/>
            <w:webHidden/>
          </w:rPr>
          <w:t>26</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08" w:history="1">
        <w:r w:rsidR="002A667A" w:rsidRPr="00DA38F1">
          <w:rPr>
            <w:rStyle w:val="Hypertextovodkaz"/>
            <w:noProof/>
          </w:rPr>
          <w:t>1.2.5</w:t>
        </w:r>
        <w:r w:rsidR="002A667A">
          <w:rPr>
            <w:noProof/>
            <w:szCs w:val="22"/>
          </w:rPr>
          <w:tab/>
        </w:r>
        <w:r w:rsidR="002A667A" w:rsidRPr="00DA38F1">
          <w:rPr>
            <w:rStyle w:val="Hypertextovodkaz"/>
            <w:noProof/>
          </w:rPr>
          <w:t>Očekávané výsledky finančního nástroje</w:t>
        </w:r>
        <w:r w:rsidR="002A667A">
          <w:rPr>
            <w:noProof/>
            <w:webHidden/>
          </w:rPr>
          <w:tab/>
        </w:r>
        <w:r w:rsidR="002A667A">
          <w:rPr>
            <w:noProof/>
            <w:webHidden/>
          </w:rPr>
          <w:fldChar w:fldCharType="begin"/>
        </w:r>
        <w:r w:rsidR="002A667A">
          <w:rPr>
            <w:noProof/>
            <w:webHidden/>
          </w:rPr>
          <w:instrText xml:space="preserve"> PAGEREF _Toc414464608 \h </w:instrText>
        </w:r>
        <w:r w:rsidR="002A667A">
          <w:rPr>
            <w:noProof/>
            <w:webHidden/>
          </w:rPr>
        </w:r>
        <w:r w:rsidR="002A667A">
          <w:rPr>
            <w:noProof/>
            <w:webHidden/>
          </w:rPr>
          <w:fldChar w:fldCharType="separate"/>
        </w:r>
        <w:r w:rsidR="00C35BF8">
          <w:rPr>
            <w:noProof/>
            <w:webHidden/>
          </w:rPr>
          <w:t>31</w:t>
        </w:r>
        <w:r w:rsidR="002A667A">
          <w:rPr>
            <w:noProof/>
            <w:webHidden/>
          </w:rPr>
          <w:fldChar w:fldCharType="end"/>
        </w:r>
      </w:hyperlink>
    </w:p>
    <w:p w:rsidR="002A667A" w:rsidRDefault="00C64D03">
      <w:pPr>
        <w:pStyle w:val="Obsah2"/>
        <w:tabs>
          <w:tab w:val="left" w:pos="720"/>
          <w:tab w:val="right" w:leader="dot" w:pos="9060"/>
        </w:tabs>
        <w:rPr>
          <w:noProof/>
          <w:szCs w:val="22"/>
        </w:rPr>
      </w:pPr>
      <w:hyperlink w:anchor="_Toc414464609" w:history="1">
        <w:r w:rsidR="002A667A" w:rsidRPr="00DA38F1">
          <w:rPr>
            <w:rStyle w:val="Hypertextovodkaz"/>
            <w:noProof/>
          </w:rPr>
          <w:t>1.3</w:t>
        </w:r>
        <w:r w:rsidR="002A667A">
          <w:rPr>
            <w:noProof/>
            <w:szCs w:val="22"/>
          </w:rPr>
          <w:tab/>
        </w:r>
        <w:r w:rsidR="002A667A" w:rsidRPr="00DA38F1">
          <w:rPr>
            <w:rStyle w:val="Hypertextovodkaz"/>
            <w:noProof/>
          </w:rPr>
          <w:t>Prioritní osa 3</w:t>
        </w:r>
        <w:r w:rsidR="002A667A">
          <w:rPr>
            <w:noProof/>
            <w:webHidden/>
          </w:rPr>
          <w:tab/>
        </w:r>
        <w:r w:rsidR="002A667A">
          <w:rPr>
            <w:noProof/>
            <w:webHidden/>
          </w:rPr>
          <w:fldChar w:fldCharType="begin"/>
        </w:r>
        <w:r w:rsidR="002A667A">
          <w:rPr>
            <w:noProof/>
            <w:webHidden/>
          </w:rPr>
          <w:instrText xml:space="preserve"> PAGEREF _Toc414464609 \h </w:instrText>
        </w:r>
        <w:r w:rsidR="002A667A">
          <w:rPr>
            <w:noProof/>
            <w:webHidden/>
          </w:rPr>
        </w:r>
        <w:r w:rsidR="002A667A">
          <w:rPr>
            <w:noProof/>
            <w:webHidden/>
          </w:rPr>
          <w:fldChar w:fldCharType="separate"/>
        </w:r>
        <w:r w:rsidR="00C35BF8">
          <w:rPr>
            <w:noProof/>
            <w:webHidden/>
          </w:rPr>
          <w:t>34</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10" w:history="1">
        <w:r w:rsidR="002A667A" w:rsidRPr="00DA38F1">
          <w:rPr>
            <w:rStyle w:val="Hypertextovodkaz"/>
            <w:noProof/>
          </w:rPr>
          <w:t>1.3.1</w:t>
        </w:r>
        <w:r w:rsidR="002A667A">
          <w:rPr>
            <w:noProof/>
            <w:szCs w:val="22"/>
          </w:rPr>
          <w:tab/>
        </w:r>
        <w:r w:rsidR="002A667A" w:rsidRPr="00DA38F1">
          <w:rPr>
            <w:rStyle w:val="Hypertextovodkaz"/>
            <w:noProof/>
          </w:rPr>
          <w:t>Odůvodnění volby oblasti podpory a návrhu nástroje</w:t>
        </w:r>
        <w:r w:rsidR="002A667A">
          <w:rPr>
            <w:noProof/>
            <w:webHidden/>
          </w:rPr>
          <w:tab/>
        </w:r>
        <w:r w:rsidR="002A667A">
          <w:rPr>
            <w:noProof/>
            <w:webHidden/>
          </w:rPr>
          <w:fldChar w:fldCharType="begin"/>
        </w:r>
        <w:r w:rsidR="002A667A">
          <w:rPr>
            <w:noProof/>
            <w:webHidden/>
          </w:rPr>
          <w:instrText xml:space="preserve"> PAGEREF _Toc414464610 \h </w:instrText>
        </w:r>
        <w:r w:rsidR="002A667A">
          <w:rPr>
            <w:noProof/>
            <w:webHidden/>
          </w:rPr>
        </w:r>
        <w:r w:rsidR="002A667A">
          <w:rPr>
            <w:noProof/>
            <w:webHidden/>
          </w:rPr>
          <w:fldChar w:fldCharType="separate"/>
        </w:r>
        <w:r w:rsidR="00C35BF8">
          <w:rPr>
            <w:noProof/>
            <w:webHidden/>
          </w:rPr>
          <w:t>34</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11" w:history="1">
        <w:r w:rsidR="002A667A" w:rsidRPr="00DA38F1">
          <w:rPr>
            <w:rStyle w:val="Hypertextovodkaz"/>
            <w:noProof/>
          </w:rPr>
          <w:t>1.3.2</w:t>
        </w:r>
        <w:r w:rsidR="002A667A">
          <w:rPr>
            <w:noProof/>
            <w:szCs w:val="22"/>
          </w:rPr>
          <w:tab/>
        </w:r>
        <w:r w:rsidR="002A667A" w:rsidRPr="00DA38F1">
          <w:rPr>
            <w:rStyle w:val="Hypertextovodkaz"/>
            <w:noProof/>
          </w:rPr>
          <w:t>Schéma fungování navrhovaného finančního nástroje</w:t>
        </w:r>
        <w:r w:rsidR="002A667A">
          <w:rPr>
            <w:noProof/>
            <w:webHidden/>
          </w:rPr>
          <w:tab/>
        </w:r>
        <w:r w:rsidR="002A667A">
          <w:rPr>
            <w:noProof/>
            <w:webHidden/>
          </w:rPr>
          <w:fldChar w:fldCharType="begin"/>
        </w:r>
        <w:r w:rsidR="002A667A">
          <w:rPr>
            <w:noProof/>
            <w:webHidden/>
          </w:rPr>
          <w:instrText xml:space="preserve"> PAGEREF _Toc414464611 \h </w:instrText>
        </w:r>
        <w:r w:rsidR="002A667A">
          <w:rPr>
            <w:noProof/>
            <w:webHidden/>
          </w:rPr>
        </w:r>
        <w:r w:rsidR="002A667A">
          <w:rPr>
            <w:noProof/>
            <w:webHidden/>
          </w:rPr>
          <w:fldChar w:fldCharType="separate"/>
        </w:r>
        <w:r w:rsidR="00C35BF8">
          <w:rPr>
            <w:noProof/>
            <w:webHidden/>
          </w:rPr>
          <w:t>36</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12" w:history="1">
        <w:r w:rsidR="002A667A" w:rsidRPr="00DA38F1">
          <w:rPr>
            <w:rStyle w:val="Hypertextovodkaz"/>
            <w:noProof/>
          </w:rPr>
          <w:t>1.3.3</w:t>
        </w:r>
        <w:r w:rsidR="002A667A">
          <w:rPr>
            <w:noProof/>
            <w:szCs w:val="22"/>
          </w:rPr>
          <w:tab/>
        </w:r>
        <w:r w:rsidR="002A667A" w:rsidRPr="00DA38F1">
          <w:rPr>
            <w:rStyle w:val="Hypertextovodkaz"/>
            <w:noProof/>
          </w:rPr>
          <w:t>Základní parametry finančního nástroje</w:t>
        </w:r>
        <w:r w:rsidR="002A667A">
          <w:rPr>
            <w:noProof/>
            <w:webHidden/>
          </w:rPr>
          <w:tab/>
        </w:r>
        <w:r w:rsidR="002A667A">
          <w:rPr>
            <w:noProof/>
            <w:webHidden/>
          </w:rPr>
          <w:fldChar w:fldCharType="begin"/>
        </w:r>
        <w:r w:rsidR="002A667A">
          <w:rPr>
            <w:noProof/>
            <w:webHidden/>
          </w:rPr>
          <w:instrText xml:space="preserve"> PAGEREF _Toc414464612 \h </w:instrText>
        </w:r>
        <w:r w:rsidR="002A667A">
          <w:rPr>
            <w:noProof/>
            <w:webHidden/>
          </w:rPr>
        </w:r>
        <w:r w:rsidR="002A667A">
          <w:rPr>
            <w:noProof/>
            <w:webHidden/>
          </w:rPr>
          <w:fldChar w:fldCharType="separate"/>
        </w:r>
        <w:r w:rsidR="00C35BF8">
          <w:rPr>
            <w:noProof/>
            <w:webHidden/>
          </w:rPr>
          <w:t>37</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13" w:history="1">
        <w:r w:rsidR="002A667A" w:rsidRPr="00DA38F1">
          <w:rPr>
            <w:rStyle w:val="Hypertextovodkaz"/>
            <w:noProof/>
          </w:rPr>
          <w:t>1.3.4</w:t>
        </w:r>
        <w:r w:rsidR="002A667A">
          <w:rPr>
            <w:noProof/>
            <w:szCs w:val="22"/>
          </w:rPr>
          <w:tab/>
        </w:r>
        <w:r w:rsidR="002A667A" w:rsidRPr="00DA38F1">
          <w:rPr>
            <w:rStyle w:val="Hypertextovodkaz"/>
            <w:noProof/>
          </w:rPr>
          <w:t>Očekávané výsledky finančního nástroje</w:t>
        </w:r>
        <w:r w:rsidR="002A667A">
          <w:rPr>
            <w:noProof/>
            <w:webHidden/>
          </w:rPr>
          <w:tab/>
        </w:r>
        <w:r w:rsidR="002A667A">
          <w:rPr>
            <w:noProof/>
            <w:webHidden/>
          </w:rPr>
          <w:fldChar w:fldCharType="begin"/>
        </w:r>
        <w:r w:rsidR="002A667A">
          <w:rPr>
            <w:noProof/>
            <w:webHidden/>
          </w:rPr>
          <w:instrText xml:space="preserve"> PAGEREF _Toc414464613 \h </w:instrText>
        </w:r>
        <w:r w:rsidR="002A667A">
          <w:rPr>
            <w:noProof/>
            <w:webHidden/>
          </w:rPr>
        </w:r>
        <w:r w:rsidR="002A667A">
          <w:rPr>
            <w:noProof/>
            <w:webHidden/>
          </w:rPr>
          <w:fldChar w:fldCharType="separate"/>
        </w:r>
        <w:r w:rsidR="00C35BF8">
          <w:rPr>
            <w:noProof/>
            <w:webHidden/>
          </w:rPr>
          <w:t>39</w:t>
        </w:r>
        <w:r w:rsidR="002A667A">
          <w:rPr>
            <w:noProof/>
            <w:webHidden/>
          </w:rPr>
          <w:fldChar w:fldCharType="end"/>
        </w:r>
      </w:hyperlink>
    </w:p>
    <w:p w:rsidR="002A667A" w:rsidRDefault="00C64D03">
      <w:pPr>
        <w:pStyle w:val="Obsah2"/>
        <w:tabs>
          <w:tab w:val="left" w:pos="720"/>
          <w:tab w:val="right" w:leader="dot" w:pos="9060"/>
        </w:tabs>
        <w:rPr>
          <w:noProof/>
          <w:szCs w:val="22"/>
        </w:rPr>
      </w:pPr>
      <w:hyperlink w:anchor="_Toc414464614" w:history="1">
        <w:r w:rsidR="002A667A" w:rsidRPr="00DA38F1">
          <w:rPr>
            <w:rStyle w:val="Hypertextovodkaz"/>
            <w:noProof/>
          </w:rPr>
          <w:t>1.4</w:t>
        </w:r>
        <w:r w:rsidR="002A667A">
          <w:rPr>
            <w:noProof/>
            <w:szCs w:val="22"/>
          </w:rPr>
          <w:tab/>
        </w:r>
        <w:r w:rsidR="002A667A" w:rsidRPr="00DA38F1">
          <w:rPr>
            <w:rStyle w:val="Hypertextovodkaz"/>
            <w:noProof/>
          </w:rPr>
          <w:t>Prioritní osa 4</w:t>
        </w:r>
        <w:r w:rsidR="002A667A">
          <w:rPr>
            <w:noProof/>
            <w:webHidden/>
          </w:rPr>
          <w:tab/>
        </w:r>
        <w:r w:rsidR="002A667A">
          <w:rPr>
            <w:noProof/>
            <w:webHidden/>
          </w:rPr>
          <w:fldChar w:fldCharType="begin"/>
        </w:r>
        <w:r w:rsidR="002A667A">
          <w:rPr>
            <w:noProof/>
            <w:webHidden/>
          </w:rPr>
          <w:instrText xml:space="preserve"> PAGEREF _Toc414464614 \h </w:instrText>
        </w:r>
        <w:r w:rsidR="002A667A">
          <w:rPr>
            <w:noProof/>
            <w:webHidden/>
          </w:rPr>
        </w:r>
        <w:r w:rsidR="002A667A">
          <w:rPr>
            <w:noProof/>
            <w:webHidden/>
          </w:rPr>
          <w:fldChar w:fldCharType="separate"/>
        </w:r>
        <w:r w:rsidR="00C35BF8">
          <w:rPr>
            <w:noProof/>
            <w:webHidden/>
          </w:rPr>
          <w:t>41</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15" w:history="1">
        <w:r w:rsidR="002A667A" w:rsidRPr="00DA38F1">
          <w:rPr>
            <w:rStyle w:val="Hypertextovodkaz"/>
            <w:noProof/>
          </w:rPr>
          <w:t>1.4.1</w:t>
        </w:r>
        <w:r w:rsidR="002A667A">
          <w:rPr>
            <w:noProof/>
            <w:szCs w:val="22"/>
          </w:rPr>
          <w:tab/>
        </w:r>
        <w:r w:rsidR="002A667A" w:rsidRPr="00DA38F1">
          <w:rPr>
            <w:rStyle w:val="Hypertextovodkaz"/>
            <w:noProof/>
          </w:rPr>
          <w:t>Odůvodnění volby oblasti podpory a návrhu nástroje</w:t>
        </w:r>
        <w:r w:rsidR="002A667A">
          <w:rPr>
            <w:noProof/>
            <w:webHidden/>
          </w:rPr>
          <w:tab/>
        </w:r>
        <w:r w:rsidR="002A667A">
          <w:rPr>
            <w:noProof/>
            <w:webHidden/>
          </w:rPr>
          <w:fldChar w:fldCharType="begin"/>
        </w:r>
        <w:r w:rsidR="002A667A">
          <w:rPr>
            <w:noProof/>
            <w:webHidden/>
          </w:rPr>
          <w:instrText xml:space="preserve"> PAGEREF _Toc414464615 \h </w:instrText>
        </w:r>
        <w:r w:rsidR="002A667A">
          <w:rPr>
            <w:noProof/>
            <w:webHidden/>
          </w:rPr>
        </w:r>
        <w:r w:rsidR="002A667A">
          <w:rPr>
            <w:noProof/>
            <w:webHidden/>
          </w:rPr>
          <w:fldChar w:fldCharType="separate"/>
        </w:r>
        <w:r w:rsidR="00C35BF8">
          <w:rPr>
            <w:noProof/>
            <w:webHidden/>
          </w:rPr>
          <w:t>41</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16" w:history="1">
        <w:r w:rsidR="002A667A" w:rsidRPr="00DA38F1">
          <w:rPr>
            <w:rStyle w:val="Hypertextovodkaz"/>
            <w:noProof/>
          </w:rPr>
          <w:t>1.4.2</w:t>
        </w:r>
        <w:r w:rsidR="002A667A">
          <w:rPr>
            <w:noProof/>
            <w:szCs w:val="22"/>
          </w:rPr>
          <w:tab/>
        </w:r>
        <w:r w:rsidR="002A667A" w:rsidRPr="00DA38F1">
          <w:rPr>
            <w:rStyle w:val="Hypertextovodkaz"/>
            <w:noProof/>
          </w:rPr>
          <w:t>Schéma fungování navrhovaného finančního nástroje</w:t>
        </w:r>
        <w:r w:rsidR="002A667A">
          <w:rPr>
            <w:noProof/>
            <w:webHidden/>
          </w:rPr>
          <w:tab/>
        </w:r>
        <w:r w:rsidR="002A667A">
          <w:rPr>
            <w:noProof/>
            <w:webHidden/>
          </w:rPr>
          <w:fldChar w:fldCharType="begin"/>
        </w:r>
        <w:r w:rsidR="002A667A">
          <w:rPr>
            <w:noProof/>
            <w:webHidden/>
          </w:rPr>
          <w:instrText xml:space="preserve"> PAGEREF _Toc414464616 \h </w:instrText>
        </w:r>
        <w:r w:rsidR="002A667A">
          <w:rPr>
            <w:noProof/>
            <w:webHidden/>
          </w:rPr>
        </w:r>
        <w:r w:rsidR="002A667A">
          <w:rPr>
            <w:noProof/>
            <w:webHidden/>
          </w:rPr>
          <w:fldChar w:fldCharType="separate"/>
        </w:r>
        <w:r w:rsidR="00C35BF8">
          <w:rPr>
            <w:noProof/>
            <w:webHidden/>
          </w:rPr>
          <w:t>42</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17" w:history="1">
        <w:r w:rsidR="002A667A" w:rsidRPr="00DA38F1">
          <w:rPr>
            <w:rStyle w:val="Hypertextovodkaz"/>
            <w:noProof/>
          </w:rPr>
          <w:t>1.4.3</w:t>
        </w:r>
        <w:r w:rsidR="002A667A">
          <w:rPr>
            <w:noProof/>
            <w:szCs w:val="22"/>
          </w:rPr>
          <w:tab/>
        </w:r>
        <w:r w:rsidR="002A667A" w:rsidRPr="00DA38F1">
          <w:rPr>
            <w:rStyle w:val="Hypertextovodkaz"/>
            <w:noProof/>
          </w:rPr>
          <w:t>Základní parametry finančního nástroje</w:t>
        </w:r>
        <w:r w:rsidR="002A667A">
          <w:rPr>
            <w:noProof/>
            <w:webHidden/>
          </w:rPr>
          <w:tab/>
        </w:r>
        <w:r w:rsidR="002A667A">
          <w:rPr>
            <w:noProof/>
            <w:webHidden/>
          </w:rPr>
          <w:fldChar w:fldCharType="begin"/>
        </w:r>
        <w:r w:rsidR="002A667A">
          <w:rPr>
            <w:noProof/>
            <w:webHidden/>
          </w:rPr>
          <w:instrText xml:space="preserve"> PAGEREF _Toc414464617 \h </w:instrText>
        </w:r>
        <w:r w:rsidR="002A667A">
          <w:rPr>
            <w:noProof/>
            <w:webHidden/>
          </w:rPr>
        </w:r>
        <w:r w:rsidR="002A667A">
          <w:rPr>
            <w:noProof/>
            <w:webHidden/>
          </w:rPr>
          <w:fldChar w:fldCharType="separate"/>
        </w:r>
        <w:r w:rsidR="00C35BF8">
          <w:rPr>
            <w:noProof/>
            <w:webHidden/>
          </w:rPr>
          <w:t>42</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18" w:history="1">
        <w:r w:rsidR="002A667A" w:rsidRPr="00DA38F1">
          <w:rPr>
            <w:rStyle w:val="Hypertextovodkaz"/>
            <w:noProof/>
          </w:rPr>
          <w:t>1.4.4</w:t>
        </w:r>
        <w:r w:rsidR="002A667A">
          <w:rPr>
            <w:noProof/>
            <w:szCs w:val="22"/>
          </w:rPr>
          <w:tab/>
        </w:r>
        <w:r w:rsidR="002A667A" w:rsidRPr="00DA38F1">
          <w:rPr>
            <w:rStyle w:val="Hypertextovodkaz"/>
            <w:noProof/>
          </w:rPr>
          <w:t>Posouzení zkušeností získaných v minulosti</w:t>
        </w:r>
        <w:r w:rsidR="002A667A">
          <w:rPr>
            <w:noProof/>
            <w:webHidden/>
          </w:rPr>
          <w:tab/>
        </w:r>
        <w:r w:rsidR="002A667A">
          <w:rPr>
            <w:noProof/>
            <w:webHidden/>
          </w:rPr>
          <w:fldChar w:fldCharType="begin"/>
        </w:r>
        <w:r w:rsidR="002A667A">
          <w:rPr>
            <w:noProof/>
            <w:webHidden/>
          </w:rPr>
          <w:instrText xml:space="preserve"> PAGEREF _Toc414464618 \h </w:instrText>
        </w:r>
        <w:r w:rsidR="002A667A">
          <w:rPr>
            <w:noProof/>
            <w:webHidden/>
          </w:rPr>
        </w:r>
        <w:r w:rsidR="002A667A">
          <w:rPr>
            <w:noProof/>
            <w:webHidden/>
          </w:rPr>
          <w:fldChar w:fldCharType="separate"/>
        </w:r>
        <w:r w:rsidR="00C35BF8">
          <w:rPr>
            <w:noProof/>
            <w:webHidden/>
          </w:rPr>
          <w:t>44</w:t>
        </w:r>
        <w:r w:rsidR="002A667A">
          <w:rPr>
            <w:noProof/>
            <w:webHidden/>
          </w:rPr>
          <w:fldChar w:fldCharType="end"/>
        </w:r>
      </w:hyperlink>
    </w:p>
    <w:p w:rsidR="002A667A" w:rsidRDefault="00C64D03">
      <w:pPr>
        <w:pStyle w:val="Obsah3"/>
        <w:tabs>
          <w:tab w:val="left" w:pos="1320"/>
          <w:tab w:val="right" w:leader="dot" w:pos="9060"/>
        </w:tabs>
        <w:rPr>
          <w:noProof/>
          <w:szCs w:val="22"/>
        </w:rPr>
      </w:pPr>
      <w:hyperlink w:anchor="_Toc414464619" w:history="1">
        <w:r w:rsidR="002A667A" w:rsidRPr="00DA38F1">
          <w:rPr>
            <w:rStyle w:val="Hypertextovodkaz"/>
            <w:noProof/>
          </w:rPr>
          <w:t>1.4.5</w:t>
        </w:r>
        <w:r w:rsidR="002A667A">
          <w:rPr>
            <w:noProof/>
            <w:szCs w:val="22"/>
          </w:rPr>
          <w:tab/>
        </w:r>
        <w:r w:rsidR="002A667A" w:rsidRPr="00DA38F1">
          <w:rPr>
            <w:rStyle w:val="Hypertextovodkaz"/>
            <w:noProof/>
          </w:rPr>
          <w:t>Očekávané výsledky finančního nástroje</w:t>
        </w:r>
        <w:r w:rsidR="002A667A">
          <w:rPr>
            <w:noProof/>
            <w:webHidden/>
          </w:rPr>
          <w:tab/>
        </w:r>
        <w:r w:rsidR="002A667A">
          <w:rPr>
            <w:noProof/>
            <w:webHidden/>
          </w:rPr>
          <w:fldChar w:fldCharType="begin"/>
        </w:r>
        <w:r w:rsidR="002A667A">
          <w:rPr>
            <w:noProof/>
            <w:webHidden/>
          </w:rPr>
          <w:instrText xml:space="preserve"> PAGEREF _Toc414464619 \h </w:instrText>
        </w:r>
        <w:r w:rsidR="002A667A">
          <w:rPr>
            <w:noProof/>
            <w:webHidden/>
          </w:rPr>
        </w:r>
        <w:r w:rsidR="002A667A">
          <w:rPr>
            <w:noProof/>
            <w:webHidden/>
          </w:rPr>
          <w:fldChar w:fldCharType="separate"/>
        </w:r>
        <w:r w:rsidR="00C35BF8">
          <w:rPr>
            <w:noProof/>
            <w:webHidden/>
          </w:rPr>
          <w:t>44</w:t>
        </w:r>
        <w:r w:rsidR="002A667A">
          <w:rPr>
            <w:noProof/>
            <w:webHidden/>
          </w:rPr>
          <w:fldChar w:fldCharType="end"/>
        </w:r>
      </w:hyperlink>
    </w:p>
    <w:p w:rsidR="002A667A" w:rsidRDefault="002A667A" w:rsidP="000C1B4F">
      <w:pPr>
        <w:rPr>
          <w:rFonts w:cs="Calibri"/>
          <w:szCs w:val="24"/>
        </w:rPr>
        <w:sectPr w:rsidR="002A667A" w:rsidSect="00EB27E7">
          <w:headerReference w:type="default" r:id="rId9"/>
          <w:footerReference w:type="even" r:id="rId10"/>
          <w:footerReference w:type="default" r:id="rId11"/>
          <w:headerReference w:type="first" r:id="rId12"/>
          <w:footerReference w:type="first" r:id="rId13"/>
          <w:pgSz w:w="11906" w:h="16838" w:code="9"/>
          <w:pgMar w:top="1418" w:right="1418" w:bottom="1418" w:left="1418" w:header="709" w:footer="709" w:gutter="0"/>
          <w:pgNumType w:start="0"/>
          <w:cols w:space="708"/>
          <w:titlePg/>
          <w:docGrid w:linePitch="360"/>
        </w:sectPr>
      </w:pPr>
      <w:r>
        <w:rPr>
          <w:rFonts w:cs="Calibri"/>
          <w:szCs w:val="24"/>
        </w:rPr>
        <w:fldChar w:fldCharType="end"/>
      </w:r>
    </w:p>
    <w:p w:rsidR="002A667A" w:rsidRDefault="002A667A" w:rsidP="00F67071">
      <w:pPr>
        <w:pStyle w:val="Nadpis1"/>
        <w:numPr>
          <w:ilvl w:val="0"/>
          <w:numId w:val="0"/>
        </w:numPr>
        <w:ind w:left="432" w:hanging="432"/>
        <w:rPr>
          <w:b w:val="0"/>
          <w:bCs w:val="0"/>
        </w:rPr>
      </w:pPr>
      <w:bookmarkStart w:id="2" w:name="_Toc413824141"/>
      <w:bookmarkStart w:id="3" w:name="_Toc413831124"/>
      <w:bookmarkStart w:id="4" w:name="_Toc413831154"/>
      <w:bookmarkStart w:id="5" w:name="_Toc413824148"/>
      <w:bookmarkStart w:id="6" w:name="_Toc413831131"/>
      <w:bookmarkStart w:id="7" w:name="_Toc413831161"/>
      <w:bookmarkStart w:id="8" w:name="_Toc413824151"/>
      <w:bookmarkStart w:id="9" w:name="_Toc413831134"/>
      <w:bookmarkStart w:id="10" w:name="_Toc413831164"/>
      <w:bookmarkStart w:id="11" w:name="_Toc413824152"/>
      <w:bookmarkStart w:id="12" w:name="_Toc413831135"/>
      <w:bookmarkStart w:id="13" w:name="_Toc413831165"/>
      <w:bookmarkStart w:id="14" w:name="_Toc414464595"/>
      <w:bookmarkEnd w:id="2"/>
      <w:bookmarkEnd w:id="3"/>
      <w:bookmarkEnd w:id="4"/>
      <w:bookmarkEnd w:id="5"/>
      <w:bookmarkEnd w:id="6"/>
      <w:bookmarkEnd w:id="7"/>
      <w:bookmarkEnd w:id="8"/>
      <w:bookmarkEnd w:id="9"/>
      <w:bookmarkEnd w:id="10"/>
      <w:bookmarkEnd w:id="11"/>
      <w:bookmarkEnd w:id="12"/>
      <w:bookmarkEnd w:id="13"/>
      <w:r>
        <w:lastRenderedPageBreak/>
        <w:t>Úvod</w:t>
      </w:r>
      <w:bookmarkEnd w:id="14"/>
      <w:r>
        <w:t xml:space="preserve"> a shrnutí závěrů předběžného posouzení řídícím orgánem</w:t>
      </w:r>
    </w:p>
    <w:p w:rsidR="002A667A" w:rsidRDefault="002A667A" w:rsidP="006638C9">
      <w:pPr>
        <w:pStyle w:val="BodyText1"/>
      </w:pPr>
    </w:p>
    <w:p w:rsidR="002A667A" w:rsidRPr="00F67071" w:rsidRDefault="002A667A" w:rsidP="006638C9">
      <w:pPr>
        <w:pStyle w:val="BodyText1"/>
        <w:rPr>
          <w:rFonts w:ascii="Calibri" w:hAnsi="Calibri" w:cs="Calibri"/>
          <w:sz w:val="22"/>
          <w:szCs w:val="22"/>
        </w:rPr>
      </w:pPr>
      <w:r w:rsidRPr="00F67071">
        <w:rPr>
          <w:rFonts w:ascii="Calibri" w:hAnsi="Calibri" w:cs="Calibri"/>
          <w:sz w:val="22"/>
          <w:szCs w:val="22"/>
        </w:rPr>
        <w:t>Tato zpráva představuje druhý dílčí výstup zpracovávané studie předběžného vyhodnocení finančních nástrojů (FN) v</w:t>
      </w:r>
      <w:r w:rsidRPr="006E73CA">
        <w:rPr>
          <w:rFonts w:ascii="Calibri" w:hAnsi="Calibri" w:cs="Calibri"/>
          <w:sz w:val="22"/>
          <w:szCs w:val="22"/>
        </w:rPr>
        <w:t> </w:t>
      </w:r>
      <w:r w:rsidRPr="00F67071">
        <w:rPr>
          <w:rFonts w:ascii="Calibri" w:hAnsi="Calibri" w:cs="Calibri"/>
          <w:sz w:val="22"/>
          <w:szCs w:val="22"/>
        </w:rPr>
        <w:t>OP PIK, který představuje uvažované typy finančních nástrojů v</w:t>
      </w:r>
      <w:r w:rsidRPr="006E73CA">
        <w:rPr>
          <w:rFonts w:ascii="Calibri" w:hAnsi="Calibri" w:cs="Calibri"/>
          <w:sz w:val="22"/>
          <w:szCs w:val="22"/>
        </w:rPr>
        <w:t> </w:t>
      </w:r>
      <w:r w:rsidRPr="00F67071">
        <w:rPr>
          <w:rFonts w:ascii="Calibri" w:hAnsi="Calibri" w:cs="Calibri"/>
          <w:sz w:val="22"/>
          <w:szCs w:val="22"/>
        </w:rPr>
        <w:t>jednotlivých prioritních osách operačního programu.</w:t>
      </w:r>
      <w:r>
        <w:rPr>
          <w:rFonts w:ascii="Calibri" w:hAnsi="Calibri" w:cs="Calibri"/>
          <w:sz w:val="22"/>
          <w:szCs w:val="22"/>
        </w:rPr>
        <w:t xml:space="preserve"> Jedná se o pracovní návrhy finančních nástrojů a jejich parametrů určené k připomínkám a jsou výsledkem podkladů dodaných společností Deloitte Advisory, s.r.o.</w:t>
      </w:r>
    </w:p>
    <w:p w:rsidR="002A667A" w:rsidRPr="008F0188" w:rsidRDefault="002A667A" w:rsidP="006638C9">
      <w:pPr>
        <w:pStyle w:val="BodyText1"/>
      </w:pPr>
    </w:p>
    <w:p w:rsidR="002A667A" w:rsidRDefault="002A667A" w:rsidP="006638C9">
      <w:r>
        <w:t xml:space="preserve">Řídící orgán (ŘO) na základě závěrů bloku I. ex ante vyhodnocení FN počítá s využitím FN v OP PIK v SC 1.2, 2.1, 2.3, </w:t>
      </w:r>
      <w:smartTag w:uri="urn:schemas-microsoft-com:office:smarttags" w:element="metricconverter">
        <w:smartTagPr>
          <w:attr w:name="ProductID" w:val="ჇꏸョﴬჇil__ĭ،_____3.2 a____ġ؈ꒀミ騀˭____ô___吤჆迸჆ _Ħ،ꏐョ__ꑔミꎠョ騀˭____ヘ__遀჆___________ ǟ؈__逜჆醈჆叨჆__________ǔ؈__předběžného_____ǉ؈__posouzení_______ǎ؈__část_é__ǁ؈__Následná________ǆ؈ꒀミ騀˭________郔჆鄸჆__ǻ؈_uvádí_ _Ǿ،ꏐョ__ꑔミꎠョ騀˭____ヘ__醀჆___________ Ƿ؈__酜჆鈠჆遈჆____/0"/>
        </w:smartTagPr>
        <w:r>
          <w:t>3.2 a</w:t>
        </w:r>
      </w:smartTag>
      <w:r>
        <w:t xml:space="preserve"> 3.5. Potenciál k jejich zavedení vnímáme též ve zbylých analyzovaných specifických cílech 1.1, </w:t>
      </w:r>
      <w:smartTag w:uri="urn:schemas-microsoft-com:office:smarttags" w:element="metricconverter">
        <w:smartTagPr>
          <w:attr w:name="ProductID" w:val="ミꎠョ騀˭____ヘ__ ჌___________ ǉ؈ꒀミ騀˭________ﾼ჋¸჌ _ǎ،ꏐョ__ꑔミꎠョ騀˭____ヘ__Ā჌________UV_ Ǉ؈__Ü჌Ơ჌(჌____ghij__Ǽ؈ꒀミ騀˭________￼჋Ő჌ _Ǳ،ꏐョ__ꑔミꎠョ騀˭____ヘ__Ƙ჌________ˇ˘_ Ǫ؈__Ŵ჌ȸ჌Ĉ჌____ł´µ¶__ǯ؈ꒀミ騀˭________ￔ჋Ǩ჌ _Ǥ،ꏐョ__ꑔミꎠョ騀˭____ヘ__Ȱ჌________íî_ Ɲ؈__Ȍ჌ː჌Ơ჌____˙@ÐÐ_"/>
        </w:smartTagPr>
        <w:r>
          <w:t>3.1 a</w:t>
        </w:r>
      </w:smartTag>
      <w:r>
        <w:t xml:space="preserve"> 4.1, kde na základě dále uváděných závěrů předběžného posouzení bude otevřena možnost zavedení pilotních finančních nástrojů v průběhu programového období.</w:t>
      </w:r>
    </w:p>
    <w:p w:rsidR="002A667A" w:rsidRDefault="002A667A" w:rsidP="006638C9"/>
    <w:p w:rsidR="002A667A" w:rsidRDefault="002A667A" w:rsidP="006638C9">
      <w:r>
        <w:t>Finanční nástroje OPPIK jsou rozděleny na FN „1. generace“ a FN „2. generace“. Za FN 1. generace považujeme finanční nástroje, které může ŘO spustit v první vlně relativně brzy po schválení operačního programu, neboť při jejich implementaci může MPO využít dosavadní zkušenosti s využíváním FN. Jedná se zejména o záruční a úvěrové finanční nástroje pro MSP. Za finanční nástroje 2. generace považujeme inovativní finanční nástroje, které jsou náročnější na přípravnou fázi zejména s ohledem na nutnost dotvoření implementační struktury.</w:t>
      </w:r>
    </w:p>
    <w:p w:rsidR="002A667A" w:rsidRDefault="002A667A" w:rsidP="006638C9"/>
    <w:p w:rsidR="002A667A" w:rsidRDefault="002A667A" w:rsidP="006638C9">
      <w:r>
        <w:t>Indikativní rozdělení finančních nástrojů OPPIK a jejich alokace na základě dosavadních závěrů předběžného posouzení je uvedeno v tabulce níže.</w:t>
      </w:r>
    </w:p>
    <w:p w:rsidR="002A667A" w:rsidRDefault="002A667A" w:rsidP="006638C9"/>
    <w:tbl>
      <w:tblPr>
        <w:tblW w:w="9224" w:type="dxa"/>
        <w:tblLayout w:type="fixed"/>
        <w:tblLook w:val="0000" w:firstRow="0" w:lastRow="0" w:firstColumn="0" w:lastColumn="0" w:noHBand="0" w:noVBand="0"/>
      </w:tblPr>
      <w:tblGrid>
        <w:gridCol w:w="1570"/>
        <w:gridCol w:w="1373"/>
        <w:gridCol w:w="1178"/>
        <w:gridCol w:w="1232"/>
        <w:gridCol w:w="2170"/>
        <w:gridCol w:w="1701"/>
      </w:tblGrid>
      <w:tr w:rsidR="002A667A" w:rsidRPr="00B17B4C" w:rsidTr="00D44CBE">
        <w:trPr>
          <w:trHeight w:val="538"/>
        </w:trPr>
        <w:tc>
          <w:tcPr>
            <w:tcW w:w="1570" w:type="dxa"/>
            <w:shd w:val="clear" w:color="auto" w:fill="365F91" w:themeFill="accent1" w:themeFillShade="BF"/>
          </w:tcPr>
          <w:p w:rsidR="002A667A" w:rsidRPr="009F43E3" w:rsidRDefault="002A667A" w:rsidP="00B37E7F">
            <w:pPr>
              <w:jc w:val="center"/>
              <w:rPr>
                <w:color w:val="FFFFFF"/>
              </w:rPr>
            </w:pPr>
            <w:r w:rsidRPr="009F43E3">
              <w:rPr>
                <w:b/>
                <w:bCs/>
                <w:color w:val="FFFFFF"/>
              </w:rPr>
              <w:t>Specifický cíl/PO</w:t>
            </w:r>
          </w:p>
        </w:tc>
        <w:tc>
          <w:tcPr>
            <w:tcW w:w="1373" w:type="dxa"/>
            <w:shd w:val="clear" w:color="auto" w:fill="365F91" w:themeFill="accent1" w:themeFillShade="BF"/>
          </w:tcPr>
          <w:p w:rsidR="002A667A" w:rsidRPr="009F43E3" w:rsidRDefault="002A667A" w:rsidP="00B37E7F">
            <w:pPr>
              <w:jc w:val="center"/>
              <w:rPr>
                <w:color w:val="FFFFFF"/>
              </w:rPr>
            </w:pPr>
            <w:r w:rsidRPr="009F43E3">
              <w:rPr>
                <w:b/>
                <w:bCs/>
                <w:color w:val="FFFFFF"/>
              </w:rPr>
              <w:t>Program podpory</w:t>
            </w:r>
          </w:p>
        </w:tc>
        <w:tc>
          <w:tcPr>
            <w:tcW w:w="1178" w:type="dxa"/>
            <w:shd w:val="clear" w:color="auto" w:fill="365F91" w:themeFill="accent1" w:themeFillShade="BF"/>
          </w:tcPr>
          <w:p w:rsidR="002A667A" w:rsidRPr="009F43E3" w:rsidRDefault="002A667A" w:rsidP="00B37E7F">
            <w:pPr>
              <w:jc w:val="center"/>
              <w:rPr>
                <w:color w:val="FFFFFF"/>
              </w:rPr>
            </w:pPr>
            <w:r w:rsidRPr="009F43E3">
              <w:rPr>
                <w:b/>
                <w:bCs/>
                <w:color w:val="FFFFFF"/>
              </w:rPr>
              <w:t>FN 1. generace</w:t>
            </w:r>
          </w:p>
        </w:tc>
        <w:tc>
          <w:tcPr>
            <w:tcW w:w="1232" w:type="dxa"/>
            <w:shd w:val="clear" w:color="auto" w:fill="365F91" w:themeFill="accent1" w:themeFillShade="BF"/>
          </w:tcPr>
          <w:p w:rsidR="002A667A" w:rsidRPr="009F43E3" w:rsidRDefault="002A667A" w:rsidP="00B37E7F">
            <w:pPr>
              <w:jc w:val="center"/>
              <w:rPr>
                <w:color w:val="FFFFFF"/>
              </w:rPr>
            </w:pPr>
            <w:r w:rsidRPr="009F43E3">
              <w:rPr>
                <w:b/>
                <w:bCs/>
                <w:color w:val="FFFFFF"/>
              </w:rPr>
              <w:t>FN 2. generace</w:t>
            </w:r>
          </w:p>
        </w:tc>
        <w:tc>
          <w:tcPr>
            <w:tcW w:w="2170" w:type="dxa"/>
            <w:shd w:val="clear" w:color="auto" w:fill="365F91" w:themeFill="accent1" w:themeFillShade="BF"/>
          </w:tcPr>
          <w:p w:rsidR="002A667A" w:rsidRPr="009F43E3" w:rsidRDefault="002A667A" w:rsidP="00B37E7F">
            <w:pPr>
              <w:jc w:val="center"/>
              <w:rPr>
                <w:color w:val="FFFFFF"/>
              </w:rPr>
            </w:pPr>
            <w:r w:rsidRPr="009F43E3">
              <w:rPr>
                <w:b/>
                <w:bCs/>
                <w:color w:val="FFFFFF"/>
              </w:rPr>
              <w:t>Uvažovaná alokace na FN (€)</w:t>
            </w:r>
          </w:p>
        </w:tc>
        <w:tc>
          <w:tcPr>
            <w:tcW w:w="1701" w:type="dxa"/>
            <w:shd w:val="clear" w:color="auto" w:fill="365F91" w:themeFill="accent1" w:themeFillShade="BF"/>
          </w:tcPr>
          <w:p w:rsidR="002A667A" w:rsidRPr="009F43E3" w:rsidRDefault="002A667A" w:rsidP="00B37E7F">
            <w:pPr>
              <w:jc w:val="center"/>
              <w:rPr>
                <w:color w:val="FFFFFF"/>
              </w:rPr>
            </w:pPr>
            <w:r w:rsidRPr="009F43E3">
              <w:rPr>
                <w:b/>
                <w:bCs/>
                <w:color w:val="FFFFFF"/>
              </w:rPr>
              <w:t>Uvažované % z alokace SC/PO</w:t>
            </w:r>
          </w:p>
        </w:tc>
      </w:tr>
      <w:tr w:rsidR="002A667A" w:rsidRPr="00B17B4C" w:rsidTr="00C64D03">
        <w:trPr>
          <w:trHeight w:val="763"/>
        </w:trPr>
        <w:tc>
          <w:tcPr>
            <w:tcW w:w="1570" w:type="dxa"/>
          </w:tcPr>
          <w:p w:rsidR="002A667A" w:rsidRDefault="002A667A">
            <w:pPr>
              <w:jc w:val="center"/>
            </w:pPr>
            <w:r w:rsidRPr="00B17B4C">
              <w:rPr>
                <w:b/>
                <w:bCs/>
              </w:rPr>
              <w:t xml:space="preserve">1.2 </w:t>
            </w:r>
            <w:r>
              <w:rPr>
                <w:b/>
                <w:bCs/>
              </w:rPr>
              <w:t>–</w:t>
            </w:r>
            <w:r w:rsidRPr="00B17B4C">
              <w:rPr>
                <w:b/>
                <w:bCs/>
              </w:rPr>
              <w:t xml:space="preserve"> Zvýšit intenzitu a účinnost spolupráce ve výzkumu, vývoji a inovacích</w:t>
            </w:r>
          </w:p>
        </w:tc>
        <w:tc>
          <w:tcPr>
            <w:tcW w:w="1373" w:type="dxa"/>
          </w:tcPr>
          <w:p w:rsidR="002A667A" w:rsidRDefault="002A667A">
            <w:pPr>
              <w:jc w:val="center"/>
            </w:pPr>
            <w:r w:rsidRPr="00B17B4C">
              <w:rPr>
                <w:b/>
                <w:bCs/>
              </w:rPr>
              <w:t>Proof of Concept</w:t>
            </w:r>
          </w:p>
        </w:tc>
        <w:tc>
          <w:tcPr>
            <w:tcW w:w="1178" w:type="dxa"/>
          </w:tcPr>
          <w:p w:rsidR="002A667A" w:rsidRDefault="002A667A" w:rsidP="00F67071">
            <w:pPr>
              <w:jc w:val="center"/>
              <w:rPr>
                <w:b/>
                <w:bCs/>
                <w:color w:val="1F497D"/>
                <w:sz w:val="32"/>
              </w:rPr>
            </w:pPr>
          </w:p>
        </w:tc>
        <w:tc>
          <w:tcPr>
            <w:tcW w:w="1232" w:type="dxa"/>
          </w:tcPr>
          <w:p w:rsidR="002A667A" w:rsidRDefault="002A667A">
            <w:pPr>
              <w:jc w:val="center"/>
            </w:pPr>
            <w:r w:rsidRPr="00B17B4C">
              <w:rPr>
                <w:b/>
                <w:bCs/>
              </w:rPr>
              <w:t>Kapitálové vstupy</w:t>
            </w:r>
          </w:p>
        </w:tc>
        <w:tc>
          <w:tcPr>
            <w:tcW w:w="2170" w:type="dxa"/>
          </w:tcPr>
          <w:p w:rsidR="002A667A" w:rsidRDefault="002A667A">
            <w:pPr>
              <w:jc w:val="center"/>
            </w:pPr>
            <w:smartTag w:uri="urn:schemas-microsoft-com:office:smarttags" w:element="metricconverter">
              <w:smartTagPr>
                <w:attr w:name="ProductID" w:val="20 mil"/>
              </w:smartTagPr>
              <w:r w:rsidRPr="00B17B4C">
                <w:rPr>
                  <w:b/>
                  <w:bCs/>
                </w:rPr>
                <w:t>20 mil</w:t>
              </w:r>
            </w:smartTag>
            <w:r w:rsidRPr="00B17B4C">
              <w:rPr>
                <w:b/>
                <w:bCs/>
              </w:rPr>
              <w:t>.  EUR</w:t>
            </w:r>
          </w:p>
        </w:tc>
        <w:tc>
          <w:tcPr>
            <w:tcW w:w="1701" w:type="dxa"/>
          </w:tcPr>
          <w:p w:rsidR="002A667A" w:rsidRDefault="002A667A">
            <w:pPr>
              <w:jc w:val="center"/>
            </w:pPr>
            <w:r w:rsidRPr="00B17B4C">
              <w:rPr>
                <w:b/>
                <w:bCs/>
              </w:rPr>
              <w:t>6 %</w:t>
            </w:r>
          </w:p>
        </w:tc>
      </w:tr>
      <w:tr w:rsidR="002A667A" w:rsidRPr="00B17B4C" w:rsidTr="00C64D03">
        <w:tblPrEx>
          <w:tblCellMar>
            <w:left w:w="0" w:type="dxa"/>
            <w:right w:w="0" w:type="dxa"/>
          </w:tblCellMar>
        </w:tblPrEx>
        <w:trPr>
          <w:trHeight w:val="335"/>
        </w:trPr>
        <w:tc>
          <w:tcPr>
            <w:tcW w:w="5353" w:type="dxa"/>
            <w:gridSpan w:val="4"/>
            <w:tcBorders>
              <w:top w:val="single" w:sz="4" w:space="0" w:color="000000"/>
              <w:left w:val="single" w:sz="8" w:space="0" w:color="000000"/>
              <w:bottom w:val="single" w:sz="4" w:space="0" w:color="000000"/>
              <w:right w:val="single" w:sz="4" w:space="0" w:color="000000"/>
            </w:tcBorders>
            <w:shd w:val="clear" w:color="auto" w:fill="8EB4E3"/>
            <w:tcMar>
              <w:top w:w="9" w:type="dxa"/>
              <w:left w:w="9" w:type="dxa"/>
              <w:bottom w:w="0" w:type="dxa"/>
              <w:right w:w="9" w:type="dxa"/>
            </w:tcMar>
            <w:vAlign w:val="center"/>
          </w:tcPr>
          <w:p w:rsidR="002A667A" w:rsidRDefault="002A667A">
            <w:pPr>
              <w:jc w:val="center"/>
            </w:pPr>
            <w:r w:rsidRPr="00B17B4C">
              <w:rPr>
                <w:b/>
                <w:bCs/>
              </w:rPr>
              <w:t>Prioritní osa 1 celkem</w:t>
            </w:r>
          </w:p>
        </w:tc>
        <w:tc>
          <w:tcPr>
            <w:tcW w:w="2170" w:type="dxa"/>
            <w:tcBorders>
              <w:top w:val="single" w:sz="4" w:space="0" w:color="000000"/>
              <w:left w:val="single" w:sz="4" w:space="0" w:color="000000"/>
              <w:bottom w:val="single" w:sz="4" w:space="0" w:color="000000"/>
              <w:right w:val="single" w:sz="4" w:space="0" w:color="000000"/>
            </w:tcBorders>
            <w:shd w:val="clear" w:color="auto" w:fill="8EB4E3"/>
            <w:tcMar>
              <w:top w:w="9" w:type="dxa"/>
              <w:left w:w="9" w:type="dxa"/>
              <w:bottom w:w="0" w:type="dxa"/>
              <w:right w:w="9" w:type="dxa"/>
            </w:tcMar>
            <w:vAlign w:val="center"/>
          </w:tcPr>
          <w:p w:rsidR="002A667A" w:rsidRDefault="002A667A">
            <w:pPr>
              <w:jc w:val="center"/>
            </w:pPr>
            <w:smartTag w:uri="urn:schemas-microsoft-com:office:smarttags" w:element="metricconverter">
              <w:smartTagPr>
                <w:attr w:name="ProductID" w:val="20 mil"/>
              </w:smartTagPr>
              <w:r w:rsidRPr="00B17B4C">
                <w:rPr>
                  <w:b/>
                  <w:bCs/>
                </w:rPr>
                <w:t>20 mil</w:t>
              </w:r>
            </w:smartTag>
            <w:r w:rsidRPr="00B17B4C">
              <w:rPr>
                <w:b/>
                <w:bCs/>
              </w:rPr>
              <w:t>. EUR</w:t>
            </w:r>
          </w:p>
        </w:tc>
        <w:tc>
          <w:tcPr>
            <w:tcW w:w="1701" w:type="dxa"/>
            <w:tcBorders>
              <w:top w:val="single" w:sz="4" w:space="0" w:color="000000"/>
              <w:left w:val="single" w:sz="4" w:space="0" w:color="000000"/>
              <w:bottom w:val="single" w:sz="4" w:space="0" w:color="000000"/>
              <w:right w:val="single" w:sz="4" w:space="0" w:color="000000"/>
            </w:tcBorders>
            <w:shd w:val="clear" w:color="auto" w:fill="8EB4E3"/>
            <w:tcMar>
              <w:top w:w="9" w:type="dxa"/>
              <w:left w:w="9" w:type="dxa"/>
              <w:bottom w:w="0" w:type="dxa"/>
              <w:right w:w="9" w:type="dxa"/>
            </w:tcMar>
            <w:vAlign w:val="center"/>
          </w:tcPr>
          <w:p w:rsidR="002A667A" w:rsidRDefault="002A667A">
            <w:pPr>
              <w:jc w:val="center"/>
            </w:pPr>
            <w:r w:rsidRPr="00B17B4C">
              <w:rPr>
                <w:b/>
                <w:bCs/>
              </w:rPr>
              <w:t>2</w:t>
            </w:r>
            <w:r w:rsidR="00C64D03">
              <w:rPr>
                <w:b/>
                <w:bCs/>
              </w:rPr>
              <w:t xml:space="preserve"> </w:t>
            </w:r>
            <w:r w:rsidRPr="00B17B4C">
              <w:rPr>
                <w:b/>
                <w:bCs/>
              </w:rPr>
              <w:t>%</w:t>
            </w:r>
          </w:p>
        </w:tc>
      </w:tr>
      <w:tr w:rsidR="002A667A" w:rsidRPr="00B17B4C" w:rsidTr="00C64D03">
        <w:trPr>
          <w:trHeight w:val="969"/>
        </w:trPr>
        <w:tc>
          <w:tcPr>
            <w:tcW w:w="1570" w:type="dxa"/>
            <w:vMerge w:val="restart"/>
          </w:tcPr>
          <w:p w:rsidR="002A667A" w:rsidRDefault="002A667A">
            <w:pPr>
              <w:jc w:val="center"/>
            </w:pPr>
            <w:r w:rsidRPr="00B17B4C">
              <w:rPr>
                <w:b/>
                <w:bCs/>
              </w:rPr>
              <w:t xml:space="preserve">2.1 </w:t>
            </w:r>
            <w:r>
              <w:rPr>
                <w:b/>
                <w:bCs/>
              </w:rPr>
              <w:t>–</w:t>
            </w:r>
            <w:r w:rsidRPr="00B17B4C">
              <w:rPr>
                <w:b/>
                <w:bCs/>
              </w:rPr>
              <w:t xml:space="preserve"> Zvýšit konkurenceschopnost začínajících a rozvojových MSP</w:t>
            </w:r>
          </w:p>
          <w:p w:rsidR="002A667A" w:rsidRDefault="002A667A" w:rsidP="00F67071">
            <w:pPr>
              <w:jc w:val="center"/>
              <w:rPr>
                <w:b/>
                <w:bCs/>
                <w:color w:val="1F497D"/>
                <w:sz w:val="32"/>
              </w:rPr>
            </w:pPr>
          </w:p>
        </w:tc>
        <w:tc>
          <w:tcPr>
            <w:tcW w:w="1373" w:type="dxa"/>
          </w:tcPr>
          <w:p w:rsidR="002A667A" w:rsidRDefault="002A667A">
            <w:pPr>
              <w:jc w:val="center"/>
            </w:pPr>
            <w:r w:rsidRPr="00B17B4C">
              <w:rPr>
                <w:b/>
                <w:bCs/>
              </w:rPr>
              <w:t>Expanze</w:t>
            </w:r>
          </w:p>
        </w:tc>
        <w:tc>
          <w:tcPr>
            <w:tcW w:w="1178" w:type="dxa"/>
          </w:tcPr>
          <w:p w:rsidR="002A667A" w:rsidRDefault="002A667A">
            <w:pPr>
              <w:jc w:val="center"/>
            </w:pPr>
            <w:r w:rsidRPr="00B17B4C">
              <w:rPr>
                <w:b/>
                <w:bCs/>
              </w:rPr>
              <w:t>Zvýhodněné úvěry a záruky</w:t>
            </w:r>
          </w:p>
        </w:tc>
        <w:tc>
          <w:tcPr>
            <w:tcW w:w="1232" w:type="dxa"/>
          </w:tcPr>
          <w:p w:rsidR="002A667A" w:rsidRDefault="002A667A" w:rsidP="00F67071">
            <w:pPr>
              <w:jc w:val="center"/>
              <w:rPr>
                <w:b/>
                <w:bCs/>
                <w:color w:val="1F497D"/>
                <w:sz w:val="32"/>
              </w:rPr>
            </w:pPr>
          </w:p>
        </w:tc>
        <w:tc>
          <w:tcPr>
            <w:tcW w:w="2170" w:type="dxa"/>
          </w:tcPr>
          <w:p w:rsidR="002A667A" w:rsidRDefault="002A667A">
            <w:pPr>
              <w:jc w:val="center"/>
            </w:pPr>
            <w:smartTag w:uri="urn:schemas-microsoft-com:office:smarttags" w:element="metricconverter">
              <w:smartTagPr>
                <w:attr w:name="ProductID" w:val="350 mil"/>
              </w:smartTagPr>
              <w:r w:rsidRPr="00B17B4C">
                <w:rPr>
                  <w:b/>
                  <w:bCs/>
                </w:rPr>
                <w:t>350 mil</w:t>
              </w:r>
            </w:smartTag>
            <w:r w:rsidRPr="00B17B4C">
              <w:rPr>
                <w:b/>
                <w:bCs/>
              </w:rPr>
              <w:t>. EUR</w:t>
            </w:r>
            <w:r>
              <w:rPr>
                <w:b/>
                <w:bCs/>
              </w:rPr>
              <w:t xml:space="preserve"> -</w:t>
            </w:r>
          </w:p>
          <w:p w:rsidR="002A667A" w:rsidRDefault="002A667A">
            <w:pPr>
              <w:jc w:val="center"/>
            </w:pPr>
            <w:r w:rsidRPr="00B17B4C">
              <w:rPr>
                <w:b/>
                <w:bCs/>
              </w:rPr>
              <w:t xml:space="preserve">v tom </w:t>
            </w:r>
            <w:smartTag w:uri="urn:schemas-microsoft-com:office:smarttags" w:element="metricconverter">
              <w:smartTagPr>
                <w:attr w:name="ProductID" w:val="200 mil"/>
              </w:smartTagPr>
              <w:r w:rsidRPr="00B17B4C">
                <w:rPr>
                  <w:b/>
                  <w:bCs/>
                </w:rPr>
                <w:t>200 mil</w:t>
              </w:r>
            </w:smartTag>
            <w:r w:rsidRPr="00B17B4C">
              <w:rPr>
                <w:b/>
                <w:bCs/>
              </w:rPr>
              <w:t>. EUR úvěry</w:t>
            </w:r>
          </w:p>
          <w:p w:rsidR="002A667A" w:rsidRDefault="002A667A">
            <w:pPr>
              <w:jc w:val="center"/>
            </w:pPr>
            <w:r w:rsidRPr="00B17B4C">
              <w:rPr>
                <w:b/>
                <w:bCs/>
              </w:rPr>
              <w:t xml:space="preserve">a </w:t>
            </w:r>
            <w:smartTag w:uri="urn:schemas-microsoft-com:office:smarttags" w:element="metricconverter">
              <w:smartTagPr>
                <w:attr w:name="ProductID" w:val="150 mil"/>
              </w:smartTagPr>
              <w:r w:rsidRPr="00B17B4C">
                <w:rPr>
                  <w:b/>
                  <w:bCs/>
                </w:rPr>
                <w:t>150 mil</w:t>
              </w:r>
            </w:smartTag>
            <w:r w:rsidRPr="00B17B4C">
              <w:rPr>
                <w:b/>
                <w:bCs/>
              </w:rPr>
              <w:t>. EUR záruky</w:t>
            </w:r>
          </w:p>
        </w:tc>
        <w:tc>
          <w:tcPr>
            <w:tcW w:w="1701" w:type="dxa"/>
          </w:tcPr>
          <w:p w:rsidR="002A667A" w:rsidRDefault="002A667A">
            <w:pPr>
              <w:jc w:val="center"/>
            </w:pPr>
            <w:r w:rsidRPr="00B17B4C">
              <w:rPr>
                <w:b/>
                <w:bCs/>
              </w:rPr>
              <w:t>57%</w:t>
            </w:r>
          </w:p>
        </w:tc>
      </w:tr>
      <w:tr w:rsidR="002A667A" w:rsidRPr="00B17B4C" w:rsidTr="00C64D03">
        <w:trPr>
          <w:trHeight w:val="504"/>
        </w:trPr>
        <w:tc>
          <w:tcPr>
            <w:tcW w:w="1570" w:type="dxa"/>
            <w:vMerge/>
          </w:tcPr>
          <w:p w:rsidR="002A667A" w:rsidRDefault="002A667A">
            <w:pPr>
              <w:jc w:val="center"/>
            </w:pPr>
          </w:p>
        </w:tc>
        <w:tc>
          <w:tcPr>
            <w:tcW w:w="1373" w:type="dxa"/>
          </w:tcPr>
          <w:p w:rsidR="002A667A" w:rsidRDefault="002A667A">
            <w:pPr>
              <w:jc w:val="center"/>
            </w:pPr>
            <w:r w:rsidRPr="00B17B4C">
              <w:rPr>
                <w:b/>
                <w:bCs/>
              </w:rPr>
              <w:t>Rizikový kapitál</w:t>
            </w:r>
          </w:p>
        </w:tc>
        <w:tc>
          <w:tcPr>
            <w:tcW w:w="1178" w:type="dxa"/>
          </w:tcPr>
          <w:p w:rsidR="002A667A" w:rsidRDefault="002A667A" w:rsidP="00F67071">
            <w:pPr>
              <w:jc w:val="center"/>
              <w:rPr>
                <w:b/>
                <w:bCs/>
                <w:color w:val="1F497D"/>
                <w:sz w:val="32"/>
              </w:rPr>
            </w:pPr>
          </w:p>
        </w:tc>
        <w:tc>
          <w:tcPr>
            <w:tcW w:w="1232" w:type="dxa"/>
          </w:tcPr>
          <w:p w:rsidR="002A667A" w:rsidRDefault="002A667A">
            <w:pPr>
              <w:jc w:val="center"/>
            </w:pPr>
            <w:r w:rsidRPr="00B17B4C">
              <w:rPr>
                <w:b/>
                <w:bCs/>
              </w:rPr>
              <w:t>Kapitálové vstupy</w:t>
            </w:r>
          </w:p>
        </w:tc>
        <w:tc>
          <w:tcPr>
            <w:tcW w:w="2170" w:type="dxa"/>
          </w:tcPr>
          <w:p w:rsidR="002A667A" w:rsidRDefault="002A667A">
            <w:pPr>
              <w:jc w:val="center"/>
            </w:pPr>
            <w:smartTag w:uri="urn:schemas-microsoft-com:office:smarttags" w:element="metricconverter">
              <w:smartTagPr>
                <w:attr w:name="ProductID" w:val="30 mil"/>
              </w:smartTagPr>
              <w:r w:rsidRPr="00B17B4C">
                <w:rPr>
                  <w:b/>
                  <w:bCs/>
                </w:rPr>
                <w:t>30 mil</w:t>
              </w:r>
            </w:smartTag>
            <w:r w:rsidRPr="00B17B4C">
              <w:rPr>
                <w:b/>
                <w:bCs/>
              </w:rPr>
              <w:t>. EUR</w:t>
            </w:r>
          </w:p>
        </w:tc>
        <w:tc>
          <w:tcPr>
            <w:tcW w:w="1701" w:type="dxa"/>
          </w:tcPr>
          <w:p w:rsidR="002A667A" w:rsidRDefault="002A667A">
            <w:pPr>
              <w:jc w:val="center"/>
            </w:pPr>
            <w:r w:rsidRPr="00B17B4C">
              <w:rPr>
                <w:b/>
                <w:bCs/>
              </w:rPr>
              <w:t>5</w:t>
            </w:r>
            <w:r w:rsidR="00C64D03">
              <w:rPr>
                <w:b/>
                <w:bCs/>
              </w:rPr>
              <w:t xml:space="preserve"> </w:t>
            </w:r>
            <w:r w:rsidRPr="00B17B4C">
              <w:rPr>
                <w:b/>
                <w:bCs/>
              </w:rPr>
              <w:t>%</w:t>
            </w:r>
          </w:p>
        </w:tc>
      </w:tr>
      <w:tr w:rsidR="002A667A" w:rsidRPr="00B17B4C" w:rsidTr="00C64D03">
        <w:trPr>
          <w:trHeight w:val="574"/>
        </w:trPr>
        <w:tc>
          <w:tcPr>
            <w:tcW w:w="1570" w:type="dxa"/>
          </w:tcPr>
          <w:p w:rsidR="002A667A" w:rsidRDefault="002A667A">
            <w:pPr>
              <w:jc w:val="center"/>
            </w:pPr>
            <w:r w:rsidRPr="00B17B4C">
              <w:rPr>
                <w:b/>
                <w:bCs/>
                <w:lang w:val="pl-PL"/>
              </w:rPr>
              <w:t xml:space="preserve">2.3 </w:t>
            </w:r>
            <w:r>
              <w:rPr>
                <w:b/>
                <w:bCs/>
                <w:lang w:val="pl-PL"/>
              </w:rPr>
              <w:t>–</w:t>
            </w:r>
            <w:r w:rsidRPr="00B17B4C">
              <w:rPr>
                <w:b/>
                <w:bCs/>
                <w:lang w:val="pl-PL"/>
              </w:rPr>
              <w:t xml:space="preserve"> Zvýšit využitelnost infrastruktury pro podnikání</w:t>
            </w:r>
          </w:p>
        </w:tc>
        <w:tc>
          <w:tcPr>
            <w:tcW w:w="1373" w:type="dxa"/>
          </w:tcPr>
          <w:p w:rsidR="002A667A" w:rsidRPr="00F67071" w:rsidRDefault="002A667A">
            <w:pPr>
              <w:jc w:val="center"/>
              <w:rPr>
                <w:b/>
              </w:rPr>
            </w:pPr>
            <w:r w:rsidRPr="00F67071">
              <w:rPr>
                <w:b/>
              </w:rPr>
              <w:t>Nemovitosti</w:t>
            </w:r>
          </w:p>
        </w:tc>
        <w:tc>
          <w:tcPr>
            <w:tcW w:w="1178" w:type="dxa"/>
          </w:tcPr>
          <w:p w:rsidR="002A667A" w:rsidRDefault="002A667A">
            <w:pPr>
              <w:jc w:val="center"/>
            </w:pPr>
            <w:r w:rsidRPr="00B17B4C">
              <w:rPr>
                <w:b/>
                <w:bCs/>
              </w:rPr>
              <w:t>Zvýhodněné úvěry</w:t>
            </w:r>
            <w:r>
              <w:rPr>
                <w:b/>
                <w:bCs/>
              </w:rPr>
              <w:t xml:space="preserve"> </w:t>
            </w:r>
          </w:p>
        </w:tc>
        <w:tc>
          <w:tcPr>
            <w:tcW w:w="1232" w:type="dxa"/>
          </w:tcPr>
          <w:p w:rsidR="002A667A" w:rsidRDefault="002A667A" w:rsidP="00EB5A1A">
            <w:pPr>
              <w:rPr>
                <w:b/>
                <w:bCs/>
                <w:color w:val="1F497D"/>
                <w:sz w:val="32"/>
              </w:rPr>
            </w:pPr>
            <w:r>
              <w:rPr>
                <w:b/>
                <w:bCs/>
              </w:rPr>
              <w:t>Kapitálové vstupy</w:t>
            </w:r>
          </w:p>
        </w:tc>
        <w:tc>
          <w:tcPr>
            <w:tcW w:w="2170" w:type="dxa"/>
          </w:tcPr>
          <w:p w:rsidR="002A667A" w:rsidRDefault="002A667A">
            <w:pPr>
              <w:jc w:val="center"/>
            </w:pPr>
            <w:r w:rsidRPr="00B17B4C">
              <w:rPr>
                <w:b/>
                <w:bCs/>
              </w:rPr>
              <w:t>3</w:t>
            </w:r>
            <w:r>
              <w:rPr>
                <w:b/>
                <w:bCs/>
              </w:rPr>
              <w:t>-</w:t>
            </w:r>
            <w:smartTag w:uri="urn:schemas-microsoft-com:office:smarttags" w:element="metricconverter">
              <w:smartTagPr>
                <w:attr w:name="ProductID" w:val="20 mil"/>
              </w:smartTagPr>
              <w:r>
                <w:rPr>
                  <w:b/>
                  <w:bCs/>
                </w:rPr>
                <w:t>20</w:t>
              </w:r>
              <w:r w:rsidRPr="00B17B4C">
                <w:rPr>
                  <w:b/>
                  <w:bCs/>
                </w:rPr>
                <w:t xml:space="preserve"> mil</w:t>
              </w:r>
            </w:smartTag>
            <w:r w:rsidRPr="00B17B4C">
              <w:rPr>
                <w:b/>
                <w:bCs/>
              </w:rPr>
              <w:t>. EUR</w:t>
            </w:r>
          </w:p>
        </w:tc>
        <w:tc>
          <w:tcPr>
            <w:tcW w:w="1701" w:type="dxa"/>
          </w:tcPr>
          <w:p w:rsidR="002A667A" w:rsidRDefault="002A667A">
            <w:pPr>
              <w:jc w:val="center"/>
            </w:pPr>
            <w:r w:rsidRPr="00B17B4C">
              <w:rPr>
                <w:b/>
                <w:bCs/>
              </w:rPr>
              <w:t>3 %</w:t>
            </w:r>
          </w:p>
        </w:tc>
      </w:tr>
      <w:tr w:rsidR="002A667A" w:rsidRPr="00B17B4C" w:rsidTr="00C64D03">
        <w:tblPrEx>
          <w:tblCellMar>
            <w:left w:w="0" w:type="dxa"/>
            <w:right w:w="0" w:type="dxa"/>
          </w:tblCellMar>
        </w:tblPrEx>
        <w:trPr>
          <w:trHeight w:val="342"/>
        </w:trPr>
        <w:tc>
          <w:tcPr>
            <w:tcW w:w="5353" w:type="dxa"/>
            <w:gridSpan w:val="4"/>
            <w:tcBorders>
              <w:top w:val="single" w:sz="4" w:space="0" w:color="000000"/>
              <w:left w:val="single" w:sz="8" w:space="0" w:color="000000"/>
              <w:bottom w:val="single" w:sz="4" w:space="0" w:color="000000"/>
              <w:right w:val="single" w:sz="4" w:space="0" w:color="000000"/>
            </w:tcBorders>
            <w:shd w:val="clear" w:color="auto" w:fill="8EB4E3"/>
            <w:tcMar>
              <w:top w:w="9" w:type="dxa"/>
              <w:left w:w="9" w:type="dxa"/>
              <w:bottom w:w="0" w:type="dxa"/>
              <w:right w:w="9" w:type="dxa"/>
            </w:tcMar>
            <w:vAlign w:val="center"/>
          </w:tcPr>
          <w:p w:rsidR="002A667A" w:rsidRDefault="002A667A">
            <w:pPr>
              <w:jc w:val="center"/>
            </w:pPr>
            <w:r w:rsidRPr="00B17B4C">
              <w:rPr>
                <w:b/>
                <w:bCs/>
              </w:rPr>
              <w:t>Prioritní osa 2 celkem</w:t>
            </w:r>
          </w:p>
        </w:tc>
        <w:tc>
          <w:tcPr>
            <w:tcW w:w="2170" w:type="dxa"/>
            <w:tcBorders>
              <w:top w:val="single" w:sz="4" w:space="0" w:color="000000"/>
              <w:left w:val="single" w:sz="4" w:space="0" w:color="000000"/>
              <w:bottom w:val="single" w:sz="4" w:space="0" w:color="000000"/>
              <w:right w:val="single" w:sz="4" w:space="0" w:color="000000"/>
            </w:tcBorders>
            <w:shd w:val="clear" w:color="auto" w:fill="8EB4E3"/>
            <w:tcMar>
              <w:top w:w="9" w:type="dxa"/>
              <w:left w:w="9" w:type="dxa"/>
              <w:bottom w:w="0" w:type="dxa"/>
              <w:right w:w="9" w:type="dxa"/>
            </w:tcMar>
            <w:vAlign w:val="center"/>
          </w:tcPr>
          <w:p w:rsidR="002A667A" w:rsidRDefault="002A667A">
            <w:pPr>
              <w:jc w:val="center"/>
            </w:pPr>
            <w:smartTag w:uri="urn:schemas-microsoft-com:office:smarttags" w:element="metricconverter">
              <w:smartTagPr>
                <w:attr w:name="ProductID" w:val="383 mil"/>
              </w:smartTagPr>
              <w:r w:rsidRPr="00B17B4C">
                <w:rPr>
                  <w:b/>
                  <w:bCs/>
                </w:rPr>
                <w:t>383 mil</w:t>
              </w:r>
            </w:smartTag>
            <w:r w:rsidRPr="00B17B4C">
              <w:rPr>
                <w:b/>
                <w:bCs/>
              </w:rPr>
              <w:t>. EUR</w:t>
            </w:r>
          </w:p>
        </w:tc>
        <w:tc>
          <w:tcPr>
            <w:tcW w:w="1701" w:type="dxa"/>
            <w:tcBorders>
              <w:top w:val="single" w:sz="4" w:space="0" w:color="000000"/>
              <w:left w:val="single" w:sz="4" w:space="0" w:color="000000"/>
              <w:bottom w:val="single" w:sz="4" w:space="0" w:color="000000"/>
              <w:right w:val="single" w:sz="4" w:space="0" w:color="000000"/>
            </w:tcBorders>
            <w:shd w:val="clear" w:color="auto" w:fill="8EB4E3"/>
            <w:tcMar>
              <w:top w:w="9" w:type="dxa"/>
              <w:left w:w="9" w:type="dxa"/>
              <w:bottom w:w="0" w:type="dxa"/>
              <w:right w:w="9" w:type="dxa"/>
            </w:tcMar>
            <w:vAlign w:val="center"/>
          </w:tcPr>
          <w:p w:rsidR="002A667A" w:rsidRDefault="002A667A">
            <w:pPr>
              <w:jc w:val="center"/>
            </w:pPr>
            <w:r w:rsidRPr="00B17B4C">
              <w:rPr>
                <w:b/>
                <w:bCs/>
              </w:rPr>
              <w:t>44 %</w:t>
            </w:r>
          </w:p>
        </w:tc>
      </w:tr>
      <w:tr w:rsidR="002A667A" w:rsidRPr="00B17B4C" w:rsidTr="00C64D03">
        <w:trPr>
          <w:trHeight w:val="763"/>
        </w:trPr>
        <w:tc>
          <w:tcPr>
            <w:tcW w:w="1570" w:type="dxa"/>
          </w:tcPr>
          <w:p w:rsidR="002A667A" w:rsidRDefault="002A667A">
            <w:pPr>
              <w:jc w:val="center"/>
            </w:pPr>
            <w:r w:rsidRPr="00B17B4C">
              <w:rPr>
                <w:b/>
                <w:bCs/>
              </w:rPr>
              <w:lastRenderedPageBreak/>
              <w:t xml:space="preserve">3.2 </w:t>
            </w:r>
            <w:r>
              <w:rPr>
                <w:b/>
                <w:bCs/>
              </w:rPr>
              <w:t>–</w:t>
            </w:r>
            <w:r w:rsidRPr="00B17B4C">
              <w:rPr>
                <w:b/>
                <w:bCs/>
              </w:rPr>
              <w:t xml:space="preserve"> Zvýšit energetickou účinnost podnikatelského sektoru</w:t>
            </w:r>
          </w:p>
        </w:tc>
        <w:tc>
          <w:tcPr>
            <w:tcW w:w="1373" w:type="dxa"/>
          </w:tcPr>
          <w:p w:rsidR="002A667A" w:rsidRDefault="002A667A">
            <w:pPr>
              <w:jc w:val="center"/>
            </w:pPr>
            <w:r w:rsidRPr="00B17B4C">
              <w:rPr>
                <w:b/>
                <w:bCs/>
              </w:rPr>
              <w:t>Úspory energie</w:t>
            </w:r>
          </w:p>
        </w:tc>
        <w:tc>
          <w:tcPr>
            <w:tcW w:w="1178" w:type="dxa"/>
          </w:tcPr>
          <w:p w:rsidR="002A667A" w:rsidRDefault="002A667A">
            <w:pPr>
              <w:jc w:val="center"/>
            </w:pPr>
            <w:r w:rsidRPr="00B17B4C">
              <w:rPr>
                <w:b/>
                <w:bCs/>
              </w:rPr>
              <w:t>Zvýhodněné úvěry</w:t>
            </w:r>
            <w:r>
              <w:rPr>
                <w:b/>
                <w:bCs/>
              </w:rPr>
              <w:t xml:space="preserve"> nebo záruky</w:t>
            </w:r>
          </w:p>
        </w:tc>
        <w:tc>
          <w:tcPr>
            <w:tcW w:w="1232" w:type="dxa"/>
          </w:tcPr>
          <w:p w:rsidR="002A667A" w:rsidRDefault="002A667A" w:rsidP="00F67071">
            <w:pPr>
              <w:jc w:val="center"/>
              <w:rPr>
                <w:b/>
                <w:bCs/>
                <w:color w:val="1F497D"/>
                <w:sz w:val="32"/>
              </w:rPr>
            </w:pPr>
          </w:p>
        </w:tc>
        <w:tc>
          <w:tcPr>
            <w:tcW w:w="2170" w:type="dxa"/>
          </w:tcPr>
          <w:p w:rsidR="002A667A" w:rsidRDefault="002A667A">
            <w:pPr>
              <w:jc w:val="center"/>
            </w:pPr>
            <w:smartTag w:uri="urn:schemas-microsoft-com:office:smarttags" w:element="metricconverter">
              <w:smartTagPr>
                <w:attr w:name="ProductID" w:val="20 mil"/>
              </w:smartTagPr>
              <w:r w:rsidRPr="00B17B4C">
                <w:rPr>
                  <w:b/>
                  <w:bCs/>
                </w:rPr>
                <w:t>20 mil</w:t>
              </w:r>
            </w:smartTag>
            <w:r w:rsidRPr="00B17B4C">
              <w:rPr>
                <w:b/>
                <w:bCs/>
              </w:rPr>
              <w:t>. EUR</w:t>
            </w:r>
          </w:p>
        </w:tc>
        <w:tc>
          <w:tcPr>
            <w:tcW w:w="1701" w:type="dxa"/>
          </w:tcPr>
          <w:p w:rsidR="002A667A" w:rsidRDefault="002A667A">
            <w:pPr>
              <w:jc w:val="center"/>
            </w:pPr>
            <w:r w:rsidRPr="00B17B4C">
              <w:rPr>
                <w:b/>
                <w:bCs/>
              </w:rPr>
              <w:t>3</w:t>
            </w:r>
            <w:r w:rsidR="00C64D03">
              <w:rPr>
                <w:b/>
                <w:bCs/>
              </w:rPr>
              <w:t xml:space="preserve"> </w:t>
            </w:r>
            <w:r w:rsidRPr="00B17B4C">
              <w:rPr>
                <w:b/>
                <w:bCs/>
              </w:rPr>
              <w:t>%</w:t>
            </w:r>
          </w:p>
        </w:tc>
      </w:tr>
      <w:tr w:rsidR="002A667A" w:rsidRPr="00B17B4C" w:rsidTr="00C64D03">
        <w:trPr>
          <w:trHeight w:val="574"/>
        </w:trPr>
        <w:tc>
          <w:tcPr>
            <w:tcW w:w="1570" w:type="dxa"/>
          </w:tcPr>
          <w:p w:rsidR="002A667A" w:rsidRPr="00B17B4C" w:rsidRDefault="002A667A" w:rsidP="00B37E7F">
            <w:pPr>
              <w:jc w:val="center"/>
            </w:pPr>
            <w:r w:rsidRPr="00B17B4C">
              <w:rPr>
                <w:b/>
                <w:bCs/>
              </w:rPr>
              <w:t>3.5 - Zvýšit účinnost soustav zásobování teplem</w:t>
            </w:r>
          </w:p>
        </w:tc>
        <w:tc>
          <w:tcPr>
            <w:tcW w:w="1373" w:type="dxa"/>
          </w:tcPr>
          <w:p w:rsidR="002A667A" w:rsidRPr="00B17B4C" w:rsidRDefault="002A667A" w:rsidP="00B37E7F">
            <w:pPr>
              <w:jc w:val="center"/>
            </w:pPr>
            <w:r w:rsidRPr="00B17B4C">
              <w:rPr>
                <w:b/>
                <w:bCs/>
              </w:rPr>
              <w:t>Úspory energie v SZT</w:t>
            </w:r>
          </w:p>
        </w:tc>
        <w:tc>
          <w:tcPr>
            <w:tcW w:w="1178" w:type="dxa"/>
          </w:tcPr>
          <w:p w:rsidR="002A667A" w:rsidRPr="00B17B4C" w:rsidRDefault="002A667A" w:rsidP="00B37E7F">
            <w:pPr>
              <w:jc w:val="center"/>
            </w:pPr>
            <w:r w:rsidRPr="00B17B4C">
              <w:rPr>
                <w:b/>
                <w:bCs/>
              </w:rPr>
              <w:t>Zvýhodněné úvěry</w:t>
            </w:r>
            <w:r>
              <w:rPr>
                <w:b/>
                <w:bCs/>
              </w:rPr>
              <w:t xml:space="preserve"> nebo záruky</w:t>
            </w:r>
          </w:p>
        </w:tc>
        <w:tc>
          <w:tcPr>
            <w:tcW w:w="1232" w:type="dxa"/>
          </w:tcPr>
          <w:p w:rsidR="002A667A" w:rsidRPr="00B17B4C" w:rsidRDefault="002A667A" w:rsidP="00B37E7F">
            <w:pPr>
              <w:jc w:val="center"/>
            </w:pPr>
          </w:p>
        </w:tc>
        <w:tc>
          <w:tcPr>
            <w:tcW w:w="2170" w:type="dxa"/>
          </w:tcPr>
          <w:p w:rsidR="002A667A" w:rsidRPr="00B17B4C" w:rsidRDefault="002A667A" w:rsidP="00B37E7F">
            <w:pPr>
              <w:jc w:val="center"/>
            </w:pPr>
            <w:smartTag w:uri="urn:schemas-microsoft-com:office:smarttags" w:element="metricconverter">
              <w:smartTagPr>
                <w:attr w:name="ProductID" w:val="11 mil"/>
              </w:smartTagPr>
              <w:r w:rsidRPr="00B17B4C">
                <w:rPr>
                  <w:b/>
                  <w:bCs/>
                </w:rPr>
                <w:t>11 mil</w:t>
              </w:r>
            </w:smartTag>
            <w:r w:rsidRPr="00B17B4C">
              <w:rPr>
                <w:b/>
                <w:bCs/>
              </w:rPr>
              <w:t>. EUR</w:t>
            </w:r>
          </w:p>
        </w:tc>
        <w:tc>
          <w:tcPr>
            <w:tcW w:w="1701" w:type="dxa"/>
          </w:tcPr>
          <w:p w:rsidR="002A667A" w:rsidRPr="00B17B4C" w:rsidRDefault="002A667A" w:rsidP="00B37E7F">
            <w:pPr>
              <w:jc w:val="center"/>
            </w:pPr>
            <w:r w:rsidRPr="00B17B4C">
              <w:rPr>
                <w:b/>
                <w:bCs/>
              </w:rPr>
              <w:t>8</w:t>
            </w:r>
            <w:r w:rsidR="00C64D03">
              <w:rPr>
                <w:b/>
                <w:bCs/>
              </w:rPr>
              <w:t xml:space="preserve"> </w:t>
            </w:r>
            <w:r w:rsidRPr="00B17B4C">
              <w:rPr>
                <w:b/>
                <w:bCs/>
              </w:rPr>
              <w:t>%</w:t>
            </w:r>
          </w:p>
        </w:tc>
      </w:tr>
      <w:tr w:rsidR="002A667A" w:rsidRPr="00B17B4C" w:rsidTr="00C64D03">
        <w:tblPrEx>
          <w:tblCellMar>
            <w:left w:w="0" w:type="dxa"/>
            <w:right w:w="0" w:type="dxa"/>
          </w:tblCellMar>
        </w:tblPrEx>
        <w:trPr>
          <w:trHeight w:val="283"/>
        </w:trPr>
        <w:tc>
          <w:tcPr>
            <w:tcW w:w="5353" w:type="dxa"/>
            <w:gridSpan w:val="4"/>
            <w:tcBorders>
              <w:top w:val="single" w:sz="4" w:space="0" w:color="000000"/>
              <w:left w:val="single" w:sz="8" w:space="0" w:color="000000"/>
              <w:bottom w:val="single" w:sz="4" w:space="0" w:color="000000"/>
              <w:right w:val="single" w:sz="4" w:space="0" w:color="000000"/>
            </w:tcBorders>
            <w:shd w:val="clear" w:color="auto" w:fill="8EB4E3"/>
            <w:tcMar>
              <w:top w:w="9" w:type="dxa"/>
              <w:left w:w="9" w:type="dxa"/>
              <w:bottom w:w="0" w:type="dxa"/>
              <w:right w:w="9" w:type="dxa"/>
            </w:tcMar>
            <w:vAlign w:val="center"/>
          </w:tcPr>
          <w:p w:rsidR="002A667A" w:rsidRPr="00B17B4C" w:rsidRDefault="002A667A" w:rsidP="00B37E7F">
            <w:pPr>
              <w:jc w:val="center"/>
            </w:pPr>
            <w:r w:rsidRPr="00B17B4C">
              <w:rPr>
                <w:b/>
                <w:bCs/>
              </w:rPr>
              <w:t>Prioritní osa 3 celkem</w:t>
            </w:r>
          </w:p>
        </w:tc>
        <w:tc>
          <w:tcPr>
            <w:tcW w:w="2170" w:type="dxa"/>
            <w:tcBorders>
              <w:top w:val="single" w:sz="4" w:space="0" w:color="000000"/>
              <w:left w:val="single" w:sz="4" w:space="0" w:color="000000"/>
              <w:bottom w:val="single" w:sz="4" w:space="0" w:color="000000"/>
              <w:right w:val="single" w:sz="4" w:space="0" w:color="000000"/>
            </w:tcBorders>
            <w:shd w:val="clear" w:color="auto" w:fill="8EB4E3"/>
            <w:tcMar>
              <w:top w:w="9" w:type="dxa"/>
              <w:left w:w="9" w:type="dxa"/>
              <w:bottom w:w="0" w:type="dxa"/>
              <w:right w:w="9" w:type="dxa"/>
            </w:tcMar>
            <w:vAlign w:val="center"/>
          </w:tcPr>
          <w:p w:rsidR="002A667A" w:rsidRPr="00B17B4C" w:rsidRDefault="002A667A" w:rsidP="00B37E7F">
            <w:pPr>
              <w:jc w:val="center"/>
            </w:pPr>
            <w:smartTag w:uri="urn:schemas-microsoft-com:office:smarttags" w:element="metricconverter">
              <w:smartTagPr>
                <w:attr w:name="ProductID" w:val="31 mil"/>
              </w:smartTagPr>
              <w:r w:rsidRPr="00B17B4C">
                <w:rPr>
                  <w:b/>
                  <w:bCs/>
                </w:rPr>
                <w:t>31 mil</w:t>
              </w:r>
            </w:smartTag>
            <w:r w:rsidRPr="00B17B4C">
              <w:rPr>
                <w:b/>
                <w:bCs/>
              </w:rPr>
              <w:t>. EUR</w:t>
            </w:r>
          </w:p>
        </w:tc>
        <w:tc>
          <w:tcPr>
            <w:tcW w:w="1701" w:type="dxa"/>
            <w:tcBorders>
              <w:top w:val="single" w:sz="4" w:space="0" w:color="000000"/>
              <w:left w:val="single" w:sz="4" w:space="0" w:color="000000"/>
              <w:bottom w:val="single" w:sz="4" w:space="0" w:color="000000"/>
              <w:right w:val="single" w:sz="4" w:space="0" w:color="000000"/>
            </w:tcBorders>
            <w:shd w:val="clear" w:color="auto" w:fill="8EB4E3"/>
            <w:tcMar>
              <w:top w:w="9" w:type="dxa"/>
              <w:left w:w="9" w:type="dxa"/>
              <w:bottom w:w="0" w:type="dxa"/>
              <w:right w:w="9" w:type="dxa"/>
            </w:tcMar>
            <w:vAlign w:val="center"/>
          </w:tcPr>
          <w:p w:rsidR="002A667A" w:rsidRPr="00B17B4C" w:rsidRDefault="002A667A" w:rsidP="00B37E7F">
            <w:pPr>
              <w:jc w:val="center"/>
            </w:pPr>
            <w:r w:rsidRPr="00B17B4C">
              <w:rPr>
                <w:b/>
                <w:bCs/>
              </w:rPr>
              <w:t>3</w:t>
            </w:r>
            <w:r w:rsidR="00C64D03">
              <w:rPr>
                <w:b/>
                <w:bCs/>
              </w:rPr>
              <w:t xml:space="preserve"> </w:t>
            </w:r>
            <w:r w:rsidRPr="00B17B4C">
              <w:rPr>
                <w:b/>
                <w:bCs/>
              </w:rPr>
              <w:t>%</w:t>
            </w:r>
          </w:p>
        </w:tc>
      </w:tr>
    </w:tbl>
    <w:p w:rsidR="002A667A" w:rsidRDefault="002A667A" w:rsidP="006638C9"/>
    <w:p w:rsidR="002A667A" w:rsidRDefault="002A667A" w:rsidP="006638C9">
      <w:r>
        <w:t>ŘO</w:t>
      </w:r>
      <w:r w:rsidRPr="009829AA">
        <w:t xml:space="preserve"> v tuto chvíli reálně uvažuje </w:t>
      </w:r>
      <w:r w:rsidRPr="00DA4D0E">
        <w:rPr>
          <w:b/>
        </w:rPr>
        <w:t>o 10% podílu finančních nástrojů na alokaci</w:t>
      </w:r>
      <w:r>
        <w:rPr>
          <w:b/>
        </w:rPr>
        <w:t xml:space="preserve"> OP PIK, což odpovídá zhruba </w:t>
      </w:r>
      <w:smartTag w:uri="urn:schemas-microsoft-com:office:smarttags" w:element="metricconverter">
        <w:smartTagPr>
          <w:attr w:name="ProductID" w:val="434 mil"/>
        </w:smartTagPr>
        <w:r>
          <w:rPr>
            <w:b/>
          </w:rPr>
          <w:t>434</w:t>
        </w:r>
        <w:r w:rsidRPr="00DA4D0E">
          <w:rPr>
            <w:b/>
          </w:rPr>
          <w:t xml:space="preserve"> mil</w:t>
        </w:r>
      </w:smartTag>
      <w:r w:rsidRPr="00DA4D0E">
        <w:rPr>
          <w:b/>
        </w:rPr>
        <w:t>. EUR</w:t>
      </w:r>
      <w:r w:rsidRPr="009829AA">
        <w:t xml:space="preserve">. Tyto prostředky </w:t>
      </w:r>
      <w:r>
        <w:t>mají dle předběžných kalkulací potenciál</w:t>
      </w:r>
      <w:r w:rsidRPr="009829AA">
        <w:t xml:space="preserve"> do konce roku 2023 </w:t>
      </w:r>
      <w:r>
        <w:t>umožnit</w:t>
      </w:r>
      <w:r w:rsidRPr="009829AA">
        <w:t xml:space="preserve"> prostřednictvím</w:t>
      </w:r>
      <w:r>
        <w:t xml:space="preserve"> vybraných</w:t>
      </w:r>
      <w:r w:rsidRPr="009829AA">
        <w:t xml:space="preserve"> finančních nástrojů zlepšení přístupu k financování pro celkem více než 6 500 projektů převážně malých a středních podniků</w:t>
      </w:r>
      <w:r>
        <w:t xml:space="preserve"> v různých specifických cílech. </w:t>
      </w:r>
    </w:p>
    <w:p w:rsidR="002A667A" w:rsidRDefault="002A667A" w:rsidP="006638C9"/>
    <w:p w:rsidR="002A667A" w:rsidRDefault="002A667A" w:rsidP="006638C9">
      <w:r>
        <w:t xml:space="preserve">Obecnou filosofií přístupu ŘO k FN bude jejich postupné zavádění v průběhu programového období na základě závěrů předběžného </w:t>
      </w:r>
      <w:r w:rsidR="00C64D03">
        <w:t>posouzení</w:t>
      </w:r>
      <w:r>
        <w:t xml:space="preserve">. </w:t>
      </w:r>
      <w:r w:rsidRPr="00455CE7">
        <w:rPr>
          <w:b/>
        </w:rPr>
        <w:t xml:space="preserve">Cílem </w:t>
      </w:r>
      <w:r>
        <w:rPr>
          <w:b/>
        </w:rPr>
        <w:t xml:space="preserve">implementace </w:t>
      </w:r>
      <w:r w:rsidRPr="00455CE7">
        <w:rPr>
          <w:b/>
        </w:rPr>
        <w:t>finančních nástrojů je posílení konkurenceschopnosti českých podniků.</w:t>
      </w:r>
      <w:r>
        <w:t xml:space="preserve"> Největší podíl alokace FN bude směřován do úvěrů a záruk pro malé a střední podniky v SC 2.1, které navazují na předchozí schémata podpory a zkušenosti ČMZRB. V dalších oblastech, ve kterých nemá ŘO zkušenost s implementací finančních nástrojů a kde byli koneční příjemci dosud podporováni dotací, bude postupováno formou pilotních projektů s relativně menší alokací než jsou zjištěné závěr</w:t>
      </w:r>
      <w:r w:rsidR="00C64D03">
        <w:t>y</w:t>
      </w:r>
      <w:r>
        <w:t xml:space="preserve"> absorpční kapacity a doplňkovým charakterem k dotační podpoře. Zájmem ŘO je evolučním způsobem zvýšit podíl finančních nástrojů ve schématech podpory a zajistit jejich udržitelnost do období po roce 2020.</w:t>
      </w:r>
    </w:p>
    <w:p w:rsidR="002A667A" w:rsidRDefault="002A667A" w:rsidP="006638C9"/>
    <w:p w:rsidR="002A667A" w:rsidRDefault="002A667A" w:rsidP="006638C9">
      <w:r>
        <w:t xml:space="preserve">Následná část předběžného posouzení uvádí návrhy investiční strategie finančních nástrojů OP PIK (včetně zatím k implementaci neuvažovaných SC 1.1, </w:t>
      </w:r>
      <w:smartTag w:uri="urn:schemas-microsoft-com:office:smarttags" w:element="metricconverter">
        <w:smartTagPr>
          <w:attr w:name="ProductID" w:val="3.1 a"/>
        </w:smartTagPr>
        <w:r>
          <w:t>3.1 a</w:t>
        </w:r>
      </w:smartTag>
      <w:r>
        <w:t xml:space="preserve"> 4.1) na základě podkladů</w:t>
      </w:r>
      <w:r w:rsidR="00776020">
        <w:t xml:space="preserve"> řídícího orgánu a</w:t>
      </w:r>
      <w:r>
        <w:t xml:space="preserve"> společnosti Deloitte Advisory</w:t>
      </w:r>
      <w:r w:rsidR="004A2745">
        <w:t xml:space="preserve"> </w:t>
      </w:r>
    </w:p>
    <w:p w:rsidR="002A667A" w:rsidRDefault="002A667A" w:rsidP="006638C9"/>
    <w:p w:rsidR="002A667A" w:rsidRPr="00D03ACF" w:rsidRDefault="002A667A" w:rsidP="006638C9">
      <w:pPr>
        <w:pStyle w:val="Nadpis1"/>
        <w:keepLines w:val="0"/>
        <w:pageBreakBefore/>
        <w:numPr>
          <w:ilvl w:val="0"/>
          <w:numId w:val="48"/>
        </w:numPr>
        <w:overflowPunct/>
        <w:autoSpaceDE/>
        <w:autoSpaceDN/>
        <w:adjustRightInd/>
        <w:spacing w:before="0" w:after="240"/>
        <w:ind w:left="851" w:hanging="851"/>
        <w:jc w:val="left"/>
        <w:textAlignment w:val="auto"/>
      </w:pPr>
      <w:bookmarkStart w:id="15" w:name="_Toc414464596"/>
      <w:r w:rsidRPr="00D03ACF">
        <w:lastRenderedPageBreak/>
        <w:t>Návrh investiční strategie</w:t>
      </w:r>
      <w:bookmarkEnd w:id="15"/>
    </w:p>
    <w:p w:rsidR="002A667A" w:rsidRPr="00D03ACF" w:rsidRDefault="002A667A" w:rsidP="006638C9"/>
    <w:p w:rsidR="002A667A" w:rsidRPr="00D03ACF" w:rsidRDefault="002A667A" w:rsidP="006638C9">
      <w:pPr>
        <w:rPr>
          <w:b/>
        </w:rPr>
      </w:pPr>
      <w:r w:rsidRPr="00D03ACF">
        <w:t xml:space="preserve">Cílem této kapitoly je shrnout základní atributy spojené s návrhem nastavení finančních nástrojů v oblastech </w:t>
      </w:r>
      <w:r>
        <w:t>OP PIK</w:t>
      </w:r>
      <w:r w:rsidRPr="00D03ACF">
        <w:t xml:space="preserve">, ve kterých bylo potvrzeno selhání trhu a vhodnost přesunu dotačního schématu do alternativní formy financování. Pro každou oblast byl rozpracován návrh finančního nástroje, který se snaží o vyjasnění klíčových otázek pro možnost implementace navrhovaných nástrojů. </w:t>
      </w:r>
    </w:p>
    <w:p w:rsidR="002A667A" w:rsidRPr="00D03ACF" w:rsidRDefault="002A667A" w:rsidP="006638C9">
      <w:pPr>
        <w:rPr>
          <w:b/>
        </w:rPr>
      </w:pPr>
    </w:p>
    <w:p w:rsidR="002A667A" w:rsidRPr="00D03ACF" w:rsidRDefault="002A667A" w:rsidP="006638C9">
      <w:pPr>
        <w:spacing w:after="240"/>
      </w:pPr>
      <w:r w:rsidRPr="00D03ACF">
        <w:t>Návrh investiční strategie v členění dle oblastí podpory je zpracován v následující struktuře:</w:t>
      </w:r>
    </w:p>
    <w:p w:rsidR="002A667A" w:rsidRPr="00D03ACF" w:rsidRDefault="002A667A" w:rsidP="006638C9">
      <w:pPr>
        <w:pStyle w:val="Odstavecseseznamem"/>
        <w:numPr>
          <w:ilvl w:val="0"/>
          <w:numId w:val="75"/>
        </w:numPr>
        <w:overflowPunct/>
        <w:autoSpaceDE/>
        <w:autoSpaceDN/>
        <w:adjustRightInd/>
        <w:spacing w:after="120"/>
        <w:contextualSpacing w:val="0"/>
        <w:textAlignment w:val="auto"/>
      </w:pPr>
      <w:r w:rsidRPr="00D03ACF">
        <w:t>Odůvodnění volby oblasti podpory a návrhu nástroje;</w:t>
      </w:r>
    </w:p>
    <w:p w:rsidR="002A667A" w:rsidRPr="00D03ACF" w:rsidRDefault="002A667A" w:rsidP="006638C9">
      <w:pPr>
        <w:pStyle w:val="Odstavecseseznamem"/>
        <w:numPr>
          <w:ilvl w:val="0"/>
          <w:numId w:val="75"/>
        </w:numPr>
        <w:overflowPunct/>
        <w:autoSpaceDE/>
        <w:autoSpaceDN/>
        <w:adjustRightInd/>
        <w:spacing w:after="120"/>
        <w:contextualSpacing w:val="0"/>
        <w:textAlignment w:val="auto"/>
      </w:pPr>
      <w:r w:rsidRPr="00D03ACF">
        <w:t>Schéma fungování navrhovaného finančního nástroje;</w:t>
      </w:r>
    </w:p>
    <w:p w:rsidR="002A667A" w:rsidRPr="00D03ACF" w:rsidRDefault="002A667A" w:rsidP="006638C9">
      <w:pPr>
        <w:pStyle w:val="Odstavecseseznamem"/>
        <w:numPr>
          <w:ilvl w:val="0"/>
          <w:numId w:val="75"/>
        </w:numPr>
        <w:overflowPunct/>
        <w:autoSpaceDE/>
        <w:autoSpaceDN/>
        <w:adjustRightInd/>
        <w:spacing w:after="120"/>
        <w:contextualSpacing w:val="0"/>
        <w:textAlignment w:val="auto"/>
      </w:pPr>
      <w:r w:rsidRPr="00D03ACF">
        <w:t>Základní parametry finančního nástroje;</w:t>
      </w:r>
    </w:p>
    <w:p w:rsidR="002A667A" w:rsidRPr="00D03ACF" w:rsidRDefault="002A667A" w:rsidP="006638C9">
      <w:pPr>
        <w:pStyle w:val="Odstavecseseznamem"/>
        <w:numPr>
          <w:ilvl w:val="0"/>
          <w:numId w:val="75"/>
        </w:numPr>
        <w:overflowPunct/>
        <w:autoSpaceDE/>
        <w:autoSpaceDN/>
        <w:adjustRightInd/>
        <w:spacing w:after="120"/>
        <w:contextualSpacing w:val="0"/>
        <w:textAlignment w:val="auto"/>
      </w:pPr>
      <w:r w:rsidRPr="00D03ACF">
        <w:t>Posouzení zkušeností získaných v minulosti</w:t>
      </w:r>
    </w:p>
    <w:p w:rsidR="002A667A" w:rsidRDefault="002A667A" w:rsidP="006638C9">
      <w:pPr>
        <w:pStyle w:val="Odstavecseseznamem"/>
        <w:numPr>
          <w:ilvl w:val="0"/>
          <w:numId w:val="75"/>
        </w:numPr>
        <w:overflowPunct/>
        <w:autoSpaceDE/>
        <w:autoSpaceDN/>
        <w:adjustRightInd/>
        <w:spacing w:after="120"/>
        <w:contextualSpacing w:val="0"/>
        <w:textAlignment w:val="auto"/>
      </w:pPr>
      <w:r w:rsidRPr="00D03ACF">
        <w:t>Očekávané výsledky finančního nástroje</w:t>
      </w:r>
    </w:p>
    <w:p w:rsidR="002A667A" w:rsidRPr="00D03ACF" w:rsidRDefault="002A667A" w:rsidP="006638C9">
      <w:pPr>
        <w:rPr>
          <w:b/>
        </w:rPr>
      </w:pPr>
    </w:p>
    <w:p w:rsidR="002A667A" w:rsidRPr="007519B6" w:rsidRDefault="002A667A" w:rsidP="006638C9">
      <w:r>
        <w:rPr>
          <w:b/>
        </w:rPr>
        <w:t xml:space="preserve">Veškeré dále uváděné závěry ohledně investiční strategie představují pracovní verzi, která je určena k připomínkám a dopracování. </w:t>
      </w:r>
      <w:r w:rsidRPr="007519B6">
        <w:t>Deloitte Advisory u všech návrhů zapojení úvěrových finančních nástrojů dále analyzuje možnost jejich kombinace s menší mírou dotační podpory (v řádu 5 – 25% z celkové poskytnuté podpory) – tato skutečnost není v samotných podkapitolách explicitně uváděna. Dále specifikované návrhy využití vyčleněné alokace specifických cílů již zahrnují úvahu, že toto propojení úvěrového finančního nástroje a menší paralelně poskytnuté dotační podpory bude proveditelné a administrativně i procesně přijatelně dosažitelné. Lze předpokládat, že problematika bude vyjasněna s  vydáním tzv. guidance note EK k problematice kombinace grantu a finančního nástroje v ESIF..</w:t>
      </w:r>
    </w:p>
    <w:p w:rsidR="002A667A" w:rsidRPr="00D03ACF" w:rsidRDefault="002A667A" w:rsidP="006638C9"/>
    <w:p w:rsidR="002A667A" w:rsidRPr="00D03ACF" w:rsidRDefault="002A667A" w:rsidP="006638C9">
      <w:pPr>
        <w:pStyle w:val="Nadpis2"/>
        <w:keepLines w:val="0"/>
        <w:numPr>
          <w:ilvl w:val="1"/>
          <w:numId w:val="48"/>
        </w:numPr>
        <w:overflowPunct/>
        <w:autoSpaceDE/>
        <w:autoSpaceDN/>
        <w:adjustRightInd/>
        <w:spacing w:before="240"/>
        <w:ind w:left="578" w:hanging="578"/>
        <w:jc w:val="left"/>
        <w:textAlignment w:val="auto"/>
      </w:pPr>
      <w:bookmarkStart w:id="16" w:name="_Toc414464597"/>
      <w:r w:rsidRPr="00D03ACF">
        <w:t>Prioritní osa 1</w:t>
      </w:r>
      <w:bookmarkEnd w:id="16"/>
    </w:p>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17" w:name="_Toc414464598"/>
      <w:r w:rsidRPr="00D03ACF">
        <w:t>Odůvodnění volby oblasti podpory a návrhu nástroje</w:t>
      </w:r>
      <w:bookmarkEnd w:id="17"/>
    </w:p>
    <w:p w:rsidR="002A667A" w:rsidRPr="00D03ACF" w:rsidRDefault="002A667A" w:rsidP="006638C9">
      <w:pPr>
        <w:pStyle w:val="CaptionIntroductionparagraph"/>
      </w:pPr>
      <w:r w:rsidRPr="00D03ACF">
        <w:t>SC 1.1</w:t>
      </w:r>
    </w:p>
    <w:p w:rsidR="002A667A" w:rsidRDefault="002A667A" w:rsidP="006638C9">
      <w:r>
        <w:t>Deloitte Advisory</w:t>
      </w:r>
      <w:r w:rsidRPr="00D03ACF">
        <w:t xml:space="preserve"> po provedení analýzy tržního prostředí a diskuzích s dotčenými zájmovými skupinami dospěl k závěru, </w:t>
      </w:r>
      <w:r w:rsidRPr="00D03ACF">
        <w:rPr>
          <w:b/>
        </w:rPr>
        <w:t>že nejlepším řešením existujícího tržního selhání bude využití záručního finančního nástroje</w:t>
      </w:r>
      <w:r w:rsidRPr="00D03ACF">
        <w:t xml:space="preserve">. </w:t>
      </w:r>
    </w:p>
    <w:p w:rsidR="002A667A" w:rsidRPr="00D03ACF" w:rsidRDefault="002A667A" w:rsidP="006638C9"/>
    <w:p w:rsidR="004A2745" w:rsidRDefault="002A667A" w:rsidP="005F31B2">
      <w:r w:rsidRPr="00D03ACF">
        <w:t xml:space="preserve">Výsledky </w:t>
      </w:r>
      <w:r>
        <w:t xml:space="preserve">podnikového </w:t>
      </w:r>
      <w:r w:rsidRPr="00D03ACF">
        <w:t xml:space="preserve">VaV mají velký, avšak nejistý ziskový potenciál. </w:t>
      </w:r>
      <w:r>
        <w:t>Deloitte Advisory usuzuje</w:t>
      </w:r>
      <w:r w:rsidRPr="00D03ACF">
        <w:t xml:space="preserve">, že rizikovost </w:t>
      </w:r>
      <w:r>
        <w:t xml:space="preserve">a nákladnost </w:t>
      </w:r>
      <w:r w:rsidRPr="00D03ACF">
        <w:t>výzkumného projektu je adekvátně vyvážena jeho</w:t>
      </w:r>
      <w:r>
        <w:t xml:space="preserve"> nadstandardní</w:t>
      </w:r>
      <w:r w:rsidRPr="00D03ACF">
        <w:t xml:space="preserve"> ziskovostí</w:t>
      </w:r>
      <w:r>
        <w:t xml:space="preserve"> či posílením konkurenční pozice</w:t>
      </w:r>
      <w:r w:rsidRPr="00D03ACF">
        <w:t xml:space="preserve"> v případě úspěchu, proto nepovažujeme za vhodné tento typ činností podporovat pouze dotační formou podpory.</w:t>
      </w:r>
      <w:r w:rsidR="005F31B2">
        <w:t xml:space="preserve"> </w:t>
      </w:r>
    </w:p>
    <w:p w:rsidR="004A2745" w:rsidRDefault="004A2745" w:rsidP="005F31B2"/>
    <w:p w:rsidR="002A667A" w:rsidRPr="00D03ACF" w:rsidRDefault="004A2745" w:rsidP="005F31B2">
      <w:r w:rsidRPr="004A2745">
        <w:t>A</w:t>
      </w:r>
      <w:r w:rsidR="005F31B2" w:rsidRPr="00D44CBE">
        <w:t>ktivity</w:t>
      </w:r>
      <w:r w:rsidRPr="00D44CBE">
        <w:t xml:space="preserve"> podporované v programech Inovace a Aplikace</w:t>
      </w:r>
      <w:r w:rsidR="005F31B2" w:rsidRPr="00D44CBE">
        <w:t xml:space="preserve"> jsou vlas</w:t>
      </w:r>
      <w:r w:rsidR="005F31B2" w:rsidRPr="00D44CBE">
        <w:t>tní většině podniků realizujících</w:t>
      </w:r>
      <w:r w:rsidR="005F31B2" w:rsidRPr="00D44CBE">
        <w:t xml:space="preserve"> vlastní výzkum a vývoj, či pracujících na inovaci svých produktů a postupů</w:t>
      </w:r>
      <w:r w:rsidR="005F31B2" w:rsidRPr="004A2745">
        <w:t>,</w:t>
      </w:r>
      <w:r w:rsidR="005F31B2" w:rsidRPr="00D44CBE">
        <w:t xml:space="preserve"> nehledě na jejich velikost. Z tohoto titulu není překvapující, že vyčleněná alokace na tyto programy v minulosti byla nedostačující, resp. poptávka po dotačních zdrojích výrazně převyšovala nabídku ve všech sledovaných výzvách.</w:t>
      </w:r>
      <w:r w:rsidRPr="00D44CBE">
        <w:t xml:space="preserve"> </w:t>
      </w:r>
      <w:r w:rsidR="005F31B2" w:rsidRPr="00D44CBE">
        <w:t>Z podstaty lze všechny výše vyjmenované podporované aktivity považovat za jádro podnikání, zdroje generování ziskovosti a konkurenceschopnosti podniku –</w:t>
      </w:r>
      <w:r w:rsidRPr="00D44CBE">
        <w:t xml:space="preserve"> </w:t>
      </w:r>
      <w:r w:rsidR="005F31B2" w:rsidRPr="00D44CBE">
        <w:t>úspěšně realizované investice této oblasti by měly vykazovat kladnou profitabilitu.</w:t>
      </w:r>
    </w:p>
    <w:p w:rsidR="002A667A" w:rsidRPr="00D03ACF" w:rsidRDefault="002A667A" w:rsidP="006638C9"/>
    <w:p w:rsidR="002A667A" w:rsidRPr="00D03ACF" w:rsidRDefault="002A667A" w:rsidP="006638C9">
      <w:r w:rsidRPr="00D03ACF">
        <w:lastRenderedPageBreak/>
        <w:t xml:space="preserve">Dotazníkové šetření potvrdilo některé systémové nedostatky stávajících mechanismů financování podnikového výzkumu a vývoje, který je v současnosti uplatňován v oblasti podpory ekvivalentní s </w:t>
      </w:r>
      <w:r>
        <w:t>OP PIK</w:t>
      </w:r>
      <w:r w:rsidRPr="00D03ACF">
        <w:t xml:space="preserve"> v rámci specifického cíle 1.1. Vedle dalších problémů, které mají netržní povahu nebo jsou zcela mimo sféru vlivu řídícího orgánu a jím řízeného operačního programu, identifikovalo šetření na trhu faktický nedostatek finančních prostředků. Banky nejsou ochotné financovat projekty </w:t>
      </w:r>
      <w:r>
        <w:t xml:space="preserve">podnikového </w:t>
      </w:r>
      <w:r w:rsidRPr="00D03ACF">
        <w:t>výzkumu a vývoje bez dostatečného zajištění</w:t>
      </w:r>
      <w:r>
        <w:t>, což je překážkou především u malých a středních podniků – v důsledku je hlavním zdrojem jejich investic do výzkumu, vývoje a inovací zadržený vlastní podnikový zisk minulých let a finanční rezervy</w:t>
      </w:r>
      <w:r w:rsidRPr="00D03ACF">
        <w:t xml:space="preserve">. </w:t>
      </w:r>
    </w:p>
    <w:p w:rsidR="002A667A" w:rsidRPr="00D03ACF" w:rsidRDefault="002A667A" w:rsidP="006638C9"/>
    <w:p w:rsidR="002A667A" w:rsidRPr="00D03ACF" w:rsidRDefault="002A667A" w:rsidP="006638C9">
      <w:r w:rsidRPr="00D03ACF">
        <w:t xml:space="preserve">V případě velké rozvinuté firmy mohou být tímto zajištěním budoucí peněžní toky z ostatních obchodních aktivit žadatele, kterým banka s ohledem na tržní postavení, tradici a velikost podniku </w:t>
      </w:r>
      <w:r>
        <w:t xml:space="preserve">důvěřuje </w:t>
      </w:r>
      <w:r w:rsidRPr="00D03ACF">
        <w:t xml:space="preserve">a přijímá je jako kolaterál. V případě menších podniků s kratší historií banka </w:t>
      </w:r>
      <w:r>
        <w:t xml:space="preserve">často </w:t>
      </w:r>
      <w:r w:rsidRPr="00D03ACF">
        <w:t>trv</w:t>
      </w:r>
      <w:r>
        <w:t>á</w:t>
      </w:r>
      <w:r w:rsidRPr="00D03ACF">
        <w:t xml:space="preserve"> na poskytnutí fyzického kolaterálu. Jako kolaterál zároveň nepřijme samotnou zamýšlenou investici do VaV, jelikož její výsledek, a tedy i zástavní hodnota, jsou nejisté</w:t>
      </w:r>
      <w:r>
        <w:t xml:space="preserve"> a obtížně kvantifikovatelné do finančního vyjádření</w:t>
      </w:r>
      <w:r w:rsidRPr="00D03ACF">
        <w:t>. Podnik</w:t>
      </w:r>
      <w:r>
        <w:t>y</w:t>
      </w:r>
      <w:r w:rsidRPr="00D03ACF">
        <w:t xml:space="preserve"> j</w:t>
      </w:r>
      <w:r>
        <w:t>sou</w:t>
      </w:r>
      <w:r w:rsidRPr="00D03ACF">
        <w:t xml:space="preserve"> proto nucen</w:t>
      </w:r>
      <w:r>
        <w:t>y</w:t>
      </w:r>
      <w:r w:rsidRPr="00D03ACF">
        <w:t xml:space="preserve"> poskytnout bance do zástavy jiný svůj hmotný majetek. V případě, že tento </w:t>
      </w:r>
      <w:r>
        <w:t xml:space="preserve">majetek </w:t>
      </w:r>
      <w:r w:rsidRPr="00D03ACF">
        <w:t xml:space="preserve">v dostatečné výši nevlastní, nebo jej </w:t>
      </w:r>
      <w:r>
        <w:t xml:space="preserve">z různých důvodů </w:t>
      </w:r>
      <w:r w:rsidRPr="00D03ACF">
        <w:t xml:space="preserve">není ochoten </w:t>
      </w:r>
      <w:r>
        <w:t xml:space="preserve">podnik </w:t>
      </w:r>
      <w:r w:rsidRPr="00D03ACF">
        <w:t>zastavit, je na bankovním trhu fakticky</w:t>
      </w:r>
      <w:r>
        <w:t xml:space="preserve"> takový výzkumný/vývojový projekt</w:t>
      </w:r>
      <w:r w:rsidRPr="00D03ACF">
        <w:t xml:space="preserve"> nefinancovatelný. Vzhledem k přítomností neuspokojené poptávky po financování ziskových, byť s  rizikem spojených záměrů, spatřujeme příležitost pro využití výše uvedené formy finančního nástroje. </w:t>
      </w:r>
    </w:p>
    <w:p w:rsidR="002A667A" w:rsidRPr="00D03ACF" w:rsidRDefault="002A667A" w:rsidP="006638C9"/>
    <w:p w:rsidR="002A667A" w:rsidRPr="00D03ACF" w:rsidRDefault="002A667A" w:rsidP="006638C9">
      <w:r w:rsidRPr="00D03ACF">
        <w:t>Záruční typ finančního nástroje byl zvolen, jelikož nejlépe splní účel veřejného zásahu, tedy zjednoduší financování podnikového VaV</w:t>
      </w:r>
      <w:r>
        <w:t>aI</w:t>
      </w:r>
      <w:r w:rsidRPr="00D03ACF">
        <w:t>, aniž by z trhu vytěsňoval soukromé prostředky. Vycházíme z</w:t>
      </w:r>
      <w:r>
        <w:t> analýzou potvrzených závěrů</w:t>
      </w:r>
      <w:r w:rsidRPr="00D03ACF">
        <w:t xml:space="preserve">, že bankovní domy mají zájem úvěry poskytovat, a nečiní tak nikoli z důvodu nedostatku prostředků, ale z důvodu </w:t>
      </w:r>
      <w:r>
        <w:t xml:space="preserve">interně hodnoceného </w:t>
      </w:r>
      <w:r w:rsidRPr="00D03ACF">
        <w:t xml:space="preserve">rizika s úvěrem spojeného. Záruční FN rizikový profil úvěru významně sníží a uvolní tak bankovní zdroje alokované k financování </w:t>
      </w:r>
      <w:r>
        <w:t>podnikového</w:t>
      </w:r>
      <w:r w:rsidRPr="00D03ACF">
        <w:t xml:space="preserve"> VaV</w:t>
      </w:r>
      <w:r>
        <w:t>aI</w:t>
      </w:r>
      <w:r w:rsidRPr="00D03ACF">
        <w:t xml:space="preserve">. </w:t>
      </w:r>
    </w:p>
    <w:p w:rsidR="002A667A" w:rsidRPr="00D03ACF" w:rsidRDefault="002A667A" w:rsidP="006638C9"/>
    <w:p w:rsidR="002A667A" w:rsidRPr="00D03ACF" w:rsidRDefault="002A667A" w:rsidP="006638C9">
      <w:r w:rsidRPr="00D03ACF">
        <w:t xml:space="preserve">Administrace úvěru zůstává plně v gesci úvěrové instituce, které FN poskytuje záruku a se kterou vstupuje žadatel do přímého smluvního vztahu. Plná angažovanost banky je žádoucí. V případě úvěrů tohoto typu se banka stává dlouhodobým partnerem klienta a do značné míry zasahuje do vnitřní corporate governance podniku. Banky jsou obecně považovány za nositele best practice v dané problematice, proto jejich vliv na vnitřní procesy v podniku považujeme za vhodný. </w:t>
      </w:r>
    </w:p>
    <w:p w:rsidR="002A667A" w:rsidRPr="00D03ACF" w:rsidRDefault="002A667A" w:rsidP="006638C9"/>
    <w:p w:rsidR="002A667A" w:rsidRPr="00D03ACF" w:rsidRDefault="002A667A" w:rsidP="006638C9">
      <w:r w:rsidRPr="00D03ACF">
        <w:t>Záruční typ finančního nástroje je forma podpory, která je nenávratná, ale zároveň podmíněná. K odlivu prostředků z FN dojde pouze v případě defaultu zaručovaného úvěru.</w:t>
      </w:r>
    </w:p>
    <w:p w:rsidR="002A667A" w:rsidRPr="00D03ACF" w:rsidRDefault="002A667A" w:rsidP="006638C9"/>
    <w:p w:rsidR="002A667A" w:rsidRPr="00D03ACF" w:rsidRDefault="002A667A" w:rsidP="006638C9">
      <w:pPr>
        <w:pStyle w:val="CaptionIntroductionparagraph"/>
      </w:pPr>
      <w:r w:rsidRPr="00D03ACF">
        <w:t>SC 1.2</w:t>
      </w:r>
    </w:p>
    <w:p w:rsidR="002A667A" w:rsidRDefault="002A667A" w:rsidP="006638C9">
      <w:r w:rsidRPr="00D03ACF">
        <w:t xml:space="preserve">Zainteresované subjekty napříč obory </w:t>
      </w:r>
      <w:r>
        <w:t>a potenciálními skupinami příjemců potvrzují hodnocení Deloitte Advisory</w:t>
      </w:r>
      <w:r w:rsidRPr="00D03ACF">
        <w:t>, že současná koncepce finanční podpory vědy a výzkumu nedosahuje požadovaných výsledků. Podpora je v současnosti na grantovém principu rozdělována mezi univerzity a jin</w:t>
      </w:r>
      <w:r>
        <w:t>é vědecko-výzkumné instituce bez dostatečné vazby na dosažení hmatatelných a komerčně využitelných  výsledků</w:t>
      </w:r>
      <w:r w:rsidRPr="00D03ACF">
        <w:t xml:space="preserve">. </w:t>
      </w:r>
      <w:r>
        <w:t>Monitoring</w:t>
      </w:r>
      <w:r w:rsidRPr="00D03ACF">
        <w:t xml:space="preserve"> výsledk</w:t>
      </w:r>
      <w:r>
        <w:t>ů</w:t>
      </w:r>
      <w:r w:rsidRPr="00D03ACF">
        <w:t xml:space="preserve"> </w:t>
      </w:r>
      <w:r>
        <w:t xml:space="preserve">výzkumu a vývoje je nastaven zejména na ukazatele, </w:t>
      </w:r>
      <w:r w:rsidRPr="00D03ACF">
        <w:t xml:space="preserve">jako </w:t>
      </w:r>
      <w:r>
        <w:t xml:space="preserve">je </w:t>
      </w:r>
      <w:r w:rsidRPr="00D03ACF">
        <w:t>například počet patentů</w:t>
      </w:r>
      <w:r>
        <w:t xml:space="preserve"> a počet článků v impaktovaných periodikách, nikoliv finanční</w:t>
      </w:r>
      <w:r w:rsidR="00113784">
        <w:t xml:space="preserve"> kritéria</w:t>
      </w:r>
      <w:r w:rsidRPr="00D03ACF">
        <w:t xml:space="preserve">. Patentové žádosti jsou </w:t>
      </w:r>
      <w:r>
        <w:t xml:space="preserve">podle vyjádření oslovených expertů </w:t>
      </w:r>
      <w:r w:rsidRPr="00D03ACF">
        <w:t>často předčasné</w:t>
      </w:r>
      <w:r>
        <w:t xml:space="preserve"> nebo</w:t>
      </w:r>
      <w:r w:rsidRPr="00D03ACF">
        <w:t xml:space="preserve"> špatně připravené, avšak </w:t>
      </w:r>
      <w:r>
        <w:t xml:space="preserve">stávající systém </w:t>
      </w:r>
      <w:r w:rsidRPr="00D03ACF">
        <w:t>motiv</w:t>
      </w:r>
      <w:r>
        <w:t>uje</w:t>
      </w:r>
      <w:r w:rsidRPr="00D03ACF">
        <w:t xml:space="preserve"> i takové žádosti podávat. Efektivita vynaložených prostředků by však neměla být měřena počtem patentů, ale peněžní či jinou hodnotou, která byla díky realiza</w:t>
      </w:r>
      <w:r>
        <w:t>ci výzkumného záměru vytvořena.</w:t>
      </w:r>
    </w:p>
    <w:p w:rsidR="002A667A" w:rsidRPr="00D03ACF" w:rsidRDefault="002A667A" w:rsidP="006638C9"/>
    <w:p w:rsidR="002A667A" w:rsidRPr="00D03ACF" w:rsidRDefault="002A667A" w:rsidP="006638C9">
      <w:r w:rsidRPr="00D03ACF">
        <w:t xml:space="preserve">Současný systém financuje i neperspektivní projekty, zatímco zároveň existují potenciálně ziskové </w:t>
      </w:r>
      <w:r>
        <w:t xml:space="preserve">excelentní </w:t>
      </w:r>
      <w:r w:rsidRPr="00D03ACF">
        <w:t>projekty, kterým se nedostává</w:t>
      </w:r>
      <w:r>
        <w:t xml:space="preserve"> dostatečné prioritní podpory</w:t>
      </w:r>
      <w:r w:rsidRPr="00D03ACF">
        <w:t xml:space="preserve">. Nejhmatatelnější je problém ve fázi Proof-of-concept, kdy se perspektivní patenty či jiné výsledky VaV </w:t>
      </w:r>
      <w:r>
        <w:t xml:space="preserve">ztrácí v množství podaných </w:t>
      </w:r>
      <w:r>
        <w:lastRenderedPageBreak/>
        <w:t xml:space="preserve">patentů a není k dispozici systémové opatření na jejich prioritní a urychlené zavedení do </w:t>
      </w:r>
      <w:r w:rsidR="00113784">
        <w:t>praxe</w:t>
      </w:r>
      <w:r>
        <w:t>.</w:t>
      </w:r>
      <w:r w:rsidRPr="00D03ACF">
        <w:t xml:space="preserve"> </w:t>
      </w:r>
      <w:r>
        <w:t>N</w:t>
      </w:r>
      <w:r w:rsidRPr="00D03ACF">
        <w:t xml:space="preserve">ejsou k dispozici </w:t>
      </w:r>
      <w:r>
        <w:t xml:space="preserve">zejména </w:t>
      </w:r>
      <w:r w:rsidRPr="00D03ACF">
        <w:t xml:space="preserve">prostředky pro financování poslední fáze jejich přerodu v komercializovaný záměr „in revenue“. </w:t>
      </w:r>
      <w:r>
        <w:t>S</w:t>
      </w:r>
      <w:r w:rsidRPr="00D03ACF">
        <w:t>elhání má tedy nejen finanční, ale té</w:t>
      </w:r>
      <w:r>
        <w:t>ž systémově organizační povahu.</w:t>
      </w:r>
    </w:p>
    <w:p w:rsidR="002A667A" w:rsidRPr="00D03ACF" w:rsidRDefault="002A667A" w:rsidP="006638C9"/>
    <w:p w:rsidR="002A667A" w:rsidRPr="00D03ACF" w:rsidRDefault="002A667A" w:rsidP="006638C9">
      <w:r w:rsidRPr="00D03ACF">
        <w:t xml:space="preserve">Financování </w:t>
      </w:r>
      <w:r>
        <w:t xml:space="preserve">fáze </w:t>
      </w:r>
      <w:r w:rsidRPr="00D03ACF">
        <w:t>Proof-of concept není bez účasti veřejných prostředků prakticky možné vzhledem ke špatné uchopitelnosti projektu či za ním stojící struktury a z toho vyplývajícího vysokého rizika</w:t>
      </w:r>
      <w:r>
        <w:t>, a to zejména v současné situaci, kdy v České republice navzdory řadě pozitivních změn (např. podpora pre-seed aktivit z OP VaVpI, program Gama TA ČR</w:t>
      </w:r>
      <w:r w:rsidR="008011AF">
        <w:t>, fungování center transferu technologií</w:t>
      </w:r>
      <w:r>
        <w:t>) stále přetrvává pomyslná propast mezi vědecko-výzkumnými institucemi a aplikační sférou</w:t>
      </w:r>
      <w:r w:rsidRPr="00D03ACF">
        <w:t>.</w:t>
      </w:r>
      <w:r>
        <w:t xml:space="preserve"> </w:t>
      </w:r>
      <w:r w:rsidRPr="006B4240">
        <w:t xml:space="preserve">Výsledky VaV mají vysoký, avšak nejistý ziskový potenciál – řada projektů nedosáhne fáze, kdy by bylo výhodné dále pokračovat ke komercionalizaci, řada je v důsledku neúspěšná, </w:t>
      </w:r>
      <w:r>
        <w:t xml:space="preserve">pouze </w:t>
      </w:r>
      <w:r w:rsidRPr="006B4240">
        <w:t xml:space="preserve">menší </w:t>
      </w:r>
      <w:r>
        <w:t xml:space="preserve">část </w:t>
      </w:r>
      <w:r w:rsidRPr="006B4240">
        <w:t xml:space="preserve">těchto projektů je úspěšná a zisková. Sledovaná oblast proof-of-concept je kritickou fází přesunu vědeckého projektu z akademické či výzkumné instituce do tržního prostředí, kdy </w:t>
      </w:r>
      <w:r>
        <w:t xml:space="preserve">v řadě odvětví (např. biochemie a další) je </w:t>
      </w:r>
      <w:r w:rsidRPr="006B4240">
        <w:t xml:space="preserve">tato fáze je příliš </w:t>
      </w:r>
      <w:r>
        <w:t xml:space="preserve">dlouhá </w:t>
      </w:r>
      <w:r w:rsidRPr="006B4240">
        <w:t xml:space="preserve">a </w:t>
      </w:r>
      <w:r>
        <w:t xml:space="preserve">tím i </w:t>
      </w:r>
      <w:r w:rsidRPr="006B4240">
        <w:t>riziková pro běžné investory</w:t>
      </w:r>
      <w:r>
        <w:t xml:space="preserve"> a</w:t>
      </w:r>
      <w:r w:rsidRPr="006B4240">
        <w:t xml:space="preserve"> v řadě </w:t>
      </w:r>
      <w:r>
        <w:t xml:space="preserve">vyspělých </w:t>
      </w:r>
      <w:r w:rsidRPr="006B4240">
        <w:t xml:space="preserve">zemí je </w:t>
      </w:r>
      <w:r>
        <w:t xml:space="preserve">proto </w:t>
      </w:r>
      <w:r w:rsidRPr="006B4240">
        <w:t>řešena zapojením veřejné intervence</w:t>
      </w:r>
      <w:r>
        <w:t xml:space="preserve">. </w:t>
      </w:r>
      <w:r w:rsidRPr="00D03ACF">
        <w:t xml:space="preserve">Optimální variantou je </w:t>
      </w:r>
      <w:r>
        <w:t xml:space="preserve">spuštění </w:t>
      </w:r>
      <w:r w:rsidRPr="00D03ACF">
        <w:t>Pre-seed fondu</w:t>
      </w:r>
      <w:r>
        <w:t xml:space="preserve"> ve formě finančního nástroje</w:t>
      </w:r>
      <w:r w:rsidRPr="00D03ACF">
        <w:t>, který bude poskytovat podporu formou kapitálových vstupů</w:t>
      </w:r>
      <w:r>
        <w:t>.</w:t>
      </w:r>
    </w:p>
    <w:p w:rsidR="002A667A" w:rsidRPr="00D03ACF" w:rsidRDefault="002A667A" w:rsidP="006638C9"/>
    <w:p w:rsidR="002A667A" w:rsidRDefault="002A667A" w:rsidP="006638C9">
      <w:r w:rsidRPr="00D03ACF">
        <w:t>Perspektivní výzkumné záměry budou formou nepeněžitého vkladu vyčleněny z univerzity či instituce do právnické osoby pod ni spadající</w:t>
      </w:r>
      <w:r>
        <w:t xml:space="preserve"> či do oborově specializovaného fondu spravovaného přímo pod/v rámci Pre-seed Fondu MPO</w:t>
      </w:r>
      <w:r w:rsidRPr="00D03ACF">
        <w:t xml:space="preserve">, </w:t>
      </w:r>
      <w:r>
        <w:t>kam</w:t>
      </w:r>
      <w:r w:rsidRPr="00D03ACF">
        <w:t xml:space="preserve"> následně </w:t>
      </w:r>
      <w:r>
        <w:t xml:space="preserve">budou </w:t>
      </w:r>
      <w:r w:rsidRPr="00D03ACF">
        <w:t>investovány prostředky z FN. Prostřednictvím minoritního podílu v této entitě tak bude mít FN vlastnický podíl na každém projektu, který bude do entity vyčleněn</w:t>
      </w:r>
      <w:r w:rsidR="008011AF">
        <w:t>,</w:t>
      </w:r>
      <w:r w:rsidRPr="00D03ACF">
        <w:t xml:space="preserve"> a z toho vyplývající nárok na </w:t>
      </w:r>
      <w:r>
        <w:t xml:space="preserve">malou část </w:t>
      </w:r>
      <w:r w:rsidRPr="00D03ACF">
        <w:t>zisk</w:t>
      </w:r>
      <w:r>
        <w:t>u</w:t>
      </w:r>
      <w:r w:rsidRPr="00D03ACF">
        <w:t xml:space="preserve"> v případě ziskového </w:t>
      </w:r>
      <w:r>
        <w:t xml:space="preserve">exitu </w:t>
      </w:r>
      <w:r w:rsidRPr="00D03ACF">
        <w:t xml:space="preserve">jakéhokoli projektu pro další </w:t>
      </w:r>
      <w:r>
        <w:t>fáze uplatnění na trhu (např. spin-off odkoupený investory, licence strategickému investorovi z výrobního odvětví atd.)</w:t>
      </w:r>
      <w:r w:rsidRPr="00D03ACF">
        <w:t xml:space="preserve">. </w:t>
      </w:r>
      <w:r>
        <w:t>Rozhodující část zisku musí zůstat jako motivační prvek nositelům projektu, nikoliv státu. Státní fond však prostřednictvím minoritního podílu na ziskových projektech získává zpět prostředky a může na revolvingovém principu v dalším kole podpořit nové projekty (takto funguje podpora pre-seed fáze např. v Izraeli). Je dále t</w:t>
      </w:r>
      <w:r w:rsidR="008011AF">
        <w:t xml:space="preserve">řeba se s posunem projektů do další fáze </w:t>
      </w:r>
      <w:r>
        <w:t xml:space="preserve">neorientovat pouze na český trh, ale být v tomto smyslu otevření i zahraničním investorům, neboť výsledky výzkumu a vývoje jsou často využitelné globálně. </w:t>
      </w:r>
      <w:r w:rsidRPr="00D03ACF">
        <w:t xml:space="preserve">FN </w:t>
      </w:r>
      <w:r>
        <w:t xml:space="preserve">MPO </w:t>
      </w:r>
      <w:r w:rsidRPr="00D03ACF">
        <w:t>bude vždy disponovat pouze minoritním podílem</w:t>
      </w:r>
      <w:r>
        <w:t xml:space="preserve"> </w:t>
      </w:r>
      <w:r w:rsidRPr="00D03ACF">
        <w:t>zajišťující</w:t>
      </w:r>
      <w:r>
        <w:t>m</w:t>
      </w:r>
      <w:r w:rsidRPr="00D03ACF">
        <w:t xml:space="preserve"> </w:t>
      </w:r>
      <w:r>
        <w:t xml:space="preserve">podíl na kontrole </w:t>
      </w:r>
      <w:r w:rsidRPr="00D03ACF">
        <w:t xml:space="preserve">řízení entity a zprostředkovaně </w:t>
      </w:r>
      <w:r>
        <w:t xml:space="preserve">i </w:t>
      </w:r>
      <w:r w:rsidRPr="00D03ACF">
        <w:t xml:space="preserve">projektů. </w:t>
      </w:r>
      <w:r>
        <w:t xml:space="preserve">Výběr projektů však musí provést zejména instituce, která je vytváří, tedy konečný příjemce (univerzita, v.v.i. apod.). </w:t>
      </w:r>
      <w:r w:rsidRPr="00D03ACF">
        <w:t>Kapitálový vstup tak lze definovat jako nejvhodnější typ finančního nástroje vzhledem k nevyzrálosti projektů a nejistotě spojené s jejich budoucími výsledky.</w:t>
      </w:r>
    </w:p>
    <w:p w:rsidR="002A667A" w:rsidRDefault="002A667A" w:rsidP="006638C9"/>
    <w:p w:rsidR="002A667A" w:rsidRPr="00D03ACF" w:rsidRDefault="002A667A" w:rsidP="006638C9">
      <w:r>
        <w:t xml:space="preserve">Pre-seed finanční nástroj OP PIK je v první pilotní fázi projektován jako podpora pro prioritní projekty excelentních pracovišť výzkumu a vývoje v České republice (cca 5-10), který usnadní a zrychlí financování projektů s nejvyšší pravděpodobností uplatnění na trhu. </w:t>
      </w:r>
      <w:r w:rsidRPr="00D44CBE">
        <w:t xml:space="preserve">Fondovým financováním dojde k překonání současných překážek, jako je např. zdlouhavá příprava, hodnocení a proplácení grantu na </w:t>
      </w:r>
      <w:r w:rsidR="004A2745" w:rsidRPr="00D44CBE">
        <w:t>komercionalizaci</w:t>
      </w:r>
      <w:r w:rsidRPr="00D44CBE">
        <w:t>.</w:t>
      </w:r>
      <w:r w:rsidRPr="004A2745">
        <w:t xml:space="preserve"> V pre-seed fondu prostředky k dispozici průběžně</w:t>
      </w:r>
      <w:r>
        <w:t xml:space="preserve"> dle potřeby projektu. Fondové financování může dále usnadnit přístup investorů a urychlit tak samotnou komercializaci (zejména např. v případě odvětvového „zabalíčkování“ projektů). V další fázi, v případě jeho úspěchu, může dojít k rozšíření finančního nástroje pre-seed i na další pracoviště. Jedním z očekávaných velmi důležitých vedlejších produktů této podpory je zkvalitnění a zprůchodnění systému komercializace na univerzitách a vědecko výzkumných institucích.</w:t>
      </w:r>
    </w:p>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18" w:name="_Toc414464599"/>
      <w:r w:rsidRPr="00D03ACF">
        <w:t>Schéma fungování navrhovaného finančního nástroje</w:t>
      </w:r>
      <w:bookmarkEnd w:id="18"/>
    </w:p>
    <w:p w:rsidR="002A667A" w:rsidRDefault="002A667A" w:rsidP="006638C9">
      <w:pPr>
        <w:pStyle w:val="CaptionIntroductionparagraph"/>
      </w:pPr>
      <w:r w:rsidRPr="00D03ACF">
        <w:t>Záruční nástroj (SC 1.1)</w:t>
      </w:r>
    </w:p>
    <w:p w:rsidR="002A667A" w:rsidRDefault="008011AF" w:rsidP="006638C9">
      <w:pPr>
        <w:pStyle w:val="CaptionIntroductionparagraph"/>
        <w:jc w:val="center"/>
      </w:pPr>
      <w:r>
        <w:rPr>
          <w:noProof/>
          <w:lang w:eastAsia="cs-CZ"/>
        </w:rPr>
        <w:lastRenderedPageBreak/>
        <w:drawing>
          <wp:inline distT="0" distB="0" distL="0" distR="0" wp14:anchorId="22C64B6E" wp14:editId="2C4887EA">
            <wp:extent cx="4046220" cy="2179320"/>
            <wp:effectExtent l="0" t="0" r="0" b="0"/>
            <wp:docPr id="30" name="Picture 1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6220" cy="2179320"/>
                    </a:xfrm>
                    <a:prstGeom prst="rect">
                      <a:avLst/>
                    </a:prstGeom>
                    <a:noFill/>
                    <a:ln>
                      <a:noFill/>
                    </a:ln>
                  </pic:spPr>
                </pic:pic>
              </a:graphicData>
            </a:graphic>
          </wp:inline>
        </w:drawing>
      </w:r>
    </w:p>
    <w:p w:rsidR="002A667A" w:rsidRDefault="008011AF" w:rsidP="006638C9">
      <w:pPr>
        <w:pStyle w:val="CaptionIntroductionparagraph"/>
        <w:jc w:val="center"/>
      </w:pPr>
      <w:r>
        <w:rPr>
          <w:noProof/>
          <w:lang w:eastAsia="cs-CZ"/>
        </w:rPr>
        <w:drawing>
          <wp:inline distT="0" distB="0" distL="0" distR="0" wp14:anchorId="7592E463" wp14:editId="1F5095A4">
            <wp:extent cx="3893820" cy="2270760"/>
            <wp:effectExtent l="0" t="0" r="0" b="0"/>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3820" cy="2270760"/>
                    </a:xfrm>
                    <a:prstGeom prst="rect">
                      <a:avLst/>
                    </a:prstGeom>
                    <a:noFill/>
                    <a:ln>
                      <a:noFill/>
                    </a:ln>
                  </pic:spPr>
                </pic:pic>
              </a:graphicData>
            </a:graphic>
          </wp:inline>
        </w:drawing>
      </w:r>
    </w:p>
    <w:p w:rsidR="002A667A" w:rsidRDefault="002A667A" w:rsidP="006638C9">
      <w:pPr>
        <w:pStyle w:val="CaptionIntroductionparagraph"/>
      </w:pPr>
      <w:r w:rsidRPr="00D03ACF">
        <w:t>Pre seed fond (SC 1.2)</w:t>
      </w:r>
    </w:p>
    <w:p w:rsidR="002A667A" w:rsidRDefault="002A667A" w:rsidP="006638C9">
      <w:r>
        <w:t>Pro sledovanou oblast byly navrženy dva základní modely finančního nástroje kapitálového vstupu – na bázi centralizované a decentralizované. Obě varianty jsou dle závěrů předběžného posouzení možné k použití Řídícím orgánem OP PIK. O volbě konkrétní implementační varianty bude rozhodnuto na základě detailní analýzy souvisejících procesů, která jde již nad rámec požadavků předběžného posouzení FN.</w:t>
      </w:r>
    </w:p>
    <w:p w:rsidR="002A667A" w:rsidRPr="00D03ACF" w:rsidRDefault="002A667A" w:rsidP="006638C9"/>
    <w:p w:rsidR="002A667A" w:rsidRDefault="008011AF" w:rsidP="006638C9">
      <w:pPr>
        <w:jc w:val="center"/>
      </w:pPr>
      <w:r>
        <w:rPr>
          <w:noProof/>
        </w:rPr>
        <w:lastRenderedPageBreak/>
        <w:drawing>
          <wp:inline distT="0" distB="0" distL="0" distR="0" wp14:anchorId="718968CD" wp14:editId="3F867177">
            <wp:extent cx="4373880" cy="3451860"/>
            <wp:effectExtent l="0" t="0" r="762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3880" cy="3451860"/>
                    </a:xfrm>
                    <a:prstGeom prst="rect">
                      <a:avLst/>
                    </a:prstGeom>
                    <a:noFill/>
                    <a:ln>
                      <a:noFill/>
                    </a:ln>
                  </pic:spPr>
                </pic:pic>
              </a:graphicData>
            </a:graphic>
          </wp:inline>
        </w:drawing>
      </w:r>
    </w:p>
    <w:p w:rsidR="002A667A" w:rsidRPr="00D03ACF" w:rsidRDefault="002A667A" w:rsidP="006638C9"/>
    <w:p w:rsidR="002A667A" w:rsidRDefault="002A667A" w:rsidP="006638C9">
      <w:pPr>
        <w:pStyle w:val="Titulek"/>
      </w:pPr>
      <w:r>
        <w:t xml:space="preserve">Obrázek </w:t>
      </w:r>
      <w:r w:rsidR="00C64D03">
        <w:fldChar w:fldCharType="begin"/>
      </w:r>
      <w:r w:rsidR="00C64D03">
        <w:instrText xml:space="preserve"> SEQ Obrázek \* ARABIC </w:instrText>
      </w:r>
      <w:r w:rsidR="00C64D03">
        <w:fldChar w:fldCharType="separate"/>
      </w:r>
      <w:r>
        <w:rPr>
          <w:noProof/>
        </w:rPr>
        <w:t>2</w:t>
      </w:r>
      <w:r w:rsidR="00C64D03">
        <w:rPr>
          <w:noProof/>
        </w:rPr>
        <w:fldChar w:fldCharType="end"/>
      </w:r>
      <w:r>
        <w:t>: Rámcové schéma návrhu decentralizovaného modelu Pre-seed fondu</w:t>
      </w:r>
    </w:p>
    <w:p w:rsidR="002A667A" w:rsidRDefault="002A667A" w:rsidP="006638C9"/>
    <w:p w:rsidR="002A667A" w:rsidRDefault="008011AF" w:rsidP="006638C9">
      <w:r>
        <w:rPr>
          <w:noProof/>
        </w:rPr>
        <w:drawing>
          <wp:inline distT="0" distB="0" distL="0" distR="0" wp14:anchorId="23BBB8C6" wp14:editId="73AC55E6">
            <wp:extent cx="5745480" cy="4168140"/>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5480" cy="4168140"/>
                    </a:xfrm>
                    <a:prstGeom prst="rect">
                      <a:avLst/>
                    </a:prstGeom>
                    <a:noFill/>
                    <a:ln>
                      <a:noFill/>
                    </a:ln>
                  </pic:spPr>
                </pic:pic>
              </a:graphicData>
            </a:graphic>
          </wp:inline>
        </w:drawing>
      </w:r>
    </w:p>
    <w:p w:rsidR="002A667A" w:rsidRPr="000F1E82" w:rsidRDefault="002A667A" w:rsidP="006638C9">
      <w:pPr>
        <w:pStyle w:val="Titulek"/>
      </w:pPr>
      <w:r>
        <w:t xml:space="preserve">Obrázek </w:t>
      </w:r>
      <w:r w:rsidR="00C64D03">
        <w:fldChar w:fldCharType="begin"/>
      </w:r>
      <w:r w:rsidR="00C64D03">
        <w:instrText xml:space="preserve"> SEQ Obrázek \* ARABIC </w:instrText>
      </w:r>
      <w:r w:rsidR="00C64D03">
        <w:fldChar w:fldCharType="separate"/>
      </w:r>
      <w:r>
        <w:rPr>
          <w:noProof/>
        </w:rPr>
        <w:t>3</w:t>
      </w:r>
      <w:r w:rsidR="00C64D03">
        <w:rPr>
          <w:noProof/>
        </w:rPr>
        <w:fldChar w:fldCharType="end"/>
      </w:r>
      <w:r>
        <w:t>: Rámcové schéma návrhu centralizovaného modelu Pre-seed fondu</w:t>
      </w:r>
    </w:p>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19" w:name="_Toc414464600"/>
      <w:r w:rsidRPr="00D03ACF">
        <w:lastRenderedPageBreak/>
        <w:t>Základní parametry finančního nástroje</w:t>
      </w:r>
      <w:bookmarkEnd w:id="19"/>
    </w:p>
    <w:p w:rsidR="002A667A" w:rsidRPr="00D03ACF" w:rsidRDefault="002A667A" w:rsidP="006638C9">
      <w:pPr>
        <w:pStyle w:val="CaptionIntroductionparagraph"/>
      </w:pPr>
      <w:r w:rsidRPr="00D03ACF">
        <w:t xml:space="preserve">Individuální </w:t>
      </w:r>
      <w:r>
        <w:t xml:space="preserve">nebo portfoliová </w:t>
      </w:r>
      <w:r w:rsidRPr="00D03ACF">
        <w:t>záruka (SC 1.1)</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2A667A" w:rsidRPr="00D03ACF" w:rsidTr="00B37E7F">
        <w:tc>
          <w:tcPr>
            <w:tcW w:w="2282" w:type="dxa"/>
            <w:shd w:val="clear" w:color="auto" w:fill="ECFFC3"/>
          </w:tcPr>
          <w:p w:rsidR="002A667A" w:rsidRPr="00D03ACF" w:rsidRDefault="002A667A" w:rsidP="00B37E7F">
            <w:pPr>
              <w:rPr>
                <w:b/>
              </w:rPr>
            </w:pPr>
          </w:p>
        </w:tc>
        <w:tc>
          <w:tcPr>
            <w:tcW w:w="6788" w:type="dxa"/>
            <w:shd w:val="clear" w:color="auto" w:fill="ECFFC3"/>
          </w:tcPr>
          <w:p w:rsidR="002A667A" w:rsidRPr="00D03ACF" w:rsidRDefault="002A667A" w:rsidP="00B37E7F">
            <w:pPr>
              <w:ind w:left="38"/>
              <w:rPr>
                <w:b/>
              </w:rPr>
            </w:pP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 xml:space="preserve">Cíle </w:t>
            </w:r>
            <w:r>
              <w:rPr>
                <w:b/>
                <w:color w:val="FFFFFF"/>
              </w:rPr>
              <w:t xml:space="preserve">a odůvodnění </w:t>
            </w:r>
            <w:r w:rsidRPr="00D03ACF">
              <w:rPr>
                <w:b/>
                <w:color w:val="FFFFFF"/>
              </w:rPr>
              <w:t>finančního nástroje</w:t>
            </w:r>
          </w:p>
        </w:tc>
        <w:tc>
          <w:tcPr>
            <w:tcW w:w="6788" w:type="dxa"/>
            <w:shd w:val="clear" w:color="auto" w:fill="FFFFFF"/>
            <w:noWrap/>
          </w:tcPr>
          <w:p w:rsidR="002A667A" w:rsidRPr="00D03ACF" w:rsidRDefault="002A667A" w:rsidP="00B37E7F">
            <w:r w:rsidRPr="00D03ACF">
              <w:t xml:space="preserve">Finanční nástroj si klade za cíl zpřístupnit úvěrové financování podnikového výzkumu a vývoje, které na něj za tržních podmínek nedosáhne z důvodu nedostatečného kolaterálu. Budoucí ekonomické benefity založené na výsledcích výzkumu a vývoje jsou vždy spojeny se značným rizikem a banky požadují zajištění úvěru kolaterálem. Oproti např. investicím do DHM nelze za kolaterál považovat samotnou investici do VaV, neboť ta je z pohledu banky silně nelikvidní a její hodnota je velmi nejistá. Žadatelé tedy musí ručit jinými svými aktivy, která buď nedosahují požadované výše, nebo se podniky nemohou vystavit riziku nutnosti jejich postoupení v případě nezdaru výzkumného záměru. Výsledná úroková sazba bude pro konečného příjemce na nižší než tržní úrovni, z důvodu eliminace části rizikové prémie aplikované bankou.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Definice a kritéria způsobilých projektů</w:t>
            </w:r>
          </w:p>
        </w:tc>
        <w:tc>
          <w:tcPr>
            <w:tcW w:w="6788" w:type="dxa"/>
            <w:shd w:val="clear" w:color="auto" w:fill="FFFFFF"/>
            <w:noWrap/>
          </w:tcPr>
          <w:p w:rsidR="002A667A" w:rsidRPr="00D03ACF" w:rsidRDefault="002A667A" w:rsidP="00B37E7F">
            <w:r w:rsidRPr="00D03ACF">
              <w:t xml:space="preserve">Podpora je určena pro financování inovativního výzkumu a vývoje MSP i velkých podniků. Obor podnikání žadatelů </w:t>
            </w:r>
            <w:r>
              <w:t>je</w:t>
            </w:r>
            <w:r w:rsidRPr="00D03ACF">
              <w:t xml:space="preserve"> omezen</w:t>
            </w:r>
            <w:r>
              <w:t xml:space="preserve"> pouze programem podpory a výzvou a je velmi široký</w:t>
            </w:r>
            <w:r w:rsidRPr="00D03ACF">
              <w:t>. Způsobilými výdaji se rozumí veškeré výdaje na VaV</w:t>
            </w:r>
            <w:r>
              <w:t>aI</w:t>
            </w:r>
            <w:r w:rsidRPr="00D03ACF">
              <w:t>, které je nutno vynaložit</w:t>
            </w:r>
            <w:r>
              <w:t xml:space="preserve"> ke splnění cíle projektu konečného příjemce</w:t>
            </w:r>
            <w:r w:rsidRPr="00D03ACF">
              <w:t>.</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Forma podpory</w:t>
            </w:r>
          </w:p>
        </w:tc>
        <w:tc>
          <w:tcPr>
            <w:tcW w:w="6788" w:type="dxa"/>
            <w:shd w:val="clear" w:color="auto" w:fill="FFFFFF"/>
            <w:noWrap/>
          </w:tcPr>
          <w:p w:rsidR="002A667A" w:rsidRPr="00D03ACF" w:rsidRDefault="002A667A" w:rsidP="00B37E7F">
            <w:r w:rsidRPr="00D03ACF">
              <w:t xml:space="preserve">Finanční nástroj bude poskytovat </w:t>
            </w:r>
            <w:r>
              <w:t xml:space="preserve">účelovou </w:t>
            </w:r>
            <w:r w:rsidRPr="00D03ACF">
              <w:t xml:space="preserve">podporu formou záruky úvěrové instituci za konkrétní </w:t>
            </w:r>
            <w:r>
              <w:t xml:space="preserve">záměr </w:t>
            </w:r>
            <w:r w:rsidRPr="00D03ACF">
              <w:t>na realizaci investice do VaV</w:t>
            </w:r>
            <w:r>
              <w:t>aI</w:t>
            </w:r>
            <w:r w:rsidRPr="00D03ACF">
              <w:t xml:space="preserve">. Úvěr bude poskytnut se sníženou úrokovou sazbou, neboť do ní bude pouze v omezené míře promítnuta riziková přirážka. Distributorem úvěrů konečným příjemcům bude financující subjekt.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Výše podpory</w:t>
            </w:r>
          </w:p>
        </w:tc>
        <w:tc>
          <w:tcPr>
            <w:tcW w:w="6788" w:type="dxa"/>
            <w:shd w:val="clear" w:color="auto" w:fill="FFFFFF"/>
            <w:noWrap/>
          </w:tcPr>
          <w:p w:rsidR="002A667A" w:rsidRPr="004A2745" w:rsidRDefault="002A667A" w:rsidP="00B11FC3">
            <w:r w:rsidRPr="00D44CBE">
              <w:t xml:space="preserve">S ohledem na závěry bloku I. předběžného posouzení je očekávána průměrná výše záruky okolo </w:t>
            </w:r>
            <w:r w:rsidR="00A93616" w:rsidRPr="00D44CBE">
              <w:t>18</w:t>
            </w:r>
            <w:r w:rsidRPr="00D44CBE">
              <w:t xml:space="preserve"> mil. Kč</w:t>
            </w:r>
            <w:r w:rsidR="00A93616" w:rsidRPr="00D44CBE">
              <w:t xml:space="preserve"> v případě programu Aplikace a 22 mil. Kč u programu Inovace</w:t>
            </w:r>
            <w:r w:rsidRPr="00D44CBE">
              <w:t xml:space="preserve"> a průměrná výše úvěru přibližně </w:t>
            </w:r>
            <w:r w:rsidR="00A93616" w:rsidRPr="00D44CBE">
              <w:t>25, resp. 31</w:t>
            </w:r>
            <w:r w:rsidRPr="00D44CBE">
              <w:t xml:space="preserve"> mil</w:t>
            </w:r>
            <w:r w:rsidR="00A93616" w:rsidRPr="00D44CBE">
              <w:t>.</w:t>
            </w:r>
            <w:r w:rsidRPr="00D44CBE">
              <w:t xml:space="preserve"> Kč. Záruky budou poskytovány až do výše 70 % jistiny úvěru, maximálně však </w:t>
            </w:r>
            <w:r w:rsidR="00B11FC3" w:rsidRPr="00D44CBE">
              <w:t>100</w:t>
            </w:r>
            <w:r w:rsidRPr="00D44CBE">
              <w:t xml:space="preserve"> mil. Kč z důvodu dostatečného rozložení rizika v portfoliu.</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Základní parametry poskytované podpory</w:t>
            </w:r>
          </w:p>
        </w:tc>
        <w:tc>
          <w:tcPr>
            <w:tcW w:w="6788" w:type="dxa"/>
            <w:shd w:val="clear" w:color="auto" w:fill="FFFFFF"/>
            <w:noWrap/>
          </w:tcPr>
          <w:p w:rsidR="002A667A" w:rsidRPr="00D44CBE" w:rsidRDefault="002A667A" w:rsidP="00B37E7F">
            <w:r w:rsidRPr="004A2745">
              <w:t>Podpora bude poskytována formou záruky vybraného implementačního partnera přímo úv</w:t>
            </w:r>
            <w:r w:rsidRPr="00D44CBE">
              <w:t>ěrující instituci konečného příjemce na case-by-case bázi, nebo portfoliovým způsobem (vytvoření portfolia zaručených úvěrů úvěrující institucí).</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Kroky pro zjištění zájmu financujících prostředků</w:t>
            </w:r>
          </w:p>
        </w:tc>
        <w:tc>
          <w:tcPr>
            <w:tcW w:w="6788" w:type="dxa"/>
            <w:shd w:val="clear" w:color="auto" w:fill="FFFFFF"/>
            <w:noWrap/>
          </w:tcPr>
          <w:p w:rsidR="002A667A" w:rsidRPr="00D03ACF" w:rsidRDefault="002A667A" w:rsidP="00B37E7F">
            <w:pPr>
              <w:contextualSpacing/>
            </w:pPr>
            <w:r w:rsidRPr="00D03ACF">
              <w:t xml:space="preserve">Bankovní subjekty mají zájem klienty úvěrovat, avšak s ohledem na riziko spojené s některými obchodními případy tak nečiní. Částečná eliminace rizika umožní bankám zapůjčit další objem finančních prostředků.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Očekávaná alokace</w:t>
            </w:r>
          </w:p>
        </w:tc>
        <w:tc>
          <w:tcPr>
            <w:tcW w:w="6788" w:type="dxa"/>
            <w:shd w:val="clear" w:color="auto" w:fill="FFFFFF"/>
            <w:noWrap/>
          </w:tcPr>
          <w:p w:rsidR="002A667A" w:rsidRPr="00D03ACF" w:rsidRDefault="002A667A" w:rsidP="00B37E7F">
            <w:r>
              <w:t>Deloitte Advisory d</w:t>
            </w:r>
            <w:r w:rsidRPr="00D03ACF">
              <w:t xml:space="preserve">oporučuje záruční finanční nástroj využít pro </w:t>
            </w:r>
            <w:r>
              <w:t>až 50 %</w:t>
            </w:r>
            <w:r w:rsidRPr="00D03ACF">
              <w:t xml:space="preserve"> alokace podporovaných aktivit specifického cíle 1.1</w:t>
            </w:r>
            <w:r>
              <w:t xml:space="preserve"> v programech Inovace a Aplikace</w:t>
            </w:r>
            <w:r w:rsidRPr="00D03ACF">
              <w:t>.</w:t>
            </w:r>
          </w:p>
          <w:p w:rsidR="002A667A" w:rsidRPr="009C1813" w:rsidRDefault="002A667A" w:rsidP="00B37E7F">
            <w:pPr>
              <w:pStyle w:val="Odstavecseseznamem"/>
              <w:spacing w:after="120"/>
            </w:pPr>
          </w:p>
        </w:tc>
      </w:tr>
    </w:tbl>
    <w:p w:rsidR="002A667A" w:rsidRPr="00D03ACF" w:rsidRDefault="002A667A" w:rsidP="006638C9">
      <w:pPr>
        <w:pStyle w:val="CaptionIntroductionparagraph"/>
      </w:pPr>
    </w:p>
    <w:p w:rsidR="002A667A" w:rsidRPr="00D03ACF" w:rsidRDefault="002A667A" w:rsidP="006638C9">
      <w:pPr>
        <w:pStyle w:val="CaptionIntroductionparagraph"/>
      </w:pPr>
      <w:r w:rsidRPr="00D03ACF">
        <w:t>Kapitálový nástroj (SC 1.2)</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2A667A" w:rsidRPr="00D03ACF" w:rsidTr="00B37E7F">
        <w:tc>
          <w:tcPr>
            <w:tcW w:w="2282" w:type="dxa"/>
            <w:shd w:val="clear" w:color="auto" w:fill="ECFFC3"/>
          </w:tcPr>
          <w:p w:rsidR="002A667A" w:rsidRPr="00D03ACF" w:rsidRDefault="002A667A" w:rsidP="00B37E7F">
            <w:pPr>
              <w:rPr>
                <w:b/>
              </w:rPr>
            </w:pPr>
          </w:p>
        </w:tc>
        <w:tc>
          <w:tcPr>
            <w:tcW w:w="6788" w:type="dxa"/>
            <w:shd w:val="clear" w:color="auto" w:fill="ECFFC3"/>
          </w:tcPr>
          <w:p w:rsidR="002A667A" w:rsidRPr="00D03ACF" w:rsidRDefault="002A667A" w:rsidP="00B37E7F">
            <w:pPr>
              <w:ind w:left="38"/>
              <w:rPr>
                <w:b/>
              </w:rPr>
            </w:pP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Cíle finančního nástroje</w:t>
            </w:r>
          </w:p>
        </w:tc>
        <w:tc>
          <w:tcPr>
            <w:tcW w:w="6788" w:type="dxa"/>
            <w:shd w:val="clear" w:color="auto" w:fill="FFFFFF"/>
            <w:noWrap/>
          </w:tcPr>
          <w:p w:rsidR="002A667A" w:rsidRPr="00D03ACF" w:rsidRDefault="002A667A" w:rsidP="00B37E7F">
            <w:pPr>
              <w:rPr>
                <w:b/>
              </w:rPr>
            </w:pPr>
            <w:r w:rsidRPr="00D03ACF">
              <w:t xml:space="preserve">Finanční nástroj si klade za cíl kapitálově vybavit majitele výsledků výzkumu a vývoje, aby tyto byli schopni plně komercializovat. Investovaný </w:t>
            </w:r>
            <w:r w:rsidRPr="00D03ACF">
              <w:lastRenderedPageBreak/>
              <w:t xml:space="preserve">kapitál tedy bude sloužit k financování fáze </w:t>
            </w:r>
            <w:r w:rsidRPr="00D03ACF">
              <w:rPr>
                <w:b/>
              </w:rPr>
              <w:t xml:space="preserve">Proof-of-Concept. </w:t>
            </w:r>
          </w:p>
          <w:p w:rsidR="002A667A" w:rsidRPr="00D03ACF" w:rsidRDefault="002A667A" w:rsidP="00B37E7F">
            <w:pPr>
              <w:rPr>
                <w:b/>
              </w:rPr>
            </w:pPr>
          </w:p>
          <w:p w:rsidR="002A667A" w:rsidRPr="00D03ACF" w:rsidRDefault="002A667A" w:rsidP="00B37E7F">
            <w:r w:rsidRPr="00D03ACF">
              <w:t xml:space="preserve">Kapitálová forma podpory umožní financování perspektivních výsledků VaV, přičemž tato podpora nebude poskytována </w:t>
            </w:r>
            <w:r>
              <w:t xml:space="preserve">zcela </w:t>
            </w:r>
            <w:r w:rsidRPr="00D03ACF">
              <w:t xml:space="preserve">nenávratně, ale prostředky </w:t>
            </w:r>
            <w:r>
              <w:t xml:space="preserve">se </w:t>
            </w:r>
            <w:r w:rsidRPr="00D03ACF">
              <w:t>budou do nástroje vracet v případě úspěšného rozvoje a následného exit</w:t>
            </w:r>
            <w:r>
              <w:t>u projektu v důsledku (malého) podílu FN na budoucích výnosech projektů</w:t>
            </w:r>
            <w:r w:rsidRPr="00D03ACF">
              <w:t xml:space="preserve">. Finanční nástroj bude též prostřednictvím minority kontrolovat </w:t>
            </w:r>
            <w:r>
              <w:t xml:space="preserve">(nikoliv přímo řídit) </w:t>
            </w:r>
            <w:r w:rsidRPr="00D03ACF">
              <w:t xml:space="preserve">vnitřní procesy a další směřování projektu. Nabídka veřejného kapitálového financování nebude vytlačovat soukromý bankovní ani rizikový kapitál, neboť pro něj z důvodu rizika tento segment trhu není atraktivní.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lastRenderedPageBreak/>
              <w:t>Definice a kritéria způsobilých projektů</w:t>
            </w:r>
          </w:p>
        </w:tc>
        <w:tc>
          <w:tcPr>
            <w:tcW w:w="6788" w:type="dxa"/>
            <w:shd w:val="clear" w:color="auto" w:fill="FFFFFF"/>
            <w:noWrap/>
          </w:tcPr>
          <w:p w:rsidR="002A667A" w:rsidRPr="00D03ACF" w:rsidRDefault="002A667A" w:rsidP="00B37E7F">
            <w:r w:rsidRPr="00D03ACF">
              <w:t xml:space="preserve">Příjemci podpory budou nositelé výsledků výzkumu a vývoje, nejčastěji tedy entity vlastněné vysokými školami a jinými výzkumnými </w:t>
            </w:r>
            <w:r>
              <w:t>institucemi</w:t>
            </w:r>
            <w:r w:rsidRPr="00D03ACF">
              <w:t xml:space="preserve">. Příjemcem podpory nemůže být škola či jiná instituce samotná.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Forma podpory</w:t>
            </w:r>
          </w:p>
        </w:tc>
        <w:tc>
          <w:tcPr>
            <w:tcW w:w="6788" w:type="dxa"/>
            <w:shd w:val="clear" w:color="auto" w:fill="FFFFFF"/>
            <w:noWrap/>
          </w:tcPr>
          <w:p w:rsidR="002A667A" w:rsidRPr="00D03ACF" w:rsidRDefault="002A667A" w:rsidP="00B37E7F">
            <w:pPr>
              <w:rPr>
                <w:b/>
              </w:rPr>
            </w:pPr>
            <w:r w:rsidRPr="00D03ACF">
              <w:rPr>
                <w:b/>
              </w:rPr>
              <w:t>Účelově vázaný kapitálový vstup Fondu.</w:t>
            </w:r>
          </w:p>
          <w:p w:rsidR="002A667A" w:rsidRPr="00D03ACF" w:rsidRDefault="002A667A" w:rsidP="00B37E7F">
            <w:r w:rsidRPr="00D03ACF">
              <w:t>Možnost zapojení soukromých prostředků na úrovni Fondu (na principu kolektivního investování)</w:t>
            </w:r>
            <w:r w:rsidRPr="00D03ACF">
              <w:rPr>
                <w:vertAlign w:val="superscript"/>
              </w:rPr>
              <w:footnoteReference w:id="1"/>
            </w:r>
            <w:r w:rsidRPr="00D03ACF">
              <w:t xml:space="preserve"> se v současnosti nejeví jako reálná. V  případě </w:t>
            </w:r>
            <w:r>
              <w:t xml:space="preserve">dostatečného </w:t>
            </w:r>
            <w:r w:rsidRPr="00D03ACF">
              <w:t xml:space="preserve">zájmu </w:t>
            </w:r>
            <w:r>
              <w:t xml:space="preserve">však </w:t>
            </w:r>
            <w:r w:rsidRPr="00D03ACF">
              <w:t>zapojení soukromých investorů nic nebrání. Možnost zapojení soukromých prostředků na úrovni projektu – možnost dodatečného účelově vázaného vstupu soukromého investora – je nepravděpodobná, ale možná. Konzervativnější je odhadovat zapojení soukromého kapitálu až ve fázi prodeje projektu z univerzitní (či jiné institucionální) entity, kdy nemusí jít ze strany finančního nástroje nutně o exit, ale též o souhlas se vstupem spoluinvestora.</w:t>
            </w:r>
          </w:p>
          <w:p w:rsidR="002A667A" w:rsidRPr="00D03ACF" w:rsidRDefault="002A667A" w:rsidP="00B37E7F">
            <w:r w:rsidRPr="00D03ACF">
              <w:rPr>
                <w:b/>
              </w:rPr>
              <w:t xml:space="preserve">Z fondu bude možné přispívat na úhradu nákladů na přípravu </w:t>
            </w:r>
            <w:r>
              <w:rPr>
                <w:b/>
              </w:rPr>
              <w:t xml:space="preserve">projektů </w:t>
            </w:r>
            <w:r w:rsidRPr="00D03ACF">
              <w:rPr>
                <w:b/>
              </w:rPr>
              <w:t>na nabídku na trhu a vstup investora.</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Základní parametry poskytované podpory</w:t>
            </w:r>
          </w:p>
        </w:tc>
        <w:tc>
          <w:tcPr>
            <w:tcW w:w="6788" w:type="dxa"/>
            <w:shd w:val="clear" w:color="auto" w:fill="FFFFFF"/>
            <w:noWrap/>
          </w:tcPr>
          <w:p w:rsidR="002A667A" w:rsidRPr="00D03ACF" w:rsidRDefault="002A667A" w:rsidP="00B37E7F">
            <w:r w:rsidRPr="00D03ACF">
              <w:t xml:space="preserve">Poskytovaný kapitálový vstup </w:t>
            </w:r>
            <w:r>
              <w:t xml:space="preserve">do entity </w:t>
            </w:r>
            <w:r w:rsidRPr="00D03ACF">
              <w:t>bude mít následující parametry:</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 xml:space="preserve">Výše investice bude odpovídat </w:t>
            </w:r>
            <w:r>
              <w:t xml:space="preserve">až </w:t>
            </w:r>
            <w:r w:rsidRPr="009C1813">
              <w:t>100 % způsobilých nákladů zamýšleného projektu;</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 xml:space="preserve">účast Fondu na projektu skrze majetkový podíl v entitě není </w:t>
            </w:r>
            <w:r>
              <w:t xml:space="preserve">časově </w:t>
            </w:r>
            <w:r w:rsidRPr="009C1813">
              <w:t xml:space="preserve">omezena; </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Fond, zpravidla jako minoritní akcionář, má nárok na výplatu podílu na zisku;</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Poskytnuté prostředky jsou účelově vázané na krytí výše vymezených způsobilých investičních výdajů na komercializaci výsledků VaV;</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možná účast soukromých investorů a to jak na úrovni Fondu, tak po vyčlenění z entity i na úrovni projektu;</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 xml:space="preserve">Řízení společnosti zůstává v rukou </w:t>
            </w:r>
            <w:r>
              <w:t>konečného příjemce</w:t>
            </w:r>
            <w:r w:rsidRPr="009C1813">
              <w:t>, finanční nástroj disponuje minoritou;</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 xml:space="preserve">Způsob prodeje z entity vyděleného projektu: Kapitálový vstup Fondu bude vykoupen zpět spoluinvestory buď přednostně ve zkrácené době za využití </w:t>
            </w:r>
            <w:r>
              <w:t xml:space="preserve">např. </w:t>
            </w:r>
            <w:r w:rsidRPr="009C1813">
              <w:t>opčního práva, případně může být postupně vykupován dle předem sjednaných pravidel, nebo bude prodej podílu realizován po uplynutí sjednané doby pro přednostní výkup na volném trhu.</w:t>
            </w:r>
          </w:p>
        </w:tc>
      </w:tr>
      <w:tr w:rsidR="002A667A" w:rsidRPr="00D03ACF" w:rsidTr="00B37E7F">
        <w:tc>
          <w:tcPr>
            <w:tcW w:w="2282" w:type="dxa"/>
            <w:shd w:val="clear" w:color="auto" w:fill="92D400"/>
            <w:noWrap/>
          </w:tcPr>
          <w:p w:rsidR="002A667A" w:rsidRPr="00D03ACF" w:rsidRDefault="002A667A" w:rsidP="00B37E7F">
            <w:pPr>
              <w:jc w:val="left"/>
              <w:rPr>
                <w:b/>
                <w:color w:val="FFFFFF"/>
                <w:highlight w:val="yellow"/>
              </w:rPr>
            </w:pPr>
            <w:r w:rsidRPr="00D03ACF">
              <w:rPr>
                <w:b/>
                <w:color w:val="FFFFFF"/>
              </w:rPr>
              <w:t>Kroky vedoucí k zapojení potenciálních spoluinvestorů</w:t>
            </w:r>
          </w:p>
        </w:tc>
        <w:tc>
          <w:tcPr>
            <w:tcW w:w="6788" w:type="dxa"/>
            <w:shd w:val="clear" w:color="auto" w:fill="FFFFFF"/>
            <w:noWrap/>
          </w:tcPr>
          <w:p w:rsidR="002A667A" w:rsidRPr="00D03ACF" w:rsidRDefault="002A667A" w:rsidP="00B37E7F">
            <w:pPr>
              <w:contextualSpacing/>
            </w:pPr>
            <w:r w:rsidRPr="00D03ACF">
              <w:t>Univerzity</w:t>
            </w:r>
            <w:r>
              <w:t xml:space="preserve"> a/nebo </w:t>
            </w:r>
            <w:r w:rsidRPr="00D03ACF">
              <w:t>jiné výzkumné instituce vyčlení do společné entity duše</w:t>
            </w:r>
            <w:r>
              <w:t>v</w:t>
            </w:r>
            <w:r w:rsidRPr="00D03ACF">
              <w:t xml:space="preserve">ní vlastnictví ve formě nepeněžitého vkladu do základního kapitálu. </w:t>
            </w:r>
            <w:r>
              <w:t>F</w:t>
            </w:r>
            <w:r w:rsidRPr="00D03ACF">
              <w:t xml:space="preserve">inanční nástroj ale </w:t>
            </w:r>
            <w:r>
              <w:t xml:space="preserve">umožňuje </w:t>
            </w:r>
            <w:r w:rsidRPr="00D03ACF">
              <w:t>i kapitálovou účast peněžitým vkladem</w:t>
            </w:r>
            <w:r>
              <w:t>.</w:t>
            </w:r>
            <w:r w:rsidRPr="00D03ACF">
              <w:t xml:space="preserve">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lastRenderedPageBreak/>
              <w:t>Očekávaná alokace</w:t>
            </w:r>
          </w:p>
        </w:tc>
        <w:tc>
          <w:tcPr>
            <w:tcW w:w="6788" w:type="dxa"/>
            <w:shd w:val="clear" w:color="auto" w:fill="FFFFFF"/>
            <w:noWrap/>
          </w:tcPr>
          <w:p w:rsidR="002A667A" w:rsidRPr="00D03ACF" w:rsidRDefault="002A667A" w:rsidP="00B37E7F">
            <w:r>
              <w:t>Deloitte Advisory doporučuje</w:t>
            </w:r>
            <w:r w:rsidRPr="00D03ACF">
              <w:t xml:space="preserve"> kapitálový finanční nástroj využít </w:t>
            </w:r>
            <w:r>
              <w:t>až 100 %</w:t>
            </w:r>
            <w:r w:rsidRPr="00D03ACF">
              <w:t xml:space="preserve"> alokace podporovaných aktivit Proof-of-Concept specifického cíle 1.2.</w:t>
            </w:r>
          </w:p>
        </w:tc>
      </w:tr>
    </w:tbl>
    <w:p w:rsidR="002A667A" w:rsidRDefault="002A667A" w:rsidP="006638C9">
      <w:pPr>
        <w:pStyle w:val="Nadpis3"/>
        <w:keepLines w:val="0"/>
        <w:numPr>
          <w:ilvl w:val="2"/>
          <w:numId w:val="48"/>
        </w:numPr>
        <w:overflowPunct/>
        <w:autoSpaceDE/>
        <w:autoSpaceDN/>
        <w:adjustRightInd/>
        <w:spacing w:before="240"/>
        <w:jc w:val="left"/>
        <w:textAlignment w:val="auto"/>
      </w:pPr>
      <w:bookmarkStart w:id="20" w:name="_Toc414464601"/>
      <w:r w:rsidRPr="00D03ACF">
        <w:t>Posouzení zkušeností získaných v</w:t>
      </w:r>
      <w:r>
        <w:t> </w:t>
      </w:r>
      <w:r w:rsidRPr="00D03ACF">
        <w:t>minulosti</w:t>
      </w:r>
      <w:bookmarkEnd w:id="20"/>
    </w:p>
    <w:p w:rsidR="002A667A" w:rsidRDefault="002A667A" w:rsidP="006638C9">
      <w:pPr>
        <w:pStyle w:val="CaptionIntroductionparagraph"/>
      </w:pPr>
      <w:r>
        <w:t xml:space="preserve">SC 1.1 </w:t>
      </w:r>
    </w:p>
    <w:p w:rsidR="002A667A" w:rsidRDefault="002A667A" w:rsidP="006638C9">
      <w:r>
        <w:t>Podstatná část připravovaného specifického cíle 1.1 OP PIK navazuje na podporu, která byla poskytována v programovém období 2007-2013. Sledované oblasti byly doposud řešeny formou dotace, přičemž tyto oblasti jsou vhodné též pro podporu ve formě finančního nástroje:</w:t>
      </w:r>
    </w:p>
    <w:p w:rsidR="002A667A" w:rsidRDefault="002A667A" w:rsidP="006638C9">
      <w:pPr>
        <w:numPr>
          <w:ilvl w:val="0"/>
          <w:numId w:val="79"/>
        </w:numPr>
        <w:overflowPunct/>
        <w:autoSpaceDE/>
        <w:autoSpaceDN/>
        <w:adjustRightInd/>
        <w:textAlignment w:val="auto"/>
      </w:pPr>
      <w:r>
        <w:t>inovace produktu (zvýšení technických a užitných hodnot výrobků, technologií a služeb), inovace procesu (zvýšení efektivnosti procesů výroby a poskytování služeb), organizační či marketingové inovace;</w:t>
      </w:r>
    </w:p>
    <w:p w:rsidR="002A667A" w:rsidRDefault="002A667A" w:rsidP="006638C9">
      <w:pPr>
        <w:numPr>
          <w:ilvl w:val="0"/>
          <w:numId w:val="79"/>
        </w:numPr>
        <w:overflowPunct/>
        <w:autoSpaceDE/>
        <w:autoSpaceDN/>
        <w:adjustRightInd/>
        <w:textAlignment w:val="auto"/>
      </w:pPr>
      <w:r>
        <w:t>průmyslovému vý</w:t>
      </w:r>
      <w:r w:rsidR="00B11FC3">
        <w:t>zkumu a experimentálnímu vývoji.</w:t>
      </w:r>
    </w:p>
    <w:p w:rsidR="005F31B2" w:rsidRDefault="005F31B2" w:rsidP="00B5257E">
      <w:pPr>
        <w:overflowPunct/>
        <w:autoSpaceDE/>
        <w:autoSpaceDN/>
        <w:adjustRightInd/>
        <w:ind w:left="720"/>
        <w:textAlignment w:val="auto"/>
      </w:pPr>
    </w:p>
    <w:p w:rsidR="002A667A" w:rsidRDefault="005F31B2" w:rsidP="006638C9">
      <w:r>
        <w:t>Detailnější přehled dosavadních zkušeností je obsahem první průběžné zprávy.</w:t>
      </w:r>
    </w:p>
    <w:p w:rsidR="002A667A" w:rsidRDefault="002A667A" w:rsidP="006638C9"/>
    <w:p w:rsidR="002A667A" w:rsidRDefault="002A667A" w:rsidP="006638C9">
      <w:pPr>
        <w:pStyle w:val="CaptionIntroductionparagraph"/>
      </w:pPr>
      <w:r>
        <w:t xml:space="preserve">SC 1.2 </w:t>
      </w:r>
    </w:p>
    <w:p w:rsidR="002A667A" w:rsidRDefault="002A667A" w:rsidP="006638C9">
      <w:r>
        <w:t xml:space="preserve">Sledovaná oblast podpory specifického cíle 1.2 OP PIK, zaměřená na </w:t>
      </w:r>
      <w:r w:rsidRPr="00C060E1">
        <w:t>aktivity vedoucí ke komercializaci výsledků výzkumu pomocí aktivit ověření proveditelnosti („proof – of – concept“)</w:t>
      </w:r>
      <w:r>
        <w:t>, byla v programovém období 2007-2013 podporovaná skrze OP VaVpI, a to dotační podporou. Obdobně je možné na sledované aktivity získat dotační podporu z programu GAMA, spravované Technologickou agenturou ČR.</w:t>
      </w:r>
    </w:p>
    <w:p w:rsidR="002A667A" w:rsidRDefault="002A667A" w:rsidP="006638C9"/>
    <w:p w:rsidR="002A667A" w:rsidRDefault="002A667A" w:rsidP="006638C9">
      <w:r>
        <w:t xml:space="preserve">Podpora v této oblasti úzce navazuje na podporu směřovanou do českého výzkumu a vývoje z veřejných zdrojů obecně, má zabezpečovat další využití z VaV vznikajících inovací v praktickém životě, v tržním prostředí. </w:t>
      </w:r>
    </w:p>
    <w:p w:rsidR="002A667A" w:rsidRDefault="002A667A" w:rsidP="006638C9"/>
    <w:p w:rsidR="002A667A" w:rsidRDefault="002A667A">
      <w:r>
        <w:t>V minulosti byl v rámci SC 3.1 OP VaVpI registrován více než dvojnásobný převis poptávky po zdrojích v poměru k dostupné alokaci.</w:t>
      </w:r>
      <w:r>
        <w:rPr>
          <w:rStyle w:val="Znakapoznpodarou"/>
        </w:rPr>
        <w:footnoteReference w:id="2"/>
      </w:r>
      <w:r>
        <w:t xml:space="preserve"> Co se týče problematiky komercionalizace výsledků výzkumu a vývoje v současné době potřebuje v ČR veřejnou podporu, protože subjekty finančního sektoru v tržním prostředí v současném systémovém nastavení nemohou/neumějí/nejsou ochotné dané projekty financovat za tržních podmínek. V řadě tržních ekonomik je daná oblast státem podporována velmi okrajově, kdy projekty Proof-of-concept získávají tržní financování rizikovým kapitálem – aby byla ČR schopna se do tohoto stádia dostat, musí dle názoru Deloitte Advisory proběhnout podstatná systémová změna, kterou je vhodné odstartovat právě změnou v podstatně alokování dostupných evropských zdrojů v této oblasti. Deloitte Advisory navrhuje po vzoru příkladů dobré zahraniční praxe opustit model dotační podpory a zavést rozdělování podpory zohledňující reálnou hodnotu výsledků VaV, a to skrze zřízení tzv. Pre-Seed fondu, který by rozděloval zdroje formou kapitálových vstupů do nově zřízených entit po boku Universit, resp. veřejných vědeckých institucí (případně alternativně jednu centrální entitu) – tyto by pak měly malý podíl z budoucích royalties a spin-off společností,.</w:t>
      </w:r>
    </w:p>
    <w:p w:rsidR="002A667A" w:rsidRDefault="002A667A" w:rsidP="006638C9"/>
    <w:p w:rsidR="002A667A" w:rsidRDefault="002A667A" w:rsidP="006638C9">
      <w:r>
        <w:t>V současnosti se výsledky výzkumu a vývoje z vysokých škol a v.v.i. jen velmi složitě dostávají do fáze komerčně fungujících podniků. Jednou z  ilustrací tohoto problému je i závěr dotazníkového šetření realizovaného MPO a konkrétní otázka, viz graf níže.</w:t>
      </w:r>
    </w:p>
    <w:p w:rsidR="002A667A" w:rsidRDefault="002A667A" w:rsidP="006638C9"/>
    <w:p w:rsidR="002A667A" w:rsidRDefault="008011AF" w:rsidP="006638C9">
      <w:pPr>
        <w:keepNext/>
        <w:jc w:val="center"/>
      </w:pPr>
      <w:r>
        <w:rPr>
          <w:noProof/>
        </w:rPr>
        <w:lastRenderedPageBreak/>
        <w:drawing>
          <wp:inline distT="0" distB="0" distL="0" distR="0" wp14:anchorId="30E14A34" wp14:editId="4DE86A68">
            <wp:extent cx="3977640" cy="2125980"/>
            <wp:effectExtent l="19050" t="19050" r="22860" b="26670"/>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7640" cy="2125980"/>
                    </a:xfrm>
                    <a:prstGeom prst="rect">
                      <a:avLst/>
                    </a:prstGeom>
                    <a:noFill/>
                    <a:ln w="6350" cmpd="sng">
                      <a:solidFill>
                        <a:srgbClr val="000000"/>
                      </a:solidFill>
                      <a:miter lim="800000"/>
                      <a:headEnd/>
                      <a:tailEnd/>
                    </a:ln>
                    <a:effectLst/>
                  </pic:spPr>
                </pic:pic>
              </a:graphicData>
            </a:graphic>
          </wp:inline>
        </w:drawing>
      </w:r>
    </w:p>
    <w:p w:rsidR="002A667A" w:rsidRDefault="002A667A" w:rsidP="006638C9">
      <w:pPr>
        <w:pStyle w:val="Titulek"/>
        <w:jc w:val="center"/>
      </w:pPr>
      <w:r>
        <w:t xml:space="preserve">Graf </w:t>
      </w:r>
      <w:r w:rsidR="00C64D03">
        <w:fldChar w:fldCharType="begin"/>
      </w:r>
      <w:r w:rsidR="00C64D03">
        <w:instrText xml:space="preserve"> SEQ Graf \* ARABIC </w:instrText>
      </w:r>
      <w:r w:rsidR="00C64D03">
        <w:fldChar w:fldCharType="separate"/>
      </w:r>
      <w:r>
        <w:rPr>
          <w:noProof/>
        </w:rPr>
        <w:t>13</w:t>
      </w:r>
      <w:r w:rsidR="00C64D03">
        <w:rPr>
          <w:noProof/>
        </w:rPr>
        <w:fldChar w:fldCharType="end"/>
      </w:r>
      <w:r>
        <w:t xml:space="preserve"> - </w:t>
      </w:r>
      <w:r w:rsidRPr="00813F23">
        <w:t>Odpovědi na otázku, jaká je výše ročního příjmu dotazovaných výzkumných institucí ze smluvního výzkumu</w:t>
      </w:r>
      <w:r>
        <w:t xml:space="preserve">; </w:t>
      </w:r>
      <w:r w:rsidRPr="005D77EC">
        <w:t>Zdroj: Dotazníkové šetření MPO 2014</w:t>
      </w:r>
    </w:p>
    <w:p w:rsidR="002A667A" w:rsidRDefault="002A667A" w:rsidP="006638C9"/>
    <w:p w:rsidR="002A667A" w:rsidRDefault="002A667A" w:rsidP="006638C9"/>
    <w:p w:rsidR="002A667A" w:rsidRDefault="002A667A" w:rsidP="006638C9">
      <w:r w:rsidRPr="00F62102">
        <w:t xml:space="preserve">Pro aktivity proof-of-concept i pre-seed existuje v zahraničí řada schémat a forem podpory. </w:t>
      </w:r>
      <w:r>
        <w:t>Je zřejmé,</w:t>
      </w:r>
      <w:r w:rsidRPr="00F62102">
        <w:t xml:space="preserve"> že pro tuto oblast je důležitá kombinace různých forem podpory, zajištění kvalitních a kvalifikovaných investorů, kteří jsou schopni projekty hodnotit a také provázání na další financování, které umožní projektům plynule přecházet do dalších fází.</w:t>
      </w:r>
    </w:p>
    <w:p w:rsidR="002A667A" w:rsidRDefault="002A667A" w:rsidP="006638C9"/>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firstRow="1" w:lastRow="0" w:firstColumn="1" w:lastColumn="0" w:noHBand="0" w:noVBand="0"/>
      </w:tblPr>
      <w:tblGrid>
        <w:gridCol w:w="2000"/>
        <w:gridCol w:w="6800"/>
      </w:tblGrid>
      <w:tr w:rsidR="002A667A" w:rsidRPr="00340B46" w:rsidTr="00B37E7F">
        <w:trPr>
          <w:trHeight w:val="482"/>
        </w:trPr>
        <w:tc>
          <w:tcPr>
            <w:tcW w:w="2000" w:type="dxa"/>
            <w:shd w:val="clear" w:color="auto" w:fill="92D400"/>
            <w:noWrap/>
          </w:tcPr>
          <w:p w:rsidR="002A667A" w:rsidRPr="00711EB4" w:rsidRDefault="002A667A" w:rsidP="00B37E7F">
            <w:pPr>
              <w:jc w:val="left"/>
              <w:rPr>
                <w:b/>
                <w:color w:val="FFFFFF"/>
              </w:rPr>
            </w:pPr>
            <w:r w:rsidRPr="00711EB4">
              <w:rPr>
                <w:b/>
                <w:color w:val="FFFFFF"/>
              </w:rPr>
              <w:t>BRIdge VC (Polsko)</w:t>
            </w:r>
          </w:p>
        </w:tc>
        <w:tc>
          <w:tcPr>
            <w:tcW w:w="6800" w:type="dxa"/>
            <w:shd w:val="clear" w:color="auto" w:fill="FFFFFF"/>
            <w:noWrap/>
          </w:tcPr>
          <w:p w:rsidR="002A667A" w:rsidRPr="00711EB4" w:rsidRDefault="002A667A" w:rsidP="00B37E7F">
            <w:pPr>
              <w:jc w:val="left"/>
              <w:rPr>
                <w:color w:val="000000"/>
                <w:szCs w:val="19"/>
              </w:rPr>
            </w:pPr>
            <w:r w:rsidRPr="00711EB4">
              <w:rPr>
                <w:color w:val="000000"/>
                <w:szCs w:val="19"/>
              </w:rPr>
              <w:t>V rámci programu jsou propojeny společné investice veřejných a soukromých prostředků do technologických projektů založených na výsledcích VaV. Program je spravovaný agenturou National Centre for Research and Development (NCRD).</w:t>
            </w:r>
          </w:p>
          <w:p w:rsidR="002A667A" w:rsidRPr="00711EB4" w:rsidRDefault="002A667A" w:rsidP="00B37E7F">
            <w:pPr>
              <w:jc w:val="left"/>
              <w:rPr>
                <w:color w:val="000000"/>
                <w:szCs w:val="19"/>
              </w:rPr>
            </w:pPr>
          </w:p>
          <w:p w:rsidR="002A667A" w:rsidRPr="00711EB4" w:rsidRDefault="002A667A" w:rsidP="00B37E7F">
            <w:pPr>
              <w:jc w:val="left"/>
              <w:rPr>
                <w:color w:val="000000"/>
                <w:szCs w:val="19"/>
              </w:rPr>
            </w:pPr>
            <w:r w:rsidRPr="00711EB4">
              <w:rPr>
                <w:color w:val="000000"/>
                <w:szCs w:val="19"/>
              </w:rPr>
              <w:t>NCRD přizvalo k realizaci fondy rizikového kapitálu, které se připojí k vytvoření „vehicles“ (celkem byly vytvořeny 3 tyto nástroje) a budou spolufinancovat vybrané projekty, a dále poradenské společnosti, které zajistí poradenské a coaching služby.</w:t>
            </w:r>
          </w:p>
          <w:p w:rsidR="002A667A" w:rsidRPr="00711EB4" w:rsidRDefault="002A667A" w:rsidP="00B37E7F">
            <w:pPr>
              <w:jc w:val="left"/>
              <w:rPr>
                <w:color w:val="000000"/>
                <w:szCs w:val="19"/>
              </w:rPr>
            </w:pPr>
            <w:r w:rsidRPr="00711EB4">
              <w:rPr>
                <w:color w:val="000000"/>
                <w:szCs w:val="19"/>
              </w:rPr>
              <w:t>Projekty jsou financovány ve třech fázích:</w:t>
            </w:r>
          </w:p>
          <w:p w:rsidR="002A667A" w:rsidRPr="00711EB4" w:rsidRDefault="002A667A" w:rsidP="006638C9">
            <w:pPr>
              <w:numPr>
                <w:ilvl w:val="0"/>
                <w:numId w:val="93"/>
              </w:numPr>
              <w:overflowPunct/>
              <w:autoSpaceDE/>
              <w:autoSpaceDN/>
              <w:adjustRightInd/>
              <w:jc w:val="left"/>
              <w:textAlignment w:val="auto"/>
              <w:rPr>
                <w:color w:val="000000"/>
                <w:szCs w:val="19"/>
              </w:rPr>
            </w:pPr>
            <w:r w:rsidRPr="00711EB4">
              <w:rPr>
                <w:color w:val="000000"/>
                <w:szCs w:val="19"/>
              </w:rPr>
              <w:t>pre-incubation stage – 80 % nenávratné podpory, 20 % rizikového financování</w:t>
            </w:r>
          </w:p>
          <w:p w:rsidR="002A667A" w:rsidRPr="00711EB4" w:rsidRDefault="002A667A" w:rsidP="006638C9">
            <w:pPr>
              <w:numPr>
                <w:ilvl w:val="0"/>
                <w:numId w:val="93"/>
              </w:numPr>
              <w:overflowPunct/>
              <w:autoSpaceDE/>
              <w:autoSpaceDN/>
              <w:adjustRightInd/>
              <w:jc w:val="left"/>
              <w:textAlignment w:val="auto"/>
              <w:rPr>
                <w:color w:val="000000"/>
                <w:szCs w:val="19"/>
              </w:rPr>
            </w:pPr>
            <w:r w:rsidRPr="00711EB4">
              <w:rPr>
                <w:color w:val="000000"/>
                <w:szCs w:val="19"/>
              </w:rPr>
              <w:t>incubation stage– 70 % nenávratné podpory, 30 % rizikového financování</w:t>
            </w:r>
          </w:p>
          <w:p w:rsidR="002A667A" w:rsidRPr="00711EB4" w:rsidRDefault="002A667A" w:rsidP="006638C9">
            <w:pPr>
              <w:numPr>
                <w:ilvl w:val="0"/>
                <w:numId w:val="93"/>
              </w:numPr>
              <w:overflowPunct/>
              <w:autoSpaceDE/>
              <w:autoSpaceDN/>
              <w:adjustRightInd/>
              <w:jc w:val="left"/>
              <w:textAlignment w:val="auto"/>
              <w:rPr>
                <w:color w:val="000000"/>
                <w:szCs w:val="19"/>
              </w:rPr>
            </w:pPr>
            <w:r w:rsidRPr="00711EB4">
              <w:rPr>
                <w:color w:val="000000"/>
                <w:szCs w:val="19"/>
              </w:rPr>
              <w:t>post-incubation/ acceleration stage– 50 % nenávratné podpory, 50 % rizikového financování</w:t>
            </w:r>
          </w:p>
          <w:p w:rsidR="002A667A" w:rsidRPr="00711EB4" w:rsidRDefault="002A667A" w:rsidP="00B37E7F">
            <w:pPr>
              <w:ind w:left="720"/>
              <w:jc w:val="left"/>
              <w:rPr>
                <w:color w:val="000000"/>
                <w:szCs w:val="19"/>
              </w:rPr>
            </w:pPr>
          </w:p>
          <w:p w:rsidR="002A667A" w:rsidRPr="00711EB4" w:rsidRDefault="002A667A" w:rsidP="00B37E7F">
            <w:pPr>
              <w:jc w:val="left"/>
              <w:rPr>
                <w:color w:val="000000"/>
                <w:szCs w:val="19"/>
              </w:rPr>
            </w:pPr>
            <w:r w:rsidRPr="00711EB4">
              <w:rPr>
                <w:color w:val="000000"/>
                <w:szCs w:val="19"/>
              </w:rPr>
              <w:t xml:space="preserve">Kromě finančních prostředků jsou podpořeným projektům nabídnuty poradenské služby zahrnující základní poradenství v oblasti podnikání a specializované služby, jako due diligence analýzy. </w:t>
            </w:r>
          </w:p>
          <w:p w:rsidR="002A667A" w:rsidRPr="00711EB4" w:rsidRDefault="002A667A" w:rsidP="00B37E7F">
            <w:pPr>
              <w:jc w:val="left"/>
              <w:rPr>
                <w:color w:val="000000"/>
                <w:szCs w:val="19"/>
              </w:rPr>
            </w:pPr>
          </w:p>
          <w:p w:rsidR="002A667A" w:rsidRPr="00711EB4" w:rsidRDefault="002A667A" w:rsidP="00B37E7F">
            <w:pPr>
              <w:jc w:val="left"/>
              <w:rPr>
                <w:rFonts w:cs="Calibri"/>
                <w:color w:val="000000"/>
              </w:rPr>
            </w:pPr>
            <w:r w:rsidRPr="00711EB4">
              <w:rPr>
                <w:color w:val="000000"/>
                <w:szCs w:val="19"/>
              </w:rPr>
              <w:t>Pokud projekt podpořený prostřednict</w:t>
            </w:r>
            <w:r>
              <w:rPr>
                <w:color w:val="000000"/>
                <w:szCs w:val="19"/>
              </w:rPr>
              <w:t>vím poradenských služeb vytvoří</w:t>
            </w:r>
            <w:r w:rsidRPr="00711EB4">
              <w:rPr>
                <w:color w:val="000000"/>
                <w:szCs w:val="19"/>
              </w:rPr>
              <w:t xml:space="preserve"> v důsl</w:t>
            </w:r>
            <w:r>
              <w:rPr>
                <w:color w:val="000000"/>
                <w:szCs w:val="19"/>
              </w:rPr>
              <w:t>edku komercializace</w:t>
            </w:r>
            <w:r w:rsidRPr="00711EB4">
              <w:rPr>
                <w:color w:val="000000"/>
                <w:szCs w:val="19"/>
              </w:rPr>
              <w:t xml:space="preserve"> příjem na úroveň nejméně čtyřikrát vyšší než 25% hodnoty poradenských služeb poskytovaných NCRD, musí následně uhradit NCRD částku, která se rovná hodnotě alespoň 25% nákladů na služby přijaté od NCRD v rámci této komponenty.</w:t>
            </w:r>
          </w:p>
        </w:tc>
      </w:tr>
      <w:tr w:rsidR="002A667A" w:rsidRPr="00340B46" w:rsidTr="00B37E7F">
        <w:trPr>
          <w:trHeight w:val="1260"/>
        </w:trPr>
        <w:tc>
          <w:tcPr>
            <w:tcW w:w="2000" w:type="dxa"/>
            <w:shd w:val="clear" w:color="auto" w:fill="92D400"/>
            <w:noWrap/>
          </w:tcPr>
          <w:p w:rsidR="002A667A" w:rsidRPr="00711EB4" w:rsidRDefault="002A667A" w:rsidP="00B37E7F">
            <w:pPr>
              <w:jc w:val="left"/>
              <w:rPr>
                <w:b/>
                <w:color w:val="FFFFFF"/>
              </w:rPr>
            </w:pPr>
            <w:r w:rsidRPr="00711EB4">
              <w:rPr>
                <w:b/>
                <w:color w:val="FFFFFF"/>
              </w:rPr>
              <w:lastRenderedPageBreak/>
              <w:t>IP Group, Fusion IP(Velká Británie)</w:t>
            </w:r>
          </w:p>
        </w:tc>
        <w:tc>
          <w:tcPr>
            <w:tcW w:w="6800" w:type="dxa"/>
            <w:shd w:val="clear" w:color="auto" w:fill="FFFFFF"/>
            <w:noWrap/>
          </w:tcPr>
          <w:p w:rsidR="002A667A" w:rsidRPr="00711EB4" w:rsidRDefault="002A667A" w:rsidP="00B37E7F">
            <w:pPr>
              <w:jc w:val="left"/>
              <w:rPr>
                <w:color w:val="000000"/>
              </w:rPr>
            </w:pPr>
            <w:r w:rsidRPr="00711EB4">
              <w:rPr>
                <w:color w:val="000000"/>
              </w:rPr>
              <w:t xml:space="preserve">Jedná se o společnosti (firmy) zaměřené na podporu komercializace. Společnosti jsou úzce provázány na univerzity (mají smlouvy s celkem 14 významnými britskými univerzitami). Jejich cílem je zajištění komercializace výsledků jejich VaV prostřednictvím poskytování potřebného kapitálu a poradenství zainvestovaným společnostem. </w:t>
            </w:r>
          </w:p>
          <w:p w:rsidR="002A667A" w:rsidRPr="00711EB4" w:rsidRDefault="002A667A" w:rsidP="00B37E7F">
            <w:pPr>
              <w:jc w:val="left"/>
              <w:rPr>
                <w:color w:val="000000"/>
              </w:rPr>
            </w:pPr>
          </w:p>
          <w:p w:rsidR="002A667A" w:rsidRPr="00711EB4" w:rsidRDefault="002A667A" w:rsidP="00B37E7F">
            <w:pPr>
              <w:jc w:val="left"/>
              <w:rPr>
                <w:color w:val="000000"/>
              </w:rPr>
            </w:pPr>
            <w:r w:rsidRPr="00711EB4">
              <w:rPr>
                <w:color w:val="000000"/>
              </w:rPr>
              <w:t xml:space="preserve">Potřebný a dostatečný dealflow je zajištěn díky exkluzivní spolupráci s danými univerzitami. Tým společností pracuje v úzkém kontaktu s partnery na univerzitách s cílem identifikovat slibný výzkum. Pro identifikované slibné případy jsou dále vytvářeny a rozvíjeny business (obchodní) modely, jsou vyhodnocovány a testovány a na základě toho je rozhodováno, zda a jak s nimi pokračovat dále. </w:t>
            </w:r>
          </w:p>
          <w:p w:rsidR="002A667A" w:rsidRPr="00711EB4" w:rsidRDefault="002A667A" w:rsidP="00B37E7F">
            <w:pPr>
              <w:jc w:val="left"/>
              <w:rPr>
                <w:color w:val="000000"/>
              </w:rPr>
            </w:pPr>
          </w:p>
          <w:p w:rsidR="002A667A" w:rsidRPr="00711EB4" w:rsidRDefault="002A667A" w:rsidP="00B37E7F">
            <w:pPr>
              <w:jc w:val="left"/>
              <w:rPr>
                <w:color w:val="000000"/>
              </w:rPr>
            </w:pPr>
            <w:r w:rsidRPr="00711EB4">
              <w:rPr>
                <w:color w:val="000000"/>
              </w:rPr>
              <w:t>V momentě, kdy projekt dospěje do fáze komercializace, je zajištěno potřebné financování pro založení společnosti a pokračování komercializace. Díky široké struktuře portfolia a úzké spolupráci s výzkumnými týmy (poradenství) se výrazně snížilo riziko neúspěchu.</w:t>
            </w:r>
          </w:p>
        </w:tc>
      </w:tr>
      <w:tr w:rsidR="002A667A" w:rsidRPr="00340B46" w:rsidTr="00B37E7F">
        <w:trPr>
          <w:trHeight w:val="315"/>
        </w:trPr>
        <w:tc>
          <w:tcPr>
            <w:tcW w:w="2000" w:type="dxa"/>
            <w:shd w:val="clear" w:color="auto" w:fill="92D400"/>
            <w:noWrap/>
          </w:tcPr>
          <w:p w:rsidR="002A667A" w:rsidRPr="00711EB4" w:rsidRDefault="002A667A" w:rsidP="00B37E7F">
            <w:pPr>
              <w:jc w:val="left"/>
              <w:rPr>
                <w:b/>
                <w:color w:val="000000"/>
              </w:rPr>
            </w:pPr>
            <w:r w:rsidRPr="00711EB4">
              <w:rPr>
                <w:b/>
                <w:color w:val="FFFFFF"/>
              </w:rPr>
              <w:t>Technology enterprise commercialisation scheme (Singapore)</w:t>
            </w:r>
          </w:p>
        </w:tc>
        <w:tc>
          <w:tcPr>
            <w:tcW w:w="6800" w:type="dxa"/>
            <w:shd w:val="clear" w:color="auto" w:fill="FFFFFF"/>
            <w:noWrap/>
          </w:tcPr>
          <w:p w:rsidR="002A667A" w:rsidRPr="000C1C23" w:rsidRDefault="002A667A" w:rsidP="00B37E7F">
            <w:r w:rsidRPr="000C1C23">
              <w:t xml:space="preserve">Podpora je zaměřena na dva typy projektů: </w:t>
            </w:r>
          </w:p>
          <w:p w:rsidR="002A667A" w:rsidRPr="000C1C23" w:rsidRDefault="002A667A" w:rsidP="006638C9">
            <w:pPr>
              <w:numPr>
                <w:ilvl w:val="0"/>
                <w:numId w:val="94"/>
              </w:numPr>
              <w:overflowPunct/>
              <w:autoSpaceDE/>
              <w:autoSpaceDN/>
              <w:adjustRightInd/>
              <w:textAlignment w:val="auto"/>
            </w:pPr>
            <w:r w:rsidRPr="000C1C23">
              <w:t>Proof-Of-Concept: technická životaschopnost nápadu musí být ještě prokázána, projekty jsou podporovány do výše 100 % nákladů prostřednictvím dotace.</w:t>
            </w:r>
          </w:p>
          <w:p w:rsidR="002A667A" w:rsidRPr="000C1C23" w:rsidRDefault="002A667A" w:rsidP="006638C9">
            <w:pPr>
              <w:numPr>
                <w:ilvl w:val="0"/>
                <w:numId w:val="94"/>
              </w:numPr>
              <w:overflowPunct/>
              <w:autoSpaceDE/>
              <w:autoSpaceDN/>
              <w:adjustRightInd/>
              <w:textAlignment w:val="auto"/>
            </w:pPr>
            <w:r w:rsidRPr="000C1C23">
              <w:t>Proof-Of-Value: PoC fáze je realizována, komerční hodnota daného nápadu / řešení musí být ověřena, nicméně předběžný zájem ze strany komerčního partnera by měl být prokázán. Projekty jsou financovány do výše pouze 85 % nákladů.</w:t>
            </w:r>
          </w:p>
          <w:p w:rsidR="002A667A" w:rsidRPr="000C1C23" w:rsidRDefault="002A667A" w:rsidP="00B37E7F"/>
          <w:p w:rsidR="002A667A" w:rsidRPr="000C1C23" w:rsidRDefault="002A667A" w:rsidP="00B37E7F">
            <w:r w:rsidRPr="000C1C23">
              <w:t>Projekty mohou být podávány v průběhu celého roku. Návrhy se přezkoumávají každé dva měsíce nebo dříve. Každý návrh projektu musí projít skrze třístupňový hodnotící proces s přísnými kritérii – vyhodnocení způsobilosti – vyhodnocení technických a obchodních aspektů – prezentace na panelu.</w:t>
            </w:r>
          </w:p>
        </w:tc>
      </w:tr>
    </w:tbl>
    <w:p w:rsidR="002A667A" w:rsidRDefault="002A667A" w:rsidP="006638C9">
      <w:pPr>
        <w:pStyle w:val="Titulek"/>
      </w:pPr>
      <w:r>
        <w:t xml:space="preserve">Tabulka </w:t>
      </w:r>
      <w:r w:rsidR="00C64D03">
        <w:fldChar w:fldCharType="begin"/>
      </w:r>
      <w:r w:rsidR="00C64D03">
        <w:instrText xml:space="preserve"> SEQ Tabulka \* ARABIC </w:instrText>
      </w:r>
      <w:r w:rsidR="00C64D03">
        <w:fldChar w:fldCharType="separate"/>
      </w:r>
      <w:r>
        <w:rPr>
          <w:noProof/>
        </w:rPr>
        <w:t>1</w:t>
      </w:r>
      <w:r w:rsidR="00C64D03">
        <w:rPr>
          <w:noProof/>
        </w:rPr>
        <w:fldChar w:fldCharType="end"/>
      </w:r>
      <w:r>
        <w:rPr>
          <w:noProof/>
        </w:rPr>
        <w:t>:</w:t>
      </w:r>
      <w:r>
        <w:t xml:space="preserve"> Příklady zahraničních schémat podpory pro aktivity Proof-Of-Concept</w:t>
      </w:r>
    </w:p>
    <w:p w:rsidR="002A667A" w:rsidRDefault="002A667A" w:rsidP="006638C9"/>
    <w:p w:rsidR="002A667A" w:rsidRDefault="002A667A" w:rsidP="006638C9"/>
    <w:p w:rsidR="00C35BF8" w:rsidRDefault="00C35BF8" w:rsidP="006638C9"/>
    <w:p w:rsidR="00C35BF8" w:rsidRDefault="00C35BF8" w:rsidP="006638C9"/>
    <w:p w:rsidR="00C35BF8" w:rsidRDefault="00C35BF8" w:rsidP="006638C9"/>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21" w:name="_Toc414464602"/>
      <w:r w:rsidRPr="00D03ACF">
        <w:t>Očekávané výsledky finančního nástroje</w:t>
      </w:r>
      <w:bookmarkEnd w:id="21"/>
    </w:p>
    <w:p w:rsidR="002A667A" w:rsidRPr="00B238E1" w:rsidRDefault="002A667A" w:rsidP="006638C9">
      <w:r w:rsidRPr="00B238E1">
        <w:t xml:space="preserve">Multiplikační a revolvingový efekt navrhovaného záručního instrumentu v SC 1.1 je </w:t>
      </w:r>
      <w:bookmarkStart w:id="22" w:name="_GoBack"/>
      <w:bookmarkEnd w:id="22"/>
      <w:r w:rsidRPr="00B238E1">
        <w:t>přímo závislý na strategii řízení rizika. Modelový scénář vychází z nastavení hodnot na základě zkušeností ze záručních programů OPPI a předpokladu využití celé alokace programů Inovace a Aplikace garančním nástrojem při maximální absorpci.</w:t>
      </w:r>
    </w:p>
    <w:p w:rsidR="002A667A" w:rsidRPr="00B238E1" w:rsidRDefault="002A667A" w:rsidP="006638C9"/>
    <w:p w:rsidR="002A667A" w:rsidRPr="00B238E1" w:rsidRDefault="002A667A" w:rsidP="006638C9">
      <w:r w:rsidRPr="00B238E1">
        <w:t>V případě úspěšného zavedení záruk bude dle modelových předpokladů s jejich pomocí dosaženo pákového efektu ve výši 6,5. Revolvingový efekt za předpokladu modelově nastavené rizikovosti záručního portfolia navíc umožní koncem programovacího období podpořit projekty dalšími 3, resp. 3,5 mld. v zárukách. Využitím záruk bude zaktivováno až 84, resp. 73 mld. soukromých úvěrů na projekty VaVaI v obou programech.</w:t>
      </w:r>
    </w:p>
    <w:p w:rsidR="002A667A" w:rsidRDefault="002A667A" w:rsidP="006638C9"/>
    <w:tbl>
      <w:tblPr>
        <w:tblW w:w="8620" w:type="dxa"/>
        <w:tblInd w:w="55" w:type="dxa"/>
        <w:tblCellMar>
          <w:left w:w="70" w:type="dxa"/>
          <w:right w:w="70" w:type="dxa"/>
        </w:tblCellMar>
        <w:tblLook w:val="00A0" w:firstRow="1" w:lastRow="0" w:firstColumn="1" w:lastColumn="0" w:noHBand="0" w:noVBand="0"/>
      </w:tblPr>
      <w:tblGrid>
        <w:gridCol w:w="2040"/>
        <w:gridCol w:w="3280"/>
        <w:gridCol w:w="1760"/>
        <w:gridCol w:w="1540"/>
      </w:tblGrid>
      <w:tr w:rsidR="002A667A" w:rsidRPr="00857163" w:rsidTr="00B37E7F">
        <w:trPr>
          <w:trHeight w:val="315"/>
        </w:trPr>
        <w:tc>
          <w:tcPr>
            <w:tcW w:w="2040" w:type="dxa"/>
            <w:tcBorders>
              <w:top w:val="single" w:sz="8" w:space="0" w:color="auto"/>
              <w:left w:val="single" w:sz="8" w:space="0" w:color="auto"/>
              <w:bottom w:val="single" w:sz="8" w:space="0" w:color="auto"/>
              <w:right w:val="nil"/>
            </w:tcBorders>
            <w:noWrap/>
            <w:vAlign w:val="bottom"/>
          </w:tcPr>
          <w:p w:rsidR="002A667A" w:rsidRPr="00857163" w:rsidRDefault="002A667A" w:rsidP="00B37E7F">
            <w:pPr>
              <w:jc w:val="center"/>
              <w:rPr>
                <w:rFonts w:cs="Calibri"/>
                <w:b/>
                <w:bCs/>
                <w:color w:val="000000"/>
                <w:szCs w:val="22"/>
              </w:rPr>
            </w:pPr>
            <w:r w:rsidRPr="00857163">
              <w:rPr>
                <w:rFonts w:cs="Calibri"/>
                <w:b/>
                <w:bCs/>
                <w:color w:val="000000"/>
                <w:szCs w:val="22"/>
              </w:rPr>
              <w:lastRenderedPageBreak/>
              <w:t>FINANČNÍ NÁSTROJ</w:t>
            </w:r>
          </w:p>
        </w:tc>
        <w:tc>
          <w:tcPr>
            <w:tcW w:w="3280" w:type="dxa"/>
            <w:tcBorders>
              <w:top w:val="single" w:sz="8" w:space="0" w:color="auto"/>
              <w:left w:val="nil"/>
              <w:bottom w:val="single" w:sz="8" w:space="0" w:color="auto"/>
              <w:right w:val="single" w:sz="8" w:space="0" w:color="auto"/>
            </w:tcBorders>
            <w:shd w:val="clear" w:color="000000" w:fill="538DD5"/>
            <w:vAlign w:val="bottom"/>
          </w:tcPr>
          <w:p w:rsidR="002A667A" w:rsidRPr="00857163" w:rsidRDefault="002A667A" w:rsidP="00B37E7F">
            <w:pPr>
              <w:jc w:val="center"/>
              <w:rPr>
                <w:rFonts w:cs="Calibri"/>
                <w:b/>
                <w:bCs/>
                <w:color w:val="FFFFFF"/>
                <w:szCs w:val="22"/>
              </w:rPr>
            </w:pPr>
            <w:r w:rsidRPr="00857163">
              <w:rPr>
                <w:rFonts w:cs="Calibri"/>
                <w:b/>
                <w:bCs/>
                <w:color w:val="FFFFFF"/>
                <w:szCs w:val="22"/>
              </w:rPr>
              <w:t>Typ nástroje</w:t>
            </w:r>
          </w:p>
        </w:tc>
        <w:tc>
          <w:tcPr>
            <w:tcW w:w="1760" w:type="dxa"/>
            <w:tcBorders>
              <w:top w:val="single" w:sz="8" w:space="0" w:color="auto"/>
              <w:left w:val="nil"/>
              <w:bottom w:val="single" w:sz="8" w:space="0" w:color="auto"/>
              <w:right w:val="single" w:sz="8" w:space="0" w:color="auto"/>
            </w:tcBorders>
            <w:noWrap/>
            <w:vAlign w:val="bottom"/>
          </w:tcPr>
          <w:p w:rsidR="002A667A" w:rsidRPr="00857163" w:rsidRDefault="002A667A" w:rsidP="00B37E7F">
            <w:pPr>
              <w:jc w:val="left"/>
              <w:rPr>
                <w:rFonts w:cs="Calibri"/>
                <w:b/>
                <w:bCs/>
                <w:color w:val="000000"/>
                <w:szCs w:val="22"/>
              </w:rPr>
            </w:pPr>
            <w:r w:rsidRPr="00857163">
              <w:rPr>
                <w:rFonts w:cs="Calibri"/>
                <w:b/>
                <w:bCs/>
                <w:color w:val="000000"/>
                <w:szCs w:val="22"/>
              </w:rPr>
              <w:t>Inovace</w:t>
            </w:r>
          </w:p>
        </w:tc>
        <w:tc>
          <w:tcPr>
            <w:tcW w:w="1540" w:type="dxa"/>
            <w:tcBorders>
              <w:top w:val="single" w:sz="8" w:space="0" w:color="auto"/>
              <w:left w:val="nil"/>
              <w:bottom w:val="single" w:sz="8" w:space="0" w:color="auto"/>
              <w:right w:val="nil"/>
            </w:tcBorders>
            <w:shd w:val="clear" w:color="000000" w:fill="DAEEF3"/>
            <w:noWrap/>
            <w:vAlign w:val="bottom"/>
          </w:tcPr>
          <w:p w:rsidR="002A667A" w:rsidRPr="00857163" w:rsidRDefault="002A667A" w:rsidP="00B37E7F">
            <w:pPr>
              <w:jc w:val="left"/>
              <w:rPr>
                <w:rFonts w:cs="Calibri"/>
                <w:b/>
                <w:bCs/>
                <w:color w:val="000000"/>
                <w:szCs w:val="22"/>
              </w:rPr>
            </w:pPr>
            <w:r w:rsidRPr="00857163">
              <w:rPr>
                <w:rFonts w:cs="Calibri"/>
                <w:b/>
                <w:bCs/>
                <w:color w:val="000000"/>
                <w:szCs w:val="22"/>
              </w:rPr>
              <w:t>Aplikace</w:t>
            </w:r>
          </w:p>
        </w:tc>
      </w:tr>
      <w:tr w:rsidR="002A667A" w:rsidRPr="00857163" w:rsidTr="00455CE7">
        <w:trPr>
          <w:trHeight w:val="315"/>
        </w:trPr>
        <w:tc>
          <w:tcPr>
            <w:tcW w:w="2040" w:type="dxa"/>
            <w:tcBorders>
              <w:top w:val="nil"/>
              <w:left w:val="single" w:sz="8" w:space="0" w:color="auto"/>
              <w:bottom w:val="nil"/>
              <w:right w:val="nil"/>
            </w:tcBorders>
            <w:noWrap/>
            <w:vAlign w:val="bottom"/>
          </w:tcPr>
          <w:p w:rsidR="002A667A" w:rsidRPr="00857163" w:rsidRDefault="002A667A" w:rsidP="00B37E7F">
            <w:pPr>
              <w:jc w:val="center"/>
              <w:rPr>
                <w:rFonts w:cs="Calibri"/>
                <w:b/>
                <w:bCs/>
                <w:color w:val="000000"/>
                <w:szCs w:val="22"/>
              </w:rPr>
            </w:pPr>
            <w:r w:rsidRPr="00857163">
              <w:rPr>
                <w:rFonts w:cs="Calibri"/>
                <w:b/>
                <w:bCs/>
                <w:color w:val="000000"/>
                <w:szCs w:val="22"/>
              </w:rPr>
              <w:t>ALOKACE</w:t>
            </w:r>
          </w:p>
        </w:tc>
        <w:tc>
          <w:tcPr>
            <w:tcW w:w="3280" w:type="dxa"/>
            <w:tcBorders>
              <w:top w:val="nil"/>
              <w:left w:val="nil"/>
              <w:bottom w:val="nil"/>
              <w:right w:val="single" w:sz="8" w:space="0" w:color="auto"/>
            </w:tcBorders>
            <w:shd w:val="clear" w:color="000000" w:fill="000000"/>
            <w:vAlign w:val="bottom"/>
          </w:tcPr>
          <w:p w:rsidR="002A667A" w:rsidRPr="00857163" w:rsidRDefault="002A667A" w:rsidP="00B37E7F">
            <w:pPr>
              <w:jc w:val="center"/>
              <w:rPr>
                <w:rFonts w:cs="Calibri"/>
                <w:b/>
                <w:bCs/>
                <w:color w:val="FFFFFF"/>
                <w:szCs w:val="22"/>
              </w:rPr>
            </w:pPr>
            <w:r w:rsidRPr="00857163">
              <w:rPr>
                <w:rFonts w:cs="Calibri"/>
                <w:b/>
                <w:bCs/>
                <w:color w:val="FFFFFF"/>
                <w:szCs w:val="22"/>
              </w:rPr>
              <w:t>Alokace FN (mil. CZK)</w:t>
            </w:r>
          </w:p>
        </w:tc>
        <w:tc>
          <w:tcPr>
            <w:tcW w:w="1760" w:type="dxa"/>
            <w:tcBorders>
              <w:top w:val="nil"/>
              <w:left w:val="nil"/>
              <w:bottom w:val="single" w:sz="8" w:space="0" w:color="BFBFBF"/>
              <w:right w:val="single" w:sz="8" w:space="0" w:color="auto"/>
            </w:tcBorders>
            <w:noWrap/>
          </w:tcPr>
          <w:p w:rsidR="002A667A" w:rsidRPr="00857163" w:rsidRDefault="002A667A" w:rsidP="00B37E7F">
            <w:pPr>
              <w:jc w:val="right"/>
              <w:rPr>
                <w:color w:val="000000"/>
                <w:sz w:val="18"/>
                <w:szCs w:val="18"/>
              </w:rPr>
            </w:pPr>
            <w:r w:rsidRPr="002563D4">
              <w:t>2 200</w:t>
            </w:r>
          </w:p>
        </w:tc>
        <w:tc>
          <w:tcPr>
            <w:tcW w:w="1540" w:type="dxa"/>
            <w:tcBorders>
              <w:top w:val="nil"/>
              <w:left w:val="nil"/>
              <w:bottom w:val="single" w:sz="8" w:space="0" w:color="BFBFBF"/>
              <w:right w:val="nil"/>
            </w:tcBorders>
            <w:shd w:val="clear" w:color="000000" w:fill="FFFFFF"/>
            <w:noWrap/>
          </w:tcPr>
          <w:p w:rsidR="002A667A" w:rsidRPr="00857163" w:rsidRDefault="002A667A" w:rsidP="00B37E7F">
            <w:pPr>
              <w:jc w:val="right"/>
              <w:rPr>
                <w:color w:val="000000"/>
                <w:sz w:val="18"/>
                <w:szCs w:val="18"/>
              </w:rPr>
            </w:pPr>
            <w:r w:rsidRPr="002563D4">
              <w:t>1 720</w:t>
            </w:r>
          </w:p>
        </w:tc>
      </w:tr>
      <w:tr w:rsidR="002A667A" w:rsidRPr="00857163" w:rsidTr="00455CE7">
        <w:trPr>
          <w:trHeight w:val="525"/>
        </w:trPr>
        <w:tc>
          <w:tcPr>
            <w:tcW w:w="2040" w:type="dxa"/>
            <w:vMerge w:val="restart"/>
            <w:tcBorders>
              <w:top w:val="nil"/>
              <w:left w:val="single" w:sz="8" w:space="0" w:color="auto"/>
              <w:bottom w:val="single" w:sz="8" w:space="0" w:color="BFBFBF"/>
              <w:right w:val="nil"/>
            </w:tcBorders>
            <w:noWrap/>
            <w:vAlign w:val="center"/>
          </w:tcPr>
          <w:p w:rsidR="002A667A" w:rsidRPr="00857163" w:rsidRDefault="002A667A" w:rsidP="00B37E7F">
            <w:pPr>
              <w:jc w:val="center"/>
              <w:rPr>
                <w:rFonts w:cs="Calibri"/>
                <w:b/>
                <w:bCs/>
                <w:color w:val="000000"/>
                <w:szCs w:val="22"/>
              </w:rPr>
            </w:pPr>
            <w:r w:rsidRPr="00857163">
              <w:rPr>
                <w:rFonts w:cs="Calibri"/>
                <w:b/>
                <w:bCs/>
                <w:color w:val="000000"/>
                <w:szCs w:val="22"/>
              </w:rPr>
              <w:t>ČERPÁNÍ ALOKACE</w:t>
            </w:r>
          </w:p>
        </w:tc>
        <w:tc>
          <w:tcPr>
            <w:tcW w:w="3280" w:type="dxa"/>
            <w:tcBorders>
              <w:top w:val="nil"/>
              <w:left w:val="nil"/>
              <w:bottom w:val="single" w:sz="8" w:space="0" w:color="auto"/>
              <w:right w:val="single" w:sz="8" w:space="0" w:color="auto"/>
            </w:tcBorders>
            <w:shd w:val="clear" w:color="000000" w:fill="538DD5"/>
            <w:vAlign w:val="center"/>
          </w:tcPr>
          <w:p w:rsidR="002A667A" w:rsidRPr="00857163" w:rsidRDefault="002A667A" w:rsidP="00B37E7F">
            <w:pPr>
              <w:jc w:val="center"/>
              <w:rPr>
                <w:rFonts w:cs="Calibri"/>
                <w:b/>
                <w:bCs/>
                <w:color w:val="FFFFFF"/>
                <w:sz w:val="20"/>
              </w:rPr>
            </w:pPr>
            <w:r w:rsidRPr="00857163">
              <w:rPr>
                <w:rFonts w:cs="Calibri"/>
                <w:b/>
                <w:bCs/>
                <w:color w:val="FFFFFF"/>
                <w:sz w:val="20"/>
              </w:rPr>
              <w:t>Veřejné zdroje FN po odečtení MCF  (mil. CZK)</w:t>
            </w:r>
          </w:p>
        </w:tc>
        <w:tc>
          <w:tcPr>
            <w:tcW w:w="1760" w:type="dxa"/>
            <w:tcBorders>
              <w:top w:val="single" w:sz="8" w:space="0" w:color="auto"/>
              <w:left w:val="nil"/>
              <w:bottom w:val="single" w:sz="8" w:space="0" w:color="BFBFBF"/>
              <w:right w:val="single" w:sz="8" w:space="0" w:color="auto"/>
            </w:tcBorders>
            <w:noWrap/>
          </w:tcPr>
          <w:p w:rsidR="002A667A" w:rsidRPr="00857163" w:rsidRDefault="002A667A" w:rsidP="00B37E7F">
            <w:pPr>
              <w:jc w:val="right"/>
              <w:rPr>
                <w:color w:val="000000"/>
                <w:sz w:val="18"/>
                <w:szCs w:val="18"/>
              </w:rPr>
            </w:pPr>
            <w:r w:rsidRPr="002563D4">
              <w:t>1 980</w:t>
            </w:r>
          </w:p>
        </w:tc>
        <w:tc>
          <w:tcPr>
            <w:tcW w:w="1540" w:type="dxa"/>
            <w:tcBorders>
              <w:top w:val="single" w:sz="8" w:space="0" w:color="auto"/>
              <w:left w:val="nil"/>
              <w:bottom w:val="single" w:sz="8" w:space="0" w:color="BFBFBF"/>
              <w:right w:val="nil"/>
            </w:tcBorders>
            <w:shd w:val="clear" w:color="000000" w:fill="DAEEF3"/>
            <w:noWrap/>
          </w:tcPr>
          <w:p w:rsidR="002A667A" w:rsidRPr="00857163" w:rsidRDefault="002A667A" w:rsidP="00B37E7F">
            <w:pPr>
              <w:jc w:val="right"/>
              <w:rPr>
                <w:color w:val="000000"/>
                <w:sz w:val="18"/>
                <w:szCs w:val="18"/>
              </w:rPr>
            </w:pPr>
            <w:r w:rsidRPr="002563D4">
              <w:t>1 560</w:t>
            </w:r>
          </w:p>
        </w:tc>
      </w:tr>
      <w:tr w:rsidR="002A667A" w:rsidRPr="00857163" w:rsidTr="00455CE7">
        <w:trPr>
          <w:trHeight w:val="525"/>
        </w:trPr>
        <w:tc>
          <w:tcPr>
            <w:tcW w:w="2040" w:type="dxa"/>
            <w:vMerge/>
            <w:tcBorders>
              <w:top w:val="nil"/>
              <w:left w:val="single" w:sz="8" w:space="0" w:color="auto"/>
              <w:bottom w:val="single" w:sz="8" w:space="0" w:color="BFBFBF"/>
              <w:right w:val="nil"/>
            </w:tcBorders>
            <w:vAlign w:val="center"/>
          </w:tcPr>
          <w:p w:rsidR="002A667A" w:rsidRPr="00857163" w:rsidRDefault="002A667A" w:rsidP="00B37E7F">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2A667A" w:rsidRPr="00857163" w:rsidRDefault="002A667A" w:rsidP="00B37E7F">
            <w:pPr>
              <w:jc w:val="center"/>
              <w:rPr>
                <w:rFonts w:cs="Calibri"/>
                <w:b/>
                <w:bCs/>
                <w:color w:val="FFFFFF"/>
                <w:sz w:val="20"/>
              </w:rPr>
            </w:pPr>
            <w:r w:rsidRPr="00857163">
              <w:rPr>
                <w:rFonts w:cs="Calibri"/>
                <w:b/>
                <w:bCs/>
                <w:color w:val="FFFFFF"/>
                <w:sz w:val="20"/>
              </w:rPr>
              <w:t>Pákový efekt na projektech konečných příjemců</w:t>
            </w:r>
          </w:p>
        </w:tc>
        <w:tc>
          <w:tcPr>
            <w:tcW w:w="1760" w:type="dxa"/>
            <w:tcBorders>
              <w:top w:val="nil"/>
              <w:left w:val="nil"/>
              <w:bottom w:val="nil"/>
              <w:right w:val="single" w:sz="8" w:space="0" w:color="auto"/>
            </w:tcBorders>
            <w:noWrap/>
          </w:tcPr>
          <w:p w:rsidR="002A667A" w:rsidRPr="00857163" w:rsidRDefault="002A667A" w:rsidP="00B37E7F">
            <w:pPr>
              <w:jc w:val="right"/>
              <w:rPr>
                <w:rFonts w:cs="Calibri"/>
                <w:color w:val="000000"/>
                <w:szCs w:val="22"/>
              </w:rPr>
            </w:pPr>
            <w:r>
              <w:rPr>
                <w:rFonts w:cs="Calibri"/>
                <w:color w:val="000000"/>
                <w:szCs w:val="22"/>
              </w:rPr>
              <w:t>6,5</w:t>
            </w:r>
          </w:p>
        </w:tc>
        <w:tc>
          <w:tcPr>
            <w:tcW w:w="1540" w:type="dxa"/>
            <w:tcBorders>
              <w:top w:val="nil"/>
              <w:left w:val="nil"/>
              <w:bottom w:val="nil"/>
              <w:right w:val="nil"/>
            </w:tcBorders>
            <w:shd w:val="clear" w:color="000000" w:fill="FFFFFF"/>
            <w:noWrap/>
          </w:tcPr>
          <w:p w:rsidR="002A667A" w:rsidRPr="00857163" w:rsidRDefault="002A667A" w:rsidP="00B37E7F">
            <w:pPr>
              <w:jc w:val="right"/>
              <w:rPr>
                <w:rFonts w:cs="Calibri"/>
                <w:color w:val="000000"/>
                <w:szCs w:val="22"/>
              </w:rPr>
            </w:pPr>
            <w:r>
              <w:rPr>
                <w:rFonts w:cs="Calibri"/>
                <w:color w:val="000000"/>
                <w:szCs w:val="22"/>
              </w:rPr>
              <w:t>6,5</w:t>
            </w:r>
          </w:p>
        </w:tc>
      </w:tr>
      <w:tr w:rsidR="002A667A" w:rsidRPr="00857163" w:rsidTr="00455CE7">
        <w:trPr>
          <w:trHeight w:val="525"/>
        </w:trPr>
        <w:tc>
          <w:tcPr>
            <w:tcW w:w="2040" w:type="dxa"/>
            <w:vMerge/>
            <w:tcBorders>
              <w:top w:val="nil"/>
              <w:left w:val="single" w:sz="8" w:space="0" w:color="auto"/>
              <w:bottom w:val="single" w:sz="8" w:space="0" w:color="BFBFBF"/>
              <w:right w:val="nil"/>
            </w:tcBorders>
            <w:vAlign w:val="center"/>
          </w:tcPr>
          <w:p w:rsidR="002A667A" w:rsidRPr="00857163" w:rsidRDefault="002A667A" w:rsidP="00B37E7F">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2A667A" w:rsidRPr="00857163" w:rsidRDefault="002A667A" w:rsidP="00B37E7F">
            <w:pPr>
              <w:jc w:val="center"/>
              <w:rPr>
                <w:rFonts w:cs="Calibri"/>
                <w:b/>
                <w:bCs/>
                <w:color w:val="FFFFFF"/>
                <w:sz w:val="20"/>
              </w:rPr>
            </w:pPr>
            <w:r w:rsidRPr="00857163">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tcPr>
          <w:p w:rsidR="002A667A" w:rsidRPr="00857163" w:rsidRDefault="002A667A" w:rsidP="00B37E7F">
            <w:pPr>
              <w:jc w:val="right"/>
              <w:rPr>
                <w:rFonts w:cs="Calibri"/>
                <w:color w:val="000000"/>
                <w:szCs w:val="22"/>
              </w:rPr>
            </w:pPr>
            <w:r w:rsidRPr="002563D4">
              <w:t>12 880</w:t>
            </w:r>
          </w:p>
        </w:tc>
        <w:tc>
          <w:tcPr>
            <w:tcW w:w="1540" w:type="dxa"/>
            <w:tcBorders>
              <w:top w:val="nil"/>
              <w:left w:val="nil"/>
              <w:bottom w:val="nil"/>
              <w:right w:val="nil"/>
            </w:tcBorders>
            <w:shd w:val="clear" w:color="000000" w:fill="DAEEF3"/>
            <w:noWrap/>
          </w:tcPr>
          <w:p w:rsidR="002A667A" w:rsidRPr="00857163" w:rsidRDefault="002A667A" w:rsidP="00B37E7F">
            <w:pPr>
              <w:jc w:val="right"/>
              <w:rPr>
                <w:rFonts w:cs="Calibri"/>
                <w:color w:val="000000"/>
                <w:szCs w:val="22"/>
              </w:rPr>
            </w:pPr>
            <w:r w:rsidRPr="002563D4">
              <w:t>10 060</w:t>
            </w:r>
          </w:p>
        </w:tc>
      </w:tr>
      <w:tr w:rsidR="002A667A" w:rsidRPr="00857163" w:rsidTr="00455CE7">
        <w:trPr>
          <w:trHeight w:val="525"/>
        </w:trPr>
        <w:tc>
          <w:tcPr>
            <w:tcW w:w="2040" w:type="dxa"/>
            <w:vMerge/>
            <w:tcBorders>
              <w:top w:val="nil"/>
              <w:left w:val="single" w:sz="8" w:space="0" w:color="auto"/>
              <w:bottom w:val="single" w:sz="8" w:space="0" w:color="BFBFBF"/>
              <w:right w:val="nil"/>
            </w:tcBorders>
            <w:vAlign w:val="center"/>
          </w:tcPr>
          <w:p w:rsidR="002A667A" w:rsidRPr="00857163" w:rsidRDefault="002A667A" w:rsidP="00B37E7F">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2A667A" w:rsidRPr="00857163" w:rsidRDefault="002A667A" w:rsidP="00B37E7F">
            <w:pPr>
              <w:jc w:val="center"/>
              <w:rPr>
                <w:rFonts w:cs="Calibri"/>
                <w:b/>
                <w:bCs/>
                <w:color w:val="FFFFFF"/>
                <w:sz w:val="20"/>
              </w:rPr>
            </w:pPr>
            <w:r w:rsidRPr="00857163">
              <w:rPr>
                <w:rFonts w:cs="Calibri"/>
                <w:b/>
                <w:bCs/>
                <w:color w:val="FFFFFF"/>
                <w:sz w:val="20"/>
              </w:rPr>
              <w:t>Průměrná výše úvěru/investice konečného příjemce  (mil. CZK)</w:t>
            </w:r>
          </w:p>
        </w:tc>
        <w:tc>
          <w:tcPr>
            <w:tcW w:w="1760" w:type="dxa"/>
            <w:tcBorders>
              <w:top w:val="nil"/>
              <w:left w:val="nil"/>
              <w:bottom w:val="nil"/>
              <w:right w:val="single" w:sz="8" w:space="0" w:color="auto"/>
            </w:tcBorders>
            <w:noWrap/>
          </w:tcPr>
          <w:p w:rsidR="002A667A" w:rsidRPr="00857163" w:rsidRDefault="008331D2" w:rsidP="00B37E7F">
            <w:pPr>
              <w:jc w:val="right"/>
              <w:rPr>
                <w:rFonts w:cs="Calibri"/>
                <w:color w:val="000000"/>
                <w:szCs w:val="22"/>
              </w:rPr>
            </w:pPr>
            <w:r>
              <w:t>31</w:t>
            </w:r>
          </w:p>
        </w:tc>
        <w:tc>
          <w:tcPr>
            <w:tcW w:w="1540" w:type="dxa"/>
            <w:tcBorders>
              <w:top w:val="nil"/>
              <w:left w:val="nil"/>
              <w:bottom w:val="nil"/>
              <w:right w:val="nil"/>
            </w:tcBorders>
            <w:shd w:val="clear" w:color="000000" w:fill="FFFFFF"/>
            <w:noWrap/>
          </w:tcPr>
          <w:p w:rsidR="002A667A" w:rsidRPr="00857163" w:rsidRDefault="008331D2" w:rsidP="00B37E7F">
            <w:pPr>
              <w:jc w:val="right"/>
              <w:rPr>
                <w:rFonts w:cs="Calibri"/>
                <w:color w:val="000000"/>
                <w:szCs w:val="22"/>
              </w:rPr>
            </w:pPr>
            <w:r>
              <w:t>25</w:t>
            </w:r>
          </w:p>
        </w:tc>
      </w:tr>
      <w:tr w:rsidR="002A667A" w:rsidRPr="00857163" w:rsidTr="00455CE7">
        <w:trPr>
          <w:trHeight w:val="420"/>
        </w:trPr>
        <w:tc>
          <w:tcPr>
            <w:tcW w:w="2040" w:type="dxa"/>
            <w:vMerge/>
            <w:tcBorders>
              <w:top w:val="nil"/>
              <w:left w:val="single" w:sz="8" w:space="0" w:color="auto"/>
              <w:bottom w:val="single" w:sz="8" w:space="0" w:color="BFBFBF"/>
              <w:right w:val="nil"/>
            </w:tcBorders>
            <w:vAlign w:val="center"/>
          </w:tcPr>
          <w:p w:rsidR="002A667A" w:rsidRPr="00857163" w:rsidRDefault="002A667A" w:rsidP="00B37E7F">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2A667A" w:rsidRPr="00857163" w:rsidRDefault="002A667A" w:rsidP="00B37E7F">
            <w:pPr>
              <w:jc w:val="center"/>
              <w:rPr>
                <w:rFonts w:cs="Calibri"/>
                <w:b/>
                <w:bCs/>
                <w:color w:val="FFFFFF"/>
                <w:sz w:val="20"/>
              </w:rPr>
            </w:pPr>
            <w:r w:rsidRPr="00857163">
              <w:rPr>
                <w:rFonts w:cs="Calibri"/>
                <w:b/>
                <w:bCs/>
                <w:color w:val="FFFFFF"/>
                <w:sz w:val="20"/>
              </w:rPr>
              <w:t>Počet projektů konečných příjemců</w:t>
            </w:r>
          </w:p>
        </w:tc>
        <w:tc>
          <w:tcPr>
            <w:tcW w:w="1760" w:type="dxa"/>
            <w:tcBorders>
              <w:top w:val="nil"/>
              <w:left w:val="nil"/>
              <w:bottom w:val="single" w:sz="8" w:space="0" w:color="auto"/>
              <w:right w:val="single" w:sz="8" w:space="0" w:color="auto"/>
            </w:tcBorders>
            <w:noWrap/>
          </w:tcPr>
          <w:p w:rsidR="002A667A" w:rsidRPr="00857163" w:rsidRDefault="002A667A" w:rsidP="00B37E7F">
            <w:pPr>
              <w:jc w:val="right"/>
              <w:rPr>
                <w:rFonts w:cs="Calibri"/>
                <w:color w:val="000000"/>
                <w:szCs w:val="22"/>
              </w:rPr>
            </w:pPr>
            <w:r w:rsidRPr="002563D4">
              <w:t>415</w:t>
            </w:r>
          </w:p>
        </w:tc>
        <w:tc>
          <w:tcPr>
            <w:tcW w:w="1540" w:type="dxa"/>
            <w:tcBorders>
              <w:top w:val="nil"/>
              <w:left w:val="nil"/>
              <w:bottom w:val="single" w:sz="8" w:space="0" w:color="auto"/>
              <w:right w:val="nil"/>
            </w:tcBorders>
            <w:shd w:val="clear" w:color="000000" w:fill="DAEEF3"/>
            <w:noWrap/>
          </w:tcPr>
          <w:p w:rsidR="002A667A" w:rsidRPr="00857163" w:rsidRDefault="002A667A" w:rsidP="00B37E7F">
            <w:pPr>
              <w:jc w:val="right"/>
              <w:rPr>
                <w:rFonts w:cs="Calibri"/>
                <w:color w:val="000000"/>
                <w:szCs w:val="22"/>
              </w:rPr>
            </w:pPr>
            <w:r w:rsidRPr="002563D4">
              <w:t>402</w:t>
            </w:r>
          </w:p>
        </w:tc>
      </w:tr>
      <w:tr w:rsidR="002A667A" w:rsidRPr="00857163" w:rsidTr="00455CE7">
        <w:trPr>
          <w:trHeight w:val="525"/>
        </w:trPr>
        <w:tc>
          <w:tcPr>
            <w:tcW w:w="2040" w:type="dxa"/>
            <w:vMerge w:val="restart"/>
            <w:tcBorders>
              <w:top w:val="nil"/>
              <w:left w:val="single" w:sz="8" w:space="0" w:color="auto"/>
              <w:bottom w:val="nil"/>
              <w:right w:val="nil"/>
            </w:tcBorders>
            <w:vAlign w:val="center"/>
          </w:tcPr>
          <w:p w:rsidR="002A667A" w:rsidRPr="00857163" w:rsidRDefault="002A667A" w:rsidP="00B37E7F">
            <w:pPr>
              <w:jc w:val="center"/>
              <w:rPr>
                <w:b/>
                <w:bCs/>
                <w:color w:val="000000"/>
                <w:sz w:val="18"/>
                <w:szCs w:val="18"/>
              </w:rPr>
            </w:pPr>
            <w:r w:rsidRPr="00857163">
              <w:rPr>
                <w:b/>
                <w:bCs/>
                <w:color w:val="000000"/>
                <w:sz w:val="18"/>
                <w:szCs w:val="18"/>
              </w:rPr>
              <w:t>OBRÁTKA</w:t>
            </w:r>
          </w:p>
        </w:tc>
        <w:tc>
          <w:tcPr>
            <w:tcW w:w="3280" w:type="dxa"/>
            <w:tcBorders>
              <w:top w:val="nil"/>
              <w:left w:val="nil"/>
              <w:bottom w:val="single" w:sz="8" w:space="0" w:color="auto"/>
              <w:right w:val="single" w:sz="8" w:space="0" w:color="auto"/>
            </w:tcBorders>
            <w:shd w:val="clear" w:color="000000" w:fill="000000"/>
            <w:vAlign w:val="center"/>
          </w:tcPr>
          <w:p w:rsidR="002A667A" w:rsidRPr="00857163" w:rsidRDefault="002A667A" w:rsidP="00B37E7F">
            <w:pPr>
              <w:jc w:val="center"/>
              <w:rPr>
                <w:rFonts w:cs="Calibri"/>
                <w:b/>
                <w:bCs/>
                <w:color w:val="FFFFFF"/>
                <w:sz w:val="20"/>
              </w:rPr>
            </w:pPr>
            <w:r w:rsidRPr="00857163">
              <w:rPr>
                <w:rFonts w:cs="Calibri"/>
                <w:b/>
                <w:bCs/>
                <w:color w:val="FFFFFF"/>
                <w:sz w:val="20"/>
              </w:rPr>
              <w:t>Veřejné zdroje FN po odečtení MCF, ztrát a grantů  (mil. CZK)</w:t>
            </w:r>
          </w:p>
        </w:tc>
        <w:tc>
          <w:tcPr>
            <w:tcW w:w="1760" w:type="dxa"/>
            <w:tcBorders>
              <w:top w:val="nil"/>
              <w:left w:val="nil"/>
              <w:bottom w:val="single" w:sz="8" w:space="0" w:color="BFBFBF"/>
              <w:right w:val="single" w:sz="8" w:space="0" w:color="auto"/>
            </w:tcBorders>
            <w:noWrap/>
          </w:tcPr>
          <w:p w:rsidR="002A667A" w:rsidRPr="00857163" w:rsidRDefault="002A667A" w:rsidP="00B37E7F">
            <w:pPr>
              <w:jc w:val="right"/>
              <w:rPr>
                <w:color w:val="000000"/>
                <w:sz w:val="18"/>
                <w:szCs w:val="18"/>
              </w:rPr>
            </w:pPr>
            <w:r w:rsidRPr="002563D4">
              <w:t>600</w:t>
            </w:r>
          </w:p>
        </w:tc>
        <w:tc>
          <w:tcPr>
            <w:tcW w:w="1540" w:type="dxa"/>
            <w:tcBorders>
              <w:top w:val="nil"/>
              <w:left w:val="nil"/>
              <w:bottom w:val="single" w:sz="8" w:space="0" w:color="BFBFBF"/>
              <w:right w:val="nil"/>
            </w:tcBorders>
            <w:shd w:val="clear" w:color="000000" w:fill="FFFFFF"/>
            <w:noWrap/>
          </w:tcPr>
          <w:p w:rsidR="002A667A" w:rsidRPr="00857163" w:rsidRDefault="002A667A" w:rsidP="00B37E7F">
            <w:pPr>
              <w:jc w:val="right"/>
              <w:rPr>
                <w:color w:val="000000"/>
                <w:sz w:val="18"/>
                <w:szCs w:val="18"/>
              </w:rPr>
            </w:pPr>
            <w:r w:rsidRPr="002563D4">
              <w:t>700</w:t>
            </w:r>
          </w:p>
        </w:tc>
      </w:tr>
      <w:tr w:rsidR="002A667A" w:rsidRPr="00857163" w:rsidTr="00455CE7">
        <w:trPr>
          <w:trHeight w:val="525"/>
        </w:trPr>
        <w:tc>
          <w:tcPr>
            <w:tcW w:w="2040" w:type="dxa"/>
            <w:vMerge/>
            <w:tcBorders>
              <w:top w:val="nil"/>
              <w:left w:val="single" w:sz="8" w:space="0" w:color="auto"/>
              <w:bottom w:val="nil"/>
              <w:right w:val="nil"/>
            </w:tcBorders>
            <w:vAlign w:val="center"/>
          </w:tcPr>
          <w:p w:rsidR="002A667A" w:rsidRPr="00857163" w:rsidRDefault="002A667A" w:rsidP="00B37E7F">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2A667A" w:rsidRPr="00857163" w:rsidRDefault="002A667A" w:rsidP="00B37E7F">
            <w:pPr>
              <w:jc w:val="center"/>
              <w:rPr>
                <w:rFonts w:cs="Calibri"/>
                <w:b/>
                <w:bCs/>
                <w:color w:val="FFFFFF"/>
                <w:sz w:val="20"/>
              </w:rPr>
            </w:pPr>
            <w:r w:rsidRPr="00857163">
              <w:rPr>
                <w:rFonts w:cs="Calibri"/>
                <w:b/>
                <w:bCs/>
                <w:color w:val="FFFFFF"/>
                <w:sz w:val="20"/>
              </w:rPr>
              <w:t>Pákový efekt na projektech konečných příjemců</w:t>
            </w:r>
          </w:p>
        </w:tc>
        <w:tc>
          <w:tcPr>
            <w:tcW w:w="1760" w:type="dxa"/>
            <w:tcBorders>
              <w:top w:val="nil"/>
              <w:left w:val="nil"/>
              <w:bottom w:val="single" w:sz="8" w:space="0" w:color="BFBFBF"/>
              <w:right w:val="single" w:sz="8" w:space="0" w:color="auto"/>
            </w:tcBorders>
            <w:noWrap/>
          </w:tcPr>
          <w:p w:rsidR="002A667A" w:rsidRPr="00857163" w:rsidRDefault="00B5257E" w:rsidP="00B37E7F">
            <w:pPr>
              <w:jc w:val="right"/>
              <w:rPr>
                <w:color w:val="000000"/>
                <w:sz w:val="18"/>
                <w:szCs w:val="18"/>
              </w:rPr>
            </w:pPr>
            <w:r>
              <w:t>6,5</w:t>
            </w:r>
          </w:p>
        </w:tc>
        <w:tc>
          <w:tcPr>
            <w:tcW w:w="1540" w:type="dxa"/>
            <w:tcBorders>
              <w:top w:val="nil"/>
              <w:left w:val="nil"/>
              <w:bottom w:val="single" w:sz="8" w:space="0" w:color="BFBFBF"/>
              <w:right w:val="nil"/>
            </w:tcBorders>
            <w:shd w:val="clear" w:color="000000" w:fill="DAEEF3"/>
            <w:noWrap/>
          </w:tcPr>
          <w:p w:rsidR="002A667A" w:rsidRPr="00857163" w:rsidRDefault="00B5257E" w:rsidP="00B37E7F">
            <w:pPr>
              <w:jc w:val="right"/>
              <w:rPr>
                <w:color w:val="000000"/>
                <w:sz w:val="18"/>
                <w:szCs w:val="18"/>
              </w:rPr>
            </w:pPr>
            <w:r>
              <w:t>6,5</w:t>
            </w:r>
          </w:p>
        </w:tc>
      </w:tr>
      <w:tr w:rsidR="002A667A" w:rsidRPr="00857163" w:rsidTr="00455CE7">
        <w:trPr>
          <w:trHeight w:val="525"/>
        </w:trPr>
        <w:tc>
          <w:tcPr>
            <w:tcW w:w="2040" w:type="dxa"/>
            <w:vMerge/>
            <w:tcBorders>
              <w:top w:val="nil"/>
              <w:left w:val="single" w:sz="8" w:space="0" w:color="auto"/>
              <w:bottom w:val="nil"/>
              <w:right w:val="nil"/>
            </w:tcBorders>
            <w:vAlign w:val="center"/>
          </w:tcPr>
          <w:p w:rsidR="002A667A" w:rsidRPr="00857163" w:rsidRDefault="002A667A" w:rsidP="00B37E7F">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2A667A" w:rsidRPr="00857163" w:rsidRDefault="002A667A" w:rsidP="00B37E7F">
            <w:pPr>
              <w:jc w:val="center"/>
              <w:rPr>
                <w:rFonts w:cs="Calibri"/>
                <w:b/>
                <w:bCs/>
                <w:color w:val="FFFFFF"/>
                <w:sz w:val="20"/>
              </w:rPr>
            </w:pPr>
            <w:r w:rsidRPr="00857163">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tcPr>
          <w:p w:rsidR="002A667A" w:rsidRPr="00857163" w:rsidRDefault="002A667A" w:rsidP="00B37E7F">
            <w:pPr>
              <w:jc w:val="right"/>
              <w:rPr>
                <w:rFonts w:cs="Calibri"/>
                <w:color w:val="000000"/>
                <w:szCs w:val="22"/>
              </w:rPr>
            </w:pPr>
            <w:r w:rsidRPr="002563D4">
              <w:t>3 860</w:t>
            </w:r>
          </w:p>
        </w:tc>
        <w:tc>
          <w:tcPr>
            <w:tcW w:w="1540" w:type="dxa"/>
            <w:tcBorders>
              <w:top w:val="nil"/>
              <w:left w:val="nil"/>
              <w:bottom w:val="nil"/>
              <w:right w:val="nil"/>
            </w:tcBorders>
            <w:shd w:val="clear" w:color="000000" w:fill="FFFFFF"/>
            <w:noWrap/>
          </w:tcPr>
          <w:p w:rsidR="002A667A" w:rsidRPr="00857163" w:rsidRDefault="002A667A" w:rsidP="00B37E7F">
            <w:pPr>
              <w:jc w:val="right"/>
              <w:rPr>
                <w:rFonts w:cs="Calibri"/>
                <w:color w:val="000000"/>
                <w:szCs w:val="22"/>
              </w:rPr>
            </w:pPr>
            <w:r w:rsidRPr="002563D4">
              <w:t>4 540</w:t>
            </w:r>
          </w:p>
        </w:tc>
      </w:tr>
      <w:tr w:rsidR="002A667A" w:rsidRPr="00857163" w:rsidTr="00455CE7">
        <w:trPr>
          <w:trHeight w:val="525"/>
        </w:trPr>
        <w:tc>
          <w:tcPr>
            <w:tcW w:w="2040" w:type="dxa"/>
            <w:vMerge/>
            <w:tcBorders>
              <w:top w:val="nil"/>
              <w:left w:val="single" w:sz="8" w:space="0" w:color="auto"/>
              <w:bottom w:val="nil"/>
              <w:right w:val="nil"/>
            </w:tcBorders>
            <w:vAlign w:val="center"/>
          </w:tcPr>
          <w:p w:rsidR="002A667A" w:rsidRPr="00857163" w:rsidRDefault="002A667A" w:rsidP="00B37E7F">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2A667A" w:rsidRPr="00857163" w:rsidRDefault="002A667A" w:rsidP="00B37E7F">
            <w:pPr>
              <w:jc w:val="center"/>
              <w:rPr>
                <w:rFonts w:cs="Calibri"/>
                <w:b/>
                <w:bCs/>
                <w:color w:val="FFFFFF"/>
                <w:sz w:val="20"/>
              </w:rPr>
            </w:pPr>
            <w:r w:rsidRPr="00857163">
              <w:rPr>
                <w:rFonts w:cs="Calibri"/>
                <w:b/>
                <w:bCs/>
                <w:color w:val="FFFFFF"/>
                <w:sz w:val="20"/>
              </w:rPr>
              <w:t>Průměrná výše úvěru/ investice konečného příjemce  (mil. CZK)</w:t>
            </w:r>
          </w:p>
        </w:tc>
        <w:tc>
          <w:tcPr>
            <w:tcW w:w="1760" w:type="dxa"/>
            <w:tcBorders>
              <w:top w:val="nil"/>
              <w:left w:val="nil"/>
              <w:bottom w:val="nil"/>
              <w:right w:val="single" w:sz="8" w:space="0" w:color="auto"/>
            </w:tcBorders>
            <w:noWrap/>
          </w:tcPr>
          <w:p w:rsidR="002A667A" w:rsidRPr="00857163" w:rsidRDefault="008331D2" w:rsidP="00B37E7F">
            <w:pPr>
              <w:jc w:val="right"/>
              <w:rPr>
                <w:rFonts w:cs="Calibri"/>
                <w:color w:val="000000"/>
                <w:szCs w:val="22"/>
              </w:rPr>
            </w:pPr>
            <w:r>
              <w:t>31</w:t>
            </w:r>
          </w:p>
        </w:tc>
        <w:tc>
          <w:tcPr>
            <w:tcW w:w="1540" w:type="dxa"/>
            <w:tcBorders>
              <w:top w:val="nil"/>
              <w:left w:val="nil"/>
              <w:bottom w:val="nil"/>
              <w:right w:val="nil"/>
            </w:tcBorders>
            <w:shd w:val="clear" w:color="000000" w:fill="DAEEF3"/>
            <w:noWrap/>
          </w:tcPr>
          <w:p w:rsidR="002A667A" w:rsidRPr="00857163" w:rsidRDefault="008331D2" w:rsidP="00B37E7F">
            <w:pPr>
              <w:jc w:val="right"/>
              <w:rPr>
                <w:rFonts w:cs="Calibri"/>
                <w:color w:val="000000"/>
                <w:szCs w:val="22"/>
              </w:rPr>
            </w:pPr>
            <w:r>
              <w:t>25</w:t>
            </w:r>
          </w:p>
        </w:tc>
      </w:tr>
      <w:tr w:rsidR="002A667A" w:rsidRPr="00857163" w:rsidTr="00455CE7">
        <w:trPr>
          <w:trHeight w:val="315"/>
        </w:trPr>
        <w:tc>
          <w:tcPr>
            <w:tcW w:w="2040" w:type="dxa"/>
            <w:vMerge/>
            <w:tcBorders>
              <w:top w:val="nil"/>
              <w:left w:val="single" w:sz="8" w:space="0" w:color="auto"/>
              <w:bottom w:val="nil"/>
              <w:right w:val="nil"/>
            </w:tcBorders>
            <w:vAlign w:val="center"/>
          </w:tcPr>
          <w:p w:rsidR="002A667A" w:rsidRPr="00857163" w:rsidRDefault="002A667A" w:rsidP="00B37E7F">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2A667A" w:rsidRPr="00857163" w:rsidRDefault="002A667A" w:rsidP="00B37E7F">
            <w:pPr>
              <w:jc w:val="center"/>
              <w:rPr>
                <w:rFonts w:cs="Calibri"/>
                <w:b/>
                <w:bCs/>
                <w:color w:val="FFFFFF"/>
                <w:sz w:val="20"/>
              </w:rPr>
            </w:pPr>
            <w:r w:rsidRPr="00857163">
              <w:rPr>
                <w:rFonts w:cs="Calibri"/>
                <w:b/>
                <w:bCs/>
                <w:color w:val="FFFFFF"/>
                <w:sz w:val="20"/>
              </w:rPr>
              <w:t>Počet projektů konečných příjemců</w:t>
            </w:r>
          </w:p>
        </w:tc>
        <w:tc>
          <w:tcPr>
            <w:tcW w:w="1760" w:type="dxa"/>
            <w:tcBorders>
              <w:top w:val="nil"/>
              <w:left w:val="nil"/>
              <w:bottom w:val="single" w:sz="8" w:space="0" w:color="auto"/>
              <w:right w:val="single" w:sz="8" w:space="0" w:color="auto"/>
            </w:tcBorders>
            <w:noWrap/>
          </w:tcPr>
          <w:p w:rsidR="002A667A" w:rsidRPr="00857163" w:rsidRDefault="002A667A" w:rsidP="00B37E7F">
            <w:pPr>
              <w:jc w:val="right"/>
              <w:rPr>
                <w:rFonts w:cs="Calibri"/>
                <w:color w:val="000000"/>
                <w:szCs w:val="22"/>
              </w:rPr>
            </w:pPr>
            <w:r w:rsidRPr="002563D4">
              <w:t>124</w:t>
            </w:r>
          </w:p>
        </w:tc>
        <w:tc>
          <w:tcPr>
            <w:tcW w:w="1540" w:type="dxa"/>
            <w:tcBorders>
              <w:top w:val="nil"/>
              <w:left w:val="nil"/>
              <w:bottom w:val="single" w:sz="8" w:space="0" w:color="auto"/>
              <w:right w:val="nil"/>
            </w:tcBorders>
            <w:shd w:val="clear" w:color="000000" w:fill="FFFFFF"/>
            <w:noWrap/>
          </w:tcPr>
          <w:p w:rsidR="002A667A" w:rsidRPr="00857163" w:rsidRDefault="002A667A" w:rsidP="00B37E7F">
            <w:pPr>
              <w:jc w:val="right"/>
              <w:rPr>
                <w:rFonts w:cs="Calibri"/>
                <w:color w:val="000000"/>
                <w:szCs w:val="22"/>
              </w:rPr>
            </w:pPr>
            <w:r w:rsidRPr="002563D4">
              <w:t>181</w:t>
            </w:r>
          </w:p>
        </w:tc>
      </w:tr>
      <w:tr w:rsidR="002A667A" w:rsidRPr="00857163" w:rsidTr="00455CE7">
        <w:trPr>
          <w:trHeight w:val="525"/>
        </w:trPr>
        <w:tc>
          <w:tcPr>
            <w:tcW w:w="2040" w:type="dxa"/>
            <w:vMerge w:val="restart"/>
            <w:tcBorders>
              <w:top w:val="nil"/>
              <w:left w:val="single" w:sz="8" w:space="0" w:color="auto"/>
              <w:bottom w:val="single" w:sz="8" w:space="0" w:color="000000"/>
              <w:right w:val="nil"/>
            </w:tcBorders>
            <w:noWrap/>
            <w:vAlign w:val="center"/>
          </w:tcPr>
          <w:p w:rsidR="002A667A" w:rsidRPr="00857163" w:rsidRDefault="002A667A" w:rsidP="00B37E7F">
            <w:pPr>
              <w:jc w:val="center"/>
              <w:rPr>
                <w:rFonts w:cs="Calibri"/>
                <w:b/>
                <w:bCs/>
                <w:color w:val="000000"/>
                <w:szCs w:val="22"/>
              </w:rPr>
            </w:pPr>
            <w:r w:rsidRPr="00857163">
              <w:rPr>
                <w:rFonts w:cs="Calibri"/>
                <w:b/>
                <w:bCs/>
                <w:color w:val="000000"/>
                <w:szCs w:val="22"/>
              </w:rPr>
              <w:t>CELKEM 2015-2023</w:t>
            </w:r>
          </w:p>
        </w:tc>
        <w:tc>
          <w:tcPr>
            <w:tcW w:w="3280" w:type="dxa"/>
            <w:tcBorders>
              <w:top w:val="nil"/>
              <w:left w:val="nil"/>
              <w:bottom w:val="single" w:sz="8" w:space="0" w:color="auto"/>
              <w:right w:val="single" w:sz="8" w:space="0" w:color="auto"/>
            </w:tcBorders>
            <w:shd w:val="clear" w:color="000000" w:fill="538DD5"/>
            <w:vAlign w:val="center"/>
          </w:tcPr>
          <w:p w:rsidR="002A667A" w:rsidRPr="00857163" w:rsidRDefault="002A667A" w:rsidP="00B37E7F">
            <w:pPr>
              <w:jc w:val="center"/>
              <w:rPr>
                <w:rFonts w:cs="Calibri"/>
                <w:b/>
                <w:bCs/>
                <w:color w:val="FFFFFF"/>
                <w:sz w:val="20"/>
              </w:rPr>
            </w:pPr>
            <w:r w:rsidRPr="00857163">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tcPr>
          <w:p w:rsidR="002A667A" w:rsidRPr="00857163" w:rsidRDefault="002A667A" w:rsidP="00B37E7F">
            <w:pPr>
              <w:jc w:val="right"/>
              <w:rPr>
                <w:rFonts w:cs="Calibri"/>
                <w:color w:val="000000"/>
                <w:szCs w:val="22"/>
              </w:rPr>
            </w:pPr>
            <w:r w:rsidRPr="002563D4">
              <w:t>16 740</w:t>
            </w:r>
          </w:p>
        </w:tc>
        <w:tc>
          <w:tcPr>
            <w:tcW w:w="1540" w:type="dxa"/>
            <w:tcBorders>
              <w:top w:val="nil"/>
              <w:left w:val="nil"/>
              <w:bottom w:val="nil"/>
              <w:right w:val="nil"/>
            </w:tcBorders>
            <w:shd w:val="clear" w:color="000000" w:fill="DAEEF3"/>
            <w:noWrap/>
          </w:tcPr>
          <w:p w:rsidR="002A667A" w:rsidRPr="00857163" w:rsidRDefault="002A667A" w:rsidP="00B37E7F">
            <w:pPr>
              <w:jc w:val="right"/>
              <w:rPr>
                <w:rFonts w:cs="Calibri"/>
                <w:color w:val="000000"/>
                <w:szCs w:val="22"/>
              </w:rPr>
            </w:pPr>
            <w:r w:rsidRPr="002563D4">
              <w:t>14 600</w:t>
            </w:r>
          </w:p>
        </w:tc>
      </w:tr>
      <w:tr w:rsidR="002A667A" w:rsidRPr="00857163" w:rsidTr="00455CE7">
        <w:trPr>
          <w:trHeight w:val="315"/>
        </w:trPr>
        <w:tc>
          <w:tcPr>
            <w:tcW w:w="2040" w:type="dxa"/>
            <w:vMerge/>
            <w:tcBorders>
              <w:top w:val="nil"/>
              <w:left w:val="single" w:sz="8" w:space="0" w:color="auto"/>
              <w:bottom w:val="single" w:sz="8" w:space="0" w:color="000000"/>
              <w:right w:val="nil"/>
            </w:tcBorders>
            <w:vAlign w:val="center"/>
          </w:tcPr>
          <w:p w:rsidR="002A667A" w:rsidRPr="00857163" w:rsidRDefault="002A667A" w:rsidP="00B37E7F">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2A667A" w:rsidRPr="00857163" w:rsidRDefault="002A667A" w:rsidP="00B37E7F">
            <w:pPr>
              <w:jc w:val="center"/>
              <w:rPr>
                <w:rFonts w:cs="Calibri"/>
                <w:b/>
                <w:bCs/>
                <w:color w:val="FFFFFF"/>
                <w:sz w:val="20"/>
              </w:rPr>
            </w:pPr>
            <w:r w:rsidRPr="00857163">
              <w:rPr>
                <w:rFonts w:cs="Calibri"/>
                <w:b/>
                <w:bCs/>
                <w:color w:val="FFFFFF"/>
                <w:sz w:val="20"/>
              </w:rPr>
              <w:t>Celkové soukromé zdroje  (mil. CZK)</w:t>
            </w:r>
          </w:p>
        </w:tc>
        <w:tc>
          <w:tcPr>
            <w:tcW w:w="1760" w:type="dxa"/>
            <w:tcBorders>
              <w:top w:val="nil"/>
              <w:left w:val="nil"/>
              <w:bottom w:val="nil"/>
              <w:right w:val="single" w:sz="8" w:space="0" w:color="auto"/>
            </w:tcBorders>
            <w:noWrap/>
          </w:tcPr>
          <w:p w:rsidR="002A667A" w:rsidRPr="00857163" w:rsidRDefault="002A667A" w:rsidP="00B37E7F">
            <w:pPr>
              <w:jc w:val="right"/>
              <w:rPr>
                <w:rFonts w:cs="Calibri"/>
                <w:color w:val="000000"/>
                <w:szCs w:val="22"/>
              </w:rPr>
            </w:pPr>
            <w:r w:rsidRPr="002563D4">
              <w:t>16 740</w:t>
            </w:r>
          </w:p>
        </w:tc>
        <w:tc>
          <w:tcPr>
            <w:tcW w:w="1540" w:type="dxa"/>
            <w:tcBorders>
              <w:top w:val="nil"/>
              <w:left w:val="nil"/>
              <w:bottom w:val="nil"/>
              <w:right w:val="nil"/>
            </w:tcBorders>
            <w:shd w:val="clear" w:color="000000" w:fill="FFFFFF"/>
            <w:noWrap/>
          </w:tcPr>
          <w:p w:rsidR="002A667A" w:rsidRPr="00857163" w:rsidRDefault="002A667A" w:rsidP="00B37E7F">
            <w:pPr>
              <w:jc w:val="right"/>
              <w:rPr>
                <w:rFonts w:cs="Calibri"/>
                <w:color w:val="000000"/>
                <w:szCs w:val="22"/>
              </w:rPr>
            </w:pPr>
            <w:r w:rsidRPr="002563D4">
              <w:t>14 600</w:t>
            </w:r>
          </w:p>
        </w:tc>
      </w:tr>
      <w:tr w:rsidR="002A667A" w:rsidRPr="00857163" w:rsidTr="00455CE7">
        <w:trPr>
          <w:trHeight w:val="315"/>
        </w:trPr>
        <w:tc>
          <w:tcPr>
            <w:tcW w:w="2040" w:type="dxa"/>
            <w:vMerge/>
            <w:tcBorders>
              <w:top w:val="nil"/>
              <w:left w:val="single" w:sz="8" w:space="0" w:color="auto"/>
              <w:bottom w:val="single" w:sz="8" w:space="0" w:color="000000"/>
              <w:right w:val="nil"/>
            </w:tcBorders>
            <w:vAlign w:val="center"/>
          </w:tcPr>
          <w:p w:rsidR="002A667A" w:rsidRPr="00857163" w:rsidRDefault="002A667A" w:rsidP="00B37E7F">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2A667A" w:rsidRPr="00857163" w:rsidRDefault="002A667A" w:rsidP="00B37E7F">
            <w:pPr>
              <w:jc w:val="center"/>
              <w:rPr>
                <w:rFonts w:cs="Calibri"/>
                <w:b/>
                <w:bCs/>
                <w:color w:val="FFFFFF"/>
                <w:sz w:val="20"/>
              </w:rPr>
            </w:pPr>
            <w:r w:rsidRPr="00857163">
              <w:rPr>
                <w:rFonts w:cs="Calibri"/>
                <w:b/>
                <w:bCs/>
                <w:color w:val="FFFFFF"/>
                <w:sz w:val="20"/>
              </w:rPr>
              <w:t>Počet projektů konečných příjemců</w:t>
            </w:r>
          </w:p>
        </w:tc>
        <w:tc>
          <w:tcPr>
            <w:tcW w:w="1760" w:type="dxa"/>
            <w:tcBorders>
              <w:top w:val="nil"/>
              <w:left w:val="nil"/>
              <w:bottom w:val="single" w:sz="8" w:space="0" w:color="auto"/>
              <w:right w:val="single" w:sz="8" w:space="0" w:color="auto"/>
            </w:tcBorders>
            <w:noWrap/>
          </w:tcPr>
          <w:p w:rsidR="002A667A" w:rsidRPr="00857163" w:rsidRDefault="002A667A" w:rsidP="00B37E7F">
            <w:pPr>
              <w:jc w:val="right"/>
              <w:rPr>
                <w:rFonts w:cs="Calibri"/>
                <w:color w:val="000000"/>
                <w:szCs w:val="22"/>
              </w:rPr>
            </w:pPr>
            <w:r w:rsidRPr="002563D4">
              <w:t>539</w:t>
            </w:r>
          </w:p>
        </w:tc>
        <w:tc>
          <w:tcPr>
            <w:tcW w:w="1540" w:type="dxa"/>
            <w:tcBorders>
              <w:top w:val="nil"/>
              <w:left w:val="nil"/>
              <w:bottom w:val="single" w:sz="8" w:space="0" w:color="auto"/>
              <w:right w:val="nil"/>
            </w:tcBorders>
            <w:shd w:val="clear" w:color="000000" w:fill="DAEEF3"/>
            <w:noWrap/>
          </w:tcPr>
          <w:p w:rsidR="002A667A" w:rsidRPr="00857163" w:rsidRDefault="002A667A" w:rsidP="00455CE7">
            <w:pPr>
              <w:keepNext/>
              <w:jc w:val="right"/>
              <w:rPr>
                <w:rFonts w:cs="Calibri"/>
                <w:color w:val="000000"/>
                <w:szCs w:val="22"/>
              </w:rPr>
            </w:pPr>
            <w:r w:rsidRPr="002563D4">
              <w:t>583</w:t>
            </w:r>
          </w:p>
        </w:tc>
      </w:tr>
    </w:tbl>
    <w:p w:rsidR="002A667A" w:rsidRDefault="002A667A" w:rsidP="00455CE7">
      <w:pPr>
        <w:pStyle w:val="Titulek"/>
      </w:pPr>
    </w:p>
    <w:p w:rsidR="002A667A" w:rsidRDefault="002A667A" w:rsidP="00455CE7">
      <w:pPr>
        <w:pStyle w:val="Titulek"/>
      </w:pPr>
      <w:r>
        <w:t xml:space="preserve">Tabulka </w:t>
      </w:r>
      <w:r w:rsidR="00C64D03">
        <w:fldChar w:fldCharType="begin"/>
      </w:r>
      <w:r w:rsidR="00C64D03">
        <w:instrText xml:space="preserve"> SEQ Tabulka \* ARABIC </w:instrText>
      </w:r>
      <w:r w:rsidR="00C64D03">
        <w:fldChar w:fldCharType="separate"/>
      </w:r>
      <w:r>
        <w:rPr>
          <w:noProof/>
        </w:rPr>
        <w:t>2</w:t>
      </w:r>
      <w:r w:rsidR="00C64D03">
        <w:rPr>
          <w:noProof/>
        </w:rPr>
        <w:fldChar w:fldCharType="end"/>
      </w:r>
      <w:r>
        <w:t>: Modelový příklad očekávaných výsledků finančního nástroje v SC 1.1 do roku 2023, příklad využití 20 % alokace programů podpory Inovace a Aplikace prostřednictvím záručního finančního nástroje (zdroj: MPO)</w:t>
      </w:r>
    </w:p>
    <w:p w:rsidR="002A667A" w:rsidRDefault="002A667A" w:rsidP="006638C9">
      <w:pPr>
        <w:rPr>
          <w:color w:val="FF0000"/>
        </w:rPr>
      </w:pPr>
    </w:p>
    <w:p w:rsidR="002A667A" w:rsidRPr="00B238E1" w:rsidRDefault="002A667A" w:rsidP="006638C9">
      <w:r w:rsidRPr="00B238E1">
        <w:t>Finanční nástroj by měl tímto způsobem pomoci podpořit výrazně více projektů než v případě čistých dotací a především aktivovat v mnohem větší míře soukromý kapitál na financování vědy, výzkumu i inovací v České republice.</w:t>
      </w:r>
    </w:p>
    <w:p w:rsidR="002A667A" w:rsidRPr="00D03ACF" w:rsidRDefault="002A667A" w:rsidP="006638C9"/>
    <w:p w:rsidR="002A667A" w:rsidRDefault="002A667A" w:rsidP="006638C9">
      <w:pPr>
        <w:pStyle w:val="CaptionIntroductionparagraph"/>
      </w:pPr>
      <w:r w:rsidRPr="00D03ACF">
        <w:t>SC 1.2</w:t>
      </w:r>
    </w:p>
    <w:p w:rsidR="002A667A" w:rsidRDefault="002A667A" w:rsidP="006638C9"/>
    <w:p w:rsidR="002A667A" w:rsidRPr="00B238E1" w:rsidRDefault="002A667A" w:rsidP="006638C9">
      <w:r w:rsidRPr="00B238E1">
        <w:t>Modelování výsledků nástroje Proof-of-concept je vzhledem k chybějícím zkušenostem pouze velmi přibližné, je vycházeno z modelu rizikového kapitálu fáze seed a typické velikosti projektů v programu TAČR GAMA. Očekává se, že správně nastaveným nástrojem bude možné při plném využití alokace programu podpořit až 129 projektů ve fázi pre-seed., z nichž se část prostředků v případě úspěchu do fondu vrátí i po konci programovacího období. Doba obrátky a míra revolvingu budou záviset na konkrétním nastavení investiční strategie, kvalitě vybraných projektů a dalších faktorech. Výraznou roli v úspěšnosti nástroje bude hrát i implementace nástroje rizikového kapitálu v SC 2.1.</w:t>
      </w:r>
    </w:p>
    <w:p w:rsidR="002A667A" w:rsidRPr="00D03ACF" w:rsidRDefault="002A667A" w:rsidP="006638C9"/>
    <w:tbl>
      <w:tblPr>
        <w:tblW w:w="7080" w:type="dxa"/>
        <w:tblInd w:w="55" w:type="dxa"/>
        <w:tblCellMar>
          <w:left w:w="70" w:type="dxa"/>
          <w:right w:w="70" w:type="dxa"/>
        </w:tblCellMar>
        <w:tblLook w:val="00A0" w:firstRow="1" w:lastRow="0" w:firstColumn="1" w:lastColumn="0" w:noHBand="0" w:noVBand="0"/>
      </w:tblPr>
      <w:tblGrid>
        <w:gridCol w:w="2040"/>
        <w:gridCol w:w="3280"/>
        <w:gridCol w:w="1760"/>
      </w:tblGrid>
      <w:tr w:rsidR="002A667A" w:rsidRPr="00253B52" w:rsidTr="00B37E7F">
        <w:trPr>
          <w:trHeight w:val="315"/>
        </w:trPr>
        <w:tc>
          <w:tcPr>
            <w:tcW w:w="2040" w:type="dxa"/>
            <w:tcBorders>
              <w:top w:val="single" w:sz="8" w:space="0" w:color="auto"/>
              <w:left w:val="single" w:sz="8" w:space="0" w:color="auto"/>
              <w:bottom w:val="single" w:sz="8" w:space="0" w:color="auto"/>
              <w:right w:val="nil"/>
            </w:tcBorders>
            <w:noWrap/>
            <w:vAlign w:val="bottom"/>
          </w:tcPr>
          <w:p w:rsidR="002A667A" w:rsidRPr="00253B52" w:rsidRDefault="002A667A" w:rsidP="00B37E7F">
            <w:pPr>
              <w:jc w:val="center"/>
              <w:rPr>
                <w:rFonts w:cs="Calibri"/>
                <w:b/>
                <w:bCs/>
                <w:color w:val="000000"/>
                <w:szCs w:val="22"/>
              </w:rPr>
            </w:pPr>
            <w:r w:rsidRPr="00253B52">
              <w:rPr>
                <w:rFonts w:cs="Calibri"/>
                <w:b/>
                <w:bCs/>
                <w:color w:val="000000"/>
                <w:szCs w:val="22"/>
              </w:rPr>
              <w:t>FINANČNÍ NÁSTROJ</w:t>
            </w:r>
          </w:p>
        </w:tc>
        <w:tc>
          <w:tcPr>
            <w:tcW w:w="3280" w:type="dxa"/>
            <w:tcBorders>
              <w:top w:val="single" w:sz="8" w:space="0" w:color="auto"/>
              <w:left w:val="nil"/>
              <w:bottom w:val="single" w:sz="8" w:space="0" w:color="auto"/>
              <w:right w:val="single" w:sz="8" w:space="0" w:color="auto"/>
            </w:tcBorders>
            <w:shd w:val="clear" w:color="000000" w:fill="538DD5"/>
            <w:vAlign w:val="bottom"/>
          </w:tcPr>
          <w:p w:rsidR="002A667A" w:rsidRPr="00253B52" w:rsidRDefault="002A667A" w:rsidP="00B37E7F">
            <w:pPr>
              <w:jc w:val="center"/>
              <w:rPr>
                <w:rFonts w:cs="Calibri"/>
                <w:b/>
                <w:bCs/>
                <w:color w:val="FFFFFF"/>
                <w:szCs w:val="22"/>
              </w:rPr>
            </w:pPr>
            <w:r w:rsidRPr="00253B52">
              <w:rPr>
                <w:rFonts w:cs="Calibri"/>
                <w:b/>
                <w:bCs/>
                <w:color w:val="FFFFFF"/>
                <w:szCs w:val="22"/>
              </w:rPr>
              <w:t>Typ nástroje</w:t>
            </w:r>
          </w:p>
        </w:tc>
        <w:tc>
          <w:tcPr>
            <w:tcW w:w="1760" w:type="dxa"/>
            <w:tcBorders>
              <w:top w:val="single" w:sz="8" w:space="0" w:color="auto"/>
              <w:left w:val="nil"/>
              <w:bottom w:val="single" w:sz="8" w:space="0" w:color="auto"/>
              <w:right w:val="single" w:sz="8" w:space="0" w:color="auto"/>
            </w:tcBorders>
            <w:noWrap/>
            <w:vAlign w:val="bottom"/>
          </w:tcPr>
          <w:p w:rsidR="002A667A" w:rsidRPr="00253B52" w:rsidRDefault="002A667A" w:rsidP="00B37E7F">
            <w:pPr>
              <w:jc w:val="left"/>
              <w:rPr>
                <w:rFonts w:cs="Calibri"/>
                <w:b/>
                <w:bCs/>
                <w:color w:val="000000"/>
                <w:szCs w:val="22"/>
              </w:rPr>
            </w:pPr>
            <w:r w:rsidRPr="00253B52">
              <w:rPr>
                <w:rFonts w:cs="Calibri"/>
                <w:b/>
                <w:bCs/>
                <w:color w:val="000000"/>
                <w:szCs w:val="22"/>
              </w:rPr>
              <w:t>Proof-of-concept</w:t>
            </w:r>
          </w:p>
        </w:tc>
      </w:tr>
      <w:tr w:rsidR="008331D2" w:rsidRPr="00253B52" w:rsidTr="00D44CBE">
        <w:trPr>
          <w:trHeight w:val="315"/>
        </w:trPr>
        <w:tc>
          <w:tcPr>
            <w:tcW w:w="2040" w:type="dxa"/>
            <w:tcBorders>
              <w:top w:val="nil"/>
              <w:left w:val="single" w:sz="8" w:space="0" w:color="auto"/>
              <w:bottom w:val="nil"/>
              <w:right w:val="nil"/>
            </w:tcBorders>
            <w:noWrap/>
            <w:vAlign w:val="bottom"/>
          </w:tcPr>
          <w:p w:rsidR="008331D2" w:rsidRPr="00253B52" w:rsidRDefault="008331D2" w:rsidP="00B37E7F">
            <w:pPr>
              <w:jc w:val="center"/>
              <w:rPr>
                <w:rFonts w:cs="Calibri"/>
                <w:b/>
                <w:bCs/>
                <w:color w:val="000000"/>
                <w:szCs w:val="22"/>
              </w:rPr>
            </w:pPr>
            <w:r w:rsidRPr="00253B52">
              <w:rPr>
                <w:rFonts w:cs="Calibri"/>
                <w:b/>
                <w:bCs/>
                <w:color w:val="000000"/>
                <w:szCs w:val="22"/>
              </w:rPr>
              <w:t>ALOKACE</w:t>
            </w:r>
          </w:p>
        </w:tc>
        <w:tc>
          <w:tcPr>
            <w:tcW w:w="3280" w:type="dxa"/>
            <w:tcBorders>
              <w:top w:val="nil"/>
              <w:left w:val="nil"/>
              <w:bottom w:val="nil"/>
              <w:right w:val="single" w:sz="8" w:space="0" w:color="auto"/>
            </w:tcBorders>
            <w:shd w:val="clear" w:color="000000" w:fill="000000"/>
            <w:vAlign w:val="bottom"/>
          </w:tcPr>
          <w:p w:rsidR="008331D2" w:rsidRPr="00253B52" w:rsidRDefault="008331D2" w:rsidP="00B37E7F">
            <w:pPr>
              <w:jc w:val="center"/>
              <w:rPr>
                <w:rFonts w:cs="Calibri"/>
                <w:b/>
                <w:bCs/>
                <w:color w:val="FFFFFF"/>
                <w:szCs w:val="22"/>
              </w:rPr>
            </w:pPr>
            <w:r w:rsidRPr="00253B52">
              <w:rPr>
                <w:rFonts w:cs="Calibri"/>
                <w:b/>
                <w:bCs/>
                <w:color w:val="FFFFFF"/>
                <w:szCs w:val="22"/>
              </w:rPr>
              <w:t>Alokace FN (mil. CZK)</w:t>
            </w:r>
          </w:p>
        </w:tc>
        <w:tc>
          <w:tcPr>
            <w:tcW w:w="1760" w:type="dxa"/>
            <w:tcBorders>
              <w:top w:val="single" w:sz="8" w:space="0" w:color="auto"/>
              <w:left w:val="nil"/>
              <w:bottom w:val="single" w:sz="8" w:space="0" w:color="BFBFBF"/>
              <w:right w:val="single" w:sz="8" w:space="0" w:color="auto"/>
            </w:tcBorders>
            <w:noWrap/>
            <w:vAlign w:val="center"/>
          </w:tcPr>
          <w:p w:rsidR="008331D2" w:rsidRPr="00253B52" w:rsidRDefault="008331D2" w:rsidP="00B37E7F">
            <w:pPr>
              <w:jc w:val="right"/>
              <w:rPr>
                <w:color w:val="000000"/>
                <w:sz w:val="18"/>
                <w:szCs w:val="18"/>
              </w:rPr>
            </w:pPr>
            <w:r>
              <w:t>1 160</w:t>
            </w:r>
          </w:p>
        </w:tc>
      </w:tr>
      <w:tr w:rsidR="008331D2" w:rsidRPr="00253B52" w:rsidTr="00D44CBE">
        <w:trPr>
          <w:trHeight w:val="525"/>
        </w:trPr>
        <w:tc>
          <w:tcPr>
            <w:tcW w:w="2040" w:type="dxa"/>
            <w:vMerge w:val="restart"/>
            <w:tcBorders>
              <w:top w:val="nil"/>
              <w:left w:val="single" w:sz="8" w:space="0" w:color="auto"/>
              <w:bottom w:val="single" w:sz="8" w:space="0" w:color="BFBFBF"/>
              <w:right w:val="nil"/>
            </w:tcBorders>
            <w:noWrap/>
            <w:vAlign w:val="center"/>
          </w:tcPr>
          <w:p w:rsidR="008331D2" w:rsidRPr="00253B52" w:rsidRDefault="008331D2" w:rsidP="00B37E7F">
            <w:pPr>
              <w:jc w:val="center"/>
              <w:rPr>
                <w:rFonts w:cs="Calibri"/>
                <w:b/>
                <w:bCs/>
                <w:color w:val="000000"/>
                <w:szCs w:val="22"/>
              </w:rPr>
            </w:pPr>
            <w:r w:rsidRPr="00253B52">
              <w:rPr>
                <w:rFonts w:cs="Calibri"/>
                <w:b/>
                <w:bCs/>
                <w:color w:val="000000"/>
                <w:szCs w:val="22"/>
              </w:rPr>
              <w:t>ČERPÁNÍ ALOKACE</w:t>
            </w:r>
          </w:p>
        </w:tc>
        <w:tc>
          <w:tcPr>
            <w:tcW w:w="3280" w:type="dxa"/>
            <w:tcBorders>
              <w:top w:val="nil"/>
              <w:left w:val="nil"/>
              <w:bottom w:val="single" w:sz="8" w:space="0" w:color="auto"/>
              <w:right w:val="single" w:sz="8" w:space="0" w:color="auto"/>
            </w:tcBorders>
            <w:shd w:val="clear" w:color="000000" w:fill="538DD5"/>
            <w:vAlign w:val="center"/>
          </w:tcPr>
          <w:p w:rsidR="008331D2" w:rsidRPr="00253B52" w:rsidRDefault="008331D2" w:rsidP="00B37E7F">
            <w:pPr>
              <w:jc w:val="center"/>
              <w:rPr>
                <w:rFonts w:cs="Calibri"/>
                <w:b/>
                <w:bCs/>
                <w:color w:val="FFFFFF"/>
                <w:sz w:val="20"/>
              </w:rPr>
            </w:pPr>
            <w:r w:rsidRPr="00253B52">
              <w:rPr>
                <w:rFonts w:cs="Calibri"/>
                <w:b/>
                <w:bCs/>
                <w:color w:val="FFFFFF"/>
                <w:sz w:val="20"/>
              </w:rPr>
              <w:t>Veřejné zdroje FN po odečtení MCF  (mil. CZK)</w:t>
            </w:r>
          </w:p>
        </w:tc>
        <w:tc>
          <w:tcPr>
            <w:tcW w:w="1760" w:type="dxa"/>
            <w:tcBorders>
              <w:top w:val="nil"/>
              <w:left w:val="nil"/>
              <w:bottom w:val="nil"/>
              <w:right w:val="single" w:sz="8" w:space="0" w:color="auto"/>
            </w:tcBorders>
            <w:noWrap/>
            <w:vAlign w:val="center"/>
          </w:tcPr>
          <w:p w:rsidR="008331D2" w:rsidRPr="00253B52" w:rsidRDefault="008331D2" w:rsidP="008331D2">
            <w:pPr>
              <w:jc w:val="right"/>
            </w:pPr>
            <w:r>
              <w:t>920</w:t>
            </w:r>
          </w:p>
        </w:tc>
      </w:tr>
      <w:tr w:rsidR="008331D2" w:rsidRPr="00253B52" w:rsidTr="00D44CBE">
        <w:trPr>
          <w:trHeight w:val="525"/>
        </w:trPr>
        <w:tc>
          <w:tcPr>
            <w:tcW w:w="2040" w:type="dxa"/>
            <w:vMerge/>
            <w:tcBorders>
              <w:top w:val="nil"/>
              <w:left w:val="single" w:sz="8" w:space="0" w:color="auto"/>
              <w:bottom w:val="single" w:sz="8" w:space="0" w:color="BFBFBF"/>
              <w:right w:val="nil"/>
            </w:tcBorders>
            <w:vAlign w:val="center"/>
          </w:tcPr>
          <w:p w:rsidR="008331D2" w:rsidRPr="00253B52" w:rsidRDefault="008331D2" w:rsidP="00B37E7F">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8331D2" w:rsidRPr="00253B52" w:rsidRDefault="008331D2" w:rsidP="00B37E7F">
            <w:pPr>
              <w:jc w:val="center"/>
              <w:rPr>
                <w:rFonts w:cs="Calibri"/>
                <w:b/>
                <w:bCs/>
                <w:color w:val="FFFFFF"/>
                <w:sz w:val="20"/>
              </w:rPr>
            </w:pPr>
            <w:r w:rsidRPr="00253B52">
              <w:rPr>
                <w:rFonts w:cs="Calibri"/>
                <w:b/>
                <w:bCs/>
                <w:color w:val="FFFFFF"/>
                <w:sz w:val="20"/>
              </w:rPr>
              <w:t>Pákový efekt na projektech konečných příjemců</w:t>
            </w:r>
          </w:p>
        </w:tc>
        <w:tc>
          <w:tcPr>
            <w:tcW w:w="1760" w:type="dxa"/>
            <w:tcBorders>
              <w:top w:val="nil"/>
              <w:left w:val="nil"/>
              <w:bottom w:val="nil"/>
              <w:right w:val="single" w:sz="8" w:space="0" w:color="auto"/>
            </w:tcBorders>
            <w:noWrap/>
            <w:vAlign w:val="bottom"/>
          </w:tcPr>
          <w:p w:rsidR="008331D2" w:rsidRPr="00253B52" w:rsidRDefault="008331D2" w:rsidP="008331D2">
            <w:pPr>
              <w:jc w:val="right"/>
              <w:rPr>
                <w:rFonts w:cs="Calibri"/>
                <w:szCs w:val="22"/>
              </w:rPr>
            </w:pPr>
            <w:r>
              <w:rPr>
                <w:rFonts w:cs="Calibri"/>
                <w:color w:val="000000"/>
                <w:szCs w:val="22"/>
              </w:rPr>
              <w:t>1,5</w:t>
            </w:r>
          </w:p>
        </w:tc>
      </w:tr>
      <w:tr w:rsidR="008331D2" w:rsidRPr="00253B52" w:rsidTr="00B37E7F">
        <w:trPr>
          <w:trHeight w:val="525"/>
        </w:trPr>
        <w:tc>
          <w:tcPr>
            <w:tcW w:w="2040" w:type="dxa"/>
            <w:vMerge/>
            <w:tcBorders>
              <w:top w:val="nil"/>
              <w:left w:val="single" w:sz="8" w:space="0" w:color="auto"/>
              <w:bottom w:val="single" w:sz="8" w:space="0" w:color="BFBFBF"/>
              <w:right w:val="nil"/>
            </w:tcBorders>
            <w:vAlign w:val="center"/>
          </w:tcPr>
          <w:p w:rsidR="008331D2" w:rsidRPr="00253B52" w:rsidRDefault="008331D2" w:rsidP="00B37E7F">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8331D2" w:rsidRPr="00253B52" w:rsidRDefault="008331D2" w:rsidP="00B37E7F">
            <w:pPr>
              <w:jc w:val="center"/>
              <w:rPr>
                <w:rFonts w:cs="Calibri"/>
                <w:b/>
                <w:bCs/>
                <w:color w:val="FFFFFF"/>
                <w:sz w:val="20"/>
              </w:rPr>
            </w:pPr>
            <w:r w:rsidRPr="00253B52">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bottom"/>
          </w:tcPr>
          <w:p w:rsidR="008331D2" w:rsidRPr="00253B52" w:rsidRDefault="008331D2" w:rsidP="00B37E7F">
            <w:pPr>
              <w:jc w:val="right"/>
              <w:rPr>
                <w:rFonts w:cs="Calibri"/>
                <w:color w:val="000000"/>
                <w:szCs w:val="22"/>
              </w:rPr>
            </w:pPr>
            <w:r>
              <w:t>1 400</w:t>
            </w:r>
          </w:p>
        </w:tc>
      </w:tr>
      <w:tr w:rsidR="008331D2" w:rsidRPr="00253B52" w:rsidTr="008331D2">
        <w:trPr>
          <w:trHeight w:val="525"/>
        </w:trPr>
        <w:tc>
          <w:tcPr>
            <w:tcW w:w="2040" w:type="dxa"/>
            <w:vMerge/>
            <w:tcBorders>
              <w:top w:val="nil"/>
              <w:left w:val="single" w:sz="8" w:space="0" w:color="auto"/>
              <w:bottom w:val="single" w:sz="8" w:space="0" w:color="BFBFBF"/>
              <w:right w:val="nil"/>
            </w:tcBorders>
            <w:vAlign w:val="center"/>
          </w:tcPr>
          <w:p w:rsidR="008331D2" w:rsidRPr="00253B52" w:rsidRDefault="008331D2" w:rsidP="00B37E7F">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8331D2" w:rsidRPr="00253B52" w:rsidRDefault="008331D2" w:rsidP="00B37E7F">
            <w:pPr>
              <w:jc w:val="center"/>
              <w:rPr>
                <w:rFonts w:cs="Calibri"/>
                <w:b/>
                <w:bCs/>
                <w:color w:val="FFFFFF"/>
                <w:sz w:val="20"/>
              </w:rPr>
            </w:pPr>
            <w:r w:rsidRPr="00253B52">
              <w:rPr>
                <w:rFonts w:cs="Calibri"/>
                <w:b/>
                <w:bCs/>
                <w:color w:val="FFFFFF"/>
                <w:sz w:val="20"/>
              </w:rPr>
              <w:t>Průměrná výše úvěru/investice konečného příjemce  (mil. CZK)</w:t>
            </w:r>
          </w:p>
        </w:tc>
        <w:tc>
          <w:tcPr>
            <w:tcW w:w="1760" w:type="dxa"/>
            <w:tcBorders>
              <w:top w:val="nil"/>
              <w:left w:val="nil"/>
              <w:bottom w:val="single" w:sz="8" w:space="0" w:color="auto"/>
              <w:right w:val="single" w:sz="8" w:space="0" w:color="auto"/>
            </w:tcBorders>
            <w:noWrap/>
            <w:vAlign w:val="bottom"/>
          </w:tcPr>
          <w:p w:rsidR="008331D2" w:rsidRPr="00253B52" w:rsidRDefault="008331D2" w:rsidP="008331D2">
            <w:pPr>
              <w:jc w:val="right"/>
            </w:pPr>
            <w:r>
              <w:t>20</w:t>
            </w:r>
          </w:p>
        </w:tc>
      </w:tr>
      <w:tr w:rsidR="008331D2" w:rsidRPr="00253B52" w:rsidTr="008331D2">
        <w:trPr>
          <w:trHeight w:val="420"/>
        </w:trPr>
        <w:tc>
          <w:tcPr>
            <w:tcW w:w="2040" w:type="dxa"/>
            <w:vMerge/>
            <w:tcBorders>
              <w:top w:val="nil"/>
              <w:left w:val="single" w:sz="8" w:space="0" w:color="auto"/>
              <w:bottom w:val="single" w:sz="8" w:space="0" w:color="BFBFBF"/>
              <w:right w:val="nil"/>
            </w:tcBorders>
            <w:vAlign w:val="center"/>
          </w:tcPr>
          <w:p w:rsidR="008331D2" w:rsidRPr="00253B52" w:rsidRDefault="008331D2" w:rsidP="00B37E7F">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8331D2" w:rsidRPr="00253B52" w:rsidRDefault="008331D2" w:rsidP="00B37E7F">
            <w:pPr>
              <w:jc w:val="center"/>
              <w:rPr>
                <w:rFonts w:cs="Calibri"/>
                <w:b/>
                <w:bCs/>
                <w:color w:val="FFFFFF"/>
                <w:sz w:val="20"/>
              </w:rPr>
            </w:pPr>
            <w:r w:rsidRPr="00253B52">
              <w:rPr>
                <w:rFonts w:cs="Calibri"/>
                <w:b/>
                <w:bCs/>
                <w:color w:val="FFFFFF"/>
                <w:sz w:val="20"/>
              </w:rPr>
              <w:t>Počet projektů konečných příjemců</w:t>
            </w:r>
          </w:p>
        </w:tc>
        <w:tc>
          <w:tcPr>
            <w:tcW w:w="1760" w:type="dxa"/>
            <w:tcBorders>
              <w:top w:val="nil"/>
              <w:left w:val="nil"/>
              <w:bottom w:val="single" w:sz="8" w:space="0" w:color="BFBFBF"/>
              <w:right w:val="single" w:sz="8" w:space="0" w:color="auto"/>
            </w:tcBorders>
            <w:noWrap/>
            <w:vAlign w:val="bottom"/>
          </w:tcPr>
          <w:p w:rsidR="008331D2" w:rsidRPr="00253B52" w:rsidRDefault="008331D2" w:rsidP="008331D2">
            <w:pPr>
              <w:jc w:val="right"/>
            </w:pPr>
            <w:r>
              <w:t>69</w:t>
            </w:r>
          </w:p>
        </w:tc>
      </w:tr>
      <w:tr w:rsidR="008331D2" w:rsidRPr="00253B52" w:rsidTr="008331D2">
        <w:trPr>
          <w:trHeight w:val="525"/>
        </w:trPr>
        <w:tc>
          <w:tcPr>
            <w:tcW w:w="2040" w:type="dxa"/>
            <w:vMerge w:val="restart"/>
            <w:tcBorders>
              <w:top w:val="nil"/>
              <w:left w:val="single" w:sz="8" w:space="0" w:color="auto"/>
              <w:bottom w:val="nil"/>
              <w:right w:val="nil"/>
            </w:tcBorders>
            <w:vAlign w:val="center"/>
          </w:tcPr>
          <w:p w:rsidR="008331D2" w:rsidRPr="00253B52" w:rsidRDefault="008331D2" w:rsidP="00B37E7F">
            <w:pPr>
              <w:jc w:val="center"/>
              <w:rPr>
                <w:b/>
                <w:bCs/>
                <w:color w:val="000000"/>
                <w:sz w:val="18"/>
                <w:szCs w:val="18"/>
              </w:rPr>
            </w:pPr>
            <w:r w:rsidRPr="00253B52">
              <w:rPr>
                <w:b/>
                <w:bCs/>
                <w:color w:val="000000"/>
                <w:sz w:val="18"/>
                <w:szCs w:val="18"/>
              </w:rPr>
              <w:t>OBRÁTKA</w:t>
            </w:r>
          </w:p>
        </w:tc>
        <w:tc>
          <w:tcPr>
            <w:tcW w:w="3280" w:type="dxa"/>
            <w:tcBorders>
              <w:top w:val="nil"/>
              <w:left w:val="nil"/>
              <w:bottom w:val="single" w:sz="8" w:space="0" w:color="auto"/>
              <w:right w:val="single" w:sz="8" w:space="0" w:color="auto"/>
            </w:tcBorders>
            <w:shd w:val="clear" w:color="000000" w:fill="000000"/>
            <w:vAlign w:val="center"/>
          </w:tcPr>
          <w:p w:rsidR="008331D2" w:rsidRPr="00253B52" w:rsidRDefault="008331D2" w:rsidP="00B37E7F">
            <w:pPr>
              <w:jc w:val="center"/>
              <w:rPr>
                <w:rFonts w:cs="Calibri"/>
                <w:b/>
                <w:bCs/>
                <w:color w:val="FFFFFF"/>
                <w:sz w:val="20"/>
              </w:rPr>
            </w:pPr>
            <w:r w:rsidRPr="00253B52">
              <w:rPr>
                <w:rFonts w:cs="Calibri"/>
                <w:b/>
                <w:bCs/>
                <w:color w:val="FFFFFF"/>
                <w:sz w:val="20"/>
              </w:rPr>
              <w:t>Veřejné zdroje FN po odečtení MCF, ztrát a grantů  (mil. CZK)</w:t>
            </w:r>
          </w:p>
        </w:tc>
        <w:tc>
          <w:tcPr>
            <w:tcW w:w="1760" w:type="dxa"/>
            <w:tcBorders>
              <w:top w:val="nil"/>
              <w:left w:val="nil"/>
              <w:bottom w:val="single" w:sz="8" w:space="0" w:color="BFBFBF"/>
              <w:right w:val="single" w:sz="8" w:space="0" w:color="auto"/>
            </w:tcBorders>
            <w:noWrap/>
            <w:vAlign w:val="center"/>
          </w:tcPr>
          <w:p w:rsidR="008331D2" w:rsidRPr="00253B52" w:rsidRDefault="008331D2" w:rsidP="008331D2">
            <w:pPr>
              <w:jc w:val="right"/>
              <w:rPr>
                <w:sz w:val="18"/>
                <w:szCs w:val="18"/>
              </w:rPr>
            </w:pPr>
            <w:r>
              <w:t>360</w:t>
            </w:r>
          </w:p>
        </w:tc>
      </w:tr>
      <w:tr w:rsidR="008331D2" w:rsidRPr="00253B52" w:rsidTr="008331D2">
        <w:trPr>
          <w:trHeight w:val="525"/>
        </w:trPr>
        <w:tc>
          <w:tcPr>
            <w:tcW w:w="2040" w:type="dxa"/>
            <w:vMerge/>
            <w:tcBorders>
              <w:top w:val="nil"/>
              <w:left w:val="single" w:sz="8" w:space="0" w:color="auto"/>
              <w:bottom w:val="nil"/>
              <w:right w:val="nil"/>
            </w:tcBorders>
            <w:vAlign w:val="center"/>
          </w:tcPr>
          <w:p w:rsidR="008331D2" w:rsidRPr="00253B52" w:rsidRDefault="008331D2" w:rsidP="00B37E7F">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8331D2" w:rsidRPr="00253B52" w:rsidRDefault="008331D2" w:rsidP="00B37E7F">
            <w:pPr>
              <w:jc w:val="center"/>
              <w:rPr>
                <w:rFonts w:cs="Calibri"/>
                <w:b/>
                <w:bCs/>
                <w:color w:val="FFFFFF"/>
                <w:sz w:val="20"/>
              </w:rPr>
            </w:pPr>
            <w:r w:rsidRPr="00253B52">
              <w:rPr>
                <w:rFonts w:cs="Calibri"/>
                <w:b/>
                <w:bCs/>
                <w:color w:val="FFFFFF"/>
                <w:sz w:val="20"/>
              </w:rPr>
              <w:t>Pákový efekt na projektech konečných příjemců</w:t>
            </w:r>
          </w:p>
        </w:tc>
        <w:tc>
          <w:tcPr>
            <w:tcW w:w="1760" w:type="dxa"/>
            <w:tcBorders>
              <w:top w:val="nil"/>
              <w:left w:val="nil"/>
              <w:bottom w:val="nil"/>
              <w:right w:val="single" w:sz="8" w:space="0" w:color="auto"/>
            </w:tcBorders>
            <w:noWrap/>
            <w:vAlign w:val="center"/>
          </w:tcPr>
          <w:p w:rsidR="008331D2" w:rsidRPr="00253B52" w:rsidRDefault="008331D2" w:rsidP="008331D2">
            <w:pPr>
              <w:jc w:val="right"/>
            </w:pPr>
            <w:r>
              <w:t>1,5</w:t>
            </w:r>
          </w:p>
        </w:tc>
      </w:tr>
      <w:tr w:rsidR="008331D2" w:rsidRPr="00253B52" w:rsidTr="008331D2">
        <w:trPr>
          <w:trHeight w:val="525"/>
        </w:trPr>
        <w:tc>
          <w:tcPr>
            <w:tcW w:w="2040" w:type="dxa"/>
            <w:vMerge/>
            <w:tcBorders>
              <w:top w:val="nil"/>
              <w:left w:val="single" w:sz="8" w:space="0" w:color="auto"/>
              <w:bottom w:val="nil"/>
              <w:right w:val="nil"/>
            </w:tcBorders>
            <w:vAlign w:val="center"/>
          </w:tcPr>
          <w:p w:rsidR="008331D2" w:rsidRPr="00253B52" w:rsidRDefault="008331D2" w:rsidP="00B37E7F">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8331D2" w:rsidRPr="00253B52" w:rsidRDefault="008331D2" w:rsidP="00B37E7F">
            <w:pPr>
              <w:jc w:val="center"/>
              <w:rPr>
                <w:rFonts w:cs="Calibri"/>
                <w:b/>
                <w:bCs/>
                <w:color w:val="FFFFFF"/>
                <w:sz w:val="20"/>
              </w:rPr>
            </w:pPr>
            <w:r w:rsidRPr="00253B52">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bottom"/>
          </w:tcPr>
          <w:p w:rsidR="008331D2" w:rsidRPr="00253B52" w:rsidRDefault="008331D2" w:rsidP="008331D2">
            <w:pPr>
              <w:jc w:val="right"/>
            </w:pPr>
            <w:r>
              <w:t>530</w:t>
            </w:r>
          </w:p>
        </w:tc>
      </w:tr>
      <w:tr w:rsidR="008331D2" w:rsidRPr="00253B52" w:rsidTr="008331D2">
        <w:trPr>
          <w:trHeight w:val="525"/>
        </w:trPr>
        <w:tc>
          <w:tcPr>
            <w:tcW w:w="2040" w:type="dxa"/>
            <w:vMerge/>
            <w:tcBorders>
              <w:top w:val="nil"/>
              <w:left w:val="single" w:sz="8" w:space="0" w:color="auto"/>
              <w:bottom w:val="nil"/>
              <w:right w:val="nil"/>
            </w:tcBorders>
            <w:vAlign w:val="center"/>
          </w:tcPr>
          <w:p w:rsidR="008331D2" w:rsidRPr="00253B52" w:rsidRDefault="008331D2" w:rsidP="00B37E7F">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8331D2" w:rsidRPr="00253B52" w:rsidRDefault="008331D2" w:rsidP="00B37E7F">
            <w:pPr>
              <w:jc w:val="center"/>
              <w:rPr>
                <w:rFonts w:cs="Calibri"/>
                <w:b/>
                <w:bCs/>
                <w:color w:val="FFFFFF"/>
                <w:sz w:val="20"/>
              </w:rPr>
            </w:pPr>
            <w:r w:rsidRPr="00253B52">
              <w:rPr>
                <w:rFonts w:cs="Calibri"/>
                <w:b/>
                <w:bCs/>
                <w:color w:val="FFFFFF"/>
                <w:sz w:val="20"/>
              </w:rPr>
              <w:t>Průměrná výše úvěru/ investice konečného příjemce  (mil. CZK)</w:t>
            </w:r>
          </w:p>
        </w:tc>
        <w:tc>
          <w:tcPr>
            <w:tcW w:w="1760" w:type="dxa"/>
            <w:tcBorders>
              <w:top w:val="nil"/>
              <w:left w:val="nil"/>
              <w:bottom w:val="single" w:sz="8" w:space="0" w:color="auto"/>
              <w:right w:val="single" w:sz="8" w:space="0" w:color="auto"/>
            </w:tcBorders>
            <w:noWrap/>
            <w:vAlign w:val="bottom"/>
          </w:tcPr>
          <w:p w:rsidR="008331D2" w:rsidRPr="00253B52" w:rsidRDefault="008331D2" w:rsidP="008331D2">
            <w:pPr>
              <w:jc w:val="right"/>
            </w:pPr>
            <w:r>
              <w:t>20</w:t>
            </w:r>
          </w:p>
        </w:tc>
      </w:tr>
      <w:tr w:rsidR="008331D2" w:rsidRPr="00253B52" w:rsidTr="008331D2">
        <w:trPr>
          <w:trHeight w:val="315"/>
        </w:trPr>
        <w:tc>
          <w:tcPr>
            <w:tcW w:w="2040" w:type="dxa"/>
            <w:vMerge/>
            <w:tcBorders>
              <w:top w:val="nil"/>
              <w:left w:val="single" w:sz="8" w:space="0" w:color="auto"/>
              <w:bottom w:val="nil"/>
              <w:right w:val="nil"/>
            </w:tcBorders>
            <w:vAlign w:val="center"/>
          </w:tcPr>
          <w:p w:rsidR="008331D2" w:rsidRPr="00253B52" w:rsidRDefault="008331D2" w:rsidP="00B37E7F">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8331D2" w:rsidRPr="00253B52" w:rsidRDefault="008331D2" w:rsidP="00B37E7F">
            <w:pPr>
              <w:jc w:val="center"/>
              <w:rPr>
                <w:rFonts w:cs="Calibri"/>
                <w:b/>
                <w:bCs/>
                <w:color w:val="FFFFFF"/>
                <w:sz w:val="20"/>
              </w:rPr>
            </w:pPr>
            <w:r w:rsidRPr="00253B52">
              <w:rPr>
                <w:rFonts w:cs="Calibri"/>
                <w:b/>
                <w:bCs/>
                <w:color w:val="FFFFFF"/>
                <w:sz w:val="20"/>
              </w:rPr>
              <w:t>Počet projektů konečných příjemců</w:t>
            </w:r>
          </w:p>
        </w:tc>
        <w:tc>
          <w:tcPr>
            <w:tcW w:w="1760" w:type="dxa"/>
            <w:tcBorders>
              <w:top w:val="nil"/>
              <w:left w:val="nil"/>
              <w:bottom w:val="nil"/>
              <w:right w:val="single" w:sz="8" w:space="0" w:color="auto"/>
            </w:tcBorders>
            <w:noWrap/>
            <w:vAlign w:val="bottom"/>
          </w:tcPr>
          <w:p w:rsidR="008331D2" w:rsidRPr="00253B52" w:rsidRDefault="008331D2" w:rsidP="008331D2">
            <w:pPr>
              <w:jc w:val="right"/>
            </w:pPr>
            <w:r>
              <w:t>27</w:t>
            </w:r>
          </w:p>
        </w:tc>
      </w:tr>
      <w:tr w:rsidR="008331D2" w:rsidRPr="00253B52" w:rsidTr="00B37E7F">
        <w:trPr>
          <w:trHeight w:val="525"/>
        </w:trPr>
        <w:tc>
          <w:tcPr>
            <w:tcW w:w="2040" w:type="dxa"/>
            <w:vMerge w:val="restart"/>
            <w:tcBorders>
              <w:top w:val="nil"/>
              <w:left w:val="single" w:sz="8" w:space="0" w:color="auto"/>
              <w:bottom w:val="single" w:sz="8" w:space="0" w:color="000000"/>
              <w:right w:val="nil"/>
            </w:tcBorders>
            <w:noWrap/>
            <w:vAlign w:val="center"/>
          </w:tcPr>
          <w:p w:rsidR="008331D2" w:rsidRPr="00253B52" w:rsidRDefault="008331D2" w:rsidP="00B37E7F">
            <w:pPr>
              <w:jc w:val="center"/>
              <w:rPr>
                <w:rFonts w:cs="Calibri"/>
                <w:b/>
                <w:bCs/>
                <w:color w:val="000000"/>
                <w:szCs w:val="22"/>
              </w:rPr>
            </w:pPr>
            <w:r w:rsidRPr="00253B52">
              <w:rPr>
                <w:rFonts w:cs="Calibri"/>
                <w:b/>
                <w:bCs/>
                <w:color w:val="000000"/>
                <w:szCs w:val="22"/>
              </w:rPr>
              <w:t>CELKEM 2015-2023</w:t>
            </w:r>
          </w:p>
        </w:tc>
        <w:tc>
          <w:tcPr>
            <w:tcW w:w="3280" w:type="dxa"/>
            <w:tcBorders>
              <w:top w:val="nil"/>
              <w:left w:val="nil"/>
              <w:bottom w:val="single" w:sz="8" w:space="0" w:color="auto"/>
              <w:right w:val="single" w:sz="8" w:space="0" w:color="auto"/>
            </w:tcBorders>
            <w:shd w:val="clear" w:color="000000" w:fill="538DD5"/>
            <w:vAlign w:val="center"/>
          </w:tcPr>
          <w:p w:rsidR="008331D2" w:rsidRPr="00253B52" w:rsidRDefault="008331D2" w:rsidP="00B37E7F">
            <w:pPr>
              <w:jc w:val="center"/>
              <w:rPr>
                <w:rFonts w:cs="Calibri"/>
                <w:b/>
                <w:bCs/>
                <w:color w:val="FFFFFF"/>
                <w:sz w:val="20"/>
              </w:rPr>
            </w:pPr>
            <w:r w:rsidRPr="00253B52">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bottom"/>
          </w:tcPr>
          <w:p w:rsidR="008331D2" w:rsidRPr="00253B52" w:rsidRDefault="008331D2" w:rsidP="008331D2">
            <w:pPr>
              <w:jc w:val="right"/>
            </w:pPr>
            <w:r>
              <w:t>1 900</w:t>
            </w:r>
          </w:p>
        </w:tc>
      </w:tr>
      <w:tr w:rsidR="008331D2" w:rsidRPr="00253B52" w:rsidTr="008331D2">
        <w:trPr>
          <w:trHeight w:val="315"/>
        </w:trPr>
        <w:tc>
          <w:tcPr>
            <w:tcW w:w="2040" w:type="dxa"/>
            <w:vMerge/>
            <w:tcBorders>
              <w:top w:val="nil"/>
              <w:left w:val="single" w:sz="8" w:space="0" w:color="auto"/>
              <w:bottom w:val="single" w:sz="8" w:space="0" w:color="000000"/>
              <w:right w:val="nil"/>
            </w:tcBorders>
            <w:vAlign w:val="center"/>
          </w:tcPr>
          <w:p w:rsidR="008331D2" w:rsidRPr="00253B52" w:rsidRDefault="008331D2" w:rsidP="00B37E7F">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8331D2" w:rsidRPr="00253B52" w:rsidRDefault="008331D2" w:rsidP="00B37E7F">
            <w:pPr>
              <w:jc w:val="center"/>
              <w:rPr>
                <w:rFonts w:cs="Calibri"/>
                <w:b/>
                <w:bCs/>
                <w:color w:val="FFFFFF"/>
                <w:sz w:val="20"/>
              </w:rPr>
            </w:pPr>
            <w:r w:rsidRPr="00253B52">
              <w:rPr>
                <w:rFonts w:cs="Calibri"/>
                <w:b/>
                <w:bCs/>
                <w:color w:val="FFFFFF"/>
                <w:sz w:val="20"/>
              </w:rPr>
              <w:t>Celkové soukromé zdroje  (mil. CZK)</w:t>
            </w:r>
          </w:p>
        </w:tc>
        <w:tc>
          <w:tcPr>
            <w:tcW w:w="1760" w:type="dxa"/>
            <w:tcBorders>
              <w:top w:val="nil"/>
              <w:left w:val="nil"/>
              <w:bottom w:val="single" w:sz="8" w:space="0" w:color="auto"/>
              <w:right w:val="single" w:sz="8" w:space="0" w:color="auto"/>
            </w:tcBorders>
            <w:noWrap/>
            <w:vAlign w:val="bottom"/>
          </w:tcPr>
          <w:p w:rsidR="008331D2" w:rsidRPr="00253B52" w:rsidRDefault="008331D2" w:rsidP="008331D2">
            <w:pPr>
              <w:jc w:val="right"/>
            </w:pPr>
            <w:r>
              <w:t>640</w:t>
            </w:r>
          </w:p>
        </w:tc>
      </w:tr>
      <w:tr w:rsidR="008331D2" w:rsidRPr="00253B52" w:rsidTr="00B37E7F">
        <w:trPr>
          <w:trHeight w:val="315"/>
        </w:trPr>
        <w:tc>
          <w:tcPr>
            <w:tcW w:w="2040" w:type="dxa"/>
            <w:vMerge/>
            <w:tcBorders>
              <w:top w:val="nil"/>
              <w:left w:val="single" w:sz="8" w:space="0" w:color="auto"/>
              <w:bottom w:val="single" w:sz="8" w:space="0" w:color="000000"/>
              <w:right w:val="nil"/>
            </w:tcBorders>
            <w:vAlign w:val="center"/>
          </w:tcPr>
          <w:p w:rsidR="008331D2" w:rsidRPr="00253B52" w:rsidRDefault="008331D2" w:rsidP="00B37E7F">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8331D2" w:rsidRPr="00253B52" w:rsidRDefault="008331D2" w:rsidP="00B37E7F">
            <w:pPr>
              <w:jc w:val="center"/>
              <w:rPr>
                <w:rFonts w:cs="Calibri"/>
                <w:b/>
                <w:bCs/>
                <w:color w:val="FFFFFF"/>
                <w:sz w:val="20"/>
              </w:rPr>
            </w:pPr>
            <w:r w:rsidRPr="00253B52">
              <w:rPr>
                <w:rFonts w:cs="Calibri"/>
                <w:b/>
                <w:bCs/>
                <w:color w:val="FFFFFF"/>
                <w:sz w:val="20"/>
              </w:rPr>
              <w:t>Počet projektů konečných příjemců</w:t>
            </w:r>
          </w:p>
        </w:tc>
        <w:tc>
          <w:tcPr>
            <w:tcW w:w="1760" w:type="dxa"/>
            <w:tcBorders>
              <w:top w:val="nil"/>
              <w:left w:val="nil"/>
              <w:bottom w:val="single" w:sz="8" w:space="0" w:color="auto"/>
              <w:right w:val="single" w:sz="8" w:space="0" w:color="auto"/>
            </w:tcBorders>
            <w:noWrap/>
            <w:vAlign w:val="bottom"/>
          </w:tcPr>
          <w:p w:rsidR="008331D2" w:rsidRPr="00253B52" w:rsidRDefault="008331D2" w:rsidP="008331D2">
            <w:pPr>
              <w:jc w:val="right"/>
            </w:pPr>
            <w:r>
              <w:t>96</w:t>
            </w:r>
          </w:p>
        </w:tc>
      </w:tr>
    </w:tbl>
    <w:p w:rsidR="002A667A" w:rsidRDefault="002A667A" w:rsidP="006638C9"/>
    <w:p w:rsidR="002A667A" w:rsidRDefault="002A667A" w:rsidP="00455CE7">
      <w:pPr>
        <w:pStyle w:val="Titulek"/>
      </w:pPr>
      <w:r>
        <w:t>Tabulka 3: Modelový příklad očekávaných výsledků finančního nástroje v SC 1.2 do roku 2023, příklad využití 100 % alokace programu podpory Proof of Concept prostřednictvím kapitálového finančního nástroje (zdroj: MPO)</w:t>
      </w:r>
    </w:p>
    <w:p w:rsidR="002A667A" w:rsidRDefault="002A667A" w:rsidP="006638C9"/>
    <w:p w:rsidR="002A667A" w:rsidRPr="00B238E1" w:rsidRDefault="002A667A" w:rsidP="006638C9">
      <w:r w:rsidRPr="00B238E1">
        <w:t>Očekávanými výsledky využití kapitálového nástroje v programu Proof-of-concept je krom přímých kvantifikovaných ukazatelů především zlepšení prostředí na veřejných výzkumných organizacích vůči komercionalizačním aktivitám. Nástroj má přispět ke větší motivaci výzkýmných organizací a podpořit profesionalizaci v této oblasti. Ve výsledku by z něj měly profitovat právě výzkumné organizace, a to formou finančního profitu, navázáním spolupráce se soukromými investory, zvýšením smluvního výzkumu i prestiží v případě úspěchu některého z projektů.</w:t>
      </w:r>
    </w:p>
    <w:p w:rsidR="002A667A" w:rsidRPr="00D03ACF" w:rsidRDefault="002A667A" w:rsidP="006638C9">
      <w:pPr>
        <w:pStyle w:val="Nadpis2"/>
        <w:keepLines w:val="0"/>
        <w:numPr>
          <w:ilvl w:val="1"/>
          <w:numId w:val="48"/>
        </w:numPr>
        <w:overflowPunct/>
        <w:autoSpaceDE/>
        <w:autoSpaceDN/>
        <w:adjustRightInd/>
        <w:spacing w:before="240"/>
        <w:ind w:left="578" w:hanging="578"/>
        <w:jc w:val="left"/>
        <w:textAlignment w:val="auto"/>
      </w:pPr>
      <w:bookmarkStart w:id="23" w:name="_Toc414464603"/>
      <w:r w:rsidRPr="00D03ACF">
        <w:t>Prioritní osa 2</w:t>
      </w:r>
      <w:bookmarkEnd w:id="23"/>
    </w:p>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24" w:name="_Toc414464604"/>
      <w:r w:rsidRPr="00D03ACF">
        <w:t>Odůvodnění volby oblasti podpory a návrhu nástroje</w:t>
      </w:r>
      <w:bookmarkEnd w:id="24"/>
    </w:p>
    <w:p w:rsidR="002A667A" w:rsidRPr="00D03ACF" w:rsidRDefault="002A667A" w:rsidP="006638C9"/>
    <w:p w:rsidR="002A667A" w:rsidRPr="00D03ACF" w:rsidRDefault="002A667A" w:rsidP="006638C9">
      <w:pPr>
        <w:pStyle w:val="CaptionIntroductionparagraph"/>
      </w:pPr>
      <w:r w:rsidRPr="00D03ACF">
        <w:t>SC 2.1</w:t>
      </w:r>
    </w:p>
    <w:p w:rsidR="002A667A" w:rsidRPr="00D03ACF" w:rsidRDefault="002A667A" w:rsidP="006638C9">
      <w:r w:rsidRPr="00D03ACF">
        <w:t xml:space="preserve">Investice do </w:t>
      </w:r>
      <w:r>
        <w:t>zakládání a r</w:t>
      </w:r>
      <w:r w:rsidRPr="00D03ACF">
        <w:t xml:space="preserve">ozvoje MSP jsou spojeny s vysokým rizikem, ale zároveň vykazují dostatečně velký ziskový potenciál. MSP tak </w:t>
      </w:r>
      <w:r>
        <w:t xml:space="preserve">v některých případech nejsou </w:t>
      </w:r>
      <w:r w:rsidRPr="00D03ACF">
        <w:t>schopn</w:t>
      </w:r>
      <w:r>
        <w:t>y</w:t>
      </w:r>
      <w:r w:rsidRPr="00D03ACF">
        <w:t xml:space="preserve"> získat </w:t>
      </w:r>
      <w:r>
        <w:t xml:space="preserve">potřebné </w:t>
      </w:r>
      <w:r w:rsidRPr="00D03ACF">
        <w:t xml:space="preserve">financování. Vzhledem k rizikovému profilu je od </w:t>
      </w:r>
      <w:r>
        <w:t>nich</w:t>
      </w:r>
      <w:r w:rsidRPr="00D03ACF">
        <w:t xml:space="preserve"> </w:t>
      </w:r>
      <w:r>
        <w:t xml:space="preserve">v případě žádosti o bankovní úvěr </w:t>
      </w:r>
      <w:r w:rsidRPr="00D03ACF">
        <w:t xml:space="preserve">požadováno značné zajištění, které </w:t>
      </w:r>
      <w:r>
        <w:t>nejsou</w:t>
      </w:r>
      <w:r w:rsidRPr="00D03ACF">
        <w:t xml:space="preserve"> schopn</w:t>
      </w:r>
      <w:r>
        <w:t>y</w:t>
      </w:r>
      <w:r w:rsidRPr="00D03ACF">
        <w:t xml:space="preserve"> poskytnout. </w:t>
      </w:r>
    </w:p>
    <w:p w:rsidR="002A667A" w:rsidRPr="00D03ACF" w:rsidRDefault="002A667A" w:rsidP="006638C9"/>
    <w:p w:rsidR="002A667A" w:rsidRPr="00D03ACF" w:rsidRDefault="002A667A" w:rsidP="006638C9">
      <w:r w:rsidRPr="00D03ACF">
        <w:t>Klíčová je v tomto ohledu životní fáze firmy. Zavedené MSP oproti novým společnostem disponují kumulovanými zisky, historií, případně dlouhodobým majetkem, což výrazně zvyšuje jejich šanci získat dluhové financování.</w:t>
      </w:r>
    </w:p>
    <w:p w:rsidR="002A667A" w:rsidRPr="00D03ACF" w:rsidRDefault="002A667A" w:rsidP="006638C9"/>
    <w:p w:rsidR="002A667A" w:rsidRDefault="002A667A" w:rsidP="006638C9">
      <w:r w:rsidRPr="00D03ACF">
        <w:t>Rizikový kapitál je v ČR dostupný, ale poměrně drahý</w:t>
      </w:r>
      <w:r>
        <w:t xml:space="preserve"> a není typicky poskytován prostřednictvím fondů, ale na bázi dohod s business angels</w:t>
      </w:r>
      <w:r w:rsidRPr="00D03ACF">
        <w:t xml:space="preserve">. </w:t>
      </w:r>
      <w:r>
        <w:t xml:space="preserve">Startupy </w:t>
      </w:r>
      <w:r w:rsidRPr="00D03ACF">
        <w:t xml:space="preserve">navíc často neumí svůj záměr správně prezentovat či se </w:t>
      </w:r>
      <w:r>
        <w:t xml:space="preserve">příliš </w:t>
      </w:r>
      <w:r w:rsidRPr="00D03ACF">
        <w:t xml:space="preserve">zaměřují pouze na </w:t>
      </w:r>
      <w:r>
        <w:t xml:space="preserve">technickou </w:t>
      </w:r>
      <w:r w:rsidRPr="00D03ACF">
        <w:t xml:space="preserve">složku záměru a podceňují jeho ekonomickou přípravu, čímž se pro investory stává projekt příliš rizikovým a neatraktivním. Toto opět platí zejména o nových záměrech a firmách. Manažeři zavedených MSP mohou poukázat na úspěšnou historii </w:t>
      </w:r>
      <w:r w:rsidRPr="00D03ACF">
        <w:lastRenderedPageBreak/>
        <w:t>hospodaření podniku, která dokazuje jejich řídící schopnost a snižuje v očích investice management risk projektu.</w:t>
      </w:r>
    </w:p>
    <w:p w:rsidR="002A667A" w:rsidRDefault="002A667A" w:rsidP="006638C9"/>
    <w:p w:rsidR="002A667A" w:rsidRPr="00D03ACF" w:rsidRDefault="002A667A" w:rsidP="006638C9">
      <w:r>
        <w:t>I v České republice se dále začíná využívat také equity crowdfunding jako způsob financování počáteční fáze podnikání.</w:t>
      </w:r>
    </w:p>
    <w:p w:rsidR="002A667A" w:rsidRPr="00D03ACF" w:rsidRDefault="002A667A" w:rsidP="006638C9"/>
    <w:p w:rsidR="002A667A" w:rsidRDefault="002A667A" w:rsidP="006638C9">
      <w:r w:rsidRPr="00D03ACF">
        <w:t>Výše popsané tržní selhání považujeme vzhledem k ziskovému potenciálu inovativních MSP za vhodné řešit využitím finančních nástrojů. S ohledem na odlišné potřeby firem v závislosti na jejich životním cyklu je nutné nabídnout diferencované finanční nástroje, které budou těmto potřebám do co největší míry odpovídat.</w:t>
      </w:r>
    </w:p>
    <w:p w:rsidR="002A667A" w:rsidRDefault="002A667A" w:rsidP="006638C9"/>
    <w:p w:rsidR="002A667A" w:rsidRPr="00D03ACF" w:rsidRDefault="002A667A" w:rsidP="006638C9">
      <w:r>
        <w:rPr>
          <w:b/>
        </w:rPr>
        <w:t>Cílem je nalézt řešení, které doručí přijatelným způsobem podporu konečnému příjemci a umožní více zvýhodnit projekty, které lépe přispějí k naplnění cílů operačního programu.</w:t>
      </w:r>
    </w:p>
    <w:p w:rsidR="002A667A" w:rsidRPr="00D03ACF" w:rsidRDefault="002A667A" w:rsidP="006638C9"/>
    <w:p w:rsidR="002A667A" w:rsidRPr="00D03ACF" w:rsidRDefault="002A667A" w:rsidP="006638C9">
      <w:pPr>
        <w:rPr>
          <w:b/>
        </w:rPr>
      </w:pPr>
      <w:r>
        <w:rPr>
          <w:b/>
        </w:rPr>
        <w:t xml:space="preserve">Národní inovační </w:t>
      </w:r>
      <w:r w:rsidRPr="00D03ACF">
        <w:rPr>
          <w:b/>
        </w:rPr>
        <w:t>fond</w:t>
      </w:r>
    </w:p>
    <w:p w:rsidR="002A667A" w:rsidRPr="00D03ACF" w:rsidRDefault="002A667A" w:rsidP="006638C9">
      <w:r w:rsidRPr="00D03ACF">
        <w:t xml:space="preserve">Prvotní a časnou rozvojovou fázi MSP není vhodné financovat dluhově. Příliš velký podíl dluhu na zdrojích společnosti značně ztěžuje její pozici pro budoucí vyjednávání v dalších kolech financování. Spolu s nejistým, avšak ziskovým potenciálem společností výše uvedené vede k přesvědčení, že nejvhodnější formou veřejné podpory zakládání a rozvoje MSP jsou </w:t>
      </w:r>
      <w:r>
        <w:t xml:space="preserve">v případě inovativních startupů </w:t>
      </w:r>
      <w:r w:rsidRPr="00D03ACF">
        <w:t xml:space="preserve">investice do jejich základního kapitálu realizované prostřednictvím kapitálového finančního nástroje, tzv. </w:t>
      </w:r>
      <w:r>
        <w:t>Národního inovačního fondu (NIF)</w:t>
      </w:r>
      <w:r w:rsidRPr="00D03ACF">
        <w:t xml:space="preserve">. </w:t>
      </w:r>
    </w:p>
    <w:p w:rsidR="002A667A" w:rsidRPr="00D03ACF" w:rsidRDefault="002A667A" w:rsidP="006638C9"/>
    <w:p w:rsidR="002A667A" w:rsidRDefault="002A667A" w:rsidP="006638C9">
      <w:r w:rsidRPr="00D44CBE">
        <w:rPr>
          <w:b/>
        </w:rPr>
        <w:t>Národní inovační fond investuje prostředky do fondů rizikového kapitálu</w:t>
      </w:r>
      <w:r>
        <w:t xml:space="preserve"> s investiční strategií, která je zaměřena a pokud manažeři těchto fondů splní stanovené požadavky na zkušenosti a kredibilitu v oblasti investování rizikového kapitálu, stejně jako zajištění závazků soukromých investorů, neboť due diligence NIF provádí na úrovni fondů, do kterých investuje. NIF investuje typicky jako limited partner se specifickými požadavky na investiční strategii s ohledem na cíle operačního programu (malé a střední podniky vyvíjející hospodářskou činnost v České republice atd.). Schéma by mělo umožnit také podporu na scouting costs.</w:t>
      </w:r>
    </w:p>
    <w:p w:rsidR="002A667A" w:rsidRDefault="002A667A" w:rsidP="006638C9"/>
    <w:p w:rsidR="002A667A" w:rsidRDefault="002A667A" w:rsidP="006638C9">
      <w:r w:rsidRPr="00D44CBE">
        <w:rPr>
          <w:b/>
        </w:rPr>
        <w:t xml:space="preserve">NIF by měl mít </w:t>
      </w:r>
      <w:r w:rsidR="0025227F" w:rsidRPr="00D44CBE">
        <w:rPr>
          <w:b/>
        </w:rPr>
        <w:t xml:space="preserve">též </w:t>
      </w:r>
      <w:r w:rsidRPr="00D44CBE">
        <w:rPr>
          <w:b/>
        </w:rPr>
        <w:t>možnost přímo koinvestovat na konkrétní projekty</w:t>
      </w:r>
      <w:r>
        <w:t>, avšak v tom případě musí ze strany NIF proběhnout due diligence koinvestora, typicky business angela (např. EIF takto postupuje v případě European Angels Fund). Koinvestice NIF může dále pomoci rozvinout např. vhodný program vzdělávání business angels.</w:t>
      </w:r>
    </w:p>
    <w:p w:rsidR="002A667A" w:rsidRDefault="002A667A" w:rsidP="006638C9"/>
    <w:p w:rsidR="002A667A" w:rsidRDefault="002A667A" w:rsidP="006638C9">
      <w:r>
        <w:t>Pro úspěch projektu NIF je klíčový výběr jeho managementu, který musí být profesionální a nezávislý, jinak fond nezíská potřebnou kredibilitu, jak rovněž ukazují zahraniční zkušenosti. Pro výběr managementu je možné využít např. výběrová řízení nebo využít možnosti přímého zadání Evropskému investičnímu fondu.</w:t>
      </w:r>
    </w:p>
    <w:p w:rsidR="002A667A" w:rsidRDefault="002A667A" w:rsidP="006638C9"/>
    <w:p w:rsidR="002A667A" w:rsidRDefault="002A667A" w:rsidP="006638C9">
      <w:r>
        <w:t>Jedním z klíčových prvků investiční strategie NIF je</w:t>
      </w:r>
      <w:r w:rsidR="0025227F">
        <w:t xml:space="preserve"> také</w:t>
      </w:r>
      <w:r>
        <w:t xml:space="preserve"> zahrnutí projektů startupů usazených na území hlavního města Prahy, neboť v případě regionálního omezení fondu by se v návaznosti na zjištěné reakce strany nabídky během rozhovorů k první části předběžného posouzení nejednalo o funkční schéma. Je proto nutné pracovat na </w:t>
      </w:r>
      <w:r w:rsidRPr="00D44CBE">
        <w:rPr>
          <w:b/>
        </w:rPr>
        <w:t>zajištění komplementarity s OP PPR.</w:t>
      </w:r>
    </w:p>
    <w:p w:rsidR="002A667A" w:rsidRDefault="002A667A" w:rsidP="006638C9"/>
    <w:p w:rsidR="002A667A" w:rsidRPr="00D03ACF" w:rsidRDefault="002A667A" w:rsidP="006638C9">
      <w:r>
        <w:t xml:space="preserve">Dále je třeba zdůraznit potřebu širší podpory vytváření startupového prostředí v České republice. Důležitá je podpora zlepšení kvality startupových projektů (koučink a další poradenské služby) a další aktivity včetně rané internacionalizace (např. výjezdy do zahraničních inkubátorů spojené s bootcampy) zajišťované zejména agenturou CzechInvest. K této podpoře by měly mít přístup zejména projekty zvažované k zainvestování NIF, ať už přímo, nebo prostřednictvím dalších fondů, a to např. prostřednictvím zjednodušených žádostí o tuto doplňkovou podporu. Doplňkově je možné </w:t>
      </w:r>
      <w:r>
        <w:lastRenderedPageBreak/>
        <w:t>podpořit též exity a to např. ve formě úhrady nákladů na IPO na alternativních investičních platformách.</w:t>
      </w:r>
    </w:p>
    <w:p w:rsidR="002A667A" w:rsidRPr="00D03ACF" w:rsidRDefault="002A667A" w:rsidP="006638C9"/>
    <w:p w:rsidR="002A667A" w:rsidRPr="00D03ACF" w:rsidRDefault="002A667A" w:rsidP="006638C9">
      <w:pPr>
        <w:rPr>
          <w:b/>
        </w:rPr>
      </w:pPr>
      <w:r w:rsidRPr="00D03ACF">
        <w:rPr>
          <w:b/>
        </w:rPr>
        <w:t>Úvěrový a záruční nástroj</w:t>
      </w:r>
    </w:p>
    <w:p w:rsidR="002A667A" w:rsidRPr="00D03ACF" w:rsidRDefault="002A667A" w:rsidP="006638C9">
      <w:r w:rsidRPr="00D03ACF">
        <w:t xml:space="preserve">Na podniky hledající financování rozšiřovacích investic nahlížejí banky mnohem méně kriticky, neboť vzhledem ke skutečnostem uvedeným v odstavcích výše neztělesňují pro banku tak vysoké riziko. I přes to je velká část žadatelů o dluhové financování po analýze vyhodnocena jako příliš riziková a na požadované financování za tržních podmínek nedosáhne, případně je bankou požadovaná riziková přirážka natolik vysoká, že nepodporuje smysluplnost celé rozšiřovací investice, nebo vyvolává pochybnosti o schopnosti podniku včasně hradit úrokové náklady. Vlastníci zavedených podniků hledají investiční prostředky, ale zřídka jsou zároveň ochotni </w:t>
      </w:r>
      <w:r>
        <w:t>ředit</w:t>
      </w:r>
      <w:r w:rsidRPr="00D03ACF">
        <w:t xml:space="preserve"> svůj vlastnický podíl, a raději od realizace investice upustí, než aby ji financovali ze zdrojů, které by do společnosti přinesl nový investor.</w:t>
      </w:r>
    </w:p>
    <w:p w:rsidR="002A667A" w:rsidRPr="00D03ACF" w:rsidRDefault="002A667A" w:rsidP="006638C9"/>
    <w:p w:rsidR="002A667A" w:rsidRDefault="002A667A" w:rsidP="006638C9">
      <w:r w:rsidRPr="00D03ACF">
        <w:t xml:space="preserve">V tomto případě navrhujeme využití </w:t>
      </w:r>
      <w:r>
        <w:t xml:space="preserve">zejména </w:t>
      </w:r>
      <w:r w:rsidRPr="00D03ACF">
        <w:t xml:space="preserve">úvěrových a záručních nástrojů, které prostřednictvím významného snížení rizikové expozice spolufinancujícího subjektu zpřístupňují žadatelům úvěry a snižují úrokovou sazbu, za kterou jsou úvěry poskytovány. </w:t>
      </w:r>
    </w:p>
    <w:p w:rsidR="002A667A" w:rsidRPr="00D03ACF" w:rsidRDefault="002A667A" w:rsidP="006638C9"/>
    <w:p w:rsidR="002A667A" w:rsidRDefault="002A667A" w:rsidP="006638C9">
      <w:r>
        <w:t xml:space="preserve">V případě záruk </w:t>
      </w:r>
      <w:r w:rsidRPr="00D03ACF">
        <w:t xml:space="preserve">bude </w:t>
      </w:r>
      <w:r>
        <w:t>f</w:t>
      </w:r>
      <w:r w:rsidRPr="00D03ACF">
        <w:t>inanční nástroj záruku poskytovat přímo spolufinancující bance, stejně tak peněžní prostředky k úvěrování bude finanční nástroj převádět spolufinancující bance, která bude následně odpovědná za distribuci peněz a administraci jednotlivých úvěrových případů.</w:t>
      </w:r>
    </w:p>
    <w:p w:rsidR="002A667A" w:rsidRDefault="002A667A" w:rsidP="006638C9"/>
    <w:p w:rsidR="002A667A" w:rsidRDefault="002A667A" w:rsidP="006638C9">
      <w:r>
        <w:t>V případě úvěrů je diskutováno několik možných řešení zajištění finanční páky zapojením prostředků soukromých bank:</w:t>
      </w:r>
    </w:p>
    <w:p w:rsidR="002A667A" w:rsidRDefault="002A667A" w:rsidP="009564A0">
      <w:pPr>
        <w:numPr>
          <w:ilvl w:val="0"/>
          <w:numId w:val="102"/>
        </w:numPr>
      </w:pPr>
      <w:r>
        <w:t>paralelní poskytnutí zvýhodněného a komerčního úvěru,</w:t>
      </w:r>
    </w:p>
    <w:p w:rsidR="002A667A" w:rsidRDefault="002A667A" w:rsidP="009564A0">
      <w:pPr>
        <w:numPr>
          <w:ilvl w:val="0"/>
          <w:numId w:val="102"/>
        </w:numPr>
      </w:pPr>
      <w:r>
        <w:t>syndikované úvěry,</w:t>
      </w:r>
    </w:p>
    <w:p w:rsidR="002A667A" w:rsidRDefault="002A667A" w:rsidP="009564A0">
      <w:pPr>
        <w:numPr>
          <w:ilvl w:val="0"/>
          <w:numId w:val="102"/>
        </w:numPr>
      </w:pPr>
      <w:r>
        <w:t>kombinace úvěru a dotace,</w:t>
      </w:r>
    </w:p>
    <w:p w:rsidR="002A667A" w:rsidRDefault="002A667A" w:rsidP="009564A0">
      <w:pPr>
        <w:numPr>
          <w:ilvl w:val="0"/>
          <w:numId w:val="102"/>
        </w:numPr>
      </w:pPr>
      <w:r>
        <w:t>paralelní poskytnutí zvýhodněného podřízeného úvěru a komerčního úvěru,</w:t>
      </w:r>
    </w:p>
    <w:p w:rsidR="002A667A" w:rsidRDefault="002A667A" w:rsidP="009564A0">
      <w:pPr>
        <w:numPr>
          <w:ilvl w:val="0"/>
          <w:numId w:val="102"/>
        </w:numPr>
      </w:pPr>
      <w:r>
        <w:t>paralelní poskytnutí zvýhodněného úvěru s prvky podřízenosti (např. sekundární zástavní právo) a komerčního úvěru,</w:t>
      </w:r>
    </w:p>
    <w:p w:rsidR="002A667A" w:rsidRDefault="002A667A" w:rsidP="00144361">
      <w:pPr>
        <w:numPr>
          <w:ilvl w:val="0"/>
          <w:numId w:val="102"/>
        </w:numPr>
      </w:pPr>
      <w:r>
        <w:t>kombinace výše uvedených mechanismů s finančním příspěvkem na úhradu úroků a finančním příspěvkem na technickou přípravu projektu.</w:t>
      </w:r>
    </w:p>
    <w:p w:rsidR="002A667A" w:rsidRDefault="002A667A" w:rsidP="009564A0"/>
    <w:p w:rsidR="002A667A" w:rsidRDefault="002A667A" w:rsidP="009564A0">
      <w:r>
        <w:t>Varianta úvěrového fondu fondů není výše uvedena s ohledem na závěry rozhovorů se zástupci strany nabídky, které ukázaly, že toto řešení by pravděpodobně v podmínkách českého finančního trhu vedlo mj. k přenesení části administrativních nákladů na konečné příjemce.</w:t>
      </w:r>
    </w:p>
    <w:p w:rsidR="002A667A" w:rsidRDefault="002A667A" w:rsidP="009564A0"/>
    <w:p w:rsidR="002A667A" w:rsidRDefault="002A667A" w:rsidP="009564A0">
      <w:r>
        <w:t xml:space="preserve">Dále v textu je pro ilustraci uváděna varianta kombinace zvýhodněného úvěru s finančním příspěvkem na úhradu úroků, případně též s finančním příspěvkem na technickou přípravu projektu. </w:t>
      </w:r>
    </w:p>
    <w:p w:rsidR="002A667A" w:rsidRDefault="002A667A" w:rsidP="009564A0"/>
    <w:p w:rsidR="002A667A" w:rsidRPr="00D03ACF" w:rsidRDefault="002A667A" w:rsidP="009564A0">
      <w:r>
        <w:rPr>
          <w:b/>
        </w:rPr>
        <w:t xml:space="preserve">Opakujeme, že cílem je nalézt řešení, které doručí přijatelným způsobem podporu konečnému příjemci a umožní více zvýhodnit projekty, které lépe přispějí k naplnění cílů operačního programu. </w:t>
      </w:r>
      <w:r w:rsidRPr="00144361">
        <w:rPr>
          <w:b/>
        </w:rPr>
        <w:t>Procentní</w:t>
      </w:r>
      <w:r>
        <w:t xml:space="preserve"> </w:t>
      </w:r>
      <w:r>
        <w:rPr>
          <w:b/>
        </w:rPr>
        <w:t>v</w:t>
      </w:r>
      <w:r w:rsidRPr="00144361">
        <w:rPr>
          <w:b/>
        </w:rPr>
        <w:t>ýše finančního příspěvku na úhradu úroků bude odstupňována podle skutečných výsledků projektu po jeho dokončení.</w:t>
      </w:r>
      <w:r>
        <w:t xml:space="preserve"> </w:t>
      </w:r>
    </w:p>
    <w:p w:rsidR="002A667A" w:rsidRPr="00D03ACF" w:rsidRDefault="002A667A" w:rsidP="006638C9"/>
    <w:p w:rsidR="002A667A" w:rsidRPr="00D03ACF" w:rsidRDefault="002A667A" w:rsidP="006638C9">
      <w:pPr>
        <w:pStyle w:val="CaptionIntroductionparagraph"/>
      </w:pPr>
      <w:r w:rsidRPr="00D03ACF">
        <w:t>SC 2.3</w:t>
      </w:r>
    </w:p>
    <w:p w:rsidR="002A667A" w:rsidRPr="00D03ACF" w:rsidRDefault="002A667A" w:rsidP="006638C9">
      <w:pPr>
        <w:pStyle w:val="CaptionIntroductionparagraph"/>
      </w:pPr>
    </w:p>
    <w:p w:rsidR="002A667A" w:rsidRDefault="002A667A" w:rsidP="00F67071">
      <w:r w:rsidRPr="00D03ACF">
        <w:t>Na základě tržní analýzy sektoru průmyslových brownfieldů (BF) a vyhodnocení dotazníkového šetření potencionálních investičních projektů v</w:t>
      </w:r>
      <w:r>
        <w:t>e</w:t>
      </w:r>
      <w:r w:rsidRPr="00D03ACF">
        <w:t xml:space="preserve"> sledované oblasti vykazuje specifický cíl </w:t>
      </w:r>
      <w:r w:rsidRPr="00D03ACF">
        <w:rPr>
          <w:b/>
        </w:rPr>
        <w:t>2.3 – “</w:t>
      </w:r>
      <w:r w:rsidRPr="00D03ACF">
        <w:rPr>
          <w:rFonts w:cs="Arial"/>
          <w:b/>
          <w:szCs w:val="19"/>
        </w:rPr>
        <w:t>Zvýšit využitelnost infrastruktury pro podnikání</w:t>
      </w:r>
      <w:r w:rsidRPr="00D03ACF">
        <w:rPr>
          <w:b/>
        </w:rPr>
        <w:t>“</w:t>
      </w:r>
      <w:r w:rsidRPr="00D03ACF">
        <w:t xml:space="preserve"> potenciál pro zapojení finančních nástrojů. Kromě vysokého potenciálu regenerovat a rekonstruovat nevyužívané a zastaralé nemovitosti ze strany </w:t>
      </w:r>
      <w:r w:rsidRPr="00D03ACF">
        <w:lastRenderedPageBreak/>
        <w:t>soukromých subjektů (MSP), by mělo být pro ŘO hlavní motivaci také zvýšit pákový efekt alokovaných zdrojů přes finanční nástroje. Alokace oproti minulému období klesla o téměř 65 %, což motivuje k vyššímu využití uvěrového mechani</w:t>
      </w:r>
      <w:r>
        <w:t>s</w:t>
      </w:r>
      <w:r w:rsidRPr="00D03ACF">
        <w:t xml:space="preserve">mu. </w:t>
      </w:r>
    </w:p>
    <w:p w:rsidR="002A667A" w:rsidRPr="00D03ACF" w:rsidRDefault="002A667A" w:rsidP="006638C9">
      <w:pPr>
        <w:pStyle w:val="BodyText1"/>
      </w:pPr>
    </w:p>
    <w:p w:rsidR="002A667A" w:rsidRDefault="002A667A" w:rsidP="00F67071">
      <w:r w:rsidRPr="00D03ACF">
        <w:t>V minulém období programu dosahovala poptávka několikanásobku vyčleněné alokace a bez veřejné podpory by se realizoval pouze omezený počet projektů. Pokud nedojde k</w:t>
      </w:r>
      <w:r>
        <w:t xml:space="preserve"> zúženému </w:t>
      </w:r>
      <w:r w:rsidRPr="00D03ACF">
        <w:t xml:space="preserve">definování brownfieldu, navrhuje </w:t>
      </w:r>
      <w:r>
        <w:t>Deloitte Advisory</w:t>
      </w:r>
      <w:r w:rsidRPr="00D03ACF">
        <w:t xml:space="preserve"> použít úvěrový nástroj. </w:t>
      </w:r>
    </w:p>
    <w:p w:rsidR="002A667A" w:rsidRPr="00D03ACF" w:rsidRDefault="002A667A" w:rsidP="006638C9">
      <w:pPr>
        <w:pStyle w:val="BodyText1"/>
        <w:jc w:val="both"/>
      </w:pPr>
    </w:p>
    <w:p w:rsidR="002A667A" w:rsidRDefault="002A667A" w:rsidP="006638C9">
      <w:r w:rsidRPr="00D03ACF">
        <w:t xml:space="preserve">Zvýhodněné úvěry budou mít pozitivní dopad na </w:t>
      </w:r>
      <w:r>
        <w:t>snížení z</w:t>
      </w:r>
      <w:r w:rsidRPr="00D03ACF">
        <w:t>ábor</w:t>
      </w:r>
      <w:r>
        <w:t>ů</w:t>
      </w:r>
      <w:r w:rsidRPr="00D03ACF">
        <w:t xml:space="preserve"> půdy pro výstavbu greenfieldů, </w:t>
      </w:r>
      <w:r>
        <w:t xml:space="preserve"> umožní konečným příjemcům </w:t>
      </w:r>
      <w:r w:rsidRPr="00D03ACF">
        <w:t xml:space="preserve">v zanedbaném areálu </w:t>
      </w:r>
      <w:r>
        <w:t>investovat</w:t>
      </w:r>
      <w:r w:rsidRPr="00D03ACF">
        <w:t xml:space="preserve"> do rekonstrukce větší části areálu a také přitáhnout pozornost developer</w:t>
      </w:r>
      <w:r>
        <w:t>ů</w:t>
      </w:r>
      <w:r w:rsidRPr="00D03ACF">
        <w:t xml:space="preserve"> do méně rentabilních projektů regenerace/revitalizace brownfieldů. Budování nadstandardních průmyslových zón je také v souladu s koncepci připravované národní strategie pro regeneraci brownfieldů. Tento nástroj se doporučuje aplikovat pro soukromé projekty s vyšší výnosnost</w:t>
      </w:r>
      <w:r>
        <w:t>í</w:t>
      </w:r>
      <w:r w:rsidRPr="00D03ACF">
        <w:t xml:space="preserve"> (dle IRR nebo doby návratnosti investice).</w:t>
      </w:r>
      <w:r>
        <w:t xml:space="preserve"> Alternativou je kapitálový finanční nástroj, který by umožnil snáze regenerovat větší projekty celých brownfields prostřednictvím projektových SPV a poskytnutí projektového financování.</w:t>
      </w:r>
    </w:p>
    <w:p w:rsidR="002A667A" w:rsidRDefault="002A667A" w:rsidP="006638C9">
      <w:pPr>
        <w:jc w:val="left"/>
      </w:pPr>
      <w:r>
        <w:br w:type="page"/>
      </w:r>
    </w:p>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25" w:name="_Toc414464605"/>
      <w:r w:rsidRPr="00D03ACF">
        <w:lastRenderedPageBreak/>
        <w:t>Schéma fungování navrhovaného finančního nástroje</w:t>
      </w:r>
      <w:bookmarkEnd w:id="25"/>
    </w:p>
    <w:p w:rsidR="002A667A" w:rsidRDefault="002A667A" w:rsidP="006638C9">
      <w:pPr>
        <w:pStyle w:val="CaptionIntroductionparagraph"/>
      </w:pPr>
      <w:r w:rsidRPr="00D03ACF">
        <w:t>Kapitálový nástroj</w:t>
      </w:r>
      <w:r>
        <w:t xml:space="preserve"> – Národní inovační fond</w:t>
      </w:r>
      <w:r w:rsidRPr="00D03ACF">
        <w:t xml:space="preserve"> (SC 2.1)</w:t>
      </w:r>
    </w:p>
    <w:p w:rsidR="002A667A" w:rsidRDefault="002A667A" w:rsidP="006638C9">
      <w:pPr>
        <w:pStyle w:val="CaptionIntroductionparagraph"/>
      </w:pPr>
    </w:p>
    <w:p w:rsidR="002A667A" w:rsidRDefault="008011AF" w:rsidP="006638C9">
      <w:pPr>
        <w:pStyle w:val="CaptionIntroductionparagraph"/>
      </w:pPr>
      <w:r>
        <w:rPr>
          <w:noProof/>
          <w:lang w:eastAsia="cs-CZ"/>
        </w:rPr>
        <w:drawing>
          <wp:inline distT="0" distB="0" distL="0" distR="0" wp14:anchorId="5EDCDB9B" wp14:editId="59E1B6DA">
            <wp:extent cx="5554980" cy="3208020"/>
            <wp:effectExtent l="0" t="0" r="0" b="0"/>
            <wp:docPr id="2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4980" cy="3208020"/>
                    </a:xfrm>
                    <a:prstGeom prst="rect">
                      <a:avLst/>
                    </a:prstGeom>
                    <a:noFill/>
                    <a:ln>
                      <a:noFill/>
                    </a:ln>
                    <a:effectLst/>
                  </pic:spPr>
                </pic:pic>
              </a:graphicData>
            </a:graphic>
          </wp:inline>
        </w:drawing>
      </w:r>
    </w:p>
    <w:p w:rsidR="002A667A" w:rsidRPr="00D03ACF" w:rsidRDefault="002A667A" w:rsidP="006638C9">
      <w:pPr>
        <w:pStyle w:val="CaptionIntroductionparagraph"/>
        <w:jc w:val="center"/>
      </w:pPr>
    </w:p>
    <w:p w:rsidR="002A667A" w:rsidRPr="00D03ACF" w:rsidRDefault="002A667A" w:rsidP="006638C9">
      <w:pPr>
        <w:rPr>
          <w:b/>
          <w:color w:val="00A1DE"/>
          <w:sz w:val="24"/>
          <w:szCs w:val="22"/>
        </w:rPr>
      </w:pPr>
    </w:p>
    <w:p w:rsidR="002A667A" w:rsidRPr="00D03ACF" w:rsidRDefault="002A667A" w:rsidP="006638C9">
      <w:pPr>
        <w:rPr>
          <w:b/>
          <w:color w:val="00A1DE"/>
          <w:sz w:val="24"/>
          <w:szCs w:val="22"/>
        </w:rPr>
      </w:pPr>
    </w:p>
    <w:p w:rsidR="002A667A" w:rsidRDefault="002A667A" w:rsidP="006638C9">
      <w:pPr>
        <w:pStyle w:val="CaptionIntroductionparagraph"/>
        <w:keepNext/>
      </w:pPr>
      <w:r w:rsidRPr="00D03ACF">
        <w:lastRenderedPageBreak/>
        <w:t>Úvěrový nástroj (SC 2.1)</w:t>
      </w:r>
    </w:p>
    <w:p w:rsidR="002A667A" w:rsidRDefault="008011AF" w:rsidP="006638C9">
      <w:pPr>
        <w:pStyle w:val="CaptionIntroductionparagraph"/>
        <w:keepNext/>
        <w:jc w:val="center"/>
      </w:pPr>
      <w:r>
        <w:rPr>
          <w:noProof/>
          <w:lang w:eastAsia="cs-CZ"/>
        </w:rPr>
        <w:drawing>
          <wp:inline distT="0" distB="0" distL="0" distR="0" wp14:anchorId="4330B877" wp14:editId="3F217CF4">
            <wp:extent cx="4808220" cy="2567940"/>
            <wp:effectExtent l="0" t="0" r="0" b="3810"/>
            <wp:docPr id="7" name="Picture 1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0"/>
                    <pic:cNvPicPr>
                      <a:picLocks noChangeAspect="1" noChangeArrowheads="1"/>
                    </pic:cNvPicPr>
                  </pic:nvPicPr>
                  <pic:blipFill>
                    <a:blip r:embed="rId20">
                      <a:extLst>
                        <a:ext uri="{28A0092B-C50C-407E-A947-70E740481C1C}">
                          <a14:useLocalDpi xmlns:a14="http://schemas.microsoft.com/office/drawing/2010/main" val="0"/>
                        </a:ext>
                      </a:extLst>
                    </a:blip>
                    <a:srcRect t="6134"/>
                    <a:stretch>
                      <a:fillRect/>
                    </a:stretch>
                  </pic:blipFill>
                  <pic:spPr bwMode="auto">
                    <a:xfrm>
                      <a:off x="0" y="0"/>
                      <a:ext cx="4808220" cy="2567940"/>
                    </a:xfrm>
                    <a:prstGeom prst="rect">
                      <a:avLst/>
                    </a:prstGeom>
                    <a:noFill/>
                    <a:ln>
                      <a:noFill/>
                    </a:ln>
                  </pic:spPr>
                </pic:pic>
              </a:graphicData>
            </a:graphic>
          </wp:inline>
        </w:drawing>
      </w:r>
    </w:p>
    <w:p w:rsidR="002A667A" w:rsidRPr="00D03ACF" w:rsidRDefault="008011AF" w:rsidP="006638C9">
      <w:pPr>
        <w:pStyle w:val="CaptionIntroductionparagraph"/>
        <w:keepNext/>
        <w:jc w:val="center"/>
      </w:pPr>
      <w:r>
        <w:rPr>
          <w:noProof/>
          <w:lang w:eastAsia="cs-CZ"/>
        </w:rPr>
        <w:drawing>
          <wp:inline distT="0" distB="0" distL="0" distR="0" wp14:anchorId="02C380AD" wp14:editId="212C0CC5">
            <wp:extent cx="4701540" cy="3025140"/>
            <wp:effectExtent l="0" t="0" r="3810" b="3810"/>
            <wp:docPr id="8" name="Picture 1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1540" cy="3025140"/>
                    </a:xfrm>
                    <a:prstGeom prst="rect">
                      <a:avLst/>
                    </a:prstGeom>
                    <a:noFill/>
                    <a:ln>
                      <a:noFill/>
                    </a:ln>
                  </pic:spPr>
                </pic:pic>
              </a:graphicData>
            </a:graphic>
          </wp:inline>
        </w:drawing>
      </w:r>
    </w:p>
    <w:p w:rsidR="002A667A" w:rsidRDefault="002A667A" w:rsidP="006638C9">
      <w:pPr>
        <w:jc w:val="center"/>
      </w:pPr>
    </w:p>
    <w:p w:rsidR="002A667A" w:rsidRPr="00D03ACF" w:rsidRDefault="002A667A" w:rsidP="006638C9">
      <w:pPr>
        <w:pStyle w:val="CaptionIntroductionparagraph"/>
      </w:pPr>
      <w:r w:rsidRPr="00D03ACF">
        <w:t>Úvěrový n</w:t>
      </w:r>
      <w:r>
        <w:t>ástroj (SC 2.3</w:t>
      </w:r>
      <w:r w:rsidRPr="00D03ACF">
        <w:t>)</w:t>
      </w:r>
    </w:p>
    <w:p w:rsidR="002A667A" w:rsidRPr="00D03ACF" w:rsidRDefault="008011AF" w:rsidP="006638C9">
      <w:pPr>
        <w:jc w:val="center"/>
      </w:pPr>
      <w:r>
        <w:rPr>
          <w:noProof/>
        </w:rPr>
        <w:drawing>
          <wp:inline distT="0" distB="0" distL="0" distR="0" wp14:anchorId="31F2A395" wp14:editId="447A5695">
            <wp:extent cx="4175760" cy="2278380"/>
            <wp:effectExtent l="0" t="0" r="0" b="7620"/>
            <wp:docPr id="9" name="Picture 1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3"/>
                    <pic:cNvPicPr>
                      <a:picLocks noChangeAspect="1" noChangeArrowheads="1"/>
                    </pic:cNvPicPr>
                  </pic:nvPicPr>
                  <pic:blipFill>
                    <a:blip r:embed="rId22">
                      <a:extLst>
                        <a:ext uri="{28A0092B-C50C-407E-A947-70E740481C1C}">
                          <a14:useLocalDpi xmlns:a14="http://schemas.microsoft.com/office/drawing/2010/main" val="0"/>
                        </a:ext>
                      </a:extLst>
                    </a:blip>
                    <a:srcRect t="6134"/>
                    <a:stretch>
                      <a:fillRect/>
                    </a:stretch>
                  </pic:blipFill>
                  <pic:spPr bwMode="auto">
                    <a:xfrm>
                      <a:off x="0" y="0"/>
                      <a:ext cx="4175760" cy="2278380"/>
                    </a:xfrm>
                    <a:prstGeom prst="rect">
                      <a:avLst/>
                    </a:prstGeom>
                    <a:noFill/>
                    <a:ln>
                      <a:noFill/>
                    </a:ln>
                  </pic:spPr>
                </pic:pic>
              </a:graphicData>
            </a:graphic>
          </wp:inline>
        </w:drawing>
      </w:r>
    </w:p>
    <w:p w:rsidR="002A667A" w:rsidRPr="00D03ACF" w:rsidRDefault="008011AF" w:rsidP="006638C9">
      <w:pPr>
        <w:jc w:val="center"/>
      </w:pPr>
      <w:r>
        <w:rPr>
          <w:noProof/>
        </w:rPr>
        <w:lastRenderedPageBreak/>
        <w:drawing>
          <wp:inline distT="0" distB="0" distL="0" distR="0" wp14:anchorId="24586899" wp14:editId="6EB18095">
            <wp:extent cx="4953000" cy="3192780"/>
            <wp:effectExtent l="0" t="0" r="0" b="7620"/>
            <wp:docPr id="10" name="Picture 1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3192780"/>
                    </a:xfrm>
                    <a:prstGeom prst="rect">
                      <a:avLst/>
                    </a:prstGeom>
                    <a:noFill/>
                    <a:ln>
                      <a:noFill/>
                    </a:ln>
                  </pic:spPr>
                </pic:pic>
              </a:graphicData>
            </a:graphic>
          </wp:inline>
        </w:drawing>
      </w:r>
    </w:p>
    <w:p w:rsidR="002A667A" w:rsidRDefault="002A667A" w:rsidP="006638C9">
      <w:pPr>
        <w:pStyle w:val="CaptionIntroductionparagraph"/>
      </w:pPr>
    </w:p>
    <w:p w:rsidR="002A667A" w:rsidRPr="00D03ACF" w:rsidRDefault="002A667A" w:rsidP="006638C9">
      <w:pPr>
        <w:pStyle w:val="CaptionIntroductionparagraph"/>
      </w:pPr>
      <w:r w:rsidRPr="00D03ACF">
        <w:t>Záruční nástroj (SC 2.1)</w:t>
      </w:r>
    </w:p>
    <w:p w:rsidR="002A667A" w:rsidRDefault="008011AF" w:rsidP="006638C9">
      <w:pPr>
        <w:jc w:val="center"/>
      </w:pPr>
      <w:r>
        <w:rPr>
          <w:noProof/>
        </w:rPr>
        <w:drawing>
          <wp:inline distT="0" distB="0" distL="0" distR="0" wp14:anchorId="2A9ECD84" wp14:editId="293EFE52">
            <wp:extent cx="4526280" cy="2446020"/>
            <wp:effectExtent l="0" t="0" r="7620" b="0"/>
            <wp:docPr id="11" name="Picture 1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6280" cy="2446020"/>
                    </a:xfrm>
                    <a:prstGeom prst="rect">
                      <a:avLst/>
                    </a:prstGeom>
                    <a:noFill/>
                    <a:ln>
                      <a:noFill/>
                    </a:ln>
                  </pic:spPr>
                </pic:pic>
              </a:graphicData>
            </a:graphic>
          </wp:inline>
        </w:drawing>
      </w:r>
    </w:p>
    <w:p w:rsidR="002A667A" w:rsidRPr="00D03ACF" w:rsidRDefault="008011AF" w:rsidP="006638C9">
      <w:pPr>
        <w:jc w:val="center"/>
        <w:rPr>
          <w:b/>
          <w:bCs/>
          <w:iCs/>
          <w:color w:val="3C8A2E"/>
          <w:kern w:val="32"/>
          <w:sz w:val="24"/>
          <w:szCs w:val="26"/>
        </w:rPr>
      </w:pPr>
      <w:r>
        <w:rPr>
          <w:noProof/>
        </w:rPr>
        <w:drawing>
          <wp:inline distT="0" distB="0" distL="0" distR="0" wp14:anchorId="70AF608F" wp14:editId="131846D0">
            <wp:extent cx="4358640" cy="2545080"/>
            <wp:effectExtent l="0" t="0" r="3810" b="7620"/>
            <wp:docPr id="1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8640" cy="2545080"/>
                    </a:xfrm>
                    <a:prstGeom prst="rect">
                      <a:avLst/>
                    </a:prstGeom>
                    <a:noFill/>
                    <a:ln>
                      <a:noFill/>
                    </a:ln>
                  </pic:spPr>
                </pic:pic>
              </a:graphicData>
            </a:graphic>
          </wp:inline>
        </w:drawing>
      </w:r>
    </w:p>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26" w:name="_Toc414464606"/>
      <w:r w:rsidRPr="00D03ACF">
        <w:lastRenderedPageBreak/>
        <w:t>Základní parametry finančního nástroje</w:t>
      </w:r>
      <w:bookmarkEnd w:id="26"/>
    </w:p>
    <w:p w:rsidR="002A667A" w:rsidRPr="00D03ACF" w:rsidRDefault="002A667A" w:rsidP="006638C9">
      <w:pPr>
        <w:pStyle w:val="CaptionIntroductionparagraph"/>
      </w:pPr>
      <w:r w:rsidRPr="00D03ACF">
        <w:t>Kapitálový nástroj (SC 2.1)</w:t>
      </w:r>
    </w:p>
    <w:p w:rsidR="002A667A" w:rsidRPr="00D03ACF" w:rsidRDefault="002A667A" w:rsidP="006638C9"/>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2A667A" w:rsidRPr="00D03ACF" w:rsidTr="00B37E7F">
        <w:tc>
          <w:tcPr>
            <w:tcW w:w="2282" w:type="dxa"/>
            <w:shd w:val="clear" w:color="auto" w:fill="ECFFC3"/>
          </w:tcPr>
          <w:p w:rsidR="002A667A" w:rsidRPr="00D03ACF" w:rsidRDefault="002A667A" w:rsidP="00B37E7F">
            <w:pPr>
              <w:rPr>
                <w:b/>
              </w:rPr>
            </w:pPr>
          </w:p>
        </w:tc>
        <w:tc>
          <w:tcPr>
            <w:tcW w:w="6788" w:type="dxa"/>
            <w:shd w:val="clear" w:color="auto" w:fill="ECFFC3"/>
          </w:tcPr>
          <w:p w:rsidR="002A667A" w:rsidRPr="00D03ACF" w:rsidRDefault="002A667A" w:rsidP="00B37E7F">
            <w:pPr>
              <w:ind w:left="38"/>
              <w:rPr>
                <w:b/>
              </w:rPr>
            </w:pP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Cíle finančního nástroje</w:t>
            </w:r>
          </w:p>
        </w:tc>
        <w:tc>
          <w:tcPr>
            <w:tcW w:w="6788" w:type="dxa"/>
            <w:shd w:val="clear" w:color="auto" w:fill="FFFFFF"/>
            <w:noWrap/>
          </w:tcPr>
          <w:p w:rsidR="002A667A" w:rsidRPr="00D03ACF" w:rsidRDefault="002A667A" w:rsidP="00B37E7F">
            <w:r w:rsidRPr="00D03ACF">
              <w:t>Finanční nástroj si klade za cíl zpřístupnit inovativně zaměřeným MSP kapitálové financování. Kapitálový vstup je návratnou formou podpory, kdy se postupně vytváří diverzifikované portfolio inovativních projektů s majetkovou účastí finančního nástroje. Nabídka veřejného kapitálového financování eliminuje vysokou cenu ekvitního financování a přehnaně averzní vztah k riziku kapitálu. Využijí ho MSP, jejichž fáze rozvoje a tomu odpovídající kapitálová struktura vylučují zabezpečování investičních prostředků prostřednictvím úvěru. Posílení kapitálové struktury též zlepší vyjednávací pozici MSP pro další kola financování včetně dluhového.</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Definice a kritéria způsobilých projektů</w:t>
            </w:r>
          </w:p>
        </w:tc>
        <w:tc>
          <w:tcPr>
            <w:tcW w:w="6788" w:type="dxa"/>
            <w:shd w:val="clear" w:color="auto" w:fill="FFFFFF"/>
            <w:noWrap/>
          </w:tcPr>
          <w:p w:rsidR="002A667A" w:rsidRPr="00D03ACF" w:rsidRDefault="002A667A" w:rsidP="00B37E7F">
            <w:r>
              <w:t>Konečným p</w:t>
            </w:r>
            <w:r w:rsidRPr="00D03ACF">
              <w:t>říjemcem mohou být inovativně zaměřené malé a střední podniky vykazující potenciál zhodnocení kapitálové investice</w:t>
            </w:r>
            <w:r>
              <w:t>. Důležitá je komplementarita s pražskými projekty OP PPR.</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Forma podpory</w:t>
            </w:r>
          </w:p>
        </w:tc>
        <w:tc>
          <w:tcPr>
            <w:tcW w:w="6788" w:type="dxa"/>
            <w:shd w:val="clear" w:color="auto" w:fill="FFFFFF"/>
            <w:noWrap/>
          </w:tcPr>
          <w:p w:rsidR="002A667A" w:rsidRPr="00D03ACF" w:rsidRDefault="002A667A" w:rsidP="00B37E7F">
            <w:pPr>
              <w:rPr>
                <w:b/>
              </w:rPr>
            </w:pPr>
            <w:r w:rsidRPr="00D03ACF">
              <w:rPr>
                <w:b/>
              </w:rPr>
              <w:t>Účelově vázaný kapitálový vstup Fondu.</w:t>
            </w:r>
          </w:p>
          <w:p w:rsidR="002A667A" w:rsidRPr="00D03ACF" w:rsidRDefault="002A667A" w:rsidP="00B37E7F">
            <w:r w:rsidRPr="00D03ACF">
              <w:t xml:space="preserve">Možnost zapojení soukromých prostředků na úrovni </w:t>
            </w:r>
            <w:r>
              <w:t>f</w:t>
            </w:r>
            <w:r w:rsidRPr="00D03ACF">
              <w:t xml:space="preserve">ondu </w:t>
            </w:r>
            <w:r>
              <w:t>rizikového kapitálu, kde NIF působí jako limited partner</w:t>
            </w:r>
            <w:r w:rsidRPr="00D03ACF">
              <w:t>.</w:t>
            </w:r>
            <w:r w:rsidRPr="00D03ACF">
              <w:rPr>
                <w:vertAlign w:val="superscript"/>
              </w:rPr>
              <w:footnoteReference w:id="3"/>
            </w:r>
            <w:r w:rsidRPr="00D03ACF">
              <w:t xml:space="preserve">Možnost zapojení soukromých prostředků na úrovni projektu </w:t>
            </w:r>
            <w:r>
              <w:t xml:space="preserve">na </w:t>
            </w:r>
            <w:r w:rsidRPr="0027339A">
              <w:t>ad hoc</w:t>
            </w:r>
            <w:r>
              <w:t xml:space="preserve"> bázi.</w:t>
            </w:r>
            <w:r w:rsidRPr="00D03ACF">
              <w:t>.</w:t>
            </w:r>
          </w:p>
          <w:p w:rsidR="002A667A" w:rsidRPr="0027339A" w:rsidRDefault="002A667A" w:rsidP="00B37E7F">
            <w:r w:rsidRPr="0027339A">
              <w:t xml:space="preserve">Podporu bude vhodné kombinovat s podporou přípravy projektů, podporou IPO na alternativních investičních platformách, podporou ve formě poradenských služeb, podporu scouting costs a podporou </w:t>
            </w:r>
            <w:r>
              <w:t>programu vzdělávání business angels</w:t>
            </w:r>
            <w:r w:rsidRPr="0027339A">
              <w:t>.</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Výše podpory</w:t>
            </w:r>
          </w:p>
        </w:tc>
        <w:tc>
          <w:tcPr>
            <w:tcW w:w="6788" w:type="dxa"/>
            <w:shd w:val="clear" w:color="auto" w:fill="FFFFFF"/>
            <w:noWrap/>
          </w:tcPr>
          <w:p w:rsidR="002A667A" w:rsidRPr="00D03ACF" w:rsidRDefault="002A667A" w:rsidP="00B37E7F">
            <w:pPr>
              <w:rPr>
                <w:b/>
              </w:rPr>
            </w:pPr>
            <w:r w:rsidRPr="00D03ACF">
              <w:t>Při aplikaci GBER čl. 19 – Rizikový kapitál je možné s ohledem na vývojovou fázi příjemce poskytnout celkem až 15 mil. EUR ekvity a kvaziekvitního financování na projekt včetně následných kol financování, kde je podíl nového kapitálu minimálně 50 %. Uplatní se následující minimální hodnoty podílu prostředků odpovídajících soukromým zdrojům: 10 % pro společnosti před prvním komerčním prodejem (seed) nebo 40 % pro společnosti do 5 let na trhu a 60 % pro následná kola financování (start-up), vždy však zároveň maximálně 90 %. Následná kola financování mohou být realizována i ve finančním nástroji Investice na rozšíření. Očekáváme průměrnou výši investice 1 mil. EUR. Nesmí jít o financování podniků v obtížích.</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Základní parametry poskytované podpory</w:t>
            </w:r>
          </w:p>
        </w:tc>
        <w:tc>
          <w:tcPr>
            <w:tcW w:w="6788" w:type="dxa"/>
            <w:shd w:val="clear" w:color="auto" w:fill="FFFFFF"/>
            <w:noWrap/>
          </w:tcPr>
          <w:p w:rsidR="002A667A" w:rsidRPr="00D03ACF" w:rsidRDefault="002A667A" w:rsidP="00B37E7F">
            <w:r w:rsidRPr="00D03ACF">
              <w:t>Poskytovaný kapitálový vstup bude mít následující parametry:</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Výše investice bude odpovídat 100 % způsobilých nákladů zamýšleného projektu;</w:t>
            </w:r>
          </w:p>
          <w:p w:rsidR="002A667A" w:rsidRPr="009C1813" w:rsidRDefault="002A667A" w:rsidP="006638C9">
            <w:pPr>
              <w:pStyle w:val="Odstavecseseznamem"/>
              <w:numPr>
                <w:ilvl w:val="0"/>
                <w:numId w:val="76"/>
              </w:numPr>
              <w:overflowPunct/>
              <w:autoSpaceDE/>
              <w:autoSpaceDN/>
              <w:adjustRightInd/>
              <w:ind w:left="412" w:hanging="141"/>
              <w:textAlignment w:val="auto"/>
            </w:pPr>
            <w:r>
              <w:t>NIF</w:t>
            </w:r>
            <w:r w:rsidRPr="009C1813">
              <w:t>, zpravidla jako minoritní akcionář</w:t>
            </w:r>
            <w:r>
              <w:t xml:space="preserve"> nebo limited partner</w:t>
            </w:r>
            <w:r w:rsidRPr="009C1813">
              <w:t>, má nárok na výplatu podílu na zisku;</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Poskytnuté prostředky jsou účelově vázané na krytí způsobilých výdajů investičního projektu;</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 xml:space="preserve">Možná účast soukromých investorů a to jak na úrovni </w:t>
            </w:r>
            <w:r>
              <w:t>f</w:t>
            </w:r>
            <w:r w:rsidRPr="009C1813">
              <w:t>ondu, tak na úrovni projektu;</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Způsob</w:t>
            </w:r>
            <w:r>
              <w:t>y</w:t>
            </w:r>
            <w:r w:rsidRPr="009C1813">
              <w:t xml:space="preserve"> </w:t>
            </w:r>
            <w:r>
              <w:t>exitu: trade sale, buy-in, buy-out, replacement capital, IPO atd.</w:t>
            </w:r>
          </w:p>
        </w:tc>
      </w:tr>
      <w:tr w:rsidR="002A667A" w:rsidRPr="00D03ACF" w:rsidTr="00B37E7F">
        <w:tc>
          <w:tcPr>
            <w:tcW w:w="2282" w:type="dxa"/>
            <w:shd w:val="clear" w:color="auto" w:fill="92D400"/>
            <w:noWrap/>
          </w:tcPr>
          <w:p w:rsidR="002A667A" w:rsidRPr="00D03ACF" w:rsidRDefault="002A667A" w:rsidP="00B37E7F">
            <w:pPr>
              <w:jc w:val="left"/>
              <w:rPr>
                <w:b/>
                <w:color w:val="FFFFFF"/>
                <w:highlight w:val="yellow"/>
              </w:rPr>
            </w:pPr>
            <w:r w:rsidRPr="00D03ACF">
              <w:rPr>
                <w:b/>
                <w:color w:val="FFFFFF"/>
              </w:rPr>
              <w:lastRenderedPageBreak/>
              <w:t>Kroky vedoucí k zapojení potenciálních spoluinvestorů</w:t>
            </w:r>
          </w:p>
        </w:tc>
        <w:tc>
          <w:tcPr>
            <w:tcW w:w="6788" w:type="dxa"/>
            <w:shd w:val="clear" w:color="auto" w:fill="FFFFFF"/>
            <w:noWrap/>
          </w:tcPr>
          <w:p w:rsidR="002A667A" w:rsidRPr="00D03ACF" w:rsidRDefault="002A667A" w:rsidP="00B37E7F">
            <w:r>
              <w:t>Ž</w:t>
            </w:r>
            <w:r w:rsidRPr="00D03ACF">
              <w:t>ádoucí zapojení třetích subjektů, motivace jejich zapojení by měla být zabezpečena následovně:</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 xml:space="preserve">Investorovi bude nabídnuto preferenční vyplácení dividend; </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Podíl na řízení společnosti a dělbě zisku dle smluvního ujednání.</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Očekávaná alokace</w:t>
            </w:r>
          </w:p>
        </w:tc>
        <w:tc>
          <w:tcPr>
            <w:tcW w:w="6788" w:type="dxa"/>
            <w:shd w:val="clear" w:color="auto" w:fill="FFFFFF"/>
            <w:noWrap/>
          </w:tcPr>
          <w:p w:rsidR="002A667A" w:rsidRPr="00D03ACF" w:rsidRDefault="002A667A" w:rsidP="00B37E7F">
            <w:r>
              <w:t>Deloitte Advisory d</w:t>
            </w:r>
            <w:r w:rsidRPr="00D03ACF">
              <w:t>oporučuje</w:t>
            </w:r>
            <w:r>
              <w:t xml:space="preserve"> </w:t>
            </w:r>
            <w:r w:rsidRPr="00D03ACF">
              <w:t xml:space="preserve">kapitálový finanční nástroj využít pro </w:t>
            </w:r>
            <w:r w:rsidRPr="00476C7B">
              <w:t>cca 20 % alokace specifického cíle 2.1</w:t>
            </w:r>
          </w:p>
        </w:tc>
      </w:tr>
    </w:tbl>
    <w:p w:rsidR="002A667A" w:rsidRPr="00D03ACF" w:rsidRDefault="002A667A" w:rsidP="006638C9"/>
    <w:p w:rsidR="002A667A" w:rsidRPr="00D03ACF" w:rsidRDefault="002A667A" w:rsidP="006638C9">
      <w:pPr>
        <w:pStyle w:val="CaptionIntroductionparagraph"/>
      </w:pPr>
    </w:p>
    <w:p w:rsidR="002A667A" w:rsidRPr="00D03ACF" w:rsidRDefault="002A667A" w:rsidP="006638C9">
      <w:pPr>
        <w:pStyle w:val="CaptionIntroductionparagraph"/>
      </w:pPr>
      <w:r w:rsidRPr="00D03ACF">
        <w:t>Úvěrový nástroj (SC 2.1, SC 2.3)</w:t>
      </w:r>
    </w:p>
    <w:p w:rsidR="002A667A" w:rsidRPr="00D03ACF" w:rsidRDefault="002A667A" w:rsidP="006638C9"/>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2A667A" w:rsidRPr="00D03ACF" w:rsidTr="00B37E7F">
        <w:tc>
          <w:tcPr>
            <w:tcW w:w="2282" w:type="dxa"/>
            <w:shd w:val="clear" w:color="auto" w:fill="ECFFC3"/>
          </w:tcPr>
          <w:p w:rsidR="002A667A" w:rsidRPr="00D03ACF" w:rsidRDefault="002A667A" w:rsidP="00B37E7F">
            <w:pPr>
              <w:rPr>
                <w:b/>
              </w:rPr>
            </w:pPr>
          </w:p>
        </w:tc>
        <w:tc>
          <w:tcPr>
            <w:tcW w:w="6788" w:type="dxa"/>
            <w:shd w:val="clear" w:color="auto" w:fill="ECFFC3"/>
          </w:tcPr>
          <w:p w:rsidR="002A667A" w:rsidRPr="00D03ACF" w:rsidRDefault="002A667A" w:rsidP="00B37E7F">
            <w:pPr>
              <w:ind w:left="38"/>
              <w:rPr>
                <w:b/>
              </w:rPr>
            </w:pP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Cíle finančního nástroje</w:t>
            </w:r>
          </w:p>
        </w:tc>
        <w:tc>
          <w:tcPr>
            <w:tcW w:w="6788" w:type="dxa"/>
            <w:shd w:val="clear" w:color="auto" w:fill="FFFFFF"/>
            <w:noWrap/>
          </w:tcPr>
          <w:p w:rsidR="002A667A" w:rsidRPr="00D03ACF" w:rsidRDefault="002A667A" w:rsidP="00B37E7F">
            <w:r w:rsidRPr="00D03ACF">
              <w:t xml:space="preserve">SC 2.1: </w:t>
            </w:r>
          </w:p>
          <w:p w:rsidR="002A667A" w:rsidRPr="00D03ACF" w:rsidRDefault="002A667A" w:rsidP="00B37E7F">
            <w:r w:rsidRPr="00D03ACF">
              <w:t>Finanční nástroj si klade za cíl zpřístupnit MSP úvěrové financování</w:t>
            </w:r>
            <w:r>
              <w:t xml:space="preserve"> jejich rozvoje</w:t>
            </w:r>
            <w:r w:rsidRPr="00D03ACF">
              <w:t>. Úvěrové financování je návratnou formou podpory s predikovatelným revolvingovým efektem. MSP se často nemohou financovat na trhu z důvodu nedostatečné podnikatelské historie, nedostatku kolaterálu a jiných odchylek od bankami požadovaného profilu žadatele o úvěr. Kombinace veřejných a bankovních zdrojů sníží konečnou úrokovou sazbu, za kterou bude úvěr poskytnut.</w:t>
            </w:r>
          </w:p>
          <w:p w:rsidR="002A667A" w:rsidRPr="00D03ACF" w:rsidRDefault="002A667A" w:rsidP="00B37E7F"/>
          <w:p w:rsidR="002A667A" w:rsidRPr="00D03ACF" w:rsidRDefault="002A667A" w:rsidP="00B37E7F">
            <w:r w:rsidRPr="00D03ACF">
              <w:t>SC 2.3: Odstranit definovanou tržní mezeru v dostupnosti finančních prostředků pro konečného příjemce. Tržní mezera se projevuje formou nákladové mezery, kde náklady na pořízení a následnou regeneraci nemovitosti převyšuji např. prodejní cenu zrekonstruovaného objektu. Sledovaným cílem je zamezit záboru orné půdy pro účely investiční výstavby (greenfield) a regenerovat nevyužívané a zchátralé areály (brownfield).</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Definice a kritéria způsobilých projektů</w:t>
            </w:r>
          </w:p>
        </w:tc>
        <w:tc>
          <w:tcPr>
            <w:tcW w:w="6788" w:type="dxa"/>
            <w:shd w:val="clear" w:color="auto" w:fill="FFFFFF"/>
            <w:noWrap/>
          </w:tcPr>
          <w:p w:rsidR="002A667A" w:rsidRPr="00D03ACF" w:rsidRDefault="002A667A" w:rsidP="00B37E7F">
            <w:r w:rsidRPr="00D03ACF">
              <w:t>SC 2.1</w:t>
            </w:r>
          </w:p>
          <w:p w:rsidR="002A667A" w:rsidRPr="00D03ACF" w:rsidRDefault="002A667A" w:rsidP="00B37E7F">
            <w:r w:rsidRPr="00D03ACF">
              <w:t xml:space="preserve">Podpora je určena pro financování investičních záměrů </w:t>
            </w:r>
            <w:r>
              <w:t>rozvoje MSP</w:t>
            </w:r>
          </w:p>
          <w:p w:rsidR="002A667A" w:rsidRPr="00D03ACF" w:rsidRDefault="002A667A" w:rsidP="00B37E7F"/>
          <w:p w:rsidR="002A667A" w:rsidRPr="00D03ACF" w:rsidRDefault="002A667A" w:rsidP="00B37E7F">
            <w:r w:rsidRPr="00D03ACF">
              <w:t>SC 2.3.</w:t>
            </w:r>
          </w:p>
          <w:p w:rsidR="002A667A" w:rsidRPr="00D03ACF" w:rsidRDefault="002A667A" w:rsidP="00B37E7F">
            <w:r w:rsidRPr="00D03ACF">
              <w:t xml:space="preserve">Finanční nástroj lze použít pouze pro soukromé podnikatelské projekty v rámci specifického cíle 2.3: </w:t>
            </w:r>
          </w:p>
          <w:p w:rsidR="002A667A" w:rsidRPr="009C1813" w:rsidRDefault="002A667A" w:rsidP="006638C9">
            <w:pPr>
              <w:pStyle w:val="Odstavecseseznamem"/>
              <w:numPr>
                <w:ilvl w:val="0"/>
                <w:numId w:val="77"/>
              </w:numPr>
              <w:overflowPunct/>
              <w:autoSpaceDE/>
              <w:autoSpaceDN/>
              <w:adjustRightInd/>
              <w:spacing w:line="250" w:lineRule="atLeast"/>
              <w:jc w:val="left"/>
              <w:textAlignment w:val="auto"/>
            </w:pPr>
            <w:r w:rsidRPr="009C1813">
              <w:t>rekonstrukce brownfieldů na moderní podnikatelské objekty a vznik nových ploch pro výstavbu podnikatelských nemovitostí</w:t>
            </w:r>
          </w:p>
          <w:p w:rsidR="002A667A" w:rsidRPr="009C1813" w:rsidRDefault="002A667A" w:rsidP="006638C9">
            <w:pPr>
              <w:pStyle w:val="Odstavecseseznamem"/>
              <w:numPr>
                <w:ilvl w:val="0"/>
                <w:numId w:val="77"/>
              </w:numPr>
              <w:overflowPunct/>
              <w:autoSpaceDE/>
              <w:autoSpaceDN/>
              <w:adjustRightInd/>
              <w:spacing w:line="250" w:lineRule="atLeast"/>
              <w:jc w:val="left"/>
              <w:textAlignment w:val="auto"/>
            </w:pPr>
            <w:r w:rsidRPr="009C1813">
              <w:t>realizace stavebně-technických opatření na technicky nevyhovujících podnikatelských nemovitostech (investice do výrobních prostor)</w:t>
            </w:r>
          </w:p>
          <w:p w:rsidR="002A667A" w:rsidRPr="00D03ACF" w:rsidRDefault="002A667A" w:rsidP="00B37E7F"/>
          <w:p w:rsidR="002A667A" w:rsidRPr="00D03ACF" w:rsidRDefault="002A667A" w:rsidP="00B37E7F">
            <w:pPr>
              <w:rPr>
                <w:b/>
              </w:rPr>
            </w:pPr>
            <w:r w:rsidRPr="00D03ACF">
              <w:t>Základní podmínkou způsobilosti projektů bude rekonstrukce určené velikosti podlahové plochy nebo prostoru při zachování původní výroby (kromě zemědělské výroby) nebo poskytování služby v objektu.</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Forma podpory</w:t>
            </w:r>
          </w:p>
        </w:tc>
        <w:tc>
          <w:tcPr>
            <w:tcW w:w="6788" w:type="dxa"/>
            <w:shd w:val="clear" w:color="auto" w:fill="FFFFFF"/>
            <w:noWrap/>
          </w:tcPr>
          <w:p w:rsidR="002A667A" w:rsidRPr="00D03ACF" w:rsidRDefault="002A667A" w:rsidP="00B37E7F">
            <w:r w:rsidRPr="00D03ACF">
              <w:t xml:space="preserve">Ve sledovaných oblastech podpory je navrhována podpora formou zvýhodněného úvěrového nástroje, který je kombinací zdrojů </w:t>
            </w:r>
            <w:r>
              <w:t>OP PIK</w:t>
            </w:r>
            <w:r w:rsidRPr="00D03ACF">
              <w:t xml:space="preserve"> a spolufinancujících subjektů. </w:t>
            </w:r>
            <w:r w:rsidRPr="00D03ACF">
              <w:rPr>
                <w:b/>
              </w:rPr>
              <w:t>Finanční nástroj bude poskytnut formou úvěru s prodlouženou dobou splatnosti a/nebo sníženou úrokovou sazbou</w:t>
            </w:r>
            <w:r>
              <w:rPr>
                <w:b/>
              </w:rPr>
              <w:t xml:space="preserve"> s finančním příspěvkem</w:t>
            </w:r>
            <w:r w:rsidRPr="00D03ACF">
              <w:rPr>
                <w:b/>
              </w:rPr>
              <w:t>.</w:t>
            </w:r>
            <w:r w:rsidRPr="00D03ACF">
              <w:t xml:space="preserve">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Výše podpory</w:t>
            </w:r>
          </w:p>
        </w:tc>
        <w:tc>
          <w:tcPr>
            <w:tcW w:w="6788" w:type="dxa"/>
            <w:shd w:val="clear" w:color="auto" w:fill="FFFFFF"/>
            <w:noWrap/>
          </w:tcPr>
          <w:p w:rsidR="002A667A" w:rsidRPr="00D03ACF" w:rsidRDefault="002A667A" w:rsidP="00B37E7F">
            <w:r w:rsidRPr="00D03ACF">
              <w:t>SC 2.1</w:t>
            </w:r>
          </w:p>
          <w:p w:rsidR="002A667A" w:rsidRPr="00D03ACF" w:rsidRDefault="002A667A" w:rsidP="00B37E7F">
            <w:r w:rsidRPr="00D03ACF">
              <w:t xml:space="preserve">Je očekávána průměrná výše projektu okolo 300 000 EUR, minimálně však 25 000 EUR. Zvýhodněný úvěr je poskytován na max. 60 % způsobilých </w:t>
            </w:r>
            <w:r w:rsidRPr="00D03ACF">
              <w:lastRenderedPageBreak/>
              <w:t>výdajů projektu, maximálně ve výši 100 mil. Kč.</w:t>
            </w:r>
          </w:p>
          <w:p w:rsidR="002A667A" w:rsidRPr="00D03ACF" w:rsidRDefault="002A667A" w:rsidP="00B37E7F"/>
          <w:p w:rsidR="002A667A" w:rsidRPr="00D03ACF" w:rsidRDefault="002A667A" w:rsidP="00B37E7F">
            <w:r w:rsidRPr="00D03ACF">
              <w:t>SC 2.3</w:t>
            </w:r>
          </w:p>
          <w:p w:rsidR="002A667A" w:rsidRPr="00D03ACF" w:rsidRDefault="002A667A" w:rsidP="00B37E7F">
            <w:r w:rsidRPr="00D03ACF">
              <w:t xml:space="preserve">Úvěry ve výši 1 až 200 mil. Kč, až </w:t>
            </w:r>
            <w:r>
              <w:t xml:space="preserve">do výše </w:t>
            </w:r>
            <w:r w:rsidRPr="00D03ACF">
              <w:t>80 % způsobilých výdajů projektu. Pro všechny regiony NUTS 2 (kromě Prahy) platí intenzity podpory 35/45 %.</w:t>
            </w:r>
          </w:p>
          <w:p w:rsidR="002A667A" w:rsidRPr="00D03ACF" w:rsidRDefault="002A667A" w:rsidP="00B37E7F"/>
          <w:p w:rsidR="002A667A" w:rsidRPr="00D03ACF" w:rsidRDefault="002A667A" w:rsidP="00B37E7F">
            <w:r w:rsidRPr="00D03ACF">
              <w:t>Finanční nástroj může umožnit asymetrickou dělbu zisku nebo ztrát se soukromými spoluinvestory.</w:t>
            </w:r>
          </w:p>
          <w:p w:rsidR="002A667A" w:rsidRPr="00D03ACF" w:rsidRDefault="002A667A" w:rsidP="00B37E7F"/>
          <w:p w:rsidR="002A667A" w:rsidRPr="00D03ACF" w:rsidRDefault="002A667A" w:rsidP="00B37E7F">
            <w:r w:rsidRPr="00D03ACF">
              <w:rPr>
                <w:b/>
              </w:rPr>
              <w:t xml:space="preserve">S ohledem na prioritu zapojení co nejvyššího pákového efektu a s povinností předejít možnému efektu vytěsnění doporučuje </w:t>
            </w:r>
            <w:r>
              <w:rPr>
                <w:b/>
              </w:rPr>
              <w:t>Deloitte Advisory</w:t>
            </w:r>
            <w:r w:rsidRPr="00D03ACF">
              <w:rPr>
                <w:b/>
              </w:rPr>
              <w:t xml:space="preserve"> cílení podílu </w:t>
            </w:r>
            <w:r>
              <w:rPr>
                <w:b/>
              </w:rPr>
              <w:t>OP PIK</w:t>
            </w:r>
            <w:r w:rsidRPr="00D03ACF">
              <w:rPr>
                <w:b/>
              </w:rPr>
              <w:t xml:space="preserve"> zdrojů v menším než 40% poměru způsobilých výdajů</w:t>
            </w:r>
            <w:r w:rsidRPr="00D03ACF">
              <w:t xml:space="preserve"> s tím, že zbylá část investice je pokryta buď zdroji spolufinancujících subjektů, nebo vlastními zdroji žadatele.</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lastRenderedPageBreak/>
              <w:t>Základní parametry poskytované podpory</w:t>
            </w:r>
          </w:p>
        </w:tc>
        <w:tc>
          <w:tcPr>
            <w:tcW w:w="6788" w:type="dxa"/>
            <w:shd w:val="clear" w:color="auto" w:fill="FFFFFF"/>
            <w:noWrap/>
          </w:tcPr>
          <w:p w:rsidR="002A667A" w:rsidRPr="00D03ACF" w:rsidRDefault="002A667A" w:rsidP="00B37E7F">
            <w:r w:rsidRPr="00D03ACF">
              <w:t>SC 2.1.</w:t>
            </w:r>
          </w:p>
          <w:p w:rsidR="002A667A" w:rsidRPr="00D03ACF" w:rsidRDefault="002A667A" w:rsidP="00B37E7F">
            <w:r w:rsidRPr="00D03ACF">
              <w:t xml:space="preserve">Podpora bude poskytována formou úvěru s nižší úrokovou sazbou a/nebo delší dobou splatnosti. Příjemce úvěru vstoupí do smluvního vztahu s vybranou bankovní institucí.  </w:t>
            </w:r>
          </w:p>
          <w:p w:rsidR="002A667A" w:rsidRPr="00D03ACF" w:rsidRDefault="002A667A" w:rsidP="00B37E7F"/>
          <w:p w:rsidR="002A667A" w:rsidRPr="00D03ACF" w:rsidRDefault="002A667A" w:rsidP="00B37E7F">
            <w:r w:rsidRPr="00D03ACF">
              <w:t>SC 2.3</w:t>
            </w:r>
          </w:p>
          <w:p w:rsidR="002A667A" w:rsidRPr="00D03ACF" w:rsidRDefault="002A667A" w:rsidP="00B37E7F">
            <w:r w:rsidRPr="00D03ACF">
              <w:t xml:space="preserve">U projektů podléhajících veřejné podpoře bude respektována maximální výše intenzity podpory a minimální povinná míra zapojení spolufinancování – platné po přepočtení podpory skrze hrubý grantový ekvivalent (dále také HGE) – max 40 %. </w:t>
            </w:r>
          </w:p>
          <w:p w:rsidR="002A667A" w:rsidRPr="008F0188" w:rsidRDefault="002A667A" w:rsidP="00B37E7F"/>
          <w:p w:rsidR="002A667A" w:rsidRPr="00D03ACF" w:rsidRDefault="002A667A" w:rsidP="00B37E7F">
            <w:r w:rsidRPr="008F0188">
              <w:t>Z dotazníkového šetření vyplývá aktuální průměrná úroková sazba pro MSP je cca 3,9 % p.a.</w:t>
            </w:r>
            <w:r>
              <w:t xml:space="preserve"> </w:t>
            </w:r>
            <w:r w:rsidRPr="008F0188">
              <w:t xml:space="preserve">Deloitte Advisory dle dosavadních analýz navrhuje úrokovou míru FN pro konečného příjemce maximálně ve výši 2% p.a. – pro dosažení takto nízké sazby je nezbytné, aby sazba fondu byla maximálně 1%.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Kroky pro zjištění zájmu potenciálních spoluinvestorů</w:t>
            </w:r>
          </w:p>
        </w:tc>
        <w:tc>
          <w:tcPr>
            <w:tcW w:w="6788" w:type="dxa"/>
            <w:shd w:val="clear" w:color="auto" w:fill="FFFFFF"/>
            <w:noWrap/>
          </w:tcPr>
          <w:p w:rsidR="002A667A" w:rsidRPr="009C1813" w:rsidRDefault="002A667A" w:rsidP="0027339A">
            <w:r w:rsidRPr="00D03ACF">
              <w:t xml:space="preserve">Dle dosavadních jednání se zainteresovanými skupinami na přípravě </w:t>
            </w:r>
            <w:r>
              <w:t>OP PIK</w:t>
            </w:r>
            <w:r w:rsidRPr="00D03ACF">
              <w:t xml:space="preserve"> 2014-2020 byla identifikována potřeba povzbuzení potenciálních spolufinancujících subjektů k zapojení se do budovaných struktur na úrovni jednotlivých projektů. </w:t>
            </w:r>
            <w:r w:rsidRPr="009C1813">
              <w:t xml:space="preserve">Míra zapojení veřejných zdrojů – podíl je nutné nastavit na základě diskuze se zainteresovanými subjekty a potenciálními spolufinancujícími subjekty </w:t>
            </w:r>
            <w:r>
              <w:t>.</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Očekávaná alokace</w:t>
            </w:r>
          </w:p>
        </w:tc>
        <w:tc>
          <w:tcPr>
            <w:tcW w:w="6788" w:type="dxa"/>
            <w:shd w:val="clear" w:color="auto" w:fill="FFFFFF"/>
            <w:noWrap/>
          </w:tcPr>
          <w:p w:rsidR="002A667A" w:rsidRPr="00D03ACF" w:rsidRDefault="002A667A" w:rsidP="00B37E7F">
            <w:r w:rsidRPr="00D03ACF">
              <w:t>SC 2.1</w:t>
            </w:r>
          </w:p>
          <w:p w:rsidR="002A667A" w:rsidRPr="00D03ACF" w:rsidRDefault="002A667A" w:rsidP="00B37E7F">
            <w:r>
              <w:t>Deloitte Advisory doporučuje</w:t>
            </w:r>
            <w:r w:rsidRPr="00D03ACF">
              <w:t xml:space="preserve"> úvěrový finanční nástroj využít pro cca </w:t>
            </w:r>
            <w:r>
              <w:t>2</w:t>
            </w:r>
            <w:r w:rsidRPr="00373F7E">
              <w:t>0 %</w:t>
            </w:r>
            <w:r>
              <w:t xml:space="preserve"> alokace </w:t>
            </w:r>
            <w:r w:rsidRPr="00D03ACF">
              <w:t>specifického cíle 2.1</w:t>
            </w:r>
          </w:p>
          <w:p w:rsidR="002A667A" w:rsidRPr="00D03ACF" w:rsidRDefault="002A667A" w:rsidP="00B37E7F"/>
          <w:p w:rsidR="002A667A" w:rsidRPr="00D03ACF" w:rsidRDefault="002A667A" w:rsidP="00B37E7F">
            <w:r w:rsidRPr="00D03ACF">
              <w:t>SC 2.3</w:t>
            </w:r>
          </w:p>
          <w:p w:rsidR="002A667A" w:rsidRPr="00A745F8" w:rsidRDefault="002A667A" w:rsidP="00B37E7F">
            <w:r>
              <w:t xml:space="preserve">Deloitte Advisory doporučuje </w:t>
            </w:r>
            <w:r w:rsidRPr="00D03ACF">
              <w:t xml:space="preserve"> finanční nástroj využít pro všechny projekty žadatelů z řad podnikatelských subjektů v rámci SC 2.3 Nemovitosti, odhadem by se mělo jednat o 30 % celkové alokace pro specifický cíl 2.3.</w:t>
            </w:r>
            <w:r>
              <w:t xml:space="preserve"> Zbylou část alokace, vyčleněné pro projekty veřejnoprávních subjektů, navrhuje Deloitte Advisory ponechat v rámci plně dotačního schématu. </w:t>
            </w:r>
          </w:p>
        </w:tc>
      </w:tr>
    </w:tbl>
    <w:p w:rsidR="002A667A" w:rsidRPr="00D03ACF" w:rsidRDefault="002A667A" w:rsidP="006638C9"/>
    <w:p w:rsidR="002A667A" w:rsidRPr="00D03ACF" w:rsidRDefault="002A667A" w:rsidP="006638C9">
      <w:pPr>
        <w:pStyle w:val="CaptionIntroductionparagraph"/>
      </w:pPr>
      <w:r w:rsidRPr="00D03ACF">
        <w:t>Individuální záruka (SC 2.1)</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2A667A" w:rsidRPr="00D03ACF" w:rsidTr="00B37E7F">
        <w:tc>
          <w:tcPr>
            <w:tcW w:w="2282" w:type="dxa"/>
            <w:shd w:val="clear" w:color="auto" w:fill="ECFFC3"/>
          </w:tcPr>
          <w:p w:rsidR="002A667A" w:rsidRPr="00D03ACF" w:rsidRDefault="002A667A" w:rsidP="00B37E7F">
            <w:pPr>
              <w:rPr>
                <w:b/>
              </w:rPr>
            </w:pPr>
          </w:p>
        </w:tc>
        <w:tc>
          <w:tcPr>
            <w:tcW w:w="6788" w:type="dxa"/>
            <w:shd w:val="clear" w:color="auto" w:fill="ECFFC3"/>
          </w:tcPr>
          <w:p w:rsidR="002A667A" w:rsidRPr="00D03ACF" w:rsidRDefault="002A667A" w:rsidP="00B37E7F">
            <w:pPr>
              <w:ind w:left="38"/>
              <w:rPr>
                <w:b/>
              </w:rPr>
            </w:pP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lastRenderedPageBreak/>
              <w:t>Cíle finančního nástroje</w:t>
            </w:r>
          </w:p>
        </w:tc>
        <w:tc>
          <w:tcPr>
            <w:tcW w:w="6788" w:type="dxa"/>
            <w:shd w:val="clear" w:color="auto" w:fill="FFFFFF"/>
            <w:noWrap/>
          </w:tcPr>
          <w:p w:rsidR="002A667A" w:rsidRPr="00D03ACF" w:rsidRDefault="002A667A" w:rsidP="00B37E7F">
            <w:r w:rsidRPr="00D03ACF">
              <w:t xml:space="preserve">Finanční nástroj si klade za cíl zpřístupnit úvěrové financování </w:t>
            </w:r>
            <w:r>
              <w:t xml:space="preserve">rozvoje </w:t>
            </w:r>
            <w:r w:rsidRPr="00D03ACF">
              <w:t xml:space="preserve">MSP, které na něj za tržních podmínek nedosáhnou z důvodu nedostatečného kolaterálu. Záruční financování je nenávratná forma podpory s podmíněným čerpáním s možností výrazného pákového efektu. Individuální záruka zpřístupní financování subjektům, které by byly bankou jinak zcela odmítnuty. Všem příjemcům úvěru bude úvěr poskytnut za nižší než tržní úrokovou sazbu, jelikož záruka finančního nástroje výrazně zmírní bankou aplikovanou rizikovou přirážku.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Definice a kritéria způsobilých projektů</w:t>
            </w:r>
          </w:p>
        </w:tc>
        <w:tc>
          <w:tcPr>
            <w:tcW w:w="6788" w:type="dxa"/>
            <w:shd w:val="clear" w:color="auto" w:fill="FFFFFF"/>
            <w:noWrap/>
          </w:tcPr>
          <w:p w:rsidR="002A667A" w:rsidRPr="00D03ACF" w:rsidRDefault="002A667A" w:rsidP="00B37E7F">
            <w:pPr>
              <w:rPr>
                <w:b/>
              </w:rPr>
            </w:pPr>
            <w:r w:rsidRPr="00D03ACF">
              <w:t xml:space="preserve">Podpora je určena pro financování investičních záměrů </w:t>
            </w:r>
            <w:r>
              <w:t>rozvoje</w:t>
            </w:r>
            <w:r w:rsidRPr="00D03ACF">
              <w:t xml:space="preserve"> MSP. Primárně je podpora určena pro investice do technologie, eventuálně do nemovitého majetku a souvisejících provozních nákladů.</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Forma podpory</w:t>
            </w:r>
          </w:p>
        </w:tc>
        <w:tc>
          <w:tcPr>
            <w:tcW w:w="6788" w:type="dxa"/>
            <w:shd w:val="clear" w:color="auto" w:fill="FFFFFF"/>
            <w:noWrap/>
          </w:tcPr>
          <w:p w:rsidR="002A667A" w:rsidRPr="00D03ACF" w:rsidRDefault="002A667A" w:rsidP="00B37E7F">
            <w:r w:rsidRPr="00D03ACF">
              <w:t xml:space="preserve">Finanční nástroj bude poskytovat podporu formou záruky úvěrové instituci za konkrétní úvěr na pořízení technologie či nemovitého DHM. Úvěr bude poskytnut se sníženou úrokovou sazbou, neboť do ní bude pouze v omezené míře promítnuta riziková přirážka. Distributorem úvěrů konečným příjemcům bude financující subjekt.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Výše podpory</w:t>
            </w:r>
          </w:p>
        </w:tc>
        <w:tc>
          <w:tcPr>
            <w:tcW w:w="6788" w:type="dxa"/>
            <w:shd w:val="clear" w:color="auto" w:fill="FFFFFF"/>
            <w:noWrap/>
          </w:tcPr>
          <w:p w:rsidR="002A667A" w:rsidRPr="00D03ACF" w:rsidRDefault="002A667A" w:rsidP="00B37E7F">
            <w:r w:rsidRPr="00D03ACF">
              <w:t>Očekává se průměrná výše záruky okolo 1 000 000 EUR a průměrná výše úvěru přibližně 1 250 000 EUR. Záruky budou poskytovány až do výše 80 % jistiny úvěru, maximálně však 100 mil. Kč.</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Základní parametry poskytované podpory</w:t>
            </w:r>
          </w:p>
        </w:tc>
        <w:tc>
          <w:tcPr>
            <w:tcW w:w="6788" w:type="dxa"/>
            <w:shd w:val="clear" w:color="auto" w:fill="FFFFFF"/>
            <w:noWrap/>
          </w:tcPr>
          <w:p w:rsidR="002A667A" w:rsidRPr="00D03ACF" w:rsidRDefault="002A667A" w:rsidP="00B37E7F">
            <w:r w:rsidRPr="00D03ACF">
              <w:t xml:space="preserve">Podpora bude poskytována formou záruky vybraného implementačního partnera přímo úvěrové instituci klienta na bázi jednotlivých obchodních případů.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Kroky pro zjištění zájmu financujících prostředků</w:t>
            </w:r>
          </w:p>
        </w:tc>
        <w:tc>
          <w:tcPr>
            <w:tcW w:w="6788" w:type="dxa"/>
            <w:shd w:val="clear" w:color="auto" w:fill="FFFFFF"/>
            <w:noWrap/>
          </w:tcPr>
          <w:p w:rsidR="002A667A" w:rsidRPr="00D03ACF" w:rsidRDefault="002A667A" w:rsidP="00B37E7F">
            <w:pPr>
              <w:contextualSpacing/>
            </w:pPr>
            <w:r w:rsidRPr="00D03ACF">
              <w:t>Bankovní subjekty mají zájem klienty úvěrovat, avšak s ohledem na riziko spojené s některými obchodními případy tak nečiní. Částečná eliminace rizika umožní bankám zapůjčit další objem finančních prostředků, aniž by se provinily proti stávajícím procesům pro řízení rizika.</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Očekávaná alokace</w:t>
            </w:r>
          </w:p>
        </w:tc>
        <w:tc>
          <w:tcPr>
            <w:tcW w:w="6788" w:type="dxa"/>
            <w:shd w:val="clear" w:color="auto" w:fill="FFFFFF"/>
            <w:noWrap/>
          </w:tcPr>
          <w:p w:rsidR="002A667A" w:rsidRPr="00D03ACF" w:rsidRDefault="002A667A" w:rsidP="00B37E7F">
            <w:r>
              <w:t>Deloitte Advisory doporučujepro</w:t>
            </w:r>
            <w:r w:rsidRPr="00D03ACF">
              <w:t xml:space="preserve"> finanční nástroj </w:t>
            </w:r>
            <w:r>
              <w:t xml:space="preserve">individuální záruky </w:t>
            </w:r>
            <w:r w:rsidRPr="00D03ACF">
              <w:t xml:space="preserve">využít </w:t>
            </w:r>
            <w:r>
              <w:t>15 %</w:t>
            </w:r>
            <w:r w:rsidRPr="00D03ACF">
              <w:t xml:space="preserve"> alokace specifického cíle 2.1</w:t>
            </w:r>
            <w:r>
              <w:t>.</w:t>
            </w:r>
          </w:p>
        </w:tc>
      </w:tr>
    </w:tbl>
    <w:p w:rsidR="002A667A" w:rsidRPr="00D03ACF" w:rsidRDefault="002A667A" w:rsidP="006638C9">
      <w:pPr>
        <w:pStyle w:val="CaptionIntroductionparagraph"/>
      </w:pPr>
    </w:p>
    <w:p w:rsidR="002A667A" w:rsidRPr="00D03ACF" w:rsidRDefault="002A667A" w:rsidP="006638C9">
      <w:pPr>
        <w:pStyle w:val="CaptionIntroductionparagraph"/>
      </w:pPr>
      <w:r w:rsidRPr="00D03ACF">
        <w:t>Portfolio záruka (2.1)</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2A667A" w:rsidRPr="00D03ACF" w:rsidTr="00B37E7F">
        <w:tc>
          <w:tcPr>
            <w:tcW w:w="2282" w:type="dxa"/>
            <w:shd w:val="clear" w:color="auto" w:fill="ECFFC3"/>
          </w:tcPr>
          <w:p w:rsidR="002A667A" w:rsidRPr="00D03ACF" w:rsidRDefault="002A667A" w:rsidP="00B37E7F">
            <w:pPr>
              <w:rPr>
                <w:b/>
              </w:rPr>
            </w:pPr>
          </w:p>
        </w:tc>
        <w:tc>
          <w:tcPr>
            <w:tcW w:w="6788" w:type="dxa"/>
            <w:shd w:val="clear" w:color="auto" w:fill="ECFFC3"/>
          </w:tcPr>
          <w:p w:rsidR="002A667A" w:rsidRPr="00D03ACF" w:rsidRDefault="002A667A" w:rsidP="00B37E7F">
            <w:pPr>
              <w:ind w:left="38"/>
              <w:rPr>
                <w:b/>
              </w:rPr>
            </w:pP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Cíle finančního nástroje</w:t>
            </w:r>
          </w:p>
        </w:tc>
        <w:tc>
          <w:tcPr>
            <w:tcW w:w="6788" w:type="dxa"/>
            <w:shd w:val="clear" w:color="auto" w:fill="FFFFFF"/>
            <w:noWrap/>
          </w:tcPr>
          <w:p w:rsidR="002A667A" w:rsidRPr="00D03ACF" w:rsidRDefault="002A667A" w:rsidP="00B37E7F">
            <w:r w:rsidRPr="00D03ACF">
              <w:t xml:space="preserve">Finanční nástroj si klade za cíl zpřístupnit úvěrové financování </w:t>
            </w:r>
            <w:r>
              <w:t>rozvoje</w:t>
            </w:r>
            <w:r w:rsidRPr="00D03ACF">
              <w:t xml:space="preserve"> MSP, které na něj za tržních podmínek nedosáhnou z důvodu nedostatečného kolaterálu. Záruční financování je nenávratná forma podpory s podmíněným čerpáním s možností výrazného pákového efektu. Portfolio záruka zpřístupní financování subjektům, které by byly bankou jinak zcela odmítnuty. Všem příjemcům úvěru bude úvěr poskytnut za nižší než tržní úrokovou sazbu, jelikož záruka finančního nástroje výrazně zmírní bankou aplikovanou rizikovou přirážku.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Definice a kritéria způsobilých projektů</w:t>
            </w:r>
          </w:p>
        </w:tc>
        <w:tc>
          <w:tcPr>
            <w:tcW w:w="6788" w:type="dxa"/>
            <w:shd w:val="clear" w:color="auto" w:fill="FFFFFF"/>
            <w:noWrap/>
          </w:tcPr>
          <w:p w:rsidR="002A667A" w:rsidRPr="00D03ACF" w:rsidRDefault="002A667A" w:rsidP="00B37E7F">
            <w:pPr>
              <w:rPr>
                <w:b/>
              </w:rPr>
            </w:pPr>
            <w:r w:rsidRPr="00D03ACF">
              <w:t xml:space="preserve">Podpora je určena pro financování investičních záměrů </w:t>
            </w:r>
            <w:r>
              <w:t xml:space="preserve">rozvoje </w:t>
            </w:r>
            <w:r w:rsidRPr="00D03ACF">
              <w:t>MSP. Primárně je podpora určena pro investice do technologie, eventuálně do nemovitého majetku a souvisejících provozních nákladů.</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Forma podpory</w:t>
            </w:r>
          </w:p>
        </w:tc>
        <w:tc>
          <w:tcPr>
            <w:tcW w:w="6788" w:type="dxa"/>
            <w:shd w:val="clear" w:color="auto" w:fill="FFFFFF"/>
            <w:noWrap/>
          </w:tcPr>
          <w:p w:rsidR="002A667A" w:rsidRPr="00D03ACF" w:rsidRDefault="002A667A" w:rsidP="00B37E7F">
            <w:r w:rsidRPr="00D03ACF">
              <w:t>Finanční nástroj bude poskytovat podporu formou záruky úvěrové instituci za portfolio nových úvěrů na pořízení technologie či nemovitého DHM. Úvěr bude poskytnut se sníženou úrokovou sazbou, neboť do ní bude pouze v omezené míře promítnuta riziková přirážka. Distributorem úvěrů konečným příjemcům bude financující subjekt.</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Výše podpory</w:t>
            </w:r>
          </w:p>
        </w:tc>
        <w:tc>
          <w:tcPr>
            <w:tcW w:w="6788" w:type="dxa"/>
            <w:shd w:val="clear" w:color="auto" w:fill="FFFFFF"/>
            <w:noWrap/>
          </w:tcPr>
          <w:p w:rsidR="002A667A" w:rsidRPr="00D03ACF" w:rsidRDefault="002A667A" w:rsidP="00B37E7F">
            <w:r w:rsidRPr="00D03ACF">
              <w:t xml:space="preserve">Očekává se průměrná výše záruky okolo 200 000 EUR a průměrná výše úvěru přibližně 250 000 EUR. Záruky budou poskytovány až do výše 80 % </w:t>
            </w:r>
            <w:r w:rsidRPr="00D03ACF">
              <w:lastRenderedPageBreak/>
              <w:t>jistiny úvěru, maximálně však 100 mil. Kč.</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lastRenderedPageBreak/>
              <w:t>Základní parametry poskytované podpory</w:t>
            </w:r>
          </w:p>
        </w:tc>
        <w:tc>
          <w:tcPr>
            <w:tcW w:w="6788" w:type="dxa"/>
            <w:shd w:val="clear" w:color="auto" w:fill="FFFFFF"/>
            <w:noWrap/>
          </w:tcPr>
          <w:p w:rsidR="002A667A" w:rsidRPr="00D03ACF" w:rsidRDefault="002A667A" w:rsidP="00B37E7F">
            <w:r w:rsidRPr="00D03ACF">
              <w:t xml:space="preserve">Podpora bude poskytována formou záruky vybraného implementačního partnera přímo úvěrové instituci klienta na bázi jednotlivých obchodních případů.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Kroky pro zjištění zájmu soukromých úvěrových institucí</w:t>
            </w:r>
          </w:p>
        </w:tc>
        <w:tc>
          <w:tcPr>
            <w:tcW w:w="6788" w:type="dxa"/>
            <w:shd w:val="clear" w:color="auto" w:fill="FFFFFF"/>
            <w:noWrap/>
          </w:tcPr>
          <w:p w:rsidR="002A667A" w:rsidRPr="00D03ACF" w:rsidRDefault="002A667A" w:rsidP="00B37E7F">
            <w:pPr>
              <w:contextualSpacing/>
            </w:pPr>
            <w:r w:rsidRPr="00D03ACF">
              <w:t>Bankovní subjekty mají zájem klienty úvěrovat, avšak s ohledem na riziko spojené s některými obchodními případy tak nečiní. Částečná eliminace rizika umožní bankám zapůjčit další objem finančních prostředků, aniž by se provinily proti stávajícím procesům pro řízení rizika.</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Očekávaná alokace</w:t>
            </w:r>
          </w:p>
        </w:tc>
        <w:tc>
          <w:tcPr>
            <w:tcW w:w="6788" w:type="dxa"/>
            <w:shd w:val="clear" w:color="auto" w:fill="FFFFFF"/>
            <w:noWrap/>
          </w:tcPr>
          <w:p w:rsidR="002A667A" w:rsidRPr="00D03ACF" w:rsidRDefault="002A667A" w:rsidP="00B37E7F">
            <w:r>
              <w:t>Deloitte Advisory doporučujepro</w:t>
            </w:r>
            <w:r w:rsidRPr="00D03ACF">
              <w:t xml:space="preserve"> finanční nástroj </w:t>
            </w:r>
            <w:r>
              <w:t xml:space="preserve">portfoliové záruky </w:t>
            </w:r>
            <w:r w:rsidRPr="00D03ACF">
              <w:t xml:space="preserve">využít </w:t>
            </w:r>
            <w:r>
              <w:t>15 %</w:t>
            </w:r>
            <w:r w:rsidRPr="00D03ACF">
              <w:t xml:space="preserve"> alokace specifického cíle 2.1,</w:t>
            </w:r>
            <w:r>
              <w:t>.</w:t>
            </w:r>
          </w:p>
        </w:tc>
      </w:tr>
    </w:tbl>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27" w:name="_Toc414464607"/>
      <w:r w:rsidRPr="00D03ACF">
        <w:t>Posouzení zkušeností získaných v minulosti</w:t>
      </w:r>
      <w:bookmarkEnd w:id="27"/>
    </w:p>
    <w:p w:rsidR="002A667A" w:rsidRDefault="002A667A" w:rsidP="006638C9">
      <w:pPr>
        <w:pStyle w:val="CaptionIntroductionparagraph"/>
      </w:pPr>
      <w:r>
        <w:t xml:space="preserve">SC 2.1 </w:t>
      </w:r>
    </w:p>
    <w:p w:rsidR="002A667A" w:rsidRDefault="002A667A" w:rsidP="006638C9">
      <w:pPr>
        <w:pStyle w:val="CaptionIntroductionparagraph"/>
      </w:pPr>
    </w:p>
    <w:p w:rsidR="002A667A" w:rsidRDefault="002A667A" w:rsidP="006638C9">
      <w:r>
        <w:t>V rámci SC 2.1 Deloitte Advisory navrhuje využití všech čtyř reálně dostupných forem finančních nástrojů, konkrétně:</w:t>
      </w:r>
    </w:p>
    <w:p w:rsidR="002A667A" w:rsidRDefault="002A667A" w:rsidP="006638C9">
      <w:pPr>
        <w:numPr>
          <w:ilvl w:val="0"/>
          <w:numId w:val="95"/>
        </w:numPr>
        <w:overflowPunct/>
        <w:autoSpaceDE/>
        <w:autoSpaceDN/>
        <w:adjustRightInd/>
        <w:textAlignment w:val="auto"/>
      </w:pPr>
      <w:r>
        <w:t>Kapitálové vstupy</w:t>
      </w:r>
    </w:p>
    <w:p w:rsidR="002A667A" w:rsidRDefault="002A667A" w:rsidP="006638C9">
      <w:pPr>
        <w:numPr>
          <w:ilvl w:val="0"/>
          <w:numId w:val="95"/>
        </w:numPr>
        <w:overflowPunct/>
        <w:autoSpaceDE/>
        <w:autoSpaceDN/>
        <w:adjustRightInd/>
        <w:textAlignment w:val="auto"/>
      </w:pPr>
      <w:r>
        <w:t>Zvýhodněné úvěry</w:t>
      </w:r>
    </w:p>
    <w:p w:rsidR="002A667A" w:rsidRDefault="002A667A" w:rsidP="006638C9">
      <w:pPr>
        <w:numPr>
          <w:ilvl w:val="0"/>
          <w:numId w:val="95"/>
        </w:numPr>
        <w:overflowPunct/>
        <w:autoSpaceDE/>
        <w:autoSpaceDN/>
        <w:adjustRightInd/>
        <w:textAlignment w:val="auto"/>
      </w:pPr>
      <w:r>
        <w:t>Portfoliové záruky</w:t>
      </w:r>
    </w:p>
    <w:p w:rsidR="002A667A" w:rsidRDefault="002A667A" w:rsidP="006638C9">
      <w:pPr>
        <w:numPr>
          <w:ilvl w:val="0"/>
          <w:numId w:val="95"/>
        </w:numPr>
        <w:overflowPunct/>
        <w:autoSpaceDE/>
        <w:autoSpaceDN/>
        <w:adjustRightInd/>
        <w:textAlignment w:val="auto"/>
      </w:pPr>
      <w:r>
        <w:t>Individuální záruky</w:t>
      </w:r>
    </w:p>
    <w:p w:rsidR="002A667A" w:rsidRDefault="002A667A" w:rsidP="006638C9"/>
    <w:p w:rsidR="002A667A" w:rsidRDefault="002A667A">
      <w:r w:rsidRPr="00881217">
        <w:rPr>
          <w:b/>
        </w:rPr>
        <w:t>Návrh využití úvěrových a zárukových nástrojů</w:t>
      </w:r>
      <w:r>
        <w:t xml:space="preserve"> je podepřen zkušeností z minulosti, tedy zájmem o podporu čerpanou za využití finančních nástrojů v programovém období 2007-2013, za využití programů Start, Záruka, Progres OPPI, jako i zkušeností se zájmem o obdobné nástroje poskytované z národních zdrojů programy ČMZRB. Níže jsou uvedeny konkrétní výsledky jednotlivých programů.</w:t>
      </w:r>
    </w:p>
    <w:p w:rsidR="002A667A" w:rsidRDefault="002A667A" w:rsidP="006638C9"/>
    <w:p w:rsidR="002A667A" w:rsidRPr="008F47E4" w:rsidRDefault="002A667A" w:rsidP="006638C9">
      <w:pPr>
        <w:rPr>
          <w:b/>
          <w:i/>
        </w:rPr>
      </w:pPr>
      <w:r w:rsidRPr="008F47E4">
        <w:rPr>
          <w:b/>
          <w:i/>
        </w:rPr>
        <w:t>START</w:t>
      </w:r>
    </w:p>
    <w:p w:rsidR="002A667A" w:rsidRPr="008F47E4" w:rsidRDefault="002A667A" w:rsidP="006638C9">
      <w:pPr>
        <w:rPr>
          <w:i/>
          <w:u w:val="single"/>
        </w:rPr>
      </w:pPr>
      <w:r w:rsidRPr="008F47E4">
        <w:rPr>
          <w:i/>
          <w:u w:val="single"/>
        </w:rPr>
        <w:t>Úvěry</w:t>
      </w:r>
    </w:p>
    <w:p w:rsidR="002A667A" w:rsidRPr="008F47E4" w:rsidRDefault="002A667A" w:rsidP="006638C9">
      <w:pPr>
        <w:numPr>
          <w:ilvl w:val="0"/>
          <w:numId w:val="98"/>
        </w:numPr>
        <w:overflowPunct/>
        <w:autoSpaceDE/>
        <w:autoSpaceDN/>
        <w:adjustRightInd/>
        <w:textAlignment w:val="auto"/>
        <w:rPr>
          <w:i/>
        </w:rPr>
      </w:pPr>
      <w:r w:rsidRPr="008F47E4">
        <w:rPr>
          <w:i/>
        </w:rPr>
        <w:t>Z celkového objemu uzavřených smluv 2,254 mil. EUR (62,5 mil. Kč) a počtu 97 úvěrů bylo k 31. 12. 2014 celkem 16 úvěrů s pohledávkami po splatnosti, výše těchto pohledávek, včetně sankčních úroků, činila 142 527 EUR (mil. 3,952 Kč), což představovalo 6,3 % z objemu poskytnutých úvěrů a  17,6 % z počtu poskytnutých úvěrů. Zůstatek jistiny úvěru do splatnost</w:t>
      </w:r>
      <w:r>
        <w:rPr>
          <w:i/>
        </w:rPr>
        <w:t xml:space="preserve">i činil k 31. 12. 2014 částku  </w:t>
      </w:r>
      <w:r w:rsidRPr="008F47E4">
        <w:rPr>
          <w:i/>
        </w:rPr>
        <w:t>76 529 EUR (2,122 mil. Kč). Výše splacené jistiny činila k 31.12.2013  částku   2,107 mil. EUR (58,428 mil. Kč), tj 93,5 % vyčerpaných úvěrů. Plně splaceno byl</w:t>
      </w:r>
      <w:r>
        <w:rPr>
          <w:i/>
        </w:rPr>
        <w:t xml:space="preserve">o již 51 úvěrů v celkové výši  </w:t>
      </w:r>
      <w:r w:rsidRPr="008F47E4">
        <w:rPr>
          <w:i/>
        </w:rPr>
        <w:t xml:space="preserve">1,203 mil. EUR (33,362 mil. Kč). </w:t>
      </w:r>
    </w:p>
    <w:p w:rsidR="002A667A" w:rsidRPr="00E52D8D" w:rsidRDefault="002A667A" w:rsidP="006638C9">
      <w:pPr>
        <w:numPr>
          <w:ilvl w:val="0"/>
          <w:numId w:val="98"/>
        </w:numPr>
        <w:overflowPunct/>
        <w:autoSpaceDE/>
        <w:autoSpaceDN/>
        <w:adjustRightInd/>
        <w:textAlignment w:val="auto"/>
        <w:rPr>
          <w:i/>
        </w:rPr>
      </w:pPr>
      <w:r w:rsidRPr="008F47E4">
        <w:rPr>
          <w:i/>
        </w:rPr>
        <w:t>V programu START nebyly dosud odepsány žádné pohledávky pro nedobytnost.</w:t>
      </w:r>
      <w:r w:rsidRPr="00E52D8D">
        <w:rPr>
          <w:i/>
        </w:rPr>
        <w:t>S přihlédnutím k tomu, že splácení úvěrů probíhalo v období nepříznivého ekonomického vývoje, je vývoj</w:t>
      </w:r>
      <w:r w:rsidRPr="00E52D8D">
        <w:rPr>
          <w:i/>
          <w:u w:val="single"/>
        </w:rPr>
        <w:t xml:space="preserve"> vytvořeného portfolia úvěrů velmi dobrý. </w:t>
      </w:r>
    </w:p>
    <w:p w:rsidR="002A667A" w:rsidRPr="008F47E4" w:rsidRDefault="002A667A" w:rsidP="006638C9">
      <w:pPr>
        <w:rPr>
          <w:i/>
          <w:u w:val="single"/>
        </w:rPr>
      </w:pPr>
    </w:p>
    <w:p w:rsidR="002A667A" w:rsidRPr="008F47E4" w:rsidRDefault="002A667A" w:rsidP="006638C9">
      <w:pPr>
        <w:rPr>
          <w:i/>
          <w:u w:val="single"/>
        </w:rPr>
      </w:pPr>
      <w:r w:rsidRPr="008F47E4">
        <w:rPr>
          <w:i/>
          <w:u w:val="single"/>
        </w:rPr>
        <w:t>Záruky</w:t>
      </w:r>
    </w:p>
    <w:p w:rsidR="002A667A" w:rsidRDefault="002A667A" w:rsidP="006638C9">
      <w:pPr>
        <w:numPr>
          <w:ilvl w:val="0"/>
          <w:numId w:val="99"/>
        </w:numPr>
        <w:overflowPunct/>
        <w:autoSpaceDE/>
        <w:autoSpaceDN/>
        <w:adjustRightInd/>
        <w:textAlignment w:val="auto"/>
        <w:rPr>
          <w:i/>
        </w:rPr>
      </w:pPr>
      <w:r w:rsidRPr="008F47E4">
        <w:rPr>
          <w:i/>
        </w:rPr>
        <w:t>Z celkové výše poskytnutých záruk 3,657 mil. EUR (101,4 mil. Kč) a počtu záruk 85, bylo poskytnuto plnění</w:t>
      </w:r>
      <w:r>
        <w:rPr>
          <w:i/>
        </w:rPr>
        <w:t xml:space="preserve"> ze záruk ve výši 217 506 EUR (</w:t>
      </w:r>
      <w:r w:rsidRPr="008F47E4">
        <w:rPr>
          <w:i/>
        </w:rPr>
        <w:t>6,031 mil. Kč</w:t>
      </w:r>
      <w:r>
        <w:rPr>
          <w:i/>
        </w:rPr>
        <w:t xml:space="preserve">) pro 9 záruk, což představuje </w:t>
      </w:r>
      <w:r w:rsidRPr="008F47E4">
        <w:rPr>
          <w:i/>
        </w:rPr>
        <w:t>5,9</w:t>
      </w:r>
      <w:r>
        <w:rPr>
          <w:i/>
        </w:rPr>
        <w:t>5</w:t>
      </w:r>
      <w:r w:rsidRPr="008F47E4">
        <w:rPr>
          <w:i/>
        </w:rPr>
        <w:t xml:space="preserve">% z výše poskytnutých záruk a 10,58 % z počtu poskytnutých záruk. </w:t>
      </w:r>
    </w:p>
    <w:p w:rsidR="002A667A" w:rsidRPr="00E52D8D" w:rsidRDefault="002A667A" w:rsidP="006638C9">
      <w:pPr>
        <w:numPr>
          <w:ilvl w:val="0"/>
          <w:numId w:val="99"/>
        </w:numPr>
        <w:overflowPunct/>
        <w:autoSpaceDE/>
        <w:autoSpaceDN/>
        <w:adjustRightInd/>
        <w:textAlignment w:val="auto"/>
        <w:rPr>
          <w:i/>
        </w:rPr>
      </w:pPr>
      <w:r w:rsidRPr="00E52D8D">
        <w:rPr>
          <w:i/>
        </w:rPr>
        <w:t xml:space="preserve">Po ukončení procesu vymáhání byly pro nedobytnost odepsány pohledávky ve výši 0,3 mil. Kč u 2 záruk. Stav tohoto portfolia záruk a jeho vývoj je zatím </w:t>
      </w:r>
      <w:r w:rsidRPr="00E52D8D">
        <w:rPr>
          <w:i/>
          <w:u w:val="single"/>
        </w:rPr>
        <w:t>poměrně příznivý.</w:t>
      </w:r>
    </w:p>
    <w:p w:rsidR="002A667A" w:rsidRPr="008F47E4" w:rsidRDefault="002A667A" w:rsidP="006638C9">
      <w:pPr>
        <w:rPr>
          <w:b/>
          <w:i/>
        </w:rPr>
      </w:pPr>
    </w:p>
    <w:p w:rsidR="002A667A" w:rsidRPr="008F47E4" w:rsidRDefault="002A667A" w:rsidP="006638C9">
      <w:pPr>
        <w:rPr>
          <w:b/>
          <w:i/>
        </w:rPr>
      </w:pPr>
      <w:r w:rsidRPr="008F47E4">
        <w:rPr>
          <w:b/>
          <w:i/>
        </w:rPr>
        <w:t>ZÁRUKA</w:t>
      </w:r>
    </w:p>
    <w:p w:rsidR="002A667A" w:rsidRDefault="002A667A" w:rsidP="006638C9">
      <w:pPr>
        <w:numPr>
          <w:ilvl w:val="0"/>
          <w:numId w:val="100"/>
        </w:numPr>
        <w:overflowPunct/>
        <w:autoSpaceDE/>
        <w:autoSpaceDN/>
        <w:adjustRightInd/>
        <w:textAlignment w:val="auto"/>
        <w:rPr>
          <w:i/>
        </w:rPr>
      </w:pPr>
      <w:r w:rsidRPr="00E52D8D">
        <w:rPr>
          <w:i/>
        </w:rPr>
        <w:lastRenderedPageBreak/>
        <w:t xml:space="preserve">Z celkové výše poskytnutých záruk 409,041 mil. EUR (11 341,9 mil. Kč) a počtu 2 011 záruk, bylo k 31. 12. 2014 poskytnuto plnění ve výši 12,847 mil. EUR (356,208 mil. Kč </w:t>
      </w:r>
      <w:r>
        <w:rPr>
          <w:i/>
        </w:rPr>
        <w:t>u 181 záruk, což představuje</w:t>
      </w:r>
      <w:r w:rsidRPr="00E52D8D">
        <w:rPr>
          <w:i/>
        </w:rPr>
        <w:t xml:space="preserve"> 3,1 % z výše vystavených záruk a 9,0 % z počtu poskytnutých záruk. </w:t>
      </w:r>
    </w:p>
    <w:p w:rsidR="002A667A" w:rsidRPr="00E52D8D" w:rsidRDefault="002A667A" w:rsidP="006638C9">
      <w:pPr>
        <w:numPr>
          <w:ilvl w:val="0"/>
          <w:numId w:val="100"/>
        </w:numPr>
        <w:overflowPunct/>
        <w:autoSpaceDE/>
        <w:autoSpaceDN/>
        <w:adjustRightInd/>
        <w:textAlignment w:val="auto"/>
        <w:rPr>
          <w:i/>
        </w:rPr>
      </w:pPr>
      <w:r w:rsidRPr="00E52D8D">
        <w:rPr>
          <w:i/>
        </w:rPr>
        <w:t>Po ukončení procesu vymáhání byly pro nedobytnost odepsány pohledávky takto:</w:t>
      </w:r>
    </w:p>
    <w:p w:rsidR="002A667A" w:rsidRPr="008F47E4" w:rsidRDefault="002A667A" w:rsidP="006638C9">
      <w:pPr>
        <w:numPr>
          <w:ilvl w:val="1"/>
          <w:numId w:val="100"/>
        </w:numPr>
        <w:overflowPunct/>
        <w:autoSpaceDE/>
        <w:autoSpaceDN/>
        <w:adjustRightInd/>
        <w:textAlignment w:val="auto"/>
        <w:rPr>
          <w:i/>
        </w:rPr>
      </w:pPr>
      <w:r w:rsidRPr="008F47E4">
        <w:rPr>
          <w:i/>
        </w:rPr>
        <w:t>S-Záruky EUR 1 305 540 (36,2 mil. Kč) u 12 záruk,</w:t>
      </w:r>
    </w:p>
    <w:p w:rsidR="002A667A" w:rsidRPr="008F47E4" w:rsidRDefault="002A667A" w:rsidP="006638C9">
      <w:pPr>
        <w:numPr>
          <w:ilvl w:val="1"/>
          <w:numId w:val="100"/>
        </w:numPr>
        <w:overflowPunct/>
        <w:autoSpaceDE/>
        <w:autoSpaceDN/>
        <w:adjustRightInd/>
        <w:textAlignment w:val="auto"/>
        <w:rPr>
          <w:i/>
        </w:rPr>
      </w:pPr>
      <w:r w:rsidRPr="008F47E4">
        <w:rPr>
          <w:i/>
        </w:rPr>
        <w:t xml:space="preserve">M-záruky EUR 2 445 182 (67,8 mil. Kč) u 36 záruk.            </w:t>
      </w:r>
    </w:p>
    <w:p w:rsidR="002A667A" w:rsidRPr="008F47E4" w:rsidRDefault="002A667A" w:rsidP="006638C9">
      <w:pPr>
        <w:rPr>
          <w:b/>
          <w:i/>
        </w:rPr>
      </w:pPr>
    </w:p>
    <w:p w:rsidR="002A667A" w:rsidRPr="008F47E4" w:rsidRDefault="002A667A" w:rsidP="006638C9">
      <w:pPr>
        <w:rPr>
          <w:b/>
          <w:i/>
        </w:rPr>
      </w:pPr>
      <w:r w:rsidRPr="008F47E4">
        <w:rPr>
          <w:b/>
          <w:i/>
        </w:rPr>
        <w:t>PROGRES</w:t>
      </w:r>
    </w:p>
    <w:p w:rsidR="002A667A" w:rsidRDefault="002A667A" w:rsidP="006638C9">
      <w:pPr>
        <w:numPr>
          <w:ilvl w:val="0"/>
          <w:numId w:val="101"/>
        </w:numPr>
        <w:overflowPunct/>
        <w:autoSpaceDE/>
        <w:autoSpaceDN/>
        <w:adjustRightInd/>
        <w:textAlignment w:val="auto"/>
        <w:rPr>
          <w:i/>
        </w:rPr>
      </w:pPr>
      <w:r w:rsidRPr="008F47E4">
        <w:rPr>
          <w:i/>
        </w:rPr>
        <w:t xml:space="preserve">Z celkové výše poskytnutých podřízených úvěrů  137,298 mil. EUR (3 807,0 mil. Kč) a počtu  472, činily k 31. 12. 2014 pohledávky po lhůtě splatnosti, včetně dlužných úroků (sankčních a úroků z úvěrů) u 36 úvěrů, částku 3,448 mil. EUR ( 95,610 mil. Kč), což představuje 2,5  % z výše poskytnutých úvěrů a  7,6 % z počtu poskytnutých úvěrů. </w:t>
      </w:r>
    </w:p>
    <w:p w:rsidR="002A667A" w:rsidRPr="00E52D8D" w:rsidRDefault="002A667A" w:rsidP="006638C9">
      <w:pPr>
        <w:numPr>
          <w:ilvl w:val="0"/>
          <w:numId w:val="101"/>
        </w:numPr>
        <w:overflowPunct/>
        <w:autoSpaceDE/>
        <w:autoSpaceDN/>
        <w:adjustRightInd/>
        <w:textAlignment w:val="auto"/>
        <w:rPr>
          <w:i/>
        </w:rPr>
      </w:pPr>
      <w:r w:rsidRPr="00E52D8D">
        <w:rPr>
          <w:i/>
        </w:rPr>
        <w:t>V programu PROGRES nebyly dosud odepsány žádné pohledávky pro nedobytnost. Zůstatek jistiny úvěru do splatnosti k 31.12.2014 činil  76,856 mil. EUR (2 131,075 mil. Kč). Výše plně splacených úvěrů je 17,194 mil. EUR (476,755 mil. Kč), počet splacených úvěrů je 68.</w:t>
      </w:r>
    </w:p>
    <w:p w:rsidR="002A667A" w:rsidRDefault="002A667A" w:rsidP="006638C9"/>
    <w:p w:rsidR="002A667A" w:rsidRDefault="002A667A">
      <w:r>
        <w:t>Co se týče zahraniční zkušenosti, sledovaná oblast podpory rozvoje malých a středních podniků je stěžejní oblastí, kterou Evropská komise považuje za vhodnou pro využití finančních nástrojů – tuto skutečnost dokládá fakt, že do této oblasti směřovala valná většina budovaných finančních nástrojů v rámci programového období 2007-2013, dále pak extensivní metodická podpora k tématu pro nové období (mj. i detailně propracovaná samostatná metodika v rámci série metodik EK k tématu), dále pak i návrh tzv. off-the-shelf nástrojů, které v současné podobě všechny míří na oblast podpory MSP, v neposlední řadě také existencí samostatných nařízení, guidance materiálů a pokynů či sdělení EK, které specificky adresují oblast rizikového financování či poskytování záruk/úvěrů rozvíjejícím se MSP.</w:t>
      </w:r>
    </w:p>
    <w:p w:rsidR="002A667A" w:rsidRDefault="002A667A" w:rsidP="006638C9"/>
    <w:p w:rsidR="002A667A" w:rsidRDefault="002A667A" w:rsidP="006638C9">
      <w:r>
        <w:t>Výše popsaný návrh podoby budoucích finančních nástrojů reflektuje dobrou praxi národních programů ČMZRB, zkušenosti získané během využívání finančních nástrojů v rámci OPPI, tak i dobrou zahraniční praxi.</w:t>
      </w:r>
    </w:p>
    <w:p w:rsidR="002A667A" w:rsidRDefault="002A667A" w:rsidP="006638C9"/>
    <w:p w:rsidR="002A667A" w:rsidRDefault="002A667A">
      <w:r>
        <w:rPr>
          <w:b/>
        </w:rPr>
        <w:t>S využitím nástroje podoby kapitálových vstupů</w:t>
      </w:r>
      <w:r>
        <w:t xml:space="preserve"> v ČR neexistuje minulá zkušenost, neboť pokus o zřízení této formy podpory v programovém období 2007-2013 v rámci OPPI nebyl úspěšný, avšak umožnil otevření veřejné debaty na dané téma a celá fáze přípravy tohoto fondu znamenala získání důležitých zkušeností. Během příprav Seed fondu byla identifikována celá řada konkrétních omezení, které jsou relevantní i pro současně plánované návrhy zřízení fondu obdobného charakteru a zaměření. </w:t>
      </w:r>
    </w:p>
    <w:p w:rsidR="002A667A" w:rsidRDefault="002A667A" w:rsidP="006638C9"/>
    <w:p w:rsidR="002A667A" w:rsidRDefault="002A667A">
      <w:r>
        <w:t>Jedním z klíčových omezení je, že české podniky, a to především ty nově zakládané ve velmi rané fázi rozvoje, nejsou připraveny na postoupení majetkového podílu investorovi, který je ochoten poskytnout kapitálové zdroje na rozvoj daného podnikání – a to bez ohledu na skutečnost, zda je investor privátní, veřejnoprávní nebo v jeho pozadí stojí kombinace kapitálu soukromého a státního (evropského). Toto riziko je klíčové pro možnost absorpce alokace OP PIK na danou oblast, na daný finanční nástroj – potenciální problém s vybudováním dostatečně robustní pipeline budoucích projektů. Deloitte Advisory navrhuje toto riziko adresovat především dvěma kroky:</w:t>
      </w:r>
    </w:p>
    <w:p w:rsidR="002A667A" w:rsidRDefault="002A667A" w:rsidP="006638C9">
      <w:pPr>
        <w:numPr>
          <w:ilvl w:val="0"/>
          <w:numId w:val="97"/>
        </w:numPr>
        <w:overflowPunct/>
        <w:autoSpaceDE/>
        <w:autoSpaceDN/>
        <w:adjustRightInd/>
        <w:textAlignment w:val="auto"/>
      </w:pPr>
      <w:r>
        <w:t>Důrazem na maximálně transparentní nastavení nových struktur, obsazení klíčových manažerských pozic respektovanými profesionály</w:t>
      </w:r>
    </w:p>
    <w:p w:rsidR="002A667A" w:rsidRDefault="002A667A" w:rsidP="006638C9">
      <w:pPr>
        <w:numPr>
          <w:ilvl w:val="0"/>
          <w:numId w:val="97"/>
        </w:numPr>
        <w:overflowPunct/>
        <w:autoSpaceDE/>
        <w:autoSpaceDN/>
        <w:adjustRightInd/>
        <w:textAlignment w:val="auto"/>
      </w:pPr>
      <w:r>
        <w:t>Vhodně nastavenou podporou do oblasti proof-of-concept (předkomerční výsledky VaV) formou kapitálových vstupů, které pomohou stimulovat nové deal-flow ze strany universit a VVI.</w:t>
      </w:r>
    </w:p>
    <w:p w:rsidR="002A667A" w:rsidRDefault="002A667A" w:rsidP="006638C9"/>
    <w:p w:rsidR="002A667A" w:rsidRPr="008F0188" w:rsidRDefault="002A667A" w:rsidP="006638C9">
      <w:pPr>
        <w:rPr>
          <w:b/>
        </w:rPr>
      </w:pPr>
      <w:r w:rsidRPr="008F0188">
        <w:rPr>
          <w:b/>
        </w:rPr>
        <w:t>Zahraniční zkušenosti schémat státní pomoci rizikovému kapitálu:</w:t>
      </w:r>
    </w:p>
    <w:p w:rsidR="002A667A" w:rsidRDefault="002A667A" w:rsidP="006638C9"/>
    <w:p w:rsidR="002A667A" w:rsidRDefault="002A667A" w:rsidP="006638C9">
      <w:r w:rsidRPr="00C53415">
        <w:t>Od čistě vládních fondů rizikového kapitálu je většinou upouštěno, protože veřejní hodnostáři podléhají politickým vlivům a činí špatná investiční rozhodnutí.Vládní zapojení má dnes typicky formu kapitálové účasti, při které vlády investují jako menšinový podílník do fondu spravovaného soukromou venture capital firmou (VCF), či jako koinvestor s VCF („Hybridní fondy“). Soukromá VCF na sebe bere zodpovědnost za investiční rozhodování. Příkladem takovýchto hybridních fondů jsou Australian Industry Investment Fund, něme</w:t>
      </w:r>
      <w:r>
        <w:t>cký High-tech Grúnderfond, iz</w:t>
      </w:r>
      <w:r w:rsidRPr="00C53415">
        <w:t>raelský program Yozma či New Zealand Venture Investment Fund. Tyto schémata poskytují dostatečné kapitálové zdroje i jistotu k přilákání investic soukromého sektoru.</w:t>
      </w:r>
    </w:p>
    <w:p w:rsidR="002A667A" w:rsidRPr="00C53415" w:rsidRDefault="002A667A" w:rsidP="006638C9"/>
    <w:p w:rsidR="002A667A" w:rsidRDefault="002A667A" w:rsidP="006638C9">
      <w:r w:rsidRPr="00C53415">
        <w:t>Veřejné politiky stále více berou v úvahu komplementární roli neformálního „Business Angels“ (BA) trhu, zvláště v investičních oblastech, kde tradiční rizikový kapitál nebyl aktivní.Intervence k podpoře BA investic zahrnují daňové stimuly, novou legislativu v oblasti cenných papírů, capability building investorů i podnikatelů, networks i koinvestiční schémata</w:t>
      </w:r>
      <w:r>
        <w:t>.</w:t>
      </w:r>
    </w:p>
    <w:p w:rsidR="002A667A" w:rsidRPr="00C53415" w:rsidRDefault="002A667A" w:rsidP="006638C9"/>
    <w:p w:rsidR="002A667A" w:rsidRDefault="002A667A" w:rsidP="006638C9">
      <w:r w:rsidRPr="00C53415">
        <w:t>Uvolnění větších kapitálových zdrojů samo nevyřeší tržní mezeru ve financování. Bez stálého přílivu firem s vysokým potenciálem připravených na investici skončí další investice ve firmách nízké kvality, což povede k selhání podpory.</w:t>
      </w:r>
    </w:p>
    <w:p w:rsidR="002A667A" w:rsidRPr="00C53415" w:rsidRDefault="002A667A" w:rsidP="006638C9"/>
    <w:p w:rsidR="002A667A" w:rsidRPr="00C53415" w:rsidRDefault="002A667A" w:rsidP="006638C9">
      <w:r w:rsidRPr="00C53415">
        <w:t>K zajištění takové nabídky je třeba nefinanční podpora firmám s vysokým potenciálem</w:t>
      </w:r>
    </w:p>
    <w:p w:rsidR="002A667A" w:rsidRPr="00C53415" w:rsidRDefault="002A667A" w:rsidP="006638C9">
      <w:pPr>
        <w:numPr>
          <w:ilvl w:val="0"/>
          <w:numId w:val="96"/>
        </w:numPr>
        <w:overflowPunct/>
        <w:autoSpaceDE/>
        <w:autoSpaceDN/>
        <w:adjustRightInd/>
        <w:textAlignment w:val="auto"/>
      </w:pPr>
      <w:r w:rsidRPr="00C53415">
        <w:t>budování start-upové komunity a networking</w:t>
      </w:r>
    </w:p>
    <w:p w:rsidR="002A667A" w:rsidRPr="00C53415" w:rsidRDefault="002A667A" w:rsidP="006638C9">
      <w:pPr>
        <w:numPr>
          <w:ilvl w:val="0"/>
          <w:numId w:val="96"/>
        </w:numPr>
        <w:overflowPunct/>
        <w:autoSpaceDE/>
        <w:autoSpaceDN/>
        <w:adjustRightInd/>
        <w:textAlignment w:val="auto"/>
      </w:pPr>
      <w:r w:rsidRPr="00C53415">
        <w:t>technologické inkubátory a start-up akcelerátory</w:t>
      </w:r>
    </w:p>
    <w:p w:rsidR="002A667A" w:rsidRPr="00C53415" w:rsidRDefault="002A667A" w:rsidP="006638C9">
      <w:pPr>
        <w:numPr>
          <w:ilvl w:val="0"/>
          <w:numId w:val="96"/>
        </w:numPr>
        <w:overflowPunct/>
        <w:autoSpaceDE/>
        <w:autoSpaceDN/>
        <w:adjustRightInd/>
        <w:textAlignment w:val="auto"/>
      </w:pPr>
      <w:r w:rsidRPr="00C53415">
        <w:t>podnikatelské vzdělávání</w:t>
      </w:r>
    </w:p>
    <w:p w:rsidR="002A667A" w:rsidRPr="00C53415" w:rsidRDefault="002A667A" w:rsidP="006638C9">
      <w:pPr>
        <w:numPr>
          <w:ilvl w:val="0"/>
          <w:numId w:val="96"/>
        </w:numPr>
        <w:overflowPunct/>
        <w:autoSpaceDE/>
        <w:autoSpaceDN/>
        <w:adjustRightInd/>
        <w:textAlignment w:val="auto"/>
      </w:pPr>
      <w:r w:rsidRPr="00C53415">
        <w:t>profesní komunity: VC &amp; asociace, kluby BA, sítě (networks)</w:t>
      </w:r>
    </w:p>
    <w:p w:rsidR="002A667A" w:rsidRPr="00C53415" w:rsidRDefault="002A667A" w:rsidP="006638C9">
      <w:pPr>
        <w:numPr>
          <w:ilvl w:val="0"/>
          <w:numId w:val="96"/>
        </w:numPr>
        <w:overflowPunct/>
        <w:autoSpaceDE/>
        <w:autoSpaceDN/>
        <w:adjustRightInd/>
        <w:textAlignment w:val="auto"/>
      </w:pPr>
      <w:r w:rsidRPr="00C53415">
        <w:t>příznivá regulace a daňové stimuly, pre-competitive public procurement</w:t>
      </w:r>
    </w:p>
    <w:p w:rsidR="002A667A" w:rsidRPr="00C53415" w:rsidRDefault="002A667A" w:rsidP="006638C9">
      <w:pPr>
        <w:numPr>
          <w:ilvl w:val="0"/>
          <w:numId w:val="96"/>
        </w:numPr>
        <w:overflowPunct/>
        <w:autoSpaceDE/>
        <w:autoSpaceDN/>
        <w:adjustRightInd/>
        <w:textAlignment w:val="auto"/>
      </w:pPr>
      <w:r w:rsidRPr="00C53415">
        <w:t>spojnice mezi VC, vzdělávacími a výzkumnými uzly a rozvojem firem</w:t>
      </w:r>
    </w:p>
    <w:p w:rsidR="002A667A" w:rsidRDefault="002A667A" w:rsidP="006638C9"/>
    <w:p w:rsidR="002A667A" w:rsidRPr="00D03ACF" w:rsidRDefault="002A667A" w:rsidP="006638C9">
      <w:pPr>
        <w:pStyle w:val="CaptionIntroductionparagraph"/>
      </w:pPr>
      <w:r w:rsidRPr="00D03ACF">
        <w:t>SC 2.3</w:t>
      </w:r>
    </w:p>
    <w:p w:rsidR="002A667A" w:rsidRDefault="002A667A" w:rsidP="006638C9"/>
    <w:p w:rsidR="002A667A" w:rsidRDefault="002A667A">
      <w:r w:rsidRPr="00D03ACF">
        <w:t>Jediná zkušenost s finančním nástrojem v ČR je bývalý holdingový fond JESSICA v Moravskoslezském kraji vytvořený za účelem investování do Fondu rozvoje měst (FRM). Od 1. 1. 2014 v rámci Úřadu regionální rady Moravskoslezsko oddělení finančního nástroje JESSICA. V jeho kompetenci je udělovat zvýhodněné úvěry, záruky nebo vstupy formou vlastního kapitálu z hlediska způsobilých nákladů. Finance mohou podnikatelé získat na regeneraci brownfieldů pro výrobní, logistické a obchodní účely nebo veřejné služby. Další podporované oblasti jsou sociální služby, včetně domovů pro seniory, vzdělávání (kromě vysokých škol), zdravotnická infrastruktura a rozvoj cestovního ruchu</w:t>
      </w:r>
      <w:r w:rsidRPr="00D03ACF">
        <w:rPr>
          <w:rStyle w:val="Znakapoznpodarou"/>
          <w:b/>
          <w:color w:val="00A1DE"/>
          <w:szCs w:val="22"/>
        </w:rPr>
        <w:footnoteReference w:id="4"/>
      </w:r>
      <w:r w:rsidRPr="00D03ACF">
        <w:t>.</w:t>
      </w:r>
    </w:p>
    <w:p w:rsidR="002A667A" w:rsidRDefault="002A667A" w:rsidP="006638C9">
      <w:pPr>
        <w:pStyle w:val="Highlight1"/>
      </w:pPr>
    </w:p>
    <w:p w:rsidR="002A667A" w:rsidRDefault="002A667A" w:rsidP="006638C9">
      <w:pPr>
        <w:pStyle w:val="BodyText1"/>
        <w:rPr>
          <w:b/>
        </w:rPr>
      </w:pPr>
      <w:r w:rsidRPr="008F0188">
        <w:rPr>
          <w:b/>
        </w:rPr>
        <w:t>Zahraniční zkušenosti schémat státní pomoci</w:t>
      </w:r>
      <w:r>
        <w:rPr>
          <w:b/>
        </w:rPr>
        <w:t xml:space="preserve"> regeneraci brownfields a rekonstrucím podnikatelských nemovitostí:</w:t>
      </w:r>
    </w:p>
    <w:p w:rsidR="002A667A" w:rsidRPr="008F0188" w:rsidRDefault="002A667A" w:rsidP="006638C9">
      <w:pPr>
        <w:pStyle w:val="BodyText1"/>
        <w:rPr>
          <w:b/>
        </w:rPr>
      </w:pPr>
    </w:p>
    <w:p w:rsidR="002A667A" w:rsidRPr="00D03ACF" w:rsidRDefault="002A667A" w:rsidP="006638C9">
      <w:pPr>
        <w:pStyle w:val="Highlight1"/>
      </w:pPr>
      <w:r w:rsidRPr="00D03ACF">
        <w:t>Německo</w:t>
      </w:r>
      <w:r w:rsidRPr="00D03ACF">
        <w:rPr>
          <w:rStyle w:val="Znakapoznpodarou"/>
        </w:rPr>
        <w:footnoteReference w:id="5"/>
      </w:r>
    </w:p>
    <w:p w:rsidR="002A667A" w:rsidRDefault="002A667A" w:rsidP="00F67071">
      <w:r w:rsidRPr="00D03ACF">
        <w:t>Snahy o vybudování legislativních a institucionálních nástrojů pro regeneraci zanedbaných a vyčleněných ploch se již od sedmdesátých let objevovaly převážně v regionech, kde byl rozšířen těžební a metalurgický průmysl, který byl postupně utlumován. Institucionální nástroje pro regeneraci BF se inspirovaly legislativou pro poválečnou bytovou výstavbu a rozvoj měst. Velmi úspěšnými nástroji na řízení veškerých procesů během regenerace BF se staly tzv. pozemkové rozvojové společnosti. Například v Severním Porýní – Vestfálsku, které je známé jako oblast uhlí a ocele, učinila kroky k zamezení vzniku opuštěných a zanedbaných lokalit Společnost pro rozvoj spolkové země (</w:t>
      </w:r>
      <w:r w:rsidRPr="00D03ACF">
        <w:rPr>
          <w:i/>
        </w:rPr>
        <w:t>Landesentwicklungsgesellschaft Nordrhein-Westfalen</w:t>
      </w:r>
      <w:r w:rsidRPr="00D03ACF">
        <w:t xml:space="preserve"> - LEG NRW). Ke společnosti </w:t>
      </w:r>
      <w:r w:rsidRPr="00D03ACF">
        <w:lastRenderedPageBreak/>
        <w:t>patří ekonomický</w:t>
      </w:r>
      <w:r w:rsidRPr="00D03ACF">
        <w:rPr>
          <w:rStyle w:val="Znakapoznpodarou"/>
        </w:rPr>
        <w:footnoteReference w:id="6"/>
      </w:r>
      <w:r w:rsidRPr="00D03ACF">
        <w:t xml:space="preserve"> nástroj v podobě pozemkového fondu s revolvingovým charakterem, tzn., že všechny zisky z prodeje regenerovaných ploch se musí reinvestovat zpátky do fondu. Fond byl založen v roce 1979 s kapitálem 500 mil. DEM zemskou vládou a svěřen do správy LEG NRW. LEG NRW je soukromoprávní s.r.o. vlastněná spolkovou zemí, zemskými bankami, městy a regionálními radami. LEG NRW pohltil 4 ostatní společnosti a při krizi bytové výstavby rozšířil působnost na celý spolkový stát. </w:t>
      </w:r>
    </w:p>
    <w:p w:rsidR="002A667A" w:rsidRPr="00D03ACF" w:rsidRDefault="002A667A" w:rsidP="006638C9">
      <w:pPr>
        <w:pStyle w:val="BodyText1"/>
        <w:jc w:val="both"/>
      </w:pPr>
    </w:p>
    <w:p w:rsidR="002A667A" w:rsidRPr="00D03ACF" w:rsidRDefault="002A667A" w:rsidP="00D44CBE">
      <w:r w:rsidRPr="00D03ACF">
        <w:t>Fond se řídí směrnicí, která upravuje podmínky nákupu, vyčistění a přípravy degradovaných ploch. Fond může koupit pozemky v případě, že:</w:t>
      </w:r>
    </w:p>
    <w:p w:rsidR="002A667A" w:rsidRPr="00D03ACF" w:rsidRDefault="002A667A" w:rsidP="00D44CBE">
      <w:pPr>
        <w:pStyle w:val="Odstavecseseznamem"/>
        <w:numPr>
          <w:ilvl w:val="0"/>
          <w:numId w:val="103"/>
        </w:numPr>
      </w:pPr>
      <w:r w:rsidRPr="00D03ACF">
        <w:t>vlastník ukončil původní obchodní, průmyslové či dopravní využívání pozemku,</w:t>
      </w:r>
    </w:p>
    <w:p w:rsidR="002A667A" w:rsidRPr="00D03ACF" w:rsidRDefault="002A667A" w:rsidP="00D44CBE">
      <w:pPr>
        <w:pStyle w:val="Odstavecseseznamem"/>
        <w:numPr>
          <w:ilvl w:val="0"/>
          <w:numId w:val="103"/>
        </w:numPr>
      </w:pPr>
      <w:r w:rsidRPr="00D03ACF">
        <w:t>pozemky jsou překážkou v rozvoji města či obce, či představují závažný ekologický problém,</w:t>
      </w:r>
    </w:p>
    <w:p w:rsidR="002A667A" w:rsidRPr="00D03ACF" w:rsidRDefault="002A667A" w:rsidP="00D44CBE">
      <w:pPr>
        <w:pStyle w:val="Odstavecseseznamem"/>
        <w:numPr>
          <w:ilvl w:val="0"/>
          <w:numId w:val="103"/>
        </w:numPr>
      </w:pPr>
      <w:r w:rsidRPr="00D03ACF">
        <w:t>novým uspořádáním a využitím ploch se předejde spotřebě nezastavěných ploch nebo dojde k vyčištění území.</w:t>
      </w:r>
    </w:p>
    <w:p w:rsidR="002A667A" w:rsidRPr="00D03ACF" w:rsidRDefault="002A667A" w:rsidP="006638C9">
      <w:pPr>
        <w:pStyle w:val="BodyText1"/>
        <w:jc w:val="both"/>
      </w:pPr>
    </w:p>
    <w:p w:rsidR="002A667A" w:rsidRDefault="002A667A" w:rsidP="00F67071">
      <w:r w:rsidRPr="00D03ACF">
        <w:t xml:space="preserve">Nominace na nákup ploch podávají podle zákona o samosprávách obce nebo sdružení obcí, které kompletuji žádost, pořizuji fotografie, srovnávají součinnost s územním rozvojem, posuzují schopnost obce podílet se na financování (při veřejném využití) a zároveň se snaží získat souhlas vlastníka plochy/nemovitosti. Poté je žádost předložena zástupci zemské vlády, který kontroluje ekologické škody, soulad s územním plánem, průmyslové dědictví, regionální cíle atd. Zemský premiér podává návrh na výkup pozemků na Ministerstvo pro rozvoj, bydlení a dopravu NRW (MRBD) a na Ministerstvo financi NRW a LEG NRW. Hlavní rozhodovací pravomoc má MRBD, které uděluje souhlas LEG NRW k nákupu. </w:t>
      </w:r>
    </w:p>
    <w:p w:rsidR="002A667A" w:rsidRDefault="002A667A" w:rsidP="00F67071"/>
    <w:p w:rsidR="002A667A" w:rsidRDefault="002A667A" w:rsidP="00F67071">
      <w:r w:rsidRPr="00D03ACF">
        <w:t>LEG NRW spolupracuje s obcemi, aby byl zaručen soulad s obecní vizí a do procesu rozhodování byli zapojeni i obyvatelé. Je na rozhodnutí obce, jestli se rozhodně převzít plánovací činnost, marketingový a projektový management nebo i ty přenechá LEG NRW (v tomto případě musí hradit obec 10</w:t>
      </w:r>
      <w:r w:rsidR="00F77613">
        <w:t xml:space="preserve"> </w:t>
      </w:r>
      <w:r w:rsidRPr="00D03ACF">
        <w:t>% nákladů). Obce mají předkupní právo na připravené plochy a vyjadřují se k nabídkám ke koupi. Tato pozemková politika zaručuje rychlé znovuvyužití, dodržení záměru a zamezení spekulacím. Fond získal mezi lety 1984 – 2005 až 2650 ha ploch, z nichž již většina byla zregenerována (57</w:t>
      </w:r>
      <w:r w:rsidR="00F77613">
        <w:t xml:space="preserve"> </w:t>
      </w:r>
      <w:r w:rsidRPr="00D03ACF">
        <w:t>% na zelené veřejné plochy). Od roku 1988 začaly fondy využívat veřejné dotační prostředky a od roku 1989 také strukturální fondy EU.</w:t>
      </w:r>
    </w:p>
    <w:p w:rsidR="002A667A" w:rsidRPr="00D03ACF" w:rsidRDefault="002A667A" w:rsidP="006638C9">
      <w:pPr>
        <w:pStyle w:val="BodyText1"/>
        <w:jc w:val="both"/>
      </w:pPr>
    </w:p>
    <w:p w:rsidR="002A667A" w:rsidRPr="00D03ACF" w:rsidRDefault="002A667A" w:rsidP="006638C9">
      <w:pPr>
        <w:pStyle w:val="BodyText1"/>
        <w:jc w:val="both"/>
      </w:pPr>
      <w:r w:rsidRPr="00D03ACF">
        <w:t xml:space="preserve">Původ výdajů v roce 2004 byla následující: </w:t>
      </w:r>
    </w:p>
    <w:p w:rsidR="002A667A" w:rsidRPr="00D03ACF" w:rsidRDefault="002A667A" w:rsidP="006638C9">
      <w:pPr>
        <w:pStyle w:val="BodyText1"/>
        <w:numPr>
          <w:ilvl w:val="0"/>
          <w:numId w:val="67"/>
        </w:numPr>
        <w:jc w:val="both"/>
      </w:pPr>
      <w:r w:rsidRPr="00D03ACF">
        <w:t>dotace 47 %,</w:t>
      </w:r>
    </w:p>
    <w:p w:rsidR="002A667A" w:rsidRPr="00D03ACF" w:rsidRDefault="002A667A" w:rsidP="006638C9">
      <w:pPr>
        <w:pStyle w:val="BodyText1"/>
        <w:numPr>
          <w:ilvl w:val="0"/>
          <w:numId w:val="67"/>
        </w:numPr>
        <w:jc w:val="both"/>
      </w:pPr>
      <w:r w:rsidRPr="00D03ACF">
        <w:t>zisky 19 %,</w:t>
      </w:r>
    </w:p>
    <w:p w:rsidR="002A667A" w:rsidRPr="00D03ACF" w:rsidRDefault="002A667A" w:rsidP="006638C9">
      <w:pPr>
        <w:pStyle w:val="BodyText1"/>
        <w:numPr>
          <w:ilvl w:val="0"/>
          <w:numId w:val="67"/>
        </w:numPr>
        <w:jc w:val="both"/>
      </w:pPr>
      <w:r w:rsidRPr="00D03ACF">
        <w:t>jiné zdroje (fondy obce a hutní fondy) 29 %</w:t>
      </w:r>
      <w:r>
        <w:t>,</w:t>
      </w:r>
    </w:p>
    <w:p w:rsidR="002A667A" w:rsidRPr="00D03ACF" w:rsidRDefault="002A667A" w:rsidP="006638C9">
      <w:pPr>
        <w:pStyle w:val="BodyText1"/>
        <w:numPr>
          <w:ilvl w:val="0"/>
          <w:numId w:val="67"/>
        </w:numPr>
        <w:jc w:val="both"/>
      </w:pPr>
      <w:r w:rsidRPr="00D03ACF">
        <w:t>příspěvky obcí 5 %.</w:t>
      </w:r>
    </w:p>
    <w:p w:rsidR="002A667A" w:rsidRPr="00D03ACF" w:rsidRDefault="002A667A" w:rsidP="006638C9">
      <w:pPr>
        <w:pStyle w:val="BodyText1"/>
        <w:jc w:val="both"/>
      </w:pPr>
    </w:p>
    <w:p w:rsidR="002A667A" w:rsidRDefault="002A667A" w:rsidP="00F67071">
      <w:r w:rsidRPr="00D03ACF">
        <w:t>Multiplikační efekt fondu dosáhl za celou svou historii hodnoty 5-8. V posledních letech se posiluje pravomoc obcí při řízení průběhu regenerace pozemkovým fondem. Pro posouzení dopadu investice mohou obce před rozhodnutím vycházet z výsledků kvantitativních ukazatelů, které hodnotí výši investice na vznik jednoho pracovního místa nebo počet vzniklých pracovních míst na 1 ha regenerované plochy.</w:t>
      </w:r>
    </w:p>
    <w:p w:rsidR="002A667A" w:rsidRPr="00D03ACF" w:rsidRDefault="002A667A" w:rsidP="006638C9">
      <w:pPr>
        <w:pStyle w:val="BodyText1"/>
        <w:jc w:val="both"/>
      </w:pPr>
    </w:p>
    <w:p w:rsidR="002A667A" w:rsidRPr="00D03ACF" w:rsidRDefault="002A667A" w:rsidP="006638C9">
      <w:pPr>
        <w:pStyle w:val="Highlight1"/>
      </w:pPr>
      <w:r w:rsidRPr="00D03ACF">
        <w:t>Francie</w:t>
      </w:r>
      <w:r w:rsidRPr="00D03ACF">
        <w:rPr>
          <w:rStyle w:val="Znakapoznpodarou"/>
        </w:rPr>
        <w:footnoteReference w:id="7"/>
      </w:r>
    </w:p>
    <w:p w:rsidR="002A667A" w:rsidRPr="00D03ACF" w:rsidRDefault="002A667A" w:rsidP="006638C9">
      <w:pPr>
        <w:pStyle w:val="BodyText1"/>
        <w:jc w:val="both"/>
      </w:pPr>
    </w:p>
    <w:p w:rsidR="002A667A" w:rsidRDefault="002A667A" w:rsidP="00F67071">
      <w:r w:rsidRPr="00D03ACF">
        <w:t xml:space="preserve">Francie má po Německu a Velké Británii třetí největší výměru starých nevyužívaných areálů různého minulého využití. Podobně jako v Německu se i ve Francii používá jako jeden z nástrojů pozemková společnost. Druhým nástrojem je důkladně propracované regionální plánování, jehož součástí je identifikace a prioritizace lokalit určených k regeneraci a veřejné podpoře. Přístup Francie </w:t>
      </w:r>
      <w:r w:rsidRPr="00D03ACF">
        <w:lastRenderedPageBreak/>
        <w:t>k regeneraci je silně decentralizován, na centrální úrovni neexistuje žádný národní plán jako v ČR. Obce či spíše regiony nesou odpovědnost za rekonverzi opuštěných ploch a za rozvoj svého území.</w:t>
      </w:r>
    </w:p>
    <w:p w:rsidR="002A667A" w:rsidRDefault="002A667A" w:rsidP="00F67071"/>
    <w:p w:rsidR="002A667A" w:rsidRDefault="002A667A" w:rsidP="00F67071">
      <w:r w:rsidRPr="00D03ACF">
        <w:t>Legislativní nástroj definující přístup k regeneraci zanedbaných, nevyužívaných nebo vyloučených ploch/oblastí je obecná politika, která prioritizuje zóny dle citlivosti. Zóny ohrožené vyloučením</w:t>
      </w:r>
      <w:r w:rsidRPr="00D03ACF">
        <w:rPr>
          <w:rStyle w:val="Znakapoznpodarou"/>
        </w:rPr>
        <w:footnoteReference w:id="8"/>
      </w:r>
      <w:r w:rsidRPr="00D03ACF">
        <w:t xml:space="preserve"> se nazývají Urbanisticky citlivé zóny (</w:t>
      </w:r>
      <w:r w:rsidRPr="00D03ACF">
        <w:rPr>
          <w:i/>
        </w:rPr>
        <w:t>Zone Urbaine Sensible</w:t>
      </w:r>
      <w:r w:rsidRPr="00D03ACF">
        <w:t xml:space="preserve"> - ZUS). Realizace Národního programu pro městskou regeneraci (</w:t>
      </w:r>
      <w:r w:rsidRPr="00D03ACF">
        <w:rPr>
          <w:i/>
        </w:rPr>
        <w:t>Programme national pour la rénovation urbaine</w:t>
      </w:r>
      <w:r w:rsidRPr="00D03ACF">
        <w:t xml:space="preserve"> - PNRU) byla svěřená Národní agentuře pro městskou renovaci (</w:t>
      </w:r>
      <w:r w:rsidRPr="00D03ACF">
        <w:rPr>
          <w:i/>
        </w:rPr>
        <w:t>Agence Nationale pour la Renovation Urbaine</w:t>
      </w:r>
      <w:r w:rsidRPr="00D03ACF">
        <w:t xml:space="preserve"> - ANRU), která se zabývá právě urbanistickým začleňováním městských části spolu s budováním veřejných ploch pro společenské vyžití.</w:t>
      </w:r>
    </w:p>
    <w:p w:rsidR="002A667A" w:rsidRDefault="002A667A" w:rsidP="00F67071">
      <w:pPr>
        <w:rPr>
          <w:b/>
        </w:rPr>
      </w:pPr>
    </w:p>
    <w:p w:rsidR="002A667A" w:rsidRDefault="002A667A" w:rsidP="00F67071">
      <w:r w:rsidRPr="00D03ACF">
        <w:t>Mezi instituce vytvořené pro regeneraci brownfieldů patří Smíšená společnost (</w:t>
      </w:r>
      <w:r w:rsidRPr="00D03ACF">
        <w:rPr>
          <w:i/>
        </w:rPr>
        <w:t>Société d</w:t>
      </w:r>
      <w:r w:rsidRPr="00081A64">
        <w:rPr>
          <w:i/>
        </w:rPr>
        <w:t>’</w:t>
      </w:r>
      <w:r w:rsidRPr="00D03ACF">
        <w:rPr>
          <w:i/>
        </w:rPr>
        <w:t>économie mixte</w:t>
      </w:r>
      <w:r w:rsidRPr="00D03ACF">
        <w:t xml:space="preserve"> - SME). Jedná se o akciovou společnost založenou za účelem regenerace jednoho či více projektů a její kapitál drží převážně místní samosprávy (51 % - 85 %). Vlastníky zbylé části mohou být soukromí investoři nebo francouzská státní banka CDC (Caisse de dépôts et consignations), která velice často spolupracuje s regiony. Při průmyslových projektech jsou partnery majitelé pozemků, regiony, stát.</w:t>
      </w:r>
    </w:p>
    <w:p w:rsidR="002A667A" w:rsidRDefault="002A667A" w:rsidP="00F67071"/>
    <w:p w:rsidR="002A667A" w:rsidRDefault="002A667A" w:rsidP="00F67071">
      <w:r w:rsidRPr="00D03ACF">
        <w:t>Veřejná pozemková organizace (Établissement public foncier - EPF) je nejdůležitější institucí, která napomáhá při organizaci nákupu, úpravě pozemků, správě regenerovaných objektů a případném následném prodeji koncovému zájemci. Pod úpravou se rozumí demolice, zazelenění a terénní úpravy. EPF nemůže budovat infrastrukturu, pořizovat dokumentaci a rozparcelovat pozemek. Organizace předpřipraví pozemek a místní samosprávy jej následně od ní odkoupí k realizaci projektu. Zdrojem příjmů EPF jsou speciální rozvojová daň, daň ze zastavěného a nezastavěného území, daň z bydlení a daň obchodní (max. 20€ na osobu ročně). Dalšími zdroji jsou dotace od státu, místních samospráv, EU a dalších veřejných či soukromých organizací. Financuje se též externím dluhovým financováním či zisky z prodeje regenerovaných pozemků.</w:t>
      </w:r>
      <w:r w:rsidRPr="00D03ACF">
        <w:rPr>
          <w:rStyle w:val="Znakapoznpodarou"/>
        </w:rPr>
        <w:footnoteReference w:id="9"/>
      </w:r>
    </w:p>
    <w:p w:rsidR="002A667A" w:rsidRPr="00D03ACF" w:rsidRDefault="002A667A" w:rsidP="006638C9">
      <w:pPr>
        <w:pStyle w:val="BodyText1"/>
        <w:jc w:val="both"/>
      </w:pPr>
    </w:p>
    <w:p w:rsidR="002A667A" w:rsidRPr="00D03ACF" w:rsidRDefault="002A667A" w:rsidP="006638C9">
      <w:pPr>
        <w:pStyle w:val="Highlight1"/>
      </w:pPr>
      <w:r w:rsidRPr="00D03ACF">
        <w:t>Velká Británie</w:t>
      </w:r>
      <w:r w:rsidRPr="00D03ACF">
        <w:rPr>
          <w:rStyle w:val="Znakapoznpodarou"/>
        </w:rPr>
        <w:footnoteReference w:id="10"/>
      </w:r>
    </w:p>
    <w:p w:rsidR="002A667A" w:rsidRPr="00D03ACF" w:rsidRDefault="002A667A" w:rsidP="006638C9">
      <w:pPr>
        <w:pStyle w:val="BodyText1"/>
      </w:pPr>
    </w:p>
    <w:p w:rsidR="002A667A" w:rsidRDefault="002A667A" w:rsidP="00F67071">
      <w:pPr>
        <w:rPr>
          <w:lang w:eastAsia="en-US"/>
        </w:rPr>
      </w:pPr>
      <w:r w:rsidRPr="00D03ACF">
        <w:rPr>
          <w:lang w:eastAsia="en-US"/>
        </w:rPr>
        <w:t>Ve Velké Británii jsou vzhledem k její nejdelší industriální historii také největší zkušenosti a nejpropracovanější strategie pro regeneraci nevyužívaných ploch. Téměř vždy se jedná o kombinaci soukromých a veřejných investic, jejichž slučitelnost je pevně dána záměrem uvedeným v příslušné územně plánovací smlouvě. Vždy je k financování dle možností využíváno Strukturálních fondů Evropské Unie. Do rozhodování je zapojená veřejnost formou diskuzí, besed a workshopů, čímž si investor i dotčené strany vytvářejí pozitivnější vztah k projektu.</w:t>
      </w:r>
    </w:p>
    <w:p w:rsidR="002A667A" w:rsidRPr="00D03ACF" w:rsidRDefault="002A667A" w:rsidP="006638C9">
      <w:pPr>
        <w:pStyle w:val="Zkladntext21"/>
        <w:jc w:val="both"/>
        <w:rPr>
          <w:rFonts w:ascii="Arial" w:hAnsi="Arial" w:cs="Times New Roman"/>
          <w:color w:val="000000"/>
          <w:sz w:val="19"/>
          <w:szCs w:val="48"/>
          <w:lang w:eastAsia="en-US"/>
        </w:rPr>
      </w:pPr>
    </w:p>
    <w:p w:rsidR="002A667A" w:rsidRDefault="002A667A" w:rsidP="00F67071">
      <w:pPr>
        <w:rPr>
          <w:lang w:eastAsia="en-US"/>
        </w:rPr>
      </w:pPr>
      <w:r w:rsidRPr="00D03ACF">
        <w:rPr>
          <w:lang w:eastAsia="en-US"/>
        </w:rPr>
        <w:t>Existuje Národní strategie brownfieldů (</w:t>
      </w:r>
      <w:r w:rsidRPr="00D03ACF">
        <w:rPr>
          <w:i/>
          <w:lang w:eastAsia="en-US"/>
        </w:rPr>
        <w:t>National Brownfield Strategy</w:t>
      </w:r>
      <w:r w:rsidRPr="00D03ACF">
        <w:rPr>
          <w:lang w:eastAsia="en-US"/>
        </w:rPr>
        <w:t>), která je řízena na nejnižším stupni. Jejím primárním zaměřením je regenerace opuštěných průmyslových, skladových a jiných areálů a také obytných ploch, které splňují kritéria vyloučených urbanistických oblastí s nerozvinutými veřejnými službami. Jádro systému tvoří 4 instituce:</w:t>
      </w:r>
    </w:p>
    <w:p w:rsidR="002A667A" w:rsidRPr="00D03ACF" w:rsidRDefault="002A667A" w:rsidP="006638C9">
      <w:pPr>
        <w:pStyle w:val="Bulletslevel1"/>
        <w:jc w:val="left"/>
        <w:rPr>
          <w:lang w:val="cs-CZ"/>
        </w:rPr>
      </w:pPr>
      <w:r w:rsidRPr="00D03ACF">
        <w:rPr>
          <w:lang w:val="cs-CZ"/>
        </w:rPr>
        <w:t>Department for Communities and local government – ministerstvo odpovědné za legislativní podporu brownfieldů a vyloučených oblastí</w:t>
      </w:r>
    </w:p>
    <w:p w:rsidR="002A667A" w:rsidRPr="00D03ACF" w:rsidRDefault="002A667A" w:rsidP="006638C9">
      <w:pPr>
        <w:pStyle w:val="Bulletslevel1"/>
        <w:jc w:val="left"/>
        <w:rPr>
          <w:lang w:val="cs-CZ"/>
        </w:rPr>
      </w:pPr>
      <w:r w:rsidRPr="00D03ACF">
        <w:rPr>
          <w:lang w:val="cs-CZ"/>
        </w:rPr>
        <w:t>Homes and communities agency – národní agentura zodpovědná za obnovu bydlení, regeneraci zanedbaných území a zároveň poradní orgán vlády pro otázky regenerace a revitalizace</w:t>
      </w:r>
    </w:p>
    <w:p w:rsidR="002A667A" w:rsidRPr="00D03ACF" w:rsidRDefault="002A667A" w:rsidP="006638C9">
      <w:pPr>
        <w:pStyle w:val="Bulletslevel1"/>
        <w:jc w:val="left"/>
        <w:rPr>
          <w:lang w:val="cs-CZ"/>
        </w:rPr>
      </w:pPr>
      <w:r w:rsidRPr="00D03ACF">
        <w:rPr>
          <w:lang w:val="cs-CZ"/>
        </w:rPr>
        <w:t>Regionální rozvojové agentury (RDA) – vytvářejí strategie obnovy bydlení pro daný region, poskytují poradenství pro místní úřady, zajišťují koordinaci investičních záměru apod.</w:t>
      </w:r>
    </w:p>
    <w:p w:rsidR="002A667A" w:rsidRPr="00D03ACF" w:rsidRDefault="002A667A" w:rsidP="006638C9">
      <w:pPr>
        <w:pStyle w:val="Bulletslevel1"/>
        <w:jc w:val="left"/>
        <w:rPr>
          <w:lang w:val="cs-CZ"/>
        </w:rPr>
      </w:pPr>
      <w:r w:rsidRPr="00D03ACF">
        <w:rPr>
          <w:lang w:val="cs-CZ"/>
        </w:rPr>
        <w:lastRenderedPageBreak/>
        <w:t>Místní plánovací úřady – jejích úkolem je identifikovat tzv. „recyklovatelné“ plochy a navrhovat nástroje, které napomáhají regeneraci (zmiňované níže).</w:t>
      </w:r>
    </w:p>
    <w:p w:rsidR="002A667A" w:rsidRPr="00D03ACF" w:rsidRDefault="002A667A" w:rsidP="006638C9">
      <w:pPr>
        <w:pStyle w:val="Bulletslevel1"/>
        <w:numPr>
          <w:ilvl w:val="0"/>
          <w:numId w:val="0"/>
        </w:numPr>
        <w:rPr>
          <w:lang w:val="cs-CZ"/>
        </w:rPr>
      </w:pPr>
      <w:r w:rsidRPr="00D03ACF">
        <w:rPr>
          <w:b/>
          <w:lang w:val="cs-CZ"/>
        </w:rPr>
        <w:t>Urban regeneration companies (URC)</w:t>
      </w:r>
      <w:r w:rsidRPr="00D03ACF">
        <w:rPr>
          <w:lang w:val="cs-CZ"/>
        </w:rPr>
        <w:t xml:space="preserve"> – jsou založené v spolupráci s RDA a místními úřady a jejich úkolem je sjednocovat partnery z veřejného a soukromého sektoru. Organizují spolupráci mezi zainteresovanými subjekty, koordinují investiční plány a lákají nové investice pomocí účelné podpory a regenerace. </w:t>
      </w:r>
    </w:p>
    <w:p w:rsidR="002A667A" w:rsidRPr="00D03ACF" w:rsidRDefault="002A667A" w:rsidP="006638C9">
      <w:pPr>
        <w:pStyle w:val="BodyText1"/>
        <w:jc w:val="both"/>
      </w:pPr>
    </w:p>
    <w:p w:rsidR="002A667A" w:rsidRPr="00D03ACF" w:rsidRDefault="002A667A" w:rsidP="006638C9">
      <w:pPr>
        <w:pStyle w:val="BodyText1"/>
        <w:jc w:val="both"/>
      </w:pPr>
      <w:r w:rsidRPr="00D03ACF">
        <w:rPr>
          <w:b/>
        </w:rPr>
        <w:t>Urban development companies (UDC)</w:t>
      </w:r>
      <w:r w:rsidRPr="00D03ACF">
        <w:t xml:space="preserve"> - zpřístupnění pozemků a staveb pro jejich další efektivní využití, podpora rozvoje stávajícího i nového průmyslu a obchodu, vytvoření atraktivního prostředí a zajištění podmínek pro bydlení a sociální vyžití pro udržení obyvatelstva v dané lokalitě. K tomuto účelu mohou UDC nabývat, držet a spravovat pozemky a jiný majetek pro jeho rekultivaci (disponují právem na vyvlastnění pozemku), mohou provádět stavební práce, zajišťovat inženýrské sítě, vykonávat různé činnosti spojené s regenerací území. Finance na svůj provoz čerpají prostřednictvím Department for Communities and Local Government (do roku 2008 z English Partnerships).</w:t>
      </w:r>
    </w:p>
    <w:p w:rsidR="002A667A" w:rsidRPr="00081A64" w:rsidRDefault="002A667A" w:rsidP="006638C9">
      <w:pPr>
        <w:pStyle w:val="Bulletslevel1"/>
        <w:numPr>
          <w:ilvl w:val="0"/>
          <w:numId w:val="0"/>
        </w:numPr>
        <w:rPr>
          <w:lang w:val="cs-CZ"/>
        </w:rPr>
      </w:pPr>
      <w:r w:rsidRPr="00D03ACF">
        <w:rPr>
          <w:lang w:val="cs-CZ"/>
        </w:rPr>
        <w:t>Další zapojené instituce (veřejné/soukromé) v problematice BF jsou:</w:t>
      </w:r>
    </w:p>
    <w:p w:rsidR="002A667A" w:rsidRPr="00081A64" w:rsidRDefault="002A667A" w:rsidP="006638C9">
      <w:pPr>
        <w:pStyle w:val="Bulletslevel1"/>
        <w:numPr>
          <w:ilvl w:val="0"/>
          <w:numId w:val="69"/>
        </w:numPr>
        <w:rPr>
          <w:lang w:val="cs-CZ"/>
        </w:rPr>
      </w:pPr>
      <w:r w:rsidRPr="00D03ACF">
        <w:rPr>
          <w:lang w:val="cs-CZ"/>
        </w:rPr>
        <w:t>instituce zapojené do regenerace kontaminovaných území,</w:t>
      </w:r>
    </w:p>
    <w:p w:rsidR="002A667A" w:rsidRDefault="002A667A" w:rsidP="006638C9">
      <w:pPr>
        <w:pStyle w:val="Bulletslevel1"/>
        <w:numPr>
          <w:ilvl w:val="0"/>
          <w:numId w:val="69"/>
        </w:numPr>
        <w:rPr>
          <w:lang w:val="cs-CZ"/>
        </w:rPr>
      </w:pPr>
      <w:r w:rsidRPr="00D03ACF">
        <w:rPr>
          <w:lang w:val="cs-CZ"/>
        </w:rPr>
        <w:t>Groundwork Trust a další veřejné instituce.</w:t>
      </w:r>
    </w:p>
    <w:p w:rsidR="002A667A" w:rsidRDefault="002A667A" w:rsidP="00F67071">
      <w:pPr>
        <w:pStyle w:val="Bulletslevel1"/>
        <w:numPr>
          <w:ilvl w:val="0"/>
          <w:numId w:val="0"/>
        </w:numPr>
        <w:ind w:left="720"/>
        <w:rPr>
          <w:lang w:val="cs-CZ"/>
        </w:rPr>
      </w:pPr>
    </w:p>
    <w:p w:rsidR="002A667A" w:rsidRDefault="002A667A" w:rsidP="00F67071">
      <w:r w:rsidRPr="00D03ACF">
        <w:t>Nástroje podpory regenerace: brownfields strategie na regionální až místní úrovni s důrazem na jejich postavení v prostorových plánech. Politika zelených pásů, vyvlastnění v zájmu regenerace, finanční úlevy, možnosti a programy na regeneraci území/brownfields. Potenciální zájemci o BF si mohou zjistit informace o nabídkách ve 4 databázích.</w:t>
      </w:r>
    </w:p>
    <w:p w:rsidR="002A667A" w:rsidRPr="00D03ACF" w:rsidRDefault="002A667A" w:rsidP="006638C9">
      <w:pPr>
        <w:pStyle w:val="Highlight1"/>
      </w:pPr>
    </w:p>
    <w:p w:rsidR="002A667A" w:rsidRPr="00D03ACF" w:rsidRDefault="002A667A" w:rsidP="006638C9">
      <w:r w:rsidRPr="00D03ACF">
        <w:t>Jediná zkušenost s finančním nástrojem v ČR je bývalý holdingový fond JESSICA v Moravskoslezském kraji vytvořený za účelem investování do Fondu rozvoje měst (FRM). Od 1. 1. 2014 v rámci Úřadu regionální rady Moravskoslezsko oddělení finančního nástroje JESSICA. V jeho kompetenci je udělovat zvýhodněné úvěry, záruky nebo vstupy formou vlastního kapitálu z hlediska způsobilých nákladů. Finance mohou podnikatelé získat na regeneraci brownfieldů pro výrobní, logistické a obchodní účely nebo veřejné služby. Další podporované oblasti jsou sociální služby, včetně domovů pro seniory, vzdělávání (kromě vysokých škol), zdravotnická infrastruktura a rozvoj cestovního ruchu.</w:t>
      </w:r>
    </w:p>
    <w:p w:rsidR="002A667A" w:rsidRPr="00D03ACF" w:rsidRDefault="002A667A" w:rsidP="006638C9"/>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28" w:name="_Toc414464608"/>
      <w:r w:rsidRPr="00D03ACF">
        <w:t>Očekávané výsledky finančního nástroje</w:t>
      </w:r>
      <w:bookmarkEnd w:id="28"/>
    </w:p>
    <w:p w:rsidR="002A667A" w:rsidRDefault="002A667A" w:rsidP="006638C9">
      <w:pPr>
        <w:pStyle w:val="CaptionIntroductionparagraph"/>
      </w:pPr>
      <w:r w:rsidRPr="00D03ACF">
        <w:t>SC 2.1</w:t>
      </w:r>
    </w:p>
    <w:p w:rsidR="002A667A" w:rsidRDefault="002A667A" w:rsidP="006638C9">
      <w:pPr>
        <w:pStyle w:val="BodyText1"/>
        <w:rPr>
          <w:b/>
        </w:rPr>
      </w:pPr>
    </w:p>
    <w:p w:rsidR="002A667A" w:rsidRPr="006415F6" w:rsidRDefault="002A667A" w:rsidP="006638C9">
      <w:pPr>
        <w:pStyle w:val="BodyText1"/>
        <w:rPr>
          <w:b/>
        </w:rPr>
      </w:pPr>
      <w:r w:rsidRPr="006415F6">
        <w:rPr>
          <w:b/>
        </w:rPr>
        <w:t>Úvěry</w:t>
      </w:r>
    </w:p>
    <w:p w:rsidR="00CD5174" w:rsidRDefault="00F77613" w:rsidP="00CD5174">
      <w:r w:rsidRPr="00D03ACF">
        <w:t>V</w:t>
      </w:r>
      <w:r>
        <w:t> </w:t>
      </w:r>
      <w:r w:rsidR="00CD5174">
        <w:t>modelu fungová</w:t>
      </w:r>
      <w:r w:rsidR="00CD5174" w:rsidRPr="00D44CBE">
        <w:t>ní úvěrového nástroje Deloitte Advisory abstrahuje</w:t>
      </w:r>
      <w:r w:rsidR="00CD5174" w:rsidRPr="00D44CBE">
        <w:t xml:space="preserve"> </w:t>
      </w:r>
      <w:r w:rsidRPr="00D44CBE">
        <w:t>od úrokového zisku</w:t>
      </w:r>
      <w:r w:rsidR="00CD5174" w:rsidRPr="00D44CBE">
        <w:t>, ztrát</w:t>
      </w:r>
      <w:r w:rsidRPr="00D44CBE">
        <w:t xml:space="preserve"> a poplatků za správu spolufinancujícího subjektu. </w:t>
      </w:r>
      <w:r w:rsidR="00CD5174" w:rsidRPr="00D44CBE">
        <w:t>Revolvingový efekt je znázorněn grafickou interpretací jako suma</w:t>
      </w:r>
      <w:r w:rsidRPr="00D44CBE">
        <w:t>prostředků, které by musel fond obdržet na konci primárního investičního cyklu, aby mohl realizovat sekundární investice, které financuje právě revolving.</w:t>
      </w:r>
      <w:r w:rsidR="00CD5174" w:rsidRPr="00D44CBE">
        <w:t xml:space="preserve"> </w:t>
      </w:r>
      <w:r w:rsidR="00CD5174" w:rsidRPr="00D44CBE">
        <w:t>Údaje v grafu jsou uvedeny v mil. Kč</w:t>
      </w:r>
      <w:r w:rsidR="003C72B2">
        <w:t xml:space="preserve"> </w:t>
      </w:r>
      <w:r w:rsidR="003C72B2">
        <w:t>na modelové alokace Deloitte Advisory</w:t>
      </w:r>
      <w:r w:rsidR="003C72B2">
        <w:t>.</w:t>
      </w:r>
    </w:p>
    <w:p w:rsidR="00F77613" w:rsidRDefault="00F77613" w:rsidP="00F77613"/>
    <w:p w:rsidR="002A667A" w:rsidRDefault="00CD5174" w:rsidP="006638C9">
      <w:pPr>
        <w:pStyle w:val="CaptionIntroductionparagraph"/>
      </w:pPr>
      <w:r>
        <w:rPr>
          <w:noProof/>
        </w:rPr>
        <w:drawing>
          <wp:inline distT="0" distB="0" distL="0" distR="0" wp14:anchorId="24369144" wp14:editId="5C6FA795">
            <wp:extent cx="3002280" cy="1796446"/>
            <wp:effectExtent l="0" t="0" r="7620" b="0"/>
            <wp:docPr id="32" name="Picture 1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2280" cy="1796446"/>
                    </a:xfrm>
                    <a:prstGeom prst="rect">
                      <a:avLst/>
                    </a:prstGeom>
                    <a:noFill/>
                    <a:ln>
                      <a:noFill/>
                    </a:ln>
                  </pic:spPr>
                </pic:pic>
              </a:graphicData>
            </a:graphic>
          </wp:inline>
        </w:drawing>
      </w:r>
    </w:p>
    <w:p w:rsidR="00CD5174" w:rsidRDefault="00CD5174" w:rsidP="006638C9">
      <w:pPr>
        <w:pStyle w:val="BodyText1"/>
        <w:jc w:val="both"/>
        <w:rPr>
          <w:noProof/>
          <w:lang w:eastAsia="cs-CZ"/>
        </w:rPr>
      </w:pPr>
    </w:p>
    <w:p w:rsidR="002A667A" w:rsidRDefault="002A667A" w:rsidP="006638C9">
      <w:pPr>
        <w:pStyle w:val="BodyText1"/>
        <w:jc w:val="both"/>
        <w:rPr>
          <w:b/>
        </w:rPr>
      </w:pPr>
      <w:r w:rsidRPr="008F0188">
        <w:rPr>
          <w:b/>
        </w:rPr>
        <w:t>Záruky</w:t>
      </w:r>
    </w:p>
    <w:p w:rsidR="002A667A" w:rsidRPr="00B238E1" w:rsidRDefault="002A667A">
      <w:r w:rsidRPr="00B238E1">
        <w:t xml:space="preserve">Multiplikační a revolvingový efekt záručního instrumentu je přímo závislý na strategii řízení rizika. Modelová kvantifikace výsledků záručních nástrojů v SC 2.1 </w:t>
      </w:r>
      <w:r w:rsidR="00CD5174">
        <w:t xml:space="preserve">a její parametry </w:t>
      </w:r>
      <w:r w:rsidRPr="00B238E1">
        <w:t>j</w:t>
      </w:r>
      <w:r w:rsidR="00CD5174">
        <w:t>sou</w:t>
      </w:r>
      <w:r w:rsidRPr="00B238E1">
        <w:t xml:space="preserve"> založen</w:t>
      </w:r>
      <w:r w:rsidR="00CD5174">
        <w:t>y</w:t>
      </w:r>
      <w:r w:rsidRPr="00B238E1">
        <w:t xml:space="preserve"> na zkušenostech ze záručních programů OP</w:t>
      </w:r>
      <w:r w:rsidR="00CD5174">
        <w:t xml:space="preserve"> </w:t>
      </w:r>
      <w:r w:rsidRPr="00B238E1">
        <w:t xml:space="preserve">PI. Počítá se s pákovým efektem 6,5. Při </w:t>
      </w:r>
      <w:r w:rsidR="00CD5174">
        <w:t xml:space="preserve">modelové </w:t>
      </w:r>
      <w:r w:rsidRPr="00B238E1">
        <w:t>alokaci navrhované Deloitte Advisory dojde v celém programovacím období k podpoření až 3300 projektů a vytvoření 5800 pracovních míst. Využitím záruk bude zaktivováno 23 mld. soukromých úvěrových zdrojů. Tímto způsobem očekáváme od záručních nástrojů výrazné podpoření rozvoje malého a středního podnikání v ČR.</w:t>
      </w:r>
    </w:p>
    <w:p w:rsidR="002A667A" w:rsidRDefault="002A667A" w:rsidP="006638C9">
      <w:pPr>
        <w:pStyle w:val="BodyText1"/>
        <w:jc w:val="both"/>
      </w:pPr>
    </w:p>
    <w:tbl>
      <w:tblPr>
        <w:tblW w:w="7080" w:type="dxa"/>
        <w:tblInd w:w="55" w:type="dxa"/>
        <w:tblCellMar>
          <w:left w:w="70" w:type="dxa"/>
          <w:right w:w="70" w:type="dxa"/>
        </w:tblCellMar>
        <w:tblLook w:val="00A0" w:firstRow="1" w:lastRow="0" w:firstColumn="1" w:lastColumn="0" w:noHBand="0" w:noVBand="0"/>
      </w:tblPr>
      <w:tblGrid>
        <w:gridCol w:w="2040"/>
        <w:gridCol w:w="3280"/>
        <w:gridCol w:w="1760"/>
      </w:tblGrid>
      <w:tr w:rsidR="002A667A" w:rsidRPr="00A03249" w:rsidTr="00B37E7F">
        <w:trPr>
          <w:trHeight w:val="315"/>
        </w:trPr>
        <w:tc>
          <w:tcPr>
            <w:tcW w:w="2040" w:type="dxa"/>
            <w:tcBorders>
              <w:top w:val="single" w:sz="8" w:space="0" w:color="auto"/>
              <w:left w:val="single" w:sz="8" w:space="0" w:color="auto"/>
              <w:bottom w:val="single" w:sz="8" w:space="0" w:color="auto"/>
              <w:right w:val="nil"/>
            </w:tcBorders>
            <w:noWrap/>
            <w:vAlign w:val="center"/>
          </w:tcPr>
          <w:p w:rsidR="002A667A" w:rsidRPr="00A03249" w:rsidRDefault="002A667A" w:rsidP="00B37E7F">
            <w:pPr>
              <w:jc w:val="center"/>
              <w:rPr>
                <w:rFonts w:cs="Calibri"/>
                <w:b/>
                <w:bCs/>
                <w:color w:val="000000"/>
                <w:szCs w:val="22"/>
              </w:rPr>
            </w:pPr>
            <w:r w:rsidRPr="00A03249">
              <w:rPr>
                <w:rFonts w:cs="Calibri"/>
                <w:b/>
                <w:bCs/>
                <w:color w:val="000000"/>
                <w:szCs w:val="22"/>
              </w:rPr>
              <w:t>FINANČNÍ NÁSTROJ</w:t>
            </w:r>
          </w:p>
        </w:tc>
        <w:tc>
          <w:tcPr>
            <w:tcW w:w="3280" w:type="dxa"/>
            <w:tcBorders>
              <w:top w:val="single" w:sz="8" w:space="0" w:color="auto"/>
              <w:left w:val="single" w:sz="8" w:space="0" w:color="auto"/>
              <w:bottom w:val="single" w:sz="8" w:space="0" w:color="auto"/>
              <w:right w:val="single" w:sz="8" w:space="0" w:color="auto"/>
            </w:tcBorders>
            <w:shd w:val="clear" w:color="000000" w:fill="538DD5"/>
            <w:vAlign w:val="center"/>
          </w:tcPr>
          <w:p w:rsidR="002A667A" w:rsidRPr="00A03249" w:rsidRDefault="002A667A" w:rsidP="00B37E7F">
            <w:pPr>
              <w:jc w:val="center"/>
              <w:rPr>
                <w:rFonts w:cs="Calibri"/>
                <w:b/>
                <w:bCs/>
                <w:color w:val="FFFFFF"/>
                <w:szCs w:val="22"/>
              </w:rPr>
            </w:pPr>
            <w:r w:rsidRPr="00A03249">
              <w:rPr>
                <w:rFonts w:cs="Calibri"/>
                <w:b/>
                <w:bCs/>
                <w:color w:val="FFFFFF"/>
                <w:szCs w:val="22"/>
              </w:rPr>
              <w:t>Typ nástroje</w:t>
            </w:r>
          </w:p>
        </w:tc>
        <w:tc>
          <w:tcPr>
            <w:tcW w:w="1760" w:type="dxa"/>
            <w:tcBorders>
              <w:top w:val="single" w:sz="8" w:space="0" w:color="auto"/>
              <w:left w:val="nil"/>
              <w:bottom w:val="single" w:sz="8" w:space="0" w:color="auto"/>
              <w:right w:val="single" w:sz="8" w:space="0" w:color="auto"/>
            </w:tcBorders>
            <w:noWrap/>
            <w:vAlign w:val="center"/>
          </w:tcPr>
          <w:p w:rsidR="002A667A" w:rsidRPr="00A03249" w:rsidRDefault="002A667A" w:rsidP="00B37E7F">
            <w:pPr>
              <w:jc w:val="left"/>
              <w:rPr>
                <w:rFonts w:cs="Calibri"/>
                <w:b/>
                <w:bCs/>
                <w:color w:val="000000"/>
                <w:szCs w:val="22"/>
              </w:rPr>
            </w:pPr>
            <w:r w:rsidRPr="00A03249">
              <w:rPr>
                <w:rFonts w:cs="Calibri"/>
                <w:b/>
                <w:bCs/>
                <w:color w:val="000000"/>
                <w:szCs w:val="22"/>
              </w:rPr>
              <w:t>Záruka (portfoliová + individuální)</w:t>
            </w:r>
          </w:p>
        </w:tc>
      </w:tr>
      <w:tr w:rsidR="002A667A" w:rsidRPr="00A03249" w:rsidTr="00B37E7F">
        <w:trPr>
          <w:trHeight w:val="315"/>
        </w:trPr>
        <w:tc>
          <w:tcPr>
            <w:tcW w:w="2040" w:type="dxa"/>
            <w:tcBorders>
              <w:top w:val="nil"/>
              <w:left w:val="single" w:sz="8" w:space="0" w:color="auto"/>
              <w:bottom w:val="nil"/>
              <w:right w:val="nil"/>
            </w:tcBorders>
            <w:noWrap/>
            <w:vAlign w:val="center"/>
          </w:tcPr>
          <w:p w:rsidR="002A667A" w:rsidRPr="00A03249" w:rsidRDefault="002A667A" w:rsidP="00B37E7F">
            <w:pPr>
              <w:jc w:val="center"/>
              <w:rPr>
                <w:rFonts w:cs="Calibri"/>
                <w:b/>
                <w:bCs/>
                <w:color w:val="000000"/>
                <w:szCs w:val="22"/>
              </w:rPr>
            </w:pPr>
            <w:r w:rsidRPr="00A03249">
              <w:rPr>
                <w:rFonts w:cs="Calibri"/>
                <w:b/>
                <w:bCs/>
                <w:color w:val="000000"/>
                <w:szCs w:val="22"/>
              </w:rPr>
              <w:t>ALOKACE</w:t>
            </w:r>
          </w:p>
        </w:tc>
        <w:tc>
          <w:tcPr>
            <w:tcW w:w="3280" w:type="dxa"/>
            <w:tcBorders>
              <w:top w:val="nil"/>
              <w:left w:val="single" w:sz="8" w:space="0" w:color="auto"/>
              <w:bottom w:val="nil"/>
              <w:right w:val="single" w:sz="8" w:space="0" w:color="auto"/>
            </w:tcBorders>
            <w:shd w:val="clear" w:color="000000" w:fill="000000"/>
            <w:vAlign w:val="center"/>
          </w:tcPr>
          <w:p w:rsidR="002A667A" w:rsidRPr="00A03249" w:rsidRDefault="002A667A" w:rsidP="00B37E7F">
            <w:pPr>
              <w:jc w:val="center"/>
              <w:rPr>
                <w:rFonts w:cs="Calibri"/>
                <w:b/>
                <w:bCs/>
                <w:color w:val="FFFFFF"/>
                <w:szCs w:val="22"/>
              </w:rPr>
            </w:pPr>
            <w:r w:rsidRPr="00A03249">
              <w:rPr>
                <w:rFonts w:cs="Calibri"/>
                <w:b/>
                <w:bCs/>
                <w:color w:val="FFFFFF"/>
                <w:szCs w:val="22"/>
              </w:rPr>
              <w:t>Alokace FN (mil. CZK)</w:t>
            </w:r>
          </w:p>
        </w:tc>
        <w:tc>
          <w:tcPr>
            <w:tcW w:w="1760" w:type="dxa"/>
            <w:tcBorders>
              <w:top w:val="nil"/>
              <w:left w:val="nil"/>
              <w:bottom w:val="nil"/>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3000</w:t>
            </w:r>
          </w:p>
        </w:tc>
      </w:tr>
      <w:tr w:rsidR="002A667A" w:rsidRPr="00A03249" w:rsidTr="00B37E7F">
        <w:trPr>
          <w:trHeight w:val="525"/>
        </w:trPr>
        <w:tc>
          <w:tcPr>
            <w:tcW w:w="2040" w:type="dxa"/>
            <w:vMerge w:val="restart"/>
            <w:tcBorders>
              <w:top w:val="nil"/>
              <w:left w:val="single" w:sz="8" w:space="0" w:color="auto"/>
              <w:bottom w:val="single" w:sz="8" w:space="0" w:color="BFBFBF"/>
              <w:right w:val="nil"/>
            </w:tcBorders>
            <w:noWrap/>
            <w:vAlign w:val="center"/>
          </w:tcPr>
          <w:p w:rsidR="002A667A" w:rsidRPr="00A03249" w:rsidRDefault="002A667A" w:rsidP="00B37E7F">
            <w:pPr>
              <w:jc w:val="center"/>
              <w:rPr>
                <w:rFonts w:cs="Calibri"/>
                <w:b/>
                <w:bCs/>
                <w:color w:val="000000"/>
                <w:szCs w:val="22"/>
              </w:rPr>
            </w:pPr>
            <w:r w:rsidRPr="00A03249">
              <w:rPr>
                <w:rFonts w:cs="Calibri"/>
                <w:b/>
                <w:bCs/>
                <w:color w:val="000000"/>
                <w:szCs w:val="22"/>
              </w:rPr>
              <w:t>ČERPÁNÍ ALOKACE</w:t>
            </w:r>
          </w:p>
        </w:tc>
        <w:tc>
          <w:tcPr>
            <w:tcW w:w="3280" w:type="dxa"/>
            <w:tcBorders>
              <w:top w:val="nil"/>
              <w:left w:val="single" w:sz="8" w:space="0" w:color="auto"/>
              <w:bottom w:val="single" w:sz="8" w:space="0" w:color="auto"/>
              <w:right w:val="single" w:sz="8" w:space="0" w:color="auto"/>
            </w:tcBorders>
            <w:shd w:val="clear" w:color="000000" w:fill="538DD5"/>
            <w:vAlign w:val="center"/>
          </w:tcPr>
          <w:p w:rsidR="002A667A" w:rsidRPr="00A03249" w:rsidRDefault="002A667A" w:rsidP="00B37E7F">
            <w:pPr>
              <w:jc w:val="center"/>
              <w:rPr>
                <w:rFonts w:cs="Calibri"/>
                <w:b/>
                <w:bCs/>
                <w:color w:val="FFFFFF"/>
                <w:sz w:val="20"/>
              </w:rPr>
            </w:pPr>
            <w:r w:rsidRPr="00A03249">
              <w:rPr>
                <w:rFonts w:cs="Calibri"/>
                <w:b/>
                <w:bCs/>
                <w:color w:val="FFFFFF"/>
                <w:sz w:val="20"/>
              </w:rPr>
              <w:t>Veřejné zdroje FN po odečtení MCF  (mil. CZK)</w:t>
            </w:r>
          </w:p>
        </w:tc>
        <w:tc>
          <w:tcPr>
            <w:tcW w:w="1760" w:type="dxa"/>
            <w:tcBorders>
              <w:top w:val="single" w:sz="8" w:space="0" w:color="auto"/>
              <w:left w:val="nil"/>
              <w:bottom w:val="nil"/>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2700</w:t>
            </w:r>
          </w:p>
        </w:tc>
      </w:tr>
      <w:tr w:rsidR="002A667A" w:rsidRPr="00A03249" w:rsidTr="00B37E7F">
        <w:trPr>
          <w:trHeight w:val="525"/>
        </w:trPr>
        <w:tc>
          <w:tcPr>
            <w:tcW w:w="2040" w:type="dxa"/>
            <w:vMerge/>
            <w:tcBorders>
              <w:top w:val="nil"/>
              <w:left w:val="single" w:sz="8" w:space="0" w:color="auto"/>
              <w:bottom w:val="single" w:sz="8" w:space="0" w:color="BFBFBF"/>
              <w:right w:val="nil"/>
            </w:tcBorders>
            <w:vAlign w:val="center"/>
          </w:tcPr>
          <w:p w:rsidR="002A667A" w:rsidRPr="00A03249" w:rsidRDefault="002A667A" w:rsidP="00B37E7F">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2A667A" w:rsidRPr="00A03249" w:rsidRDefault="002A667A" w:rsidP="00B37E7F">
            <w:pPr>
              <w:jc w:val="center"/>
              <w:rPr>
                <w:rFonts w:cs="Calibri"/>
                <w:b/>
                <w:bCs/>
                <w:color w:val="FFFFFF"/>
                <w:sz w:val="20"/>
              </w:rPr>
            </w:pPr>
            <w:r w:rsidRPr="00A03249">
              <w:rPr>
                <w:rFonts w:cs="Calibri"/>
                <w:b/>
                <w:bCs/>
                <w:color w:val="FFFFFF"/>
                <w:sz w:val="20"/>
              </w:rPr>
              <w:t>Pákový efekt na projektech konečných příjemců</w:t>
            </w:r>
          </w:p>
        </w:tc>
        <w:tc>
          <w:tcPr>
            <w:tcW w:w="1760" w:type="dxa"/>
            <w:tcBorders>
              <w:top w:val="nil"/>
              <w:left w:val="nil"/>
              <w:bottom w:val="nil"/>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6,5</w:t>
            </w:r>
          </w:p>
        </w:tc>
      </w:tr>
      <w:tr w:rsidR="002A667A" w:rsidRPr="00A03249" w:rsidTr="00B37E7F">
        <w:trPr>
          <w:trHeight w:val="525"/>
        </w:trPr>
        <w:tc>
          <w:tcPr>
            <w:tcW w:w="2040" w:type="dxa"/>
            <w:vMerge/>
            <w:tcBorders>
              <w:top w:val="nil"/>
              <w:left w:val="single" w:sz="8" w:space="0" w:color="auto"/>
              <w:bottom w:val="single" w:sz="8" w:space="0" w:color="BFBFBF"/>
              <w:right w:val="nil"/>
            </w:tcBorders>
            <w:vAlign w:val="center"/>
          </w:tcPr>
          <w:p w:rsidR="002A667A" w:rsidRPr="00A03249" w:rsidRDefault="002A667A" w:rsidP="00B37E7F">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2A667A" w:rsidRPr="00A03249" w:rsidRDefault="002A667A" w:rsidP="00B37E7F">
            <w:pPr>
              <w:jc w:val="center"/>
              <w:rPr>
                <w:rFonts w:cs="Calibri"/>
                <w:b/>
                <w:bCs/>
                <w:color w:val="FFFFFF"/>
                <w:sz w:val="20"/>
              </w:rPr>
            </w:pPr>
            <w:r w:rsidRPr="00A03249">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17700</w:t>
            </w:r>
          </w:p>
        </w:tc>
      </w:tr>
      <w:tr w:rsidR="002A667A" w:rsidRPr="00A03249" w:rsidTr="00B37E7F">
        <w:trPr>
          <w:trHeight w:val="525"/>
        </w:trPr>
        <w:tc>
          <w:tcPr>
            <w:tcW w:w="2040" w:type="dxa"/>
            <w:vMerge/>
            <w:tcBorders>
              <w:top w:val="nil"/>
              <w:left w:val="single" w:sz="8" w:space="0" w:color="auto"/>
              <w:bottom w:val="single" w:sz="8" w:space="0" w:color="BFBFBF"/>
              <w:right w:val="nil"/>
            </w:tcBorders>
            <w:vAlign w:val="center"/>
          </w:tcPr>
          <w:p w:rsidR="002A667A" w:rsidRPr="00A03249" w:rsidRDefault="002A667A" w:rsidP="00B37E7F">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2A667A" w:rsidRPr="00A03249" w:rsidRDefault="002A667A" w:rsidP="00B37E7F">
            <w:pPr>
              <w:jc w:val="center"/>
              <w:rPr>
                <w:rFonts w:cs="Calibri"/>
                <w:b/>
                <w:bCs/>
                <w:color w:val="FFFFFF"/>
                <w:sz w:val="20"/>
              </w:rPr>
            </w:pPr>
            <w:r w:rsidRPr="00A03249">
              <w:rPr>
                <w:rFonts w:cs="Calibri"/>
                <w:b/>
                <w:bCs/>
                <w:color w:val="FFFFFF"/>
                <w:sz w:val="20"/>
              </w:rPr>
              <w:t>Průměrná výše úvěru/investice konečného příjemce  (mil. CZK)</w:t>
            </w:r>
          </w:p>
        </w:tc>
        <w:tc>
          <w:tcPr>
            <w:tcW w:w="1760" w:type="dxa"/>
            <w:tcBorders>
              <w:top w:val="nil"/>
              <w:left w:val="nil"/>
              <w:bottom w:val="nil"/>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7</w:t>
            </w:r>
          </w:p>
        </w:tc>
      </w:tr>
      <w:tr w:rsidR="002A667A" w:rsidRPr="00A03249" w:rsidTr="00B37E7F">
        <w:trPr>
          <w:trHeight w:val="420"/>
        </w:trPr>
        <w:tc>
          <w:tcPr>
            <w:tcW w:w="2040" w:type="dxa"/>
            <w:vMerge/>
            <w:tcBorders>
              <w:top w:val="nil"/>
              <w:left w:val="single" w:sz="8" w:space="0" w:color="auto"/>
              <w:bottom w:val="single" w:sz="8" w:space="0" w:color="BFBFBF"/>
              <w:right w:val="nil"/>
            </w:tcBorders>
            <w:vAlign w:val="center"/>
          </w:tcPr>
          <w:p w:rsidR="002A667A" w:rsidRPr="00A03249" w:rsidRDefault="002A667A" w:rsidP="00B37E7F">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2A667A" w:rsidRPr="00A03249" w:rsidRDefault="002A667A" w:rsidP="00B37E7F">
            <w:pPr>
              <w:jc w:val="center"/>
              <w:rPr>
                <w:rFonts w:cs="Calibri"/>
                <w:b/>
                <w:bCs/>
                <w:color w:val="FFFFFF"/>
                <w:sz w:val="20"/>
              </w:rPr>
            </w:pPr>
            <w:r w:rsidRPr="00A03249">
              <w:rPr>
                <w:rFonts w:cs="Calibri"/>
                <w:b/>
                <w:bCs/>
                <w:color w:val="FFFFFF"/>
                <w:sz w:val="20"/>
              </w:rPr>
              <w:t>Počet projektů konečných příjemců</w:t>
            </w:r>
          </w:p>
        </w:tc>
        <w:tc>
          <w:tcPr>
            <w:tcW w:w="1760" w:type="dxa"/>
            <w:tcBorders>
              <w:top w:val="nil"/>
              <w:left w:val="nil"/>
              <w:bottom w:val="single" w:sz="8" w:space="0" w:color="auto"/>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2500</w:t>
            </w:r>
          </w:p>
        </w:tc>
      </w:tr>
      <w:tr w:rsidR="002A667A" w:rsidRPr="00A03249" w:rsidTr="00B37E7F">
        <w:trPr>
          <w:trHeight w:val="525"/>
        </w:trPr>
        <w:tc>
          <w:tcPr>
            <w:tcW w:w="2040" w:type="dxa"/>
            <w:vMerge w:val="restart"/>
            <w:tcBorders>
              <w:top w:val="nil"/>
              <w:left w:val="single" w:sz="8" w:space="0" w:color="auto"/>
              <w:bottom w:val="nil"/>
              <w:right w:val="nil"/>
            </w:tcBorders>
            <w:vAlign w:val="center"/>
          </w:tcPr>
          <w:p w:rsidR="002A667A" w:rsidRPr="00A03249" w:rsidRDefault="002A667A" w:rsidP="00B37E7F">
            <w:pPr>
              <w:jc w:val="center"/>
              <w:rPr>
                <w:b/>
                <w:bCs/>
                <w:color w:val="000000"/>
                <w:sz w:val="18"/>
                <w:szCs w:val="18"/>
              </w:rPr>
            </w:pPr>
            <w:r w:rsidRPr="00A03249">
              <w:rPr>
                <w:b/>
                <w:bCs/>
                <w:color w:val="000000"/>
                <w:sz w:val="18"/>
                <w:szCs w:val="18"/>
              </w:rPr>
              <w:t>OBRÁTKA</w:t>
            </w:r>
          </w:p>
        </w:tc>
        <w:tc>
          <w:tcPr>
            <w:tcW w:w="3280" w:type="dxa"/>
            <w:tcBorders>
              <w:top w:val="nil"/>
              <w:left w:val="single" w:sz="8" w:space="0" w:color="auto"/>
              <w:bottom w:val="single" w:sz="8" w:space="0" w:color="auto"/>
              <w:right w:val="single" w:sz="8" w:space="0" w:color="auto"/>
            </w:tcBorders>
            <w:shd w:val="clear" w:color="000000" w:fill="000000"/>
            <w:vAlign w:val="center"/>
          </w:tcPr>
          <w:p w:rsidR="002A667A" w:rsidRPr="00A03249" w:rsidRDefault="002A667A" w:rsidP="00B37E7F">
            <w:pPr>
              <w:jc w:val="center"/>
              <w:rPr>
                <w:rFonts w:cs="Calibri"/>
                <w:b/>
                <w:bCs/>
                <w:color w:val="FFFFFF"/>
                <w:sz w:val="20"/>
              </w:rPr>
            </w:pPr>
            <w:r w:rsidRPr="00A03249">
              <w:rPr>
                <w:rFonts w:cs="Calibri"/>
                <w:b/>
                <w:bCs/>
                <w:color w:val="FFFFFF"/>
                <w:sz w:val="20"/>
              </w:rPr>
              <w:t>Veřejné zdroje FN po odečtení MCF, ztrát a grantů  (mil. CZK)</w:t>
            </w:r>
          </w:p>
        </w:tc>
        <w:tc>
          <w:tcPr>
            <w:tcW w:w="1760" w:type="dxa"/>
            <w:tcBorders>
              <w:top w:val="nil"/>
              <w:left w:val="nil"/>
              <w:bottom w:val="nil"/>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800</w:t>
            </w:r>
          </w:p>
        </w:tc>
      </w:tr>
      <w:tr w:rsidR="002A667A" w:rsidRPr="00A03249" w:rsidTr="00B37E7F">
        <w:trPr>
          <w:trHeight w:val="525"/>
        </w:trPr>
        <w:tc>
          <w:tcPr>
            <w:tcW w:w="2040" w:type="dxa"/>
            <w:vMerge/>
            <w:tcBorders>
              <w:top w:val="nil"/>
              <w:left w:val="single" w:sz="8" w:space="0" w:color="auto"/>
              <w:bottom w:val="nil"/>
              <w:right w:val="nil"/>
            </w:tcBorders>
            <w:vAlign w:val="center"/>
          </w:tcPr>
          <w:p w:rsidR="002A667A" w:rsidRPr="00A03249" w:rsidRDefault="002A667A" w:rsidP="00B37E7F">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2A667A" w:rsidRPr="00A03249" w:rsidRDefault="002A667A" w:rsidP="00B37E7F">
            <w:pPr>
              <w:jc w:val="center"/>
              <w:rPr>
                <w:rFonts w:cs="Calibri"/>
                <w:b/>
                <w:bCs/>
                <w:color w:val="FFFFFF"/>
                <w:sz w:val="20"/>
              </w:rPr>
            </w:pPr>
            <w:r w:rsidRPr="00A03249">
              <w:rPr>
                <w:rFonts w:cs="Calibri"/>
                <w:b/>
                <w:bCs/>
                <w:color w:val="FFFFFF"/>
                <w:sz w:val="20"/>
              </w:rPr>
              <w:t>Pákový efekt na projektech konečných příjemců</w:t>
            </w:r>
          </w:p>
        </w:tc>
        <w:tc>
          <w:tcPr>
            <w:tcW w:w="1760" w:type="dxa"/>
            <w:tcBorders>
              <w:top w:val="nil"/>
              <w:left w:val="nil"/>
              <w:bottom w:val="nil"/>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6,5</w:t>
            </w:r>
          </w:p>
        </w:tc>
      </w:tr>
      <w:tr w:rsidR="002A667A" w:rsidRPr="00A03249" w:rsidTr="00B37E7F">
        <w:trPr>
          <w:trHeight w:val="525"/>
        </w:trPr>
        <w:tc>
          <w:tcPr>
            <w:tcW w:w="2040" w:type="dxa"/>
            <w:vMerge/>
            <w:tcBorders>
              <w:top w:val="nil"/>
              <w:left w:val="single" w:sz="8" w:space="0" w:color="auto"/>
              <w:bottom w:val="nil"/>
              <w:right w:val="nil"/>
            </w:tcBorders>
            <w:vAlign w:val="center"/>
          </w:tcPr>
          <w:p w:rsidR="002A667A" w:rsidRPr="00A03249" w:rsidRDefault="002A667A" w:rsidP="00B37E7F">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2A667A" w:rsidRPr="00A03249" w:rsidRDefault="002A667A" w:rsidP="00B37E7F">
            <w:pPr>
              <w:jc w:val="center"/>
              <w:rPr>
                <w:rFonts w:cs="Calibri"/>
                <w:b/>
                <w:bCs/>
                <w:color w:val="FFFFFF"/>
                <w:sz w:val="20"/>
              </w:rPr>
            </w:pPr>
            <w:r w:rsidRPr="00A03249">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5300</w:t>
            </w:r>
          </w:p>
        </w:tc>
      </w:tr>
      <w:tr w:rsidR="002A667A" w:rsidRPr="00A03249" w:rsidTr="00B37E7F">
        <w:trPr>
          <w:trHeight w:val="525"/>
        </w:trPr>
        <w:tc>
          <w:tcPr>
            <w:tcW w:w="2040" w:type="dxa"/>
            <w:vMerge/>
            <w:tcBorders>
              <w:top w:val="nil"/>
              <w:left w:val="single" w:sz="8" w:space="0" w:color="auto"/>
              <w:bottom w:val="nil"/>
              <w:right w:val="nil"/>
            </w:tcBorders>
            <w:vAlign w:val="center"/>
          </w:tcPr>
          <w:p w:rsidR="002A667A" w:rsidRPr="00A03249" w:rsidRDefault="002A667A" w:rsidP="00B37E7F">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2A667A" w:rsidRPr="00A03249" w:rsidRDefault="002A667A" w:rsidP="00B37E7F">
            <w:pPr>
              <w:jc w:val="center"/>
              <w:rPr>
                <w:rFonts w:cs="Calibri"/>
                <w:b/>
                <w:bCs/>
                <w:color w:val="FFFFFF"/>
                <w:sz w:val="20"/>
              </w:rPr>
            </w:pPr>
            <w:r w:rsidRPr="00A03249">
              <w:rPr>
                <w:rFonts w:cs="Calibri"/>
                <w:b/>
                <w:bCs/>
                <w:color w:val="FFFFFF"/>
                <w:sz w:val="20"/>
              </w:rPr>
              <w:t>Průměrná výše úvěru/ investice konečného příjemce  (mil. CZK)</w:t>
            </w:r>
          </w:p>
        </w:tc>
        <w:tc>
          <w:tcPr>
            <w:tcW w:w="1760" w:type="dxa"/>
            <w:tcBorders>
              <w:top w:val="nil"/>
              <w:left w:val="nil"/>
              <w:bottom w:val="nil"/>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7</w:t>
            </w:r>
          </w:p>
        </w:tc>
      </w:tr>
      <w:tr w:rsidR="002A667A" w:rsidRPr="00A03249" w:rsidTr="00B37E7F">
        <w:trPr>
          <w:trHeight w:val="315"/>
        </w:trPr>
        <w:tc>
          <w:tcPr>
            <w:tcW w:w="2040" w:type="dxa"/>
            <w:vMerge/>
            <w:tcBorders>
              <w:top w:val="nil"/>
              <w:left w:val="single" w:sz="8" w:space="0" w:color="auto"/>
              <w:bottom w:val="nil"/>
              <w:right w:val="nil"/>
            </w:tcBorders>
            <w:vAlign w:val="center"/>
          </w:tcPr>
          <w:p w:rsidR="002A667A" w:rsidRPr="00A03249" w:rsidRDefault="002A667A" w:rsidP="00B37E7F">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2A667A" w:rsidRPr="00A03249" w:rsidRDefault="002A667A" w:rsidP="00B37E7F">
            <w:pPr>
              <w:jc w:val="center"/>
              <w:rPr>
                <w:rFonts w:cs="Calibri"/>
                <w:b/>
                <w:bCs/>
                <w:color w:val="FFFFFF"/>
                <w:sz w:val="20"/>
              </w:rPr>
            </w:pPr>
            <w:r w:rsidRPr="00A03249">
              <w:rPr>
                <w:rFonts w:cs="Calibri"/>
                <w:b/>
                <w:bCs/>
                <w:color w:val="FFFFFF"/>
                <w:sz w:val="20"/>
              </w:rPr>
              <w:t>Počet projektů konečných příjemců</w:t>
            </w:r>
          </w:p>
        </w:tc>
        <w:tc>
          <w:tcPr>
            <w:tcW w:w="1760" w:type="dxa"/>
            <w:tcBorders>
              <w:top w:val="nil"/>
              <w:left w:val="nil"/>
              <w:bottom w:val="nil"/>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760</w:t>
            </w:r>
          </w:p>
        </w:tc>
      </w:tr>
      <w:tr w:rsidR="002A667A" w:rsidRPr="00A03249" w:rsidTr="00B37E7F">
        <w:trPr>
          <w:trHeight w:val="525"/>
        </w:trPr>
        <w:tc>
          <w:tcPr>
            <w:tcW w:w="2040" w:type="dxa"/>
            <w:vMerge w:val="restart"/>
            <w:tcBorders>
              <w:top w:val="nil"/>
              <w:left w:val="single" w:sz="8" w:space="0" w:color="auto"/>
              <w:bottom w:val="single" w:sz="8" w:space="0" w:color="000000"/>
              <w:right w:val="nil"/>
            </w:tcBorders>
            <w:noWrap/>
            <w:vAlign w:val="center"/>
          </w:tcPr>
          <w:p w:rsidR="002A667A" w:rsidRPr="00A03249" w:rsidRDefault="002A667A" w:rsidP="00B37E7F">
            <w:pPr>
              <w:jc w:val="center"/>
              <w:rPr>
                <w:rFonts w:cs="Calibri"/>
                <w:b/>
                <w:bCs/>
                <w:color w:val="000000"/>
                <w:szCs w:val="22"/>
              </w:rPr>
            </w:pPr>
            <w:r w:rsidRPr="00A03249">
              <w:rPr>
                <w:rFonts w:cs="Calibri"/>
                <w:b/>
                <w:bCs/>
                <w:color w:val="000000"/>
                <w:szCs w:val="22"/>
              </w:rPr>
              <w:t>CELKEM 2015-2023</w:t>
            </w:r>
          </w:p>
        </w:tc>
        <w:tc>
          <w:tcPr>
            <w:tcW w:w="3280" w:type="dxa"/>
            <w:tcBorders>
              <w:top w:val="nil"/>
              <w:left w:val="single" w:sz="8" w:space="0" w:color="auto"/>
              <w:bottom w:val="single" w:sz="8" w:space="0" w:color="auto"/>
              <w:right w:val="single" w:sz="8" w:space="0" w:color="auto"/>
            </w:tcBorders>
            <w:shd w:val="clear" w:color="000000" w:fill="538DD5"/>
            <w:vAlign w:val="center"/>
          </w:tcPr>
          <w:p w:rsidR="002A667A" w:rsidRPr="00A03249" w:rsidRDefault="002A667A" w:rsidP="00B37E7F">
            <w:pPr>
              <w:jc w:val="center"/>
              <w:rPr>
                <w:rFonts w:cs="Calibri"/>
                <w:b/>
                <w:bCs/>
                <w:color w:val="FFFFFF"/>
                <w:sz w:val="20"/>
              </w:rPr>
            </w:pPr>
            <w:r w:rsidRPr="00A03249">
              <w:rPr>
                <w:rFonts w:cs="Calibri"/>
                <w:b/>
                <w:bCs/>
                <w:color w:val="FFFFFF"/>
                <w:sz w:val="20"/>
              </w:rPr>
              <w:t>Celkové návratné zdroje na projekty konečných příjemců  (mil. CZK)</w:t>
            </w:r>
          </w:p>
        </w:tc>
        <w:tc>
          <w:tcPr>
            <w:tcW w:w="1760" w:type="dxa"/>
            <w:tcBorders>
              <w:top w:val="single" w:sz="8" w:space="0" w:color="auto"/>
              <w:left w:val="nil"/>
              <w:bottom w:val="nil"/>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23000</w:t>
            </w:r>
          </w:p>
        </w:tc>
      </w:tr>
      <w:tr w:rsidR="002A667A" w:rsidRPr="00A03249" w:rsidTr="00B37E7F">
        <w:trPr>
          <w:trHeight w:val="315"/>
        </w:trPr>
        <w:tc>
          <w:tcPr>
            <w:tcW w:w="2040" w:type="dxa"/>
            <w:vMerge/>
            <w:tcBorders>
              <w:top w:val="nil"/>
              <w:left w:val="single" w:sz="8" w:space="0" w:color="auto"/>
              <w:bottom w:val="single" w:sz="8" w:space="0" w:color="000000"/>
              <w:right w:val="nil"/>
            </w:tcBorders>
            <w:vAlign w:val="center"/>
          </w:tcPr>
          <w:p w:rsidR="002A667A" w:rsidRPr="00A03249" w:rsidRDefault="002A667A" w:rsidP="00B37E7F">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2A667A" w:rsidRPr="00A03249" w:rsidRDefault="002A667A" w:rsidP="00B37E7F">
            <w:pPr>
              <w:jc w:val="center"/>
              <w:rPr>
                <w:rFonts w:cs="Calibri"/>
                <w:b/>
                <w:bCs/>
                <w:color w:val="FFFFFF"/>
                <w:sz w:val="20"/>
              </w:rPr>
            </w:pPr>
            <w:r w:rsidRPr="00A03249">
              <w:rPr>
                <w:rFonts w:cs="Calibri"/>
                <w:b/>
                <w:bCs/>
                <w:color w:val="FFFFFF"/>
                <w:sz w:val="20"/>
              </w:rPr>
              <w:t>Celkové soukromé zdroje  (mil. CZK)</w:t>
            </w:r>
          </w:p>
        </w:tc>
        <w:tc>
          <w:tcPr>
            <w:tcW w:w="1760" w:type="dxa"/>
            <w:tcBorders>
              <w:top w:val="nil"/>
              <w:left w:val="nil"/>
              <w:bottom w:val="nil"/>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23000</w:t>
            </w:r>
          </w:p>
        </w:tc>
      </w:tr>
      <w:tr w:rsidR="002A667A" w:rsidRPr="00A03249" w:rsidTr="00B37E7F">
        <w:trPr>
          <w:trHeight w:val="315"/>
        </w:trPr>
        <w:tc>
          <w:tcPr>
            <w:tcW w:w="2040" w:type="dxa"/>
            <w:vMerge/>
            <w:tcBorders>
              <w:top w:val="nil"/>
              <w:left w:val="single" w:sz="8" w:space="0" w:color="auto"/>
              <w:bottom w:val="single" w:sz="8" w:space="0" w:color="000000"/>
              <w:right w:val="nil"/>
            </w:tcBorders>
            <w:vAlign w:val="center"/>
          </w:tcPr>
          <w:p w:rsidR="002A667A" w:rsidRPr="00A03249" w:rsidRDefault="002A667A" w:rsidP="00B37E7F">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2A667A" w:rsidRPr="00A03249" w:rsidRDefault="002A667A" w:rsidP="00B37E7F">
            <w:pPr>
              <w:jc w:val="center"/>
              <w:rPr>
                <w:rFonts w:cs="Calibri"/>
                <w:b/>
                <w:bCs/>
                <w:color w:val="FFFFFF"/>
                <w:sz w:val="20"/>
              </w:rPr>
            </w:pPr>
            <w:r w:rsidRPr="00A03249">
              <w:rPr>
                <w:rFonts w:cs="Calibri"/>
                <w:b/>
                <w:bCs/>
                <w:color w:val="FFFFFF"/>
                <w:sz w:val="20"/>
              </w:rPr>
              <w:t>Počet projektů konečných příjemců</w:t>
            </w:r>
          </w:p>
        </w:tc>
        <w:tc>
          <w:tcPr>
            <w:tcW w:w="1760" w:type="dxa"/>
            <w:tcBorders>
              <w:top w:val="nil"/>
              <w:left w:val="nil"/>
              <w:bottom w:val="nil"/>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3300</w:t>
            </w:r>
          </w:p>
        </w:tc>
      </w:tr>
      <w:tr w:rsidR="002A667A" w:rsidRPr="00A03249" w:rsidTr="00B37E7F">
        <w:trPr>
          <w:trHeight w:val="315"/>
        </w:trPr>
        <w:tc>
          <w:tcPr>
            <w:tcW w:w="2040" w:type="dxa"/>
            <w:vMerge/>
            <w:tcBorders>
              <w:top w:val="nil"/>
              <w:left w:val="single" w:sz="8" w:space="0" w:color="auto"/>
              <w:bottom w:val="single" w:sz="8" w:space="0" w:color="000000"/>
              <w:right w:val="nil"/>
            </w:tcBorders>
            <w:vAlign w:val="center"/>
          </w:tcPr>
          <w:p w:rsidR="002A667A" w:rsidRPr="00A03249" w:rsidRDefault="002A667A" w:rsidP="00B37E7F">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2A667A" w:rsidRPr="00A03249" w:rsidRDefault="002A667A" w:rsidP="00B37E7F">
            <w:pPr>
              <w:jc w:val="center"/>
              <w:rPr>
                <w:rFonts w:cs="Calibri"/>
                <w:b/>
                <w:bCs/>
                <w:color w:val="FFFFFF"/>
                <w:sz w:val="20"/>
              </w:rPr>
            </w:pPr>
            <w:r w:rsidRPr="00A03249">
              <w:rPr>
                <w:rFonts w:cs="Calibri"/>
                <w:b/>
                <w:bCs/>
                <w:color w:val="FFFFFF"/>
                <w:sz w:val="20"/>
              </w:rPr>
              <w:t>Počet vytvořených pracovních míst</w:t>
            </w:r>
          </w:p>
        </w:tc>
        <w:tc>
          <w:tcPr>
            <w:tcW w:w="1760" w:type="dxa"/>
            <w:tcBorders>
              <w:top w:val="nil"/>
              <w:left w:val="nil"/>
              <w:bottom w:val="single" w:sz="8" w:space="0" w:color="auto"/>
              <w:right w:val="single" w:sz="8" w:space="0" w:color="auto"/>
            </w:tcBorders>
            <w:noWrap/>
            <w:vAlign w:val="center"/>
          </w:tcPr>
          <w:p w:rsidR="002A667A" w:rsidRPr="00A03249" w:rsidRDefault="002A667A" w:rsidP="00B37E7F">
            <w:pPr>
              <w:jc w:val="right"/>
              <w:rPr>
                <w:rFonts w:cs="Calibri"/>
                <w:color w:val="000000"/>
                <w:szCs w:val="22"/>
              </w:rPr>
            </w:pPr>
            <w:r w:rsidRPr="00A03249">
              <w:rPr>
                <w:rFonts w:cs="Calibri"/>
                <w:color w:val="000000"/>
                <w:szCs w:val="22"/>
              </w:rPr>
              <w:t>5800</w:t>
            </w:r>
          </w:p>
        </w:tc>
      </w:tr>
    </w:tbl>
    <w:p w:rsidR="002A667A" w:rsidRDefault="002A667A" w:rsidP="006638C9">
      <w:pPr>
        <w:pStyle w:val="BodyText1"/>
        <w:jc w:val="both"/>
      </w:pPr>
    </w:p>
    <w:p w:rsidR="002A667A" w:rsidRDefault="002A667A" w:rsidP="006638C9">
      <w:pPr>
        <w:rPr>
          <w:noProof/>
        </w:rPr>
      </w:pPr>
    </w:p>
    <w:p w:rsidR="00CD5174" w:rsidRDefault="00CD5174" w:rsidP="006638C9">
      <w:pPr>
        <w:rPr>
          <w:noProof/>
        </w:rPr>
      </w:pPr>
    </w:p>
    <w:p w:rsidR="00CD5174" w:rsidRPr="00D03ACF" w:rsidRDefault="00CD5174" w:rsidP="006638C9">
      <w:pPr>
        <w:rPr>
          <w:noProof/>
        </w:rPr>
      </w:pPr>
    </w:p>
    <w:p w:rsidR="002A667A" w:rsidRPr="00B238E1" w:rsidRDefault="002A667A" w:rsidP="006638C9">
      <w:pPr>
        <w:pStyle w:val="BodyText1"/>
        <w:rPr>
          <w:b/>
          <w:color w:val="auto"/>
        </w:rPr>
      </w:pPr>
      <w:r w:rsidRPr="00B238E1">
        <w:rPr>
          <w:b/>
          <w:color w:val="auto"/>
        </w:rPr>
        <w:t>Rizikový kapitál</w:t>
      </w:r>
    </w:p>
    <w:p w:rsidR="002A667A" w:rsidRPr="00B238E1" w:rsidRDefault="002A667A" w:rsidP="00F67071">
      <w:r w:rsidRPr="00B238E1">
        <w:t xml:space="preserve">Modelový příklad a jeho parametry vycházejí ze zkušeností z přípravy projektu </w:t>
      </w:r>
      <w:r w:rsidR="00CD5174" w:rsidRPr="00B238E1">
        <w:t>S</w:t>
      </w:r>
      <w:r w:rsidR="00CD5174">
        <w:t>eed</w:t>
      </w:r>
      <w:r w:rsidR="00CD5174" w:rsidRPr="00B238E1">
        <w:t xml:space="preserve"> </w:t>
      </w:r>
      <w:r w:rsidRPr="00B238E1">
        <w:t>fond v minulém období. Je předpokládáno rozdělení alokace do podfondů orientovaných na nejranější fáze a pokročilejší fáze rizikového financování</w:t>
      </w:r>
      <w:r w:rsidR="00CD5174">
        <w:t xml:space="preserve"> </w:t>
      </w:r>
      <w:r w:rsidRPr="00B238E1">
        <w:t>v poměru 1:2. Tomu odpovídá i pákový efekt, daný poměrem soukromých koinvestic ke zdrojům ze strukturálních fondů. Za programové období se počítá s podpořením až 111 projektů, na základě jejichž úspěchu či neúspěchu se vrátí revolvované prostředky do fondu i pro použití v dalším období.</w:t>
      </w:r>
      <w:r w:rsidR="00CD5174">
        <w:t xml:space="preserve"> </w:t>
      </w:r>
      <w:r w:rsidRPr="00B238E1">
        <w:t>Celkem je dle modelových předpokladů počítáno až s 2,3 mld. Kč investovaných prostředků s využitím nástroje rizikového kapitálu.</w:t>
      </w:r>
    </w:p>
    <w:p w:rsidR="002A667A" w:rsidRPr="00E52B50" w:rsidRDefault="002A667A" w:rsidP="006638C9">
      <w:pPr>
        <w:pStyle w:val="BodyText1"/>
      </w:pPr>
    </w:p>
    <w:tbl>
      <w:tblPr>
        <w:tblW w:w="8620" w:type="dxa"/>
        <w:tblInd w:w="55" w:type="dxa"/>
        <w:tblCellMar>
          <w:left w:w="70" w:type="dxa"/>
          <w:right w:w="70" w:type="dxa"/>
        </w:tblCellMar>
        <w:tblLook w:val="00A0" w:firstRow="1" w:lastRow="0" w:firstColumn="1" w:lastColumn="0" w:noHBand="0" w:noVBand="0"/>
      </w:tblPr>
      <w:tblGrid>
        <w:gridCol w:w="2040"/>
        <w:gridCol w:w="3280"/>
        <w:gridCol w:w="1760"/>
        <w:gridCol w:w="1540"/>
      </w:tblGrid>
      <w:tr w:rsidR="002A667A" w:rsidRPr="00256406" w:rsidTr="00B37E7F">
        <w:trPr>
          <w:trHeight w:val="315"/>
        </w:trPr>
        <w:tc>
          <w:tcPr>
            <w:tcW w:w="2040" w:type="dxa"/>
            <w:tcBorders>
              <w:top w:val="single" w:sz="8" w:space="0" w:color="auto"/>
              <w:left w:val="single" w:sz="8" w:space="0" w:color="auto"/>
              <w:bottom w:val="single" w:sz="8" w:space="0" w:color="auto"/>
              <w:right w:val="nil"/>
            </w:tcBorders>
            <w:noWrap/>
            <w:vAlign w:val="bottom"/>
          </w:tcPr>
          <w:p w:rsidR="002A667A" w:rsidRPr="00256406" w:rsidRDefault="002A667A" w:rsidP="00B37E7F">
            <w:pPr>
              <w:jc w:val="center"/>
              <w:rPr>
                <w:rFonts w:cs="Calibri"/>
                <w:b/>
                <w:bCs/>
                <w:color w:val="000000"/>
                <w:szCs w:val="22"/>
              </w:rPr>
            </w:pPr>
            <w:r w:rsidRPr="00256406">
              <w:rPr>
                <w:rFonts w:cs="Calibri"/>
                <w:b/>
                <w:bCs/>
                <w:color w:val="000000"/>
                <w:szCs w:val="22"/>
              </w:rPr>
              <w:lastRenderedPageBreak/>
              <w:t>FINANČNÍ NÁSTROJ</w:t>
            </w:r>
          </w:p>
        </w:tc>
        <w:tc>
          <w:tcPr>
            <w:tcW w:w="3280" w:type="dxa"/>
            <w:tcBorders>
              <w:top w:val="single" w:sz="8" w:space="0" w:color="auto"/>
              <w:left w:val="single" w:sz="8" w:space="0" w:color="auto"/>
              <w:bottom w:val="single" w:sz="8" w:space="0" w:color="auto"/>
              <w:right w:val="single" w:sz="8" w:space="0" w:color="auto"/>
            </w:tcBorders>
            <w:shd w:val="clear" w:color="000000" w:fill="538DD5"/>
            <w:vAlign w:val="bottom"/>
          </w:tcPr>
          <w:p w:rsidR="002A667A" w:rsidRPr="00256406" w:rsidRDefault="002A667A" w:rsidP="00B37E7F">
            <w:pPr>
              <w:jc w:val="center"/>
              <w:rPr>
                <w:rFonts w:cs="Calibri"/>
                <w:b/>
                <w:bCs/>
                <w:color w:val="FFFFFF"/>
                <w:szCs w:val="22"/>
              </w:rPr>
            </w:pPr>
            <w:r w:rsidRPr="00256406">
              <w:rPr>
                <w:rFonts w:cs="Calibri"/>
                <w:b/>
                <w:bCs/>
                <w:color w:val="FFFFFF"/>
                <w:szCs w:val="22"/>
              </w:rPr>
              <w:t>Typ nástroje</w:t>
            </w:r>
          </w:p>
        </w:tc>
        <w:tc>
          <w:tcPr>
            <w:tcW w:w="1760" w:type="dxa"/>
            <w:tcBorders>
              <w:top w:val="single" w:sz="8" w:space="0" w:color="auto"/>
              <w:left w:val="nil"/>
              <w:bottom w:val="single" w:sz="8" w:space="0" w:color="auto"/>
              <w:right w:val="nil"/>
            </w:tcBorders>
            <w:noWrap/>
            <w:vAlign w:val="bottom"/>
          </w:tcPr>
          <w:p w:rsidR="002A667A" w:rsidRPr="00256406" w:rsidRDefault="002A667A" w:rsidP="00B37E7F">
            <w:pPr>
              <w:jc w:val="left"/>
              <w:rPr>
                <w:rFonts w:cs="Calibri"/>
                <w:b/>
                <w:bCs/>
                <w:color w:val="000000"/>
                <w:szCs w:val="22"/>
              </w:rPr>
            </w:pPr>
            <w:r w:rsidRPr="00256406">
              <w:rPr>
                <w:rFonts w:cs="Calibri"/>
                <w:b/>
                <w:bCs/>
                <w:color w:val="000000"/>
                <w:szCs w:val="22"/>
              </w:rPr>
              <w:t>Seed a start-up kapitál</w:t>
            </w:r>
          </w:p>
        </w:tc>
        <w:tc>
          <w:tcPr>
            <w:tcW w:w="1540" w:type="dxa"/>
            <w:tcBorders>
              <w:top w:val="single" w:sz="8" w:space="0" w:color="auto"/>
              <w:left w:val="single" w:sz="8" w:space="0" w:color="auto"/>
              <w:bottom w:val="single" w:sz="8" w:space="0" w:color="auto"/>
              <w:right w:val="single" w:sz="8" w:space="0" w:color="auto"/>
            </w:tcBorders>
            <w:shd w:val="clear" w:color="000000" w:fill="DAEEF3"/>
            <w:noWrap/>
            <w:vAlign w:val="bottom"/>
          </w:tcPr>
          <w:p w:rsidR="002A667A" w:rsidRPr="00256406" w:rsidRDefault="002A667A" w:rsidP="00B37E7F">
            <w:pPr>
              <w:jc w:val="left"/>
              <w:rPr>
                <w:rFonts w:cs="Calibri"/>
                <w:b/>
                <w:bCs/>
                <w:color w:val="000000"/>
                <w:szCs w:val="22"/>
              </w:rPr>
            </w:pPr>
            <w:r w:rsidRPr="00256406">
              <w:rPr>
                <w:rFonts w:cs="Calibri"/>
                <w:b/>
                <w:bCs/>
                <w:color w:val="000000"/>
                <w:szCs w:val="22"/>
              </w:rPr>
              <w:t>Investice na rozšíření</w:t>
            </w:r>
          </w:p>
        </w:tc>
      </w:tr>
      <w:tr w:rsidR="002A667A" w:rsidRPr="00256406" w:rsidTr="00B37E7F">
        <w:trPr>
          <w:trHeight w:val="315"/>
        </w:trPr>
        <w:tc>
          <w:tcPr>
            <w:tcW w:w="2040" w:type="dxa"/>
            <w:tcBorders>
              <w:top w:val="nil"/>
              <w:left w:val="single" w:sz="8" w:space="0" w:color="auto"/>
              <w:bottom w:val="nil"/>
              <w:right w:val="nil"/>
            </w:tcBorders>
            <w:noWrap/>
            <w:vAlign w:val="bottom"/>
          </w:tcPr>
          <w:p w:rsidR="002A667A" w:rsidRPr="00256406" w:rsidRDefault="002A667A" w:rsidP="00B37E7F">
            <w:pPr>
              <w:jc w:val="center"/>
              <w:rPr>
                <w:rFonts w:cs="Calibri"/>
                <w:b/>
                <w:bCs/>
                <w:color w:val="000000"/>
                <w:szCs w:val="22"/>
              </w:rPr>
            </w:pPr>
            <w:r w:rsidRPr="00256406">
              <w:rPr>
                <w:rFonts w:cs="Calibri"/>
                <w:b/>
                <w:bCs/>
                <w:color w:val="000000"/>
                <w:szCs w:val="22"/>
              </w:rPr>
              <w:t>ALOKACE</w:t>
            </w:r>
          </w:p>
        </w:tc>
        <w:tc>
          <w:tcPr>
            <w:tcW w:w="3280" w:type="dxa"/>
            <w:tcBorders>
              <w:top w:val="nil"/>
              <w:left w:val="single" w:sz="8" w:space="0" w:color="auto"/>
              <w:bottom w:val="nil"/>
              <w:right w:val="single" w:sz="8" w:space="0" w:color="auto"/>
            </w:tcBorders>
            <w:shd w:val="clear" w:color="000000" w:fill="000000"/>
            <w:vAlign w:val="bottom"/>
          </w:tcPr>
          <w:p w:rsidR="002A667A" w:rsidRPr="00256406" w:rsidRDefault="002A667A" w:rsidP="00B37E7F">
            <w:pPr>
              <w:jc w:val="center"/>
              <w:rPr>
                <w:rFonts w:cs="Calibri"/>
                <w:b/>
                <w:bCs/>
                <w:color w:val="FFFFFF"/>
                <w:szCs w:val="22"/>
              </w:rPr>
            </w:pPr>
            <w:r w:rsidRPr="00256406">
              <w:rPr>
                <w:rFonts w:cs="Calibri"/>
                <w:b/>
                <w:bCs/>
                <w:color w:val="FFFFFF"/>
                <w:szCs w:val="22"/>
              </w:rPr>
              <w:t>Alokace FN (mil. CZK)</w:t>
            </w:r>
          </w:p>
        </w:tc>
        <w:tc>
          <w:tcPr>
            <w:tcW w:w="1760" w:type="dxa"/>
            <w:tcBorders>
              <w:top w:val="nil"/>
              <w:left w:val="nil"/>
              <w:bottom w:val="nil"/>
              <w:right w:val="nil"/>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280</w:t>
            </w:r>
          </w:p>
        </w:tc>
        <w:tc>
          <w:tcPr>
            <w:tcW w:w="1540" w:type="dxa"/>
            <w:tcBorders>
              <w:top w:val="nil"/>
              <w:left w:val="single" w:sz="8" w:space="0" w:color="auto"/>
              <w:bottom w:val="nil"/>
              <w:right w:val="single" w:sz="8" w:space="0" w:color="auto"/>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550</w:t>
            </w:r>
          </w:p>
        </w:tc>
      </w:tr>
      <w:tr w:rsidR="002A667A" w:rsidRPr="00256406" w:rsidTr="00B37E7F">
        <w:trPr>
          <w:trHeight w:val="525"/>
        </w:trPr>
        <w:tc>
          <w:tcPr>
            <w:tcW w:w="2040" w:type="dxa"/>
            <w:vMerge w:val="restart"/>
            <w:tcBorders>
              <w:top w:val="nil"/>
              <w:left w:val="single" w:sz="8" w:space="0" w:color="auto"/>
              <w:bottom w:val="single" w:sz="8" w:space="0" w:color="BFBFBF"/>
              <w:right w:val="nil"/>
            </w:tcBorders>
            <w:noWrap/>
            <w:vAlign w:val="center"/>
          </w:tcPr>
          <w:p w:rsidR="002A667A" w:rsidRPr="00256406" w:rsidRDefault="002A667A" w:rsidP="00B37E7F">
            <w:pPr>
              <w:jc w:val="center"/>
              <w:rPr>
                <w:rFonts w:cs="Calibri"/>
                <w:b/>
                <w:bCs/>
                <w:color w:val="000000"/>
                <w:szCs w:val="22"/>
              </w:rPr>
            </w:pPr>
            <w:r w:rsidRPr="00256406">
              <w:rPr>
                <w:rFonts w:cs="Calibri"/>
                <w:b/>
                <w:bCs/>
                <w:color w:val="000000"/>
                <w:szCs w:val="22"/>
              </w:rPr>
              <w:t>ČERPÁNÍ ALOKACE</w:t>
            </w:r>
          </w:p>
        </w:tc>
        <w:tc>
          <w:tcPr>
            <w:tcW w:w="3280" w:type="dxa"/>
            <w:tcBorders>
              <w:top w:val="nil"/>
              <w:left w:val="single" w:sz="8" w:space="0" w:color="auto"/>
              <w:bottom w:val="single" w:sz="8" w:space="0" w:color="auto"/>
              <w:right w:val="single" w:sz="8" w:space="0" w:color="auto"/>
            </w:tcBorders>
            <w:shd w:val="clear" w:color="000000" w:fill="538DD5"/>
            <w:vAlign w:val="center"/>
          </w:tcPr>
          <w:p w:rsidR="002A667A" w:rsidRPr="00256406" w:rsidRDefault="002A667A" w:rsidP="00B37E7F">
            <w:pPr>
              <w:jc w:val="center"/>
              <w:rPr>
                <w:rFonts w:cs="Calibri"/>
                <w:b/>
                <w:bCs/>
                <w:color w:val="FFFFFF"/>
                <w:sz w:val="20"/>
              </w:rPr>
            </w:pPr>
            <w:r w:rsidRPr="00256406">
              <w:rPr>
                <w:rFonts w:cs="Calibri"/>
                <w:b/>
                <w:bCs/>
                <w:color w:val="FFFFFF"/>
                <w:sz w:val="20"/>
              </w:rPr>
              <w:t>Veřejné zdroje FN po odečtení MCF  (mil. CZK)</w:t>
            </w:r>
          </w:p>
        </w:tc>
        <w:tc>
          <w:tcPr>
            <w:tcW w:w="1760" w:type="dxa"/>
            <w:tcBorders>
              <w:top w:val="nil"/>
              <w:left w:val="nil"/>
              <w:bottom w:val="nil"/>
              <w:right w:val="nil"/>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220</w:t>
            </w:r>
          </w:p>
        </w:tc>
        <w:tc>
          <w:tcPr>
            <w:tcW w:w="1540" w:type="dxa"/>
            <w:tcBorders>
              <w:top w:val="nil"/>
              <w:left w:val="single" w:sz="8" w:space="0" w:color="auto"/>
              <w:bottom w:val="nil"/>
              <w:right w:val="single" w:sz="8" w:space="0" w:color="auto"/>
            </w:tcBorders>
            <w:shd w:val="clear" w:color="000000" w:fill="DAEEF3"/>
            <w:noWrap/>
            <w:vAlign w:val="bottom"/>
          </w:tcPr>
          <w:p w:rsidR="002A667A" w:rsidRPr="00256406" w:rsidRDefault="002A667A" w:rsidP="00B37E7F">
            <w:pPr>
              <w:jc w:val="right"/>
              <w:rPr>
                <w:rFonts w:cs="Calibri"/>
                <w:color w:val="000000"/>
                <w:szCs w:val="22"/>
              </w:rPr>
            </w:pPr>
            <w:r w:rsidRPr="00256406">
              <w:rPr>
                <w:rFonts w:cs="Calibri"/>
                <w:color w:val="000000"/>
                <w:szCs w:val="22"/>
              </w:rPr>
              <w:t>440</w:t>
            </w:r>
          </w:p>
        </w:tc>
      </w:tr>
      <w:tr w:rsidR="002A667A" w:rsidRPr="00256406" w:rsidTr="00B37E7F">
        <w:trPr>
          <w:trHeight w:val="525"/>
        </w:trPr>
        <w:tc>
          <w:tcPr>
            <w:tcW w:w="2040" w:type="dxa"/>
            <w:vMerge/>
            <w:tcBorders>
              <w:top w:val="nil"/>
              <w:left w:val="single" w:sz="8" w:space="0" w:color="auto"/>
              <w:bottom w:val="single" w:sz="8" w:space="0" w:color="BFBFBF"/>
              <w:right w:val="nil"/>
            </w:tcBorders>
            <w:vAlign w:val="center"/>
          </w:tcPr>
          <w:p w:rsidR="002A667A" w:rsidRPr="00256406" w:rsidRDefault="002A667A" w:rsidP="00B37E7F">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2A667A" w:rsidRPr="00256406" w:rsidRDefault="002A667A" w:rsidP="00B37E7F">
            <w:pPr>
              <w:jc w:val="center"/>
              <w:rPr>
                <w:rFonts w:cs="Calibri"/>
                <w:b/>
                <w:bCs/>
                <w:color w:val="FFFFFF"/>
                <w:sz w:val="20"/>
              </w:rPr>
            </w:pPr>
            <w:r w:rsidRPr="00256406">
              <w:rPr>
                <w:rFonts w:cs="Calibri"/>
                <w:b/>
                <w:bCs/>
                <w:color w:val="FFFFFF"/>
                <w:sz w:val="20"/>
              </w:rPr>
              <w:t>Pákový efekt na projektech konečných příjemců</w:t>
            </w:r>
          </w:p>
        </w:tc>
        <w:tc>
          <w:tcPr>
            <w:tcW w:w="1760" w:type="dxa"/>
            <w:tcBorders>
              <w:top w:val="nil"/>
              <w:left w:val="nil"/>
              <w:bottom w:val="nil"/>
              <w:right w:val="nil"/>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2</w:t>
            </w:r>
          </w:p>
        </w:tc>
        <w:tc>
          <w:tcPr>
            <w:tcW w:w="1540" w:type="dxa"/>
            <w:tcBorders>
              <w:top w:val="nil"/>
              <w:left w:val="single" w:sz="8" w:space="0" w:color="auto"/>
              <w:bottom w:val="nil"/>
              <w:right w:val="single" w:sz="8" w:space="0" w:color="auto"/>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3</w:t>
            </w:r>
          </w:p>
        </w:tc>
      </w:tr>
      <w:tr w:rsidR="002A667A" w:rsidRPr="00256406" w:rsidTr="00B37E7F">
        <w:trPr>
          <w:trHeight w:val="525"/>
        </w:trPr>
        <w:tc>
          <w:tcPr>
            <w:tcW w:w="2040" w:type="dxa"/>
            <w:vMerge/>
            <w:tcBorders>
              <w:top w:val="nil"/>
              <w:left w:val="single" w:sz="8" w:space="0" w:color="auto"/>
              <w:bottom w:val="single" w:sz="8" w:space="0" w:color="BFBFBF"/>
              <w:right w:val="nil"/>
            </w:tcBorders>
            <w:vAlign w:val="center"/>
          </w:tcPr>
          <w:p w:rsidR="002A667A" w:rsidRPr="00256406" w:rsidRDefault="002A667A" w:rsidP="00B37E7F">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2A667A" w:rsidRPr="00256406" w:rsidRDefault="002A667A" w:rsidP="00B37E7F">
            <w:pPr>
              <w:jc w:val="center"/>
              <w:rPr>
                <w:rFonts w:cs="Calibri"/>
                <w:b/>
                <w:bCs/>
                <w:color w:val="FFFFFF"/>
                <w:sz w:val="20"/>
              </w:rPr>
            </w:pPr>
            <w:r w:rsidRPr="00256406">
              <w:rPr>
                <w:rFonts w:cs="Calibri"/>
                <w:b/>
                <w:bCs/>
                <w:color w:val="FFFFFF"/>
                <w:sz w:val="20"/>
              </w:rPr>
              <w:t>Celkové návratné zdroje na projekty konečných příjemců  (mil. CZK)</w:t>
            </w:r>
          </w:p>
        </w:tc>
        <w:tc>
          <w:tcPr>
            <w:tcW w:w="1760" w:type="dxa"/>
            <w:tcBorders>
              <w:top w:val="nil"/>
              <w:left w:val="nil"/>
              <w:bottom w:val="nil"/>
              <w:right w:val="nil"/>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440</w:t>
            </w:r>
          </w:p>
        </w:tc>
        <w:tc>
          <w:tcPr>
            <w:tcW w:w="1540" w:type="dxa"/>
            <w:tcBorders>
              <w:top w:val="nil"/>
              <w:left w:val="single" w:sz="8" w:space="0" w:color="auto"/>
              <w:bottom w:val="nil"/>
              <w:right w:val="single" w:sz="8" w:space="0" w:color="auto"/>
            </w:tcBorders>
            <w:shd w:val="clear" w:color="000000" w:fill="DAEEF3"/>
            <w:noWrap/>
            <w:vAlign w:val="bottom"/>
          </w:tcPr>
          <w:p w:rsidR="002A667A" w:rsidRPr="00256406" w:rsidRDefault="002A667A" w:rsidP="00B37E7F">
            <w:pPr>
              <w:jc w:val="right"/>
              <w:rPr>
                <w:rFonts w:cs="Calibri"/>
                <w:color w:val="000000"/>
                <w:szCs w:val="22"/>
              </w:rPr>
            </w:pPr>
            <w:r w:rsidRPr="00256406">
              <w:rPr>
                <w:rFonts w:cs="Calibri"/>
                <w:color w:val="000000"/>
                <w:szCs w:val="22"/>
              </w:rPr>
              <w:t>1300</w:t>
            </w:r>
          </w:p>
        </w:tc>
      </w:tr>
      <w:tr w:rsidR="002A667A" w:rsidRPr="00256406" w:rsidTr="00B37E7F">
        <w:trPr>
          <w:trHeight w:val="525"/>
        </w:trPr>
        <w:tc>
          <w:tcPr>
            <w:tcW w:w="2040" w:type="dxa"/>
            <w:vMerge/>
            <w:tcBorders>
              <w:top w:val="nil"/>
              <w:left w:val="single" w:sz="8" w:space="0" w:color="auto"/>
              <w:bottom w:val="single" w:sz="8" w:space="0" w:color="BFBFBF"/>
              <w:right w:val="nil"/>
            </w:tcBorders>
            <w:vAlign w:val="center"/>
          </w:tcPr>
          <w:p w:rsidR="002A667A" w:rsidRPr="00256406" w:rsidRDefault="002A667A" w:rsidP="00B37E7F">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2A667A" w:rsidRPr="00256406" w:rsidRDefault="002A667A" w:rsidP="00B37E7F">
            <w:pPr>
              <w:jc w:val="center"/>
              <w:rPr>
                <w:rFonts w:cs="Calibri"/>
                <w:b/>
                <w:bCs/>
                <w:color w:val="FFFFFF"/>
                <w:sz w:val="20"/>
              </w:rPr>
            </w:pPr>
            <w:r w:rsidRPr="00256406">
              <w:rPr>
                <w:rFonts w:cs="Calibri"/>
                <w:b/>
                <w:bCs/>
                <w:color w:val="FFFFFF"/>
                <w:sz w:val="20"/>
              </w:rPr>
              <w:t>Průměrná výše úvěru/investice konečného příjemce  (mil. CZK)</w:t>
            </w:r>
          </w:p>
        </w:tc>
        <w:tc>
          <w:tcPr>
            <w:tcW w:w="1760" w:type="dxa"/>
            <w:tcBorders>
              <w:top w:val="nil"/>
              <w:left w:val="nil"/>
              <w:bottom w:val="nil"/>
              <w:right w:val="nil"/>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17</w:t>
            </w:r>
          </w:p>
        </w:tc>
        <w:tc>
          <w:tcPr>
            <w:tcW w:w="1540" w:type="dxa"/>
            <w:tcBorders>
              <w:top w:val="nil"/>
              <w:left w:val="single" w:sz="8" w:space="0" w:color="auto"/>
              <w:bottom w:val="nil"/>
              <w:right w:val="single" w:sz="8" w:space="0" w:color="auto"/>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23</w:t>
            </w:r>
          </w:p>
        </w:tc>
      </w:tr>
      <w:tr w:rsidR="002A667A" w:rsidRPr="00256406" w:rsidTr="00B37E7F">
        <w:trPr>
          <w:trHeight w:val="420"/>
        </w:trPr>
        <w:tc>
          <w:tcPr>
            <w:tcW w:w="2040" w:type="dxa"/>
            <w:vMerge/>
            <w:tcBorders>
              <w:top w:val="nil"/>
              <w:left w:val="single" w:sz="8" w:space="0" w:color="auto"/>
              <w:bottom w:val="single" w:sz="8" w:space="0" w:color="BFBFBF"/>
              <w:right w:val="nil"/>
            </w:tcBorders>
            <w:vAlign w:val="center"/>
          </w:tcPr>
          <w:p w:rsidR="002A667A" w:rsidRPr="00256406" w:rsidRDefault="002A667A" w:rsidP="00B37E7F">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2A667A" w:rsidRPr="00256406" w:rsidRDefault="002A667A" w:rsidP="00B37E7F">
            <w:pPr>
              <w:jc w:val="center"/>
              <w:rPr>
                <w:rFonts w:cs="Calibri"/>
                <w:b/>
                <w:bCs/>
                <w:color w:val="FFFFFF"/>
                <w:sz w:val="20"/>
              </w:rPr>
            </w:pPr>
            <w:r w:rsidRPr="00256406">
              <w:rPr>
                <w:rFonts w:cs="Calibri"/>
                <w:b/>
                <w:bCs/>
                <w:color w:val="FFFFFF"/>
                <w:sz w:val="20"/>
              </w:rPr>
              <w:t>Počet projektů konečných příjemců</w:t>
            </w:r>
          </w:p>
        </w:tc>
        <w:tc>
          <w:tcPr>
            <w:tcW w:w="1760" w:type="dxa"/>
            <w:tcBorders>
              <w:top w:val="nil"/>
              <w:left w:val="nil"/>
              <w:bottom w:val="nil"/>
              <w:right w:val="nil"/>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26</w:t>
            </w:r>
          </w:p>
        </w:tc>
        <w:tc>
          <w:tcPr>
            <w:tcW w:w="1540" w:type="dxa"/>
            <w:tcBorders>
              <w:top w:val="nil"/>
              <w:left w:val="single" w:sz="8" w:space="0" w:color="auto"/>
              <w:bottom w:val="nil"/>
              <w:right w:val="single" w:sz="8" w:space="0" w:color="auto"/>
            </w:tcBorders>
            <w:shd w:val="clear" w:color="000000" w:fill="DAEEF3"/>
            <w:noWrap/>
            <w:vAlign w:val="bottom"/>
          </w:tcPr>
          <w:p w:rsidR="002A667A" w:rsidRPr="00256406" w:rsidRDefault="002A667A" w:rsidP="00B37E7F">
            <w:pPr>
              <w:jc w:val="right"/>
              <w:rPr>
                <w:rFonts w:cs="Calibri"/>
                <w:color w:val="000000"/>
                <w:szCs w:val="22"/>
              </w:rPr>
            </w:pPr>
            <w:r w:rsidRPr="00256406">
              <w:rPr>
                <w:rFonts w:cs="Calibri"/>
                <w:color w:val="000000"/>
                <w:szCs w:val="22"/>
              </w:rPr>
              <w:t>58</w:t>
            </w:r>
          </w:p>
        </w:tc>
      </w:tr>
      <w:tr w:rsidR="002A667A" w:rsidRPr="00256406" w:rsidTr="00B37E7F">
        <w:trPr>
          <w:trHeight w:val="525"/>
        </w:trPr>
        <w:tc>
          <w:tcPr>
            <w:tcW w:w="2040" w:type="dxa"/>
            <w:vMerge w:val="restart"/>
            <w:tcBorders>
              <w:top w:val="nil"/>
              <w:left w:val="single" w:sz="8" w:space="0" w:color="auto"/>
              <w:bottom w:val="nil"/>
              <w:right w:val="nil"/>
            </w:tcBorders>
            <w:vAlign w:val="center"/>
          </w:tcPr>
          <w:p w:rsidR="002A667A" w:rsidRPr="00256406" w:rsidRDefault="002A667A" w:rsidP="00B37E7F">
            <w:pPr>
              <w:jc w:val="center"/>
              <w:rPr>
                <w:b/>
                <w:bCs/>
                <w:color w:val="000000"/>
                <w:sz w:val="18"/>
                <w:szCs w:val="18"/>
              </w:rPr>
            </w:pPr>
            <w:r w:rsidRPr="00256406">
              <w:rPr>
                <w:b/>
                <w:bCs/>
                <w:color w:val="000000"/>
                <w:sz w:val="18"/>
                <w:szCs w:val="18"/>
              </w:rPr>
              <w:t>OBRÁTKA</w:t>
            </w:r>
          </w:p>
        </w:tc>
        <w:tc>
          <w:tcPr>
            <w:tcW w:w="3280" w:type="dxa"/>
            <w:tcBorders>
              <w:top w:val="nil"/>
              <w:left w:val="single" w:sz="8" w:space="0" w:color="auto"/>
              <w:bottom w:val="single" w:sz="8" w:space="0" w:color="auto"/>
              <w:right w:val="single" w:sz="8" w:space="0" w:color="auto"/>
            </w:tcBorders>
            <w:shd w:val="clear" w:color="000000" w:fill="000000"/>
            <w:vAlign w:val="center"/>
          </w:tcPr>
          <w:p w:rsidR="002A667A" w:rsidRPr="00256406" w:rsidRDefault="002A667A" w:rsidP="00B37E7F">
            <w:pPr>
              <w:jc w:val="center"/>
              <w:rPr>
                <w:rFonts w:cs="Calibri"/>
                <w:b/>
                <w:bCs/>
                <w:color w:val="FFFFFF"/>
                <w:sz w:val="20"/>
              </w:rPr>
            </w:pPr>
            <w:r w:rsidRPr="00256406">
              <w:rPr>
                <w:rFonts w:cs="Calibri"/>
                <w:b/>
                <w:bCs/>
                <w:color w:val="FFFFFF"/>
                <w:sz w:val="20"/>
              </w:rPr>
              <w:t>Veřejné zdroje FN po odečtení MCF, ztrát a grantů  (mil. CZK)</w:t>
            </w:r>
          </w:p>
        </w:tc>
        <w:tc>
          <w:tcPr>
            <w:tcW w:w="1760" w:type="dxa"/>
            <w:tcBorders>
              <w:top w:val="nil"/>
              <w:left w:val="nil"/>
              <w:bottom w:val="nil"/>
              <w:right w:val="nil"/>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77</w:t>
            </w:r>
          </w:p>
        </w:tc>
        <w:tc>
          <w:tcPr>
            <w:tcW w:w="1540" w:type="dxa"/>
            <w:tcBorders>
              <w:top w:val="nil"/>
              <w:left w:val="single" w:sz="8" w:space="0" w:color="auto"/>
              <w:bottom w:val="nil"/>
              <w:right w:val="single" w:sz="8" w:space="0" w:color="auto"/>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132</w:t>
            </w:r>
          </w:p>
        </w:tc>
      </w:tr>
      <w:tr w:rsidR="002A667A" w:rsidRPr="00256406" w:rsidTr="00B37E7F">
        <w:trPr>
          <w:trHeight w:val="525"/>
        </w:trPr>
        <w:tc>
          <w:tcPr>
            <w:tcW w:w="2040" w:type="dxa"/>
            <w:vMerge/>
            <w:tcBorders>
              <w:top w:val="nil"/>
              <w:left w:val="single" w:sz="8" w:space="0" w:color="auto"/>
              <w:bottom w:val="nil"/>
              <w:right w:val="nil"/>
            </w:tcBorders>
            <w:vAlign w:val="center"/>
          </w:tcPr>
          <w:p w:rsidR="002A667A" w:rsidRPr="00256406" w:rsidRDefault="002A667A" w:rsidP="00B37E7F">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2A667A" w:rsidRPr="00256406" w:rsidRDefault="002A667A" w:rsidP="00B37E7F">
            <w:pPr>
              <w:jc w:val="center"/>
              <w:rPr>
                <w:rFonts w:cs="Calibri"/>
                <w:b/>
                <w:bCs/>
                <w:color w:val="FFFFFF"/>
                <w:sz w:val="20"/>
              </w:rPr>
            </w:pPr>
            <w:r w:rsidRPr="00256406">
              <w:rPr>
                <w:rFonts w:cs="Calibri"/>
                <w:b/>
                <w:bCs/>
                <w:color w:val="FFFFFF"/>
                <w:sz w:val="20"/>
              </w:rPr>
              <w:t>Pákový efekt na projektech konečných příjemců</w:t>
            </w:r>
          </w:p>
        </w:tc>
        <w:tc>
          <w:tcPr>
            <w:tcW w:w="1760" w:type="dxa"/>
            <w:tcBorders>
              <w:top w:val="nil"/>
              <w:left w:val="nil"/>
              <w:bottom w:val="nil"/>
              <w:right w:val="nil"/>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2,0</w:t>
            </w:r>
          </w:p>
        </w:tc>
        <w:tc>
          <w:tcPr>
            <w:tcW w:w="1540" w:type="dxa"/>
            <w:tcBorders>
              <w:top w:val="nil"/>
              <w:left w:val="single" w:sz="8" w:space="0" w:color="auto"/>
              <w:bottom w:val="nil"/>
              <w:right w:val="single" w:sz="8" w:space="0" w:color="auto"/>
            </w:tcBorders>
            <w:shd w:val="clear" w:color="000000" w:fill="DAEEF3"/>
            <w:noWrap/>
            <w:vAlign w:val="bottom"/>
          </w:tcPr>
          <w:p w:rsidR="002A667A" w:rsidRPr="00256406" w:rsidRDefault="002A667A" w:rsidP="00B37E7F">
            <w:pPr>
              <w:jc w:val="right"/>
              <w:rPr>
                <w:rFonts w:cs="Calibri"/>
                <w:color w:val="000000"/>
                <w:szCs w:val="22"/>
              </w:rPr>
            </w:pPr>
            <w:r w:rsidRPr="00256406">
              <w:rPr>
                <w:rFonts w:cs="Calibri"/>
                <w:color w:val="000000"/>
                <w:szCs w:val="22"/>
              </w:rPr>
              <w:t>3,0</w:t>
            </w:r>
          </w:p>
        </w:tc>
      </w:tr>
      <w:tr w:rsidR="002A667A" w:rsidRPr="00256406" w:rsidTr="00B37E7F">
        <w:trPr>
          <w:trHeight w:val="525"/>
        </w:trPr>
        <w:tc>
          <w:tcPr>
            <w:tcW w:w="2040" w:type="dxa"/>
            <w:vMerge/>
            <w:tcBorders>
              <w:top w:val="nil"/>
              <w:left w:val="single" w:sz="8" w:space="0" w:color="auto"/>
              <w:bottom w:val="nil"/>
              <w:right w:val="nil"/>
            </w:tcBorders>
            <w:vAlign w:val="center"/>
          </w:tcPr>
          <w:p w:rsidR="002A667A" w:rsidRPr="00256406" w:rsidRDefault="002A667A" w:rsidP="00B37E7F">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2A667A" w:rsidRPr="00256406" w:rsidRDefault="002A667A" w:rsidP="00B37E7F">
            <w:pPr>
              <w:jc w:val="center"/>
              <w:rPr>
                <w:rFonts w:cs="Calibri"/>
                <w:b/>
                <w:bCs/>
                <w:color w:val="FFFFFF"/>
                <w:sz w:val="20"/>
              </w:rPr>
            </w:pPr>
            <w:r w:rsidRPr="00256406">
              <w:rPr>
                <w:rFonts w:cs="Calibri"/>
                <w:b/>
                <w:bCs/>
                <w:color w:val="FFFFFF"/>
                <w:sz w:val="20"/>
              </w:rPr>
              <w:t>Celkové návratné zdroje na projekty konečných příjemců  (mil. CZK)</w:t>
            </w:r>
          </w:p>
        </w:tc>
        <w:tc>
          <w:tcPr>
            <w:tcW w:w="1760" w:type="dxa"/>
            <w:tcBorders>
              <w:top w:val="nil"/>
              <w:left w:val="nil"/>
              <w:bottom w:val="nil"/>
              <w:right w:val="nil"/>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150</w:t>
            </w:r>
          </w:p>
        </w:tc>
        <w:tc>
          <w:tcPr>
            <w:tcW w:w="1540" w:type="dxa"/>
            <w:tcBorders>
              <w:top w:val="nil"/>
              <w:left w:val="single" w:sz="8" w:space="0" w:color="auto"/>
              <w:bottom w:val="nil"/>
              <w:right w:val="single" w:sz="8" w:space="0" w:color="auto"/>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400</w:t>
            </w:r>
          </w:p>
        </w:tc>
      </w:tr>
      <w:tr w:rsidR="002A667A" w:rsidRPr="00256406" w:rsidTr="00B37E7F">
        <w:trPr>
          <w:trHeight w:val="525"/>
        </w:trPr>
        <w:tc>
          <w:tcPr>
            <w:tcW w:w="2040" w:type="dxa"/>
            <w:vMerge/>
            <w:tcBorders>
              <w:top w:val="nil"/>
              <w:left w:val="single" w:sz="8" w:space="0" w:color="auto"/>
              <w:bottom w:val="nil"/>
              <w:right w:val="nil"/>
            </w:tcBorders>
            <w:vAlign w:val="center"/>
          </w:tcPr>
          <w:p w:rsidR="002A667A" w:rsidRPr="00256406" w:rsidRDefault="002A667A" w:rsidP="00B37E7F">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2A667A" w:rsidRPr="00256406" w:rsidRDefault="002A667A" w:rsidP="00B37E7F">
            <w:pPr>
              <w:jc w:val="center"/>
              <w:rPr>
                <w:rFonts w:cs="Calibri"/>
                <w:b/>
                <w:bCs/>
                <w:color w:val="FFFFFF"/>
                <w:sz w:val="20"/>
              </w:rPr>
            </w:pPr>
            <w:r w:rsidRPr="00256406">
              <w:rPr>
                <w:rFonts w:cs="Calibri"/>
                <w:b/>
                <w:bCs/>
                <w:color w:val="FFFFFF"/>
                <w:sz w:val="20"/>
              </w:rPr>
              <w:t>Průměrná výše úvěru/ investice konečného příjemce  (mil. CZK)</w:t>
            </w:r>
          </w:p>
        </w:tc>
        <w:tc>
          <w:tcPr>
            <w:tcW w:w="1760" w:type="dxa"/>
            <w:tcBorders>
              <w:top w:val="nil"/>
              <w:left w:val="nil"/>
              <w:bottom w:val="nil"/>
              <w:right w:val="nil"/>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17</w:t>
            </w:r>
          </w:p>
        </w:tc>
        <w:tc>
          <w:tcPr>
            <w:tcW w:w="1540" w:type="dxa"/>
            <w:tcBorders>
              <w:top w:val="nil"/>
              <w:left w:val="single" w:sz="8" w:space="0" w:color="auto"/>
              <w:bottom w:val="nil"/>
              <w:right w:val="single" w:sz="8" w:space="0" w:color="auto"/>
            </w:tcBorders>
            <w:shd w:val="clear" w:color="000000" w:fill="DAEEF3"/>
            <w:noWrap/>
            <w:vAlign w:val="bottom"/>
          </w:tcPr>
          <w:p w:rsidR="002A667A" w:rsidRPr="00256406" w:rsidRDefault="002A667A" w:rsidP="00B37E7F">
            <w:pPr>
              <w:jc w:val="right"/>
              <w:rPr>
                <w:rFonts w:cs="Calibri"/>
                <w:color w:val="000000"/>
                <w:szCs w:val="22"/>
              </w:rPr>
            </w:pPr>
            <w:r w:rsidRPr="00256406">
              <w:rPr>
                <w:rFonts w:cs="Calibri"/>
                <w:color w:val="000000"/>
                <w:szCs w:val="22"/>
              </w:rPr>
              <w:t>23</w:t>
            </w:r>
          </w:p>
        </w:tc>
      </w:tr>
      <w:tr w:rsidR="002A667A" w:rsidRPr="00256406" w:rsidTr="00B37E7F">
        <w:trPr>
          <w:trHeight w:val="315"/>
        </w:trPr>
        <w:tc>
          <w:tcPr>
            <w:tcW w:w="2040" w:type="dxa"/>
            <w:vMerge/>
            <w:tcBorders>
              <w:top w:val="nil"/>
              <w:left w:val="single" w:sz="8" w:space="0" w:color="auto"/>
              <w:bottom w:val="nil"/>
              <w:right w:val="nil"/>
            </w:tcBorders>
            <w:vAlign w:val="center"/>
          </w:tcPr>
          <w:p w:rsidR="002A667A" w:rsidRPr="00256406" w:rsidRDefault="002A667A" w:rsidP="00B37E7F">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2A667A" w:rsidRPr="00256406" w:rsidRDefault="002A667A" w:rsidP="00B37E7F">
            <w:pPr>
              <w:jc w:val="center"/>
              <w:rPr>
                <w:rFonts w:cs="Calibri"/>
                <w:b/>
                <w:bCs/>
                <w:color w:val="FFFFFF"/>
                <w:sz w:val="20"/>
              </w:rPr>
            </w:pPr>
            <w:r w:rsidRPr="00256406">
              <w:rPr>
                <w:rFonts w:cs="Calibri"/>
                <w:b/>
                <w:bCs/>
                <w:color w:val="FFFFFF"/>
                <w:sz w:val="20"/>
              </w:rPr>
              <w:t>Počet projektů konečných příjemců</w:t>
            </w:r>
          </w:p>
        </w:tc>
        <w:tc>
          <w:tcPr>
            <w:tcW w:w="1760" w:type="dxa"/>
            <w:tcBorders>
              <w:top w:val="nil"/>
              <w:left w:val="nil"/>
              <w:bottom w:val="nil"/>
              <w:right w:val="nil"/>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9</w:t>
            </w:r>
          </w:p>
        </w:tc>
        <w:tc>
          <w:tcPr>
            <w:tcW w:w="1540" w:type="dxa"/>
            <w:tcBorders>
              <w:top w:val="nil"/>
              <w:left w:val="single" w:sz="8" w:space="0" w:color="auto"/>
              <w:bottom w:val="nil"/>
              <w:right w:val="single" w:sz="8" w:space="0" w:color="auto"/>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17</w:t>
            </w:r>
          </w:p>
        </w:tc>
      </w:tr>
      <w:tr w:rsidR="002A667A" w:rsidRPr="00256406" w:rsidTr="00B37E7F">
        <w:trPr>
          <w:trHeight w:val="525"/>
        </w:trPr>
        <w:tc>
          <w:tcPr>
            <w:tcW w:w="2040" w:type="dxa"/>
            <w:vMerge w:val="restart"/>
            <w:tcBorders>
              <w:top w:val="nil"/>
              <w:left w:val="single" w:sz="8" w:space="0" w:color="auto"/>
              <w:bottom w:val="single" w:sz="8" w:space="0" w:color="000000"/>
              <w:right w:val="single" w:sz="8" w:space="0" w:color="auto"/>
            </w:tcBorders>
            <w:noWrap/>
            <w:vAlign w:val="center"/>
          </w:tcPr>
          <w:p w:rsidR="002A667A" w:rsidRPr="00256406" w:rsidRDefault="002A667A" w:rsidP="00B37E7F">
            <w:pPr>
              <w:jc w:val="center"/>
              <w:rPr>
                <w:rFonts w:cs="Calibri"/>
                <w:b/>
                <w:bCs/>
                <w:color w:val="000000"/>
                <w:szCs w:val="22"/>
              </w:rPr>
            </w:pPr>
            <w:r w:rsidRPr="00256406">
              <w:rPr>
                <w:rFonts w:cs="Calibri"/>
                <w:b/>
                <w:bCs/>
                <w:color w:val="000000"/>
                <w:szCs w:val="22"/>
              </w:rPr>
              <w:t>CELKEM 2015-2023</w:t>
            </w:r>
          </w:p>
        </w:tc>
        <w:tc>
          <w:tcPr>
            <w:tcW w:w="3280" w:type="dxa"/>
            <w:tcBorders>
              <w:top w:val="nil"/>
              <w:left w:val="nil"/>
              <w:bottom w:val="single" w:sz="8" w:space="0" w:color="auto"/>
              <w:right w:val="single" w:sz="8" w:space="0" w:color="auto"/>
            </w:tcBorders>
            <w:shd w:val="clear" w:color="000000" w:fill="538DD5"/>
            <w:vAlign w:val="center"/>
          </w:tcPr>
          <w:p w:rsidR="002A667A" w:rsidRPr="00256406" w:rsidRDefault="002A667A" w:rsidP="00B37E7F">
            <w:pPr>
              <w:jc w:val="center"/>
              <w:rPr>
                <w:rFonts w:cs="Calibri"/>
                <w:b/>
                <w:bCs/>
                <w:color w:val="FFFFFF"/>
                <w:sz w:val="20"/>
              </w:rPr>
            </w:pPr>
            <w:r w:rsidRPr="00256406">
              <w:rPr>
                <w:rFonts w:cs="Calibri"/>
                <w:b/>
                <w:bCs/>
                <w:color w:val="FFFFFF"/>
                <w:sz w:val="20"/>
              </w:rPr>
              <w:t>Celkové návratné zdroje na projekty konečných příjemců  (mil. CZK)</w:t>
            </w:r>
          </w:p>
        </w:tc>
        <w:tc>
          <w:tcPr>
            <w:tcW w:w="1760" w:type="dxa"/>
            <w:tcBorders>
              <w:top w:val="nil"/>
              <w:left w:val="nil"/>
              <w:bottom w:val="nil"/>
              <w:right w:val="nil"/>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594</w:t>
            </w:r>
          </w:p>
        </w:tc>
        <w:tc>
          <w:tcPr>
            <w:tcW w:w="1540" w:type="dxa"/>
            <w:tcBorders>
              <w:top w:val="nil"/>
              <w:left w:val="single" w:sz="8" w:space="0" w:color="auto"/>
              <w:bottom w:val="nil"/>
              <w:right w:val="single" w:sz="8" w:space="0" w:color="auto"/>
            </w:tcBorders>
            <w:shd w:val="clear" w:color="000000" w:fill="DAEEF3"/>
            <w:noWrap/>
            <w:vAlign w:val="bottom"/>
          </w:tcPr>
          <w:p w:rsidR="002A667A" w:rsidRPr="00256406" w:rsidRDefault="002A667A" w:rsidP="00B37E7F">
            <w:pPr>
              <w:jc w:val="right"/>
              <w:rPr>
                <w:rFonts w:cs="Calibri"/>
                <w:color w:val="000000"/>
                <w:szCs w:val="22"/>
              </w:rPr>
            </w:pPr>
            <w:r w:rsidRPr="00256406">
              <w:rPr>
                <w:rFonts w:cs="Calibri"/>
                <w:color w:val="000000"/>
                <w:szCs w:val="22"/>
              </w:rPr>
              <w:t>1700</w:t>
            </w:r>
          </w:p>
        </w:tc>
      </w:tr>
      <w:tr w:rsidR="002A667A" w:rsidRPr="00256406" w:rsidTr="00B37E7F">
        <w:trPr>
          <w:trHeight w:val="315"/>
        </w:trPr>
        <w:tc>
          <w:tcPr>
            <w:tcW w:w="2040" w:type="dxa"/>
            <w:vMerge/>
            <w:tcBorders>
              <w:top w:val="nil"/>
              <w:left w:val="single" w:sz="8" w:space="0" w:color="auto"/>
              <w:bottom w:val="single" w:sz="8" w:space="0" w:color="000000"/>
              <w:right w:val="single" w:sz="8" w:space="0" w:color="auto"/>
            </w:tcBorders>
            <w:vAlign w:val="center"/>
          </w:tcPr>
          <w:p w:rsidR="002A667A" w:rsidRPr="00256406" w:rsidRDefault="002A667A" w:rsidP="00B37E7F">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2A667A" w:rsidRPr="00256406" w:rsidRDefault="002A667A" w:rsidP="00B37E7F">
            <w:pPr>
              <w:jc w:val="center"/>
              <w:rPr>
                <w:rFonts w:cs="Calibri"/>
                <w:b/>
                <w:bCs/>
                <w:color w:val="FFFFFF"/>
                <w:sz w:val="20"/>
              </w:rPr>
            </w:pPr>
            <w:r w:rsidRPr="00256406">
              <w:rPr>
                <w:rFonts w:cs="Calibri"/>
                <w:b/>
                <w:bCs/>
                <w:color w:val="FFFFFF"/>
                <w:sz w:val="20"/>
              </w:rPr>
              <w:t>Celkové soukromé zdroje  (mil. CZK)</w:t>
            </w:r>
          </w:p>
        </w:tc>
        <w:tc>
          <w:tcPr>
            <w:tcW w:w="1760" w:type="dxa"/>
            <w:tcBorders>
              <w:top w:val="nil"/>
              <w:left w:val="nil"/>
              <w:bottom w:val="nil"/>
              <w:right w:val="nil"/>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300</w:t>
            </w:r>
          </w:p>
        </w:tc>
        <w:tc>
          <w:tcPr>
            <w:tcW w:w="1540" w:type="dxa"/>
            <w:tcBorders>
              <w:top w:val="nil"/>
              <w:left w:val="single" w:sz="8" w:space="0" w:color="auto"/>
              <w:bottom w:val="nil"/>
              <w:right w:val="single" w:sz="8" w:space="0" w:color="auto"/>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1150</w:t>
            </w:r>
          </w:p>
        </w:tc>
      </w:tr>
      <w:tr w:rsidR="002A667A" w:rsidRPr="00256406" w:rsidTr="00B37E7F">
        <w:trPr>
          <w:trHeight w:val="315"/>
        </w:trPr>
        <w:tc>
          <w:tcPr>
            <w:tcW w:w="2040" w:type="dxa"/>
            <w:vMerge/>
            <w:tcBorders>
              <w:top w:val="nil"/>
              <w:left w:val="single" w:sz="8" w:space="0" w:color="auto"/>
              <w:bottom w:val="single" w:sz="8" w:space="0" w:color="000000"/>
              <w:right w:val="single" w:sz="8" w:space="0" w:color="auto"/>
            </w:tcBorders>
            <w:vAlign w:val="center"/>
          </w:tcPr>
          <w:p w:rsidR="002A667A" w:rsidRPr="00256406" w:rsidRDefault="002A667A" w:rsidP="00B37E7F">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2A667A" w:rsidRPr="00256406" w:rsidRDefault="002A667A" w:rsidP="00B37E7F">
            <w:pPr>
              <w:jc w:val="center"/>
              <w:rPr>
                <w:rFonts w:cs="Calibri"/>
                <w:b/>
                <w:bCs/>
                <w:color w:val="FFFFFF"/>
                <w:sz w:val="20"/>
              </w:rPr>
            </w:pPr>
            <w:r w:rsidRPr="00256406">
              <w:rPr>
                <w:rFonts w:cs="Calibri"/>
                <w:b/>
                <w:bCs/>
                <w:color w:val="FFFFFF"/>
                <w:sz w:val="20"/>
              </w:rPr>
              <w:t>Počet projektů konečných příjemců</w:t>
            </w:r>
          </w:p>
        </w:tc>
        <w:tc>
          <w:tcPr>
            <w:tcW w:w="1760" w:type="dxa"/>
            <w:tcBorders>
              <w:top w:val="nil"/>
              <w:left w:val="nil"/>
              <w:bottom w:val="single" w:sz="8" w:space="0" w:color="auto"/>
              <w:right w:val="nil"/>
            </w:tcBorders>
            <w:noWrap/>
            <w:vAlign w:val="bottom"/>
          </w:tcPr>
          <w:p w:rsidR="002A667A" w:rsidRPr="00256406" w:rsidRDefault="002A667A" w:rsidP="00B37E7F">
            <w:pPr>
              <w:jc w:val="right"/>
              <w:rPr>
                <w:rFonts w:cs="Calibri"/>
                <w:color w:val="000000"/>
                <w:szCs w:val="22"/>
              </w:rPr>
            </w:pPr>
            <w:r w:rsidRPr="00256406">
              <w:rPr>
                <w:rFonts w:cs="Calibri"/>
                <w:color w:val="000000"/>
                <w:szCs w:val="22"/>
              </w:rPr>
              <w:t>36</w:t>
            </w:r>
          </w:p>
        </w:tc>
        <w:tc>
          <w:tcPr>
            <w:tcW w:w="1540" w:type="dxa"/>
            <w:tcBorders>
              <w:top w:val="nil"/>
              <w:left w:val="single" w:sz="8" w:space="0" w:color="auto"/>
              <w:bottom w:val="single" w:sz="8" w:space="0" w:color="auto"/>
              <w:right w:val="single" w:sz="8" w:space="0" w:color="auto"/>
            </w:tcBorders>
            <w:shd w:val="clear" w:color="000000" w:fill="DAEEF3"/>
            <w:noWrap/>
            <w:vAlign w:val="bottom"/>
          </w:tcPr>
          <w:p w:rsidR="002A667A" w:rsidRPr="00256406" w:rsidRDefault="002A667A" w:rsidP="00B37E7F">
            <w:pPr>
              <w:jc w:val="right"/>
              <w:rPr>
                <w:rFonts w:cs="Calibri"/>
                <w:color w:val="000000"/>
                <w:szCs w:val="22"/>
              </w:rPr>
            </w:pPr>
            <w:r w:rsidRPr="00256406">
              <w:rPr>
                <w:rFonts w:cs="Calibri"/>
                <w:color w:val="000000"/>
                <w:szCs w:val="22"/>
              </w:rPr>
              <w:t>75</w:t>
            </w:r>
          </w:p>
        </w:tc>
      </w:tr>
    </w:tbl>
    <w:p w:rsidR="002A667A" w:rsidRDefault="002A667A" w:rsidP="006638C9">
      <w:pPr>
        <w:rPr>
          <w:b/>
          <w:color w:val="00A1DE"/>
          <w:sz w:val="24"/>
          <w:szCs w:val="22"/>
        </w:rPr>
      </w:pPr>
    </w:p>
    <w:p w:rsidR="002A667A" w:rsidRPr="00B238E1" w:rsidRDefault="002A667A" w:rsidP="00F67071">
      <w:r w:rsidRPr="00B238E1">
        <w:t>Kromě kvantifikovaných přímých výsledků nástroje rizikového kapitálu je očekávaným výsledkem této podpory též celkové oživení investiční aktivity v oblasti rizikového kapitálu v ČR na straně příjemců i poskytovatelů. Předpokládá se zvýšení počtu aktivních soukromých investičních fondů, růst povědomí o rizikovém kapitálu ve společnosti i větší počet nadějných nových projektů. Pro zvýšení deal-flow je nezbytné provázání s kapitálovým nástrojem v oblasti 1.2 Proof-of-concept.</w:t>
      </w:r>
    </w:p>
    <w:p w:rsidR="002A667A" w:rsidRDefault="002A667A" w:rsidP="006638C9">
      <w:pPr>
        <w:jc w:val="left"/>
        <w:rPr>
          <w:noProof/>
        </w:rPr>
      </w:pPr>
    </w:p>
    <w:p w:rsidR="002A667A" w:rsidRDefault="002A667A" w:rsidP="006638C9">
      <w:pPr>
        <w:pStyle w:val="CaptionIntroductionparagraph"/>
      </w:pPr>
      <w:r>
        <w:t>SC 2.3</w:t>
      </w:r>
    </w:p>
    <w:p w:rsidR="002A667A" w:rsidRDefault="002A667A" w:rsidP="006638C9">
      <w:pPr>
        <w:pStyle w:val="BodyText1"/>
      </w:pPr>
    </w:p>
    <w:p w:rsidR="002A667A" w:rsidRPr="00D44CBE" w:rsidRDefault="00CD5174" w:rsidP="0046311C">
      <w:r w:rsidRPr="00D03ACF">
        <w:t>V</w:t>
      </w:r>
      <w:r>
        <w:t> modelu fungování úvěrového nástroje Deloitte Advisory abstrahuje</w:t>
      </w:r>
      <w:r>
        <w:t xml:space="preserve"> </w:t>
      </w:r>
      <w:r w:rsidRPr="00D03ACF">
        <w:t>od úrokového zisku</w:t>
      </w:r>
      <w:r>
        <w:t>, ztrát</w:t>
      </w:r>
      <w:r w:rsidRPr="00D03ACF">
        <w:t xml:space="preserve"> a poplatků za správu spolufinancujícího subjektu. </w:t>
      </w:r>
      <w:r>
        <w:t>Revolvingový efekt je znázorněn grafickou interpretací jako suma</w:t>
      </w:r>
      <w:r w:rsidRPr="00D03ACF">
        <w:t>prostředků, které by musel fond obdržet na konc</w:t>
      </w:r>
      <w:r w:rsidRPr="00D44CBE">
        <w:t>i primárního investičního cyklu, aby mohl realizovat sekundární investice, které financuje právě revolving.</w:t>
      </w:r>
      <w:r w:rsidRPr="00D44CBE">
        <w:t xml:space="preserve"> </w:t>
      </w:r>
      <w:r w:rsidR="002A667A" w:rsidRPr="00D44CBE">
        <w:t>Údaje v grafu jsou uvedeny v mil. Kč</w:t>
      </w:r>
      <w:r w:rsidR="003C72B2">
        <w:t xml:space="preserve"> </w:t>
      </w:r>
      <w:r w:rsidR="003C72B2">
        <w:t>na modelové alokace Deloitte Advisory</w:t>
      </w:r>
      <w:r w:rsidR="003C72B2">
        <w:t>.</w:t>
      </w:r>
    </w:p>
    <w:p w:rsidR="002A667A" w:rsidRDefault="00CD5174" w:rsidP="006638C9">
      <w:r>
        <w:rPr>
          <w:noProof/>
        </w:rPr>
        <w:drawing>
          <wp:inline distT="0" distB="0" distL="0" distR="0" wp14:anchorId="4B0AC153" wp14:editId="76A75F7F">
            <wp:extent cx="2971800" cy="1778208"/>
            <wp:effectExtent l="0" t="0" r="0" b="0"/>
            <wp:docPr id="33" name="Picture 1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5369" cy="1780343"/>
                    </a:xfrm>
                    <a:prstGeom prst="rect">
                      <a:avLst/>
                    </a:prstGeom>
                    <a:noFill/>
                    <a:ln>
                      <a:noFill/>
                    </a:ln>
                  </pic:spPr>
                </pic:pic>
              </a:graphicData>
            </a:graphic>
          </wp:inline>
        </w:drawing>
      </w:r>
    </w:p>
    <w:p w:rsidR="002A667A" w:rsidRPr="00D03ACF" w:rsidRDefault="002A667A" w:rsidP="006638C9">
      <w:pPr>
        <w:pStyle w:val="Nadpis2"/>
        <w:keepLines w:val="0"/>
        <w:numPr>
          <w:ilvl w:val="1"/>
          <w:numId w:val="48"/>
        </w:numPr>
        <w:overflowPunct/>
        <w:autoSpaceDE/>
        <w:autoSpaceDN/>
        <w:adjustRightInd/>
        <w:spacing w:before="240"/>
        <w:ind w:left="578" w:hanging="578"/>
        <w:jc w:val="left"/>
        <w:textAlignment w:val="auto"/>
      </w:pPr>
      <w:r w:rsidRPr="00D03ACF">
        <w:br w:type="page"/>
      </w:r>
      <w:bookmarkStart w:id="29" w:name="_Toc414464609"/>
      <w:r w:rsidRPr="00D03ACF">
        <w:lastRenderedPageBreak/>
        <w:t>Prioritní osa 3</w:t>
      </w:r>
      <w:bookmarkEnd w:id="29"/>
    </w:p>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30" w:name="_Toc414464610"/>
      <w:r w:rsidRPr="00D03ACF">
        <w:t>Odůvodnění volby oblasti podpory a návrhu nástroje</w:t>
      </w:r>
      <w:bookmarkEnd w:id="30"/>
    </w:p>
    <w:p w:rsidR="002A667A" w:rsidRPr="00D03ACF" w:rsidRDefault="002A667A" w:rsidP="006638C9">
      <w:pPr>
        <w:rPr>
          <w:b/>
          <w:color w:val="00A1DE"/>
          <w:sz w:val="24"/>
          <w:szCs w:val="22"/>
        </w:rPr>
      </w:pPr>
      <w:r w:rsidRPr="00D03ACF">
        <w:rPr>
          <w:b/>
          <w:color w:val="00A1DE"/>
          <w:sz w:val="24"/>
          <w:szCs w:val="22"/>
        </w:rPr>
        <w:t>SC 3.1</w:t>
      </w:r>
    </w:p>
    <w:p w:rsidR="002A667A" w:rsidRPr="00D03ACF" w:rsidRDefault="002A667A" w:rsidP="006638C9">
      <w:pPr>
        <w:rPr>
          <w:b/>
          <w:color w:val="00A1DE"/>
          <w:sz w:val="24"/>
          <w:szCs w:val="22"/>
        </w:rPr>
      </w:pPr>
    </w:p>
    <w:p w:rsidR="002A667A" w:rsidRDefault="002A667A" w:rsidP="00F67071">
      <w:r w:rsidRPr="00D03ACF">
        <w:t xml:space="preserve">Dle tržní analýzy sektoru obnovitelných zdrojů energie (OZE) a vyhodnocení dotazníkového šetření potencionálních investičních projektů v sledované oblasti vykazuje specifický cíl </w:t>
      </w:r>
      <w:r w:rsidRPr="00D03ACF">
        <w:rPr>
          <w:b/>
        </w:rPr>
        <w:t>3.1 – “</w:t>
      </w:r>
      <w:r w:rsidRPr="00D03ACF">
        <w:rPr>
          <w:rFonts w:cs="Arial"/>
          <w:b/>
          <w:szCs w:val="19"/>
        </w:rPr>
        <w:t>Zvýšit podíl výroby energie z obnovitelných zdrojů na hrubé konečné spotřebě ČR</w:t>
      </w:r>
      <w:r w:rsidRPr="00D03ACF">
        <w:rPr>
          <w:b/>
        </w:rPr>
        <w:t xml:space="preserve">“ </w:t>
      </w:r>
      <w:r w:rsidRPr="00D03ACF">
        <w:t>částečný potenciál pro zapojení finančních nástrojů. Hlavním problémem je mnohonásobně vyšší poptávka po zdrojích</w:t>
      </w:r>
      <w:r>
        <w:t>. Zájem o financování je větší,</w:t>
      </w:r>
      <w:r w:rsidRPr="00D03ACF">
        <w:t xml:space="preserve"> než ochota finančních institucí financovat plánované projekty v dané oblasti. Z důvodu existence domácích veřejných dotačních programů na podporu výroby energii došlo k zúžení cílových projektů pouze na malé vodní elektrárny (MVE), instalaci kogenerační jednotky (KJ) do bioplynových stanic (BPS) a rekonstrukci a výstavbu zdrojů tepla</w:t>
      </w:r>
      <w:r>
        <w:t>.</w:t>
      </w:r>
      <w:r w:rsidRPr="00D03ACF">
        <w:t xml:space="preserve"> Zúžení zaměření specifického cíle vyplývá z kontextu zabránění konfliktu mezi zahraniční a domácí veřejnou podporou. Veřejná podpora sama o s</w:t>
      </w:r>
      <w:r>
        <w:t>obě</w:t>
      </w:r>
      <w:r w:rsidRPr="00D03ACF">
        <w:t xml:space="preserve"> je znásobená regulací výš</w:t>
      </w:r>
      <w:r>
        <w:t>e</w:t>
      </w:r>
      <w:r w:rsidRPr="00D03ACF">
        <w:t xml:space="preserve"> výkupních cen z</w:t>
      </w:r>
      <w:r>
        <w:t> </w:t>
      </w:r>
      <w:r w:rsidRPr="00D03ACF">
        <w:t>OZE</w:t>
      </w:r>
      <w:r>
        <w:t>, což</w:t>
      </w:r>
      <w:r w:rsidRPr="00D03ACF">
        <w:t xml:space="preserve"> nemotivuje subjekty investovat do rozšíření nebo zefektivnění produkce energií.</w:t>
      </w:r>
    </w:p>
    <w:p w:rsidR="002A667A" w:rsidRPr="00D03ACF" w:rsidRDefault="002A667A" w:rsidP="006638C9">
      <w:pPr>
        <w:pStyle w:val="BodyText1"/>
        <w:jc w:val="both"/>
      </w:pPr>
    </w:p>
    <w:p w:rsidR="002A667A" w:rsidRDefault="002A667A" w:rsidP="00F67071">
      <w:r w:rsidRPr="00D03ACF">
        <w:t xml:space="preserve">Výsledky dotazníkového šetření </w:t>
      </w:r>
      <w:r>
        <w:t>poukazují</w:t>
      </w:r>
      <w:r w:rsidRPr="00D03ACF">
        <w:t xml:space="preserve"> na fakt, že pouze 12 % subjektů je ochotných realizovat investici bez nějaké formy veřejné podpory. K </w:t>
      </w:r>
      <w:r>
        <w:t>problémům na</w:t>
      </w:r>
      <w:r w:rsidRPr="00D03ACF">
        <w:t xml:space="preserve"> trhu dochází </w:t>
      </w:r>
      <w:r>
        <w:t xml:space="preserve">dle výsledků šetření </w:t>
      </w:r>
      <w:r w:rsidRPr="00D03ACF">
        <w:t>v</w:t>
      </w:r>
      <w:r>
        <w:t xml:space="preserve">e </w:t>
      </w:r>
      <w:r w:rsidRPr="00D03ACF">
        <w:t>dvou oblastech a to:</w:t>
      </w:r>
    </w:p>
    <w:p w:rsidR="002A667A" w:rsidRPr="00D03ACF" w:rsidRDefault="002A667A" w:rsidP="00D44CBE">
      <w:pPr>
        <w:pStyle w:val="Odstavecseseznamem"/>
        <w:numPr>
          <w:ilvl w:val="0"/>
          <w:numId w:val="104"/>
        </w:numPr>
      </w:pPr>
      <w:r w:rsidRPr="00D03ACF">
        <w:t>vysoké náklady na energetický audit a tím pádem nedostatek informaci pro financující subjekty ohledně výše úspor,</w:t>
      </w:r>
    </w:p>
    <w:p w:rsidR="002A667A" w:rsidRPr="00D03ACF" w:rsidRDefault="002A667A" w:rsidP="00D44CBE">
      <w:pPr>
        <w:pStyle w:val="Odstavecseseznamem"/>
        <w:numPr>
          <w:ilvl w:val="0"/>
          <w:numId w:val="104"/>
        </w:numPr>
      </w:pPr>
      <w:r w:rsidRPr="00D03ACF">
        <w:t>nejistota dosažení požadovaných úspor nebo výkonu a z toho vypl</w:t>
      </w:r>
      <w:r>
        <w:t>ý</w:t>
      </w:r>
      <w:r w:rsidRPr="00D03ACF">
        <w:t>vající možnost delší doby návratnosti investice.</w:t>
      </w:r>
    </w:p>
    <w:p w:rsidR="002A667A" w:rsidRPr="00D03ACF" w:rsidRDefault="002A667A" w:rsidP="006638C9">
      <w:pPr>
        <w:pStyle w:val="BodyText1"/>
        <w:jc w:val="both"/>
      </w:pPr>
    </w:p>
    <w:p w:rsidR="002A667A" w:rsidRDefault="002A667A" w:rsidP="00F67071">
      <w:r w:rsidRPr="00D03ACF">
        <w:t xml:space="preserve">Nehledě na dotaci </w:t>
      </w:r>
      <w:r>
        <w:t>na</w:t>
      </w:r>
      <w:r w:rsidRPr="00D03ACF">
        <w:t xml:space="preserve"> energetický audit, </w:t>
      </w:r>
      <w:r>
        <w:t>navrhuje Deloitte Advisory</w:t>
      </w:r>
      <w:r w:rsidRPr="00D03ACF">
        <w:t xml:space="preserve"> klíč pro alokaci úvěrového finančního nástroje pro MVE a BPS postavit</w:t>
      </w:r>
      <w:r>
        <w:t xml:space="preserve"> na očekávaném výkonu MVE a</w:t>
      </w:r>
      <w:r w:rsidRPr="00D03ACF">
        <w:t xml:space="preserve"> na výši energetických úspor a z toho vypočtené profitabilitě a době návratnosti</w:t>
      </w:r>
      <w:r>
        <w:t xml:space="preserve"> v případě BPS</w:t>
      </w:r>
      <w:r w:rsidRPr="00D03ACF">
        <w:t>.</w:t>
      </w:r>
      <w:r>
        <w:t xml:space="preserve"> Na</w:t>
      </w:r>
      <w:r w:rsidRPr="00D03ACF">
        <w:t xml:space="preserve"> modernizaci a výstavbu zdrojů tepla navrhuje</w:t>
      </w:r>
      <w:r>
        <w:t>me</w:t>
      </w:r>
      <w:r w:rsidRPr="00D03ACF">
        <w:t xml:space="preserve"> ponechat dotační tituly na všechny projekty, kromě těch, které jsou kombinac</w:t>
      </w:r>
      <w:r>
        <w:t>í</w:t>
      </w:r>
      <w:r w:rsidRPr="00D03ACF">
        <w:t xml:space="preserve"> výstavby KJ a zároveň vývodu tepla do okolí v maximální vzdálenosti 1 km.</w:t>
      </w:r>
    </w:p>
    <w:p w:rsidR="0068631B" w:rsidRDefault="0068631B" w:rsidP="00F67071"/>
    <w:p w:rsidR="0068631B" w:rsidRDefault="0068631B" w:rsidP="00F67071">
      <w:r>
        <w:t>Obzvláštní potenciál pro finanční nástroj zvýhodněných úvěrů spatřujeme u MVE, kde existuje v případě investiční podpory operačního programu konflikt s provozní podporou na výkupní ceny elektřiny, který zabraňuje efektivní podpoře dotacemi. I v případě finančního nástroje však tento konflikt trvá, byť se taková kombinace jeví mnohem účelnější, než v případě dotací. Má-li mít tedy podpora v této oblasti vůbec efektivní absorpční kapacitu, musí být v pravidlech operačního programu povoleno finanční nástroj s provozní podporou účelně kombinovat.</w:t>
      </w:r>
    </w:p>
    <w:p w:rsidR="002A667A" w:rsidRPr="00D03ACF" w:rsidRDefault="002A667A" w:rsidP="006638C9">
      <w:pPr>
        <w:pStyle w:val="BodyText1"/>
        <w:jc w:val="both"/>
      </w:pPr>
    </w:p>
    <w:p w:rsidR="002A667A" w:rsidRPr="00D03ACF" w:rsidRDefault="002A667A" w:rsidP="006638C9">
      <w:pPr>
        <w:rPr>
          <w:b/>
          <w:color w:val="00A1DE"/>
          <w:sz w:val="24"/>
          <w:szCs w:val="22"/>
        </w:rPr>
      </w:pPr>
      <w:r w:rsidRPr="00D03ACF">
        <w:rPr>
          <w:b/>
          <w:color w:val="00A1DE"/>
          <w:sz w:val="24"/>
          <w:szCs w:val="22"/>
        </w:rPr>
        <w:t>SC 3.2</w:t>
      </w:r>
    </w:p>
    <w:p w:rsidR="00700E8D" w:rsidRDefault="00700E8D" w:rsidP="006638C9"/>
    <w:p w:rsidR="002A667A" w:rsidRPr="00D03ACF" w:rsidRDefault="002A667A" w:rsidP="006638C9">
      <w:r w:rsidRPr="00D03ACF">
        <w:t>Z rozhovorů se zainteresovanými subjekty vyplynulo, že mechanismy financování investic do snížení energetické náročnosti podniků jsou poměrně vyspělé a efektivní, jako například Energy Performance Contracting</w:t>
      </w:r>
      <w:r>
        <w:t xml:space="preserve"> (EPC)</w:t>
      </w:r>
      <w:r w:rsidRPr="00D03ACF">
        <w:t xml:space="preserve">, skrze kterou se od přelomu milénia investice financují nejčastěji. Z analýzy dále plyne, že daná oblast místy netrpí nedostatkem finančních prostředků, ale spíše nezájmem potenciálních </w:t>
      </w:r>
      <w:r>
        <w:t>konečných příjemců</w:t>
      </w:r>
      <w:r w:rsidRPr="00D03ACF">
        <w:t xml:space="preserve">. Podniky s napjatým investičním schématem neupozadí kvůli energetickým opatřením plánovanou investici do rozvoje společnosti. Investice do úspor bude též neaktivní pro subjekty, jejichž cena kapitálu je vyšší než vnitřní výnosové procento investice. </w:t>
      </w:r>
    </w:p>
    <w:p w:rsidR="002A667A" w:rsidRPr="00D03ACF" w:rsidRDefault="002A667A" w:rsidP="006638C9"/>
    <w:p w:rsidR="002A667A" w:rsidRDefault="002A667A">
      <w:r>
        <w:t>Vzhledem k</w:t>
      </w:r>
      <w:r w:rsidR="00700E8D">
        <w:t xml:space="preserve"> relativně</w:t>
      </w:r>
      <w:r>
        <w:t xml:space="preserve"> k</w:t>
      </w:r>
      <w:r w:rsidRPr="00D03ACF">
        <w:t>rátk</w:t>
      </w:r>
      <w:r>
        <w:t>é</w:t>
      </w:r>
      <w:r w:rsidRPr="00D03ACF">
        <w:t xml:space="preserve"> dob</w:t>
      </w:r>
      <w:r>
        <w:t>ě</w:t>
      </w:r>
      <w:r w:rsidRPr="00D03ACF">
        <w:t xml:space="preserve"> návratnosti </w:t>
      </w:r>
      <w:r w:rsidR="00700E8D">
        <w:t xml:space="preserve">části </w:t>
      </w:r>
      <w:r w:rsidRPr="00D03ACF">
        <w:t xml:space="preserve">investic do energetických úspor </w:t>
      </w:r>
      <w:r>
        <w:t>navrhujeme</w:t>
      </w:r>
      <w:r w:rsidRPr="00D03ACF">
        <w:t xml:space="preserve"> možnost aplikovat </w:t>
      </w:r>
      <w:r w:rsidR="00700E8D">
        <w:t>návratnou</w:t>
      </w:r>
      <w:r w:rsidR="00700E8D">
        <w:t xml:space="preserve"> </w:t>
      </w:r>
      <w:r>
        <w:t>form</w:t>
      </w:r>
      <w:r w:rsidR="00700E8D">
        <w:t>u</w:t>
      </w:r>
      <w:r>
        <w:t xml:space="preserve"> podpory.</w:t>
      </w:r>
      <w:r w:rsidR="00700E8D">
        <w:t xml:space="preserve"> </w:t>
      </w:r>
      <w:r>
        <w:t>Konečn</w:t>
      </w:r>
      <w:r w:rsidR="00700E8D">
        <w:t>ými</w:t>
      </w:r>
      <w:r>
        <w:t xml:space="preserve"> příjemci žádající</w:t>
      </w:r>
      <w:r w:rsidR="00700E8D">
        <w:t>mi</w:t>
      </w:r>
      <w:r w:rsidRPr="00D03ACF">
        <w:t xml:space="preserve"> o financování budou </w:t>
      </w:r>
      <w:r w:rsidRPr="00D03ACF">
        <w:lastRenderedPageBreak/>
        <w:t>z povahy věci podniky, které disponují dlouhodobým hmotným majetkem a nebudou mít problém s ručením úvěru. Nejvhodnějším opatřením k motivaci subjektů realizovat investice do energetických úspor je úvěrový finanční nástroj, který subvencí úrokové sazby zvýší čistou současnou hodnotu potenciální investice a posune ji tak výše na žebříčku investičních priorit podniku</w:t>
      </w:r>
      <w:r w:rsidR="00700E8D">
        <w:t xml:space="preserve"> a zároveň sníží bariéry úvodního investičního rozhodování příspěvkem na energetický audit a přípravu projektu</w:t>
      </w:r>
      <w:r w:rsidRPr="00D03ACF">
        <w:t>.</w:t>
      </w:r>
    </w:p>
    <w:p w:rsidR="002A667A" w:rsidRPr="00D03ACF" w:rsidRDefault="002A667A" w:rsidP="006638C9"/>
    <w:p w:rsidR="002A667A" w:rsidRDefault="002A667A" w:rsidP="00F67071">
      <w:r w:rsidRPr="00D03ACF">
        <w:t xml:space="preserve">Úvěrový nástroj je návratnou formou podpory, částečně nenávratnou se stává pouze v případě defaultu úvěru. Administrace podpořených úvěrů bude plně v gesci spolufinancujícího subjektu, se kterým budou </w:t>
      </w:r>
      <w:r>
        <w:t>koneční příjemci</w:t>
      </w:r>
      <w:r w:rsidRPr="00D03ACF">
        <w:t xml:space="preserve"> vstupovat do přímého smluvního vztahu</w:t>
      </w:r>
      <w:r>
        <w:t>.</w:t>
      </w:r>
    </w:p>
    <w:p w:rsidR="000A6A79" w:rsidRDefault="000A6A79" w:rsidP="00F67071"/>
    <w:p w:rsidR="000A6A79" w:rsidRDefault="000A6A79" w:rsidP="000A6A79">
      <w:r>
        <w:t>Deloitte Advisory dále uvádí, že k výše specifikovanému návrhu finančních nástrojů úvěrového typu pro prioritní osu 3 nadále zvažuje zapojení paralelně poskytované menší dotační podpory</w:t>
      </w:r>
      <w:r>
        <w:t>. V tomto případě by navrhovalo využití až 100 % alokace SC 3.2 tímto způsobem</w:t>
      </w:r>
      <w:r>
        <w:t xml:space="preserve">. Protože </w:t>
      </w:r>
      <w:r>
        <w:t>praktická aplikovatelnost této kombinace se zatím jeví v současném legislativním rámci strukturálních fondů značně nejistá a velmi těžko proveditelná</w:t>
      </w:r>
      <w:r>
        <w:rPr>
          <w:rStyle w:val="Znakapoznpodarou"/>
        </w:rPr>
        <w:footnoteReference w:id="11"/>
      </w:r>
      <w:r>
        <w:t>, pracujeme primárně s</w:t>
      </w:r>
      <w:r>
        <w:t xml:space="preserve"> variantou </w:t>
      </w:r>
      <w:r>
        <w:t>paralelního odděleného fungování úvěrové a dotační podpory.</w:t>
      </w:r>
      <w:r>
        <w:t xml:space="preserve"> </w:t>
      </w:r>
    </w:p>
    <w:p w:rsidR="000A6A79" w:rsidRDefault="000A6A79" w:rsidP="000A6A79"/>
    <w:p w:rsidR="00082F41" w:rsidRDefault="00435382" w:rsidP="000A6A79">
      <w:r>
        <w:t>Pro účelné oddělení projektů podporovaných dotačně a finančním nástrojem, je v takovém případě nutné zavést jasná dělící kritéria</w:t>
      </w:r>
      <w:r w:rsidR="00082F41">
        <w:t>. Jednou z možností</w:t>
      </w:r>
      <w:r>
        <w:t xml:space="preserve"> </w:t>
      </w:r>
      <w:r w:rsidR="00082F41">
        <w:t xml:space="preserve">je klíč v podobě </w:t>
      </w:r>
      <w:r w:rsidR="000A6A79">
        <w:t>doby návratnosti, resp. vnitřního výnosového procenta (IRR) plánované investice. Projektům s IRR &gt; x % by byla nabídnuta možnost podpory skrze úvěrový finanční nástroj, zatímco projektům s IRR &lt; x % by byla nabídnuta možnost financování klasickou formou dotace.</w:t>
      </w:r>
      <w:r w:rsidR="000A6A79">
        <w:t xml:space="preserve"> </w:t>
      </w:r>
      <w:r w:rsidR="000A6A79" w:rsidRPr="008F0188">
        <w:t xml:space="preserve">Tento návrh je pouze předběžnou variantou možného klíče, která prochází další diskuzí a kritickým hodnocení přínosů, omezení a rizik. </w:t>
      </w:r>
      <w:r w:rsidR="00082F41">
        <w:t>Vychází z tržní reality, kdy se projekty energetických úspor s návratností cca nad 5 let v podnikatelském prostředí stávají neakceptovatelnými. S návratností se často pojí i komplexnost opatření a výše dosažených úspor</w:t>
      </w:r>
      <w:r w:rsidR="00A71B37">
        <w:t>, rozdělení tedy bude postaveno na principu výšší podpory pro více komplexní a déle návratné projekty.</w:t>
      </w:r>
    </w:p>
    <w:p w:rsidR="000A6A79" w:rsidRDefault="000A6A79" w:rsidP="00F67071"/>
    <w:p w:rsidR="002A667A" w:rsidRPr="00D03ACF" w:rsidRDefault="002A667A" w:rsidP="006638C9">
      <w:pPr>
        <w:pStyle w:val="BodyText1"/>
        <w:jc w:val="both"/>
      </w:pPr>
    </w:p>
    <w:p w:rsidR="002A667A" w:rsidRPr="00D03ACF" w:rsidRDefault="002A667A" w:rsidP="006638C9">
      <w:pPr>
        <w:rPr>
          <w:b/>
          <w:color w:val="00A1DE"/>
          <w:sz w:val="24"/>
          <w:szCs w:val="22"/>
        </w:rPr>
      </w:pPr>
      <w:r w:rsidRPr="00D03ACF">
        <w:rPr>
          <w:b/>
          <w:color w:val="00A1DE"/>
          <w:sz w:val="24"/>
          <w:szCs w:val="22"/>
        </w:rPr>
        <w:t>SC 3.5</w:t>
      </w:r>
    </w:p>
    <w:p w:rsidR="002A667A" w:rsidRPr="00D03ACF" w:rsidRDefault="002A667A" w:rsidP="006638C9">
      <w:pPr>
        <w:rPr>
          <w:b/>
          <w:color w:val="00A1DE"/>
          <w:sz w:val="24"/>
          <w:szCs w:val="22"/>
        </w:rPr>
      </w:pPr>
    </w:p>
    <w:p w:rsidR="002A667A" w:rsidRDefault="002A667A" w:rsidP="00F67071">
      <w:r>
        <w:t xml:space="preserve">Z diskuze se zainteresovanými subjekty, na základě tržní ex-ante analýzy a z dotazníkového šetření vyplynulo, že sektor soustav zásobování teplem (SZT) představuje obrovskou investiční potřebu (kolem 27. mld. Kč) v podobě nutnosti modernizace potrubní soustavy a souvisejících zařízení. Specifický cíl </w:t>
      </w:r>
      <w:r>
        <w:rPr>
          <w:b/>
        </w:rPr>
        <w:t>3.5</w:t>
      </w:r>
      <w:r w:rsidRPr="0048196C">
        <w:rPr>
          <w:b/>
        </w:rPr>
        <w:t xml:space="preserve"> – “</w:t>
      </w:r>
      <w:r w:rsidRPr="00BE7964">
        <w:rPr>
          <w:rFonts w:cs="Arial"/>
          <w:b/>
          <w:szCs w:val="19"/>
        </w:rPr>
        <w:t>Zvýšit účinnost soustav zásobování teplem</w:t>
      </w:r>
      <w:r w:rsidRPr="00A71E2E">
        <w:rPr>
          <w:b/>
        </w:rPr>
        <w:t>“</w:t>
      </w:r>
      <w:r>
        <w:t xml:space="preserve"> vykazuje částečný potenciál pro</w:t>
      </w:r>
      <w:r w:rsidRPr="0048196C">
        <w:t xml:space="preserve"> zapojení finančních nástrojů</w:t>
      </w:r>
      <w:r>
        <w:t xml:space="preserve"> v podobě zvýhodněných úvěrů, alternativně záruk. Poptávka po zdrojích financování převyšuje ochotu finančních institucí podílet se na spolufinancování plánovaných projektů zvyšování energetické účinností potrubních soustav. Zákon definuje, že za úsporu je považováno zvýšení účinnosti o více než 0 %, což je pro spolufinancující subjekty nedostatečná motivace. Veřejná podpora je nutná nejenom kvůli nejistým ekonomickým přínosům z investice, ale také z důvodu nevhodnosti použití potrubí ve formě zajištění.</w:t>
      </w:r>
    </w:p>
    <w:p w:rsidR="002A667A" w:rsidRDefault="002A667A" w:rsidP="006638C9">
      <w:pPr>
        <w:pStyle w:val="BodyText1"/>
        <w:jc w:val="both"/>
      </w:pPr>
    </w:p>
    <w:p w:rsidR="002A667A" w:rsidRDefault="002A667A" w:rsidP="00F67071">
      <w:r>
        <w:t xml:space="preserve">Jako důvod pro použití úvěrového finančního nástroje shledává Deloitte Advisory hlavně rozklíčování projektu dle procentuální výše energetických úspor při distribuci tepla ke koncovým příjemcům. Projekty s hodnotou vyšší než 10 % mohou využít úvěrový finanční nástroj se sníženou úrokovou sazbou a s prodlouženou dobou návratnosti. Prodloužená splatnost na 10 až 15 let prioritizuje realizaci investice podniku v dané oblasti. Navrhovaný podíl úvěrového mechanismu, který bude plně v gesci finančního </w:t>
      </w:r>
      <w:r w:rsidRPr="007F57B0">
        <w:t xml:space="preserve">nástroje pro modernizaci soustav, je 30 % z celkové alokace a kopíruje </w:t>
      </w:r>
      <w:r w:rsidRPr="007F57B0">
        <w:lastRenderedPageBreak/>
        <w:t xml:space="preserve">pravděpodobnost dosažení 10 </w:t>
      </w:r>
      <w:r w:rsidRPr="00BE7964">
        <w:t xml:space="preserve">% a vyšší úspory. Dotace na energetický audit a projektovou přípravu a podpora zbylých </w:t>
      </w:r>
      <w:r>
        <w:t>7</w:t>
      </w:r>
      <w:r w:rsidRPr="00BE7964">
        <w:t>0 % projektů bude koncipována stejn</w:t>
      </w:r>
      <w:r>
        <w:t>ě</w:t>
      </w:r>
      <w:r w:rsidRPr="00BE7964">
        <w:t xml:space="preserve"> jako v SC 3.1</w:t>
      </w:r>
      <w:r>
        <w:t>.</w:t>
      </w:r>
    </w:p>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31" w:name="_Toc414464611"/>
      <w:r w:rsidRPr="00D03ACF">
        <w:t>Schéma fungování navrhovaného finančního nástroje</w:t>
      </w:r>
      <w:bookmarkEnd w:id="31"/>
    </w:p>
    <w:p w:rsidR="002A667A" w:rsidRPr="00D03ACF" w:rsidRDefault="002A667A" w:rsidP="006638C9">
      <w:pPr>
        <w:rPr>
          <w:b/>
          <w:color w:val="00A1DE"/>
          <w:sz w:val="24"/>
          <w:szCs w:val="22"/>
        </w:rPr>
      </w:pPr>
      <w:r w:rsidRPr="00D03ACF">
        <w:rPr>
          <w:b/>
          <w:color w:val="00A1DE"/>
          <w:sz w:val="24"/>
          <w:szCs w:val="22"/>
        </w:rPr>
        <w:t>SC 3.1</w:t>
      </w:r>
      <w:r>
        <w:rPr>
          <w:b/>
          <w:color w:val="00A1DE"/>
          <w:sz w:val="24"/>
          <w:szCs w:val="22"/>
        </w:rPr>
        <w:t xml:space="preserve"> </w:t>
      </w:r>
      <w:r w:rsidRPr="00D03ACF">
        <w:rPr>
          <w:b/>
          <w:color w:val="00A1DE"/>
          <w:sz w:val="24"/>
          <w:szCs w:val="22"/>
        </w:rPr>
        <w:t>a 3.5</w:t>
      </w:r>
    </w:p>
    <w:p w:rsidR="002A667A" w:rsidRPr="00D03ACF" w:rsidRDefault="008011AF" w:rsidP="006638C9">
      <w:pPr>
        <w:jc w:val="center"/>
      </w:pPr>
      <w:r>
        <w:rPr>
          <w:noProof/>
        </w:rPr>
        <w:drawing>
          <wp:inline distT="0" distB="0" distL="0" distR="0" wp14:anchorId="280DC8C5" wp14:editId="33DBF6B3">
            <wp:extent cx="4625340" cy="2514600"/>
            <wp:effectExtent l="0" t="0" r="3810" b="0"/>
            <wp:docPr id="15" name="Picture 1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7"/>
                    <pic:cNvPicPr>
                      <a:picLocks noChangeAspect="1" noChangeArrowheads="1"/>
                    </pic:cNvPicPr>
                  </pic:nvPicPr>
                  <pic:blipFill>
                    <a:blip r:embed="rId28">
                      <a:extLst>
                        <a:ext uri="{28A0092B-C50C-407E-A947-70E740481C1C}">
                          <a14:useLocalDpi xmlns:a14="http://schemas.microsoft.com/office/drawing/2010/main" val="0"/>
                        </a:ext>
                      </a:extLst>
                    </a:blip>
                    <a:srcRect t="6050"/>
                    <a:stretch>
                      <a:fillRect/>
                    </a:stretch>
                  </pic:blipFill>
                  <pic:spPr bwMode="auto">
                    <a:xfrm>
                      <a:off x="0" y="0"/>
                      <a:ext cx="4625340" cy="2514600"/>
                    </a:xfrm>
                    <a:prstGeom prst="rect">
                      <a:avLst/>
                    </a:prstGeom>
                    <a:noFill/>
                    <a:ln>
                      <a:noFill/>
                    </a:ln>
                  </pic:spPr>
                </pic:pic>
              </a:graphicData>
            </a:graphic>
          </wp:inline>
        </w:drawing>
      </w:r>
    </w:p>
    <w:p w:rsidR="002A667A" w:rsidRPr="00D03ACF" w:rsidRDefault="002A667A" w:rsidP="006638C9"/>
    <w:p w:rsidR="002A667A" w:rsidRPr="00D03ACF" w:rsidRDefault="008011AF" w:rsidP="006638C9">
      <w:pPr>
        <w:jc w:val="center"/>
      </w:pPr>
      <w:r>
        <w:rPr>
          <w:noProof/>
        </w:rPr>
        <w:drawing>
          <wp:inline distT="0" distB="0" distL="0" distR="0" wp14:anchorId="1893EF4C" wp14:editId="7E4FE7E9">
            <wp:extent cx="4869180" cy="2948940"/>
            <wp:effectExtent l="0" t="0" r="7620" b="3810"/>
            <wp:docPr id="16" name="Picture 1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9180" cy="2948940"/>
                    </a:xfrm>
                    <a:prstGeom prst="rect">
                      <a:avLst/>
                    </a:prstGeom>
                    <a:noFill/>
                    <a:ln>
                      <a:noFill/>
                    </a:ln>
                  </pic:spPr>
                </pic:pic>
              </a:graphicData>
            </a:graphic>
          </wp:inline>
        </w:drawing>
      </w:r>
    </w:p>
    <w:p w:rsidR="002A667A" w:rsidRDefault="002A667A" w:rsidP="006638C9">
      <w:pPr>
        <w:rPr>
          <w:b/>
          <w:color w:val="00A1DE"/>
          <w:sz w:val="24"/>
          <w:szCs w:val="22"/>
        </w:rPr>
      </w:pPr>
    </w:p>
    <w:p w:rsidR="002A667A" w:rsidRDefault="002A667A" w:rsidP="006638C9">
      <w:pPr>
        <w:rPr>
          <w:b/>
          <w:color w:val="00A1DE"/>
          <w:sz w:val="24"/>
          <w:szCs w:val="22"/>
        </w:rPr>
      </w:pPr>
    </w:p>
    <w:p w:rsidR="002A667A" w:rsidRDefault="002A667A" w:rsidP="006638C9">
      <w:pPr>
        <w:rPr>
          <w:b/>
          <w:color w:val="00A1DE"/>
          <w:sz w:val="24"/>
          <w:szCs w:val="22"/>
        </w:rPr>
      </w:pPr>
    </w:p>
    <w:p w:rsidR="002A667A" w:rsidRDefault="002A667A" w:rsidP="006638C9">
      <w:pPr>
        <w:rPr>
          <w:b/>
          <w:color w:val="00A1DE"/>
          <w:sz w:val="24"/>
          <w:szCs w:val="22"/>
        </w:rPr>
      </w:pPr>
      <w:r>
        <w:rPr>
          <w:b/>
          <w:color w:val="00A1DE"/>
          <w:sz w:val="24"/>
          <w:szCs w:val="22"/>
        </w:rPr>
        <w:t>SC 3.2</w:t>
      </w:r>
    </w:p>
    <w:p w:rsidR="002A667A" w:rsidRDefault="008011AF" w:rsidP="006638C9">
      <w:pPr>
        <w:jc w:val="center"/>
        <w:rPr>
          <w:b/>
          <w:color w:val="00A1DE"/>
          <w:sz w:val="24"/>
          <w:szCs w:val="22"/>
        </w:rPr>
      </w:pPr>
      <w:r>
        <w:rPr>
          <w:b/>
          <w:noProof/>
          <w:color w:val="00A1DE"/>
          <w:sz w:val="24"/>
          <w:szCs w:val="22"/>
        </w:rPr>
        <w:lastRenderedPageBreak/>
        <w:drawing>
          <wp:inline distT="0" distB="0" distL="0" distR="0" wp14:anchorId="5A80C36A" wp14:editId="18D59765">
            <wp:extent cx="4145280" cy="2247900"/>
            <wp:effectExtent l="0" t="0" r="7620" b="0"/>
            <wp:docPr id="17" name="Picture 1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1"/>
                    <pic:cNvPicPr>
                      <a:picLocks noChangeAspect="1" noChangeArrowheads="1"/>
                    </pic:cNvPicPr>
                  </pic:nvPicPr>
                  <pic:blipFill>
                    <a:blip r:embed="rId30">
                      <a:extLst>
                        <a:ext uri="{28A0092B-C50C-407E-A947-70E740481C1C}">
                          <a14:useLocalDpi xmlns:a14="http://schemas.microsoft.com/office/drawing/2010/main" val="0"/>
                        </a:ext>
                      </a:extLst>
                    </a:blip>
                    <a:srcRect t="7278"/>
                    <a:stretch>
                      <a:fillRect/>
                    </a:stretch>
                  </pic:blipFill>
                  <pic:spPr bwMode="auto">
                    <a:xfrm>
                      <a:off x="0" y="0"/>
                      <a:ext cx="4145280" cy="2247900"/>
                    </a:xfrm>
                    <a:prstGeom prst="rect">
                      <a:avLst/>
                    </a:prstGeom>
                    <a:noFill/>
                    <a:ln>
                      <a:noFill/>
                    </a:ln>
                  </pic:spPr>
                </pic:pic>
              </a:graphicData>
            </a:graphic>
          </wp:inline>
        </w:drawing>
      </w:r>
    </w:p>
    <w:p w:rsidR="002A667A" w:rsidRDefault="002A667A" w:rsidP="006638C9">
      <w:pPr>
        <w:rPr>
          <w:b/>
          <w:color w:val="00A1DE"/>
          <w:sz w:val="24"/>
          <w:szCs w:val="22"/>
        </w:rPr>
      </w:pPr>
    </w:p>
    <w:p w:rsidR="002A667A" w:rsidRDefault="008011AF" w:rsidP="006638C9">
      <w:pPr>
        <w:jc w:val="center"/>
        <w:rPr>
          <w:b/>
          <w:color w:val="00A1DE"/>
          <w:sz w:val="24"/>
          <w:szCs w:val="22"/>
        </w:rPr>
      </w:pPr>
      <w:r>
        <w:rPr>
          <w:b/>
          <w:noProof/>
          <w:color w:val="00A1DE"/>
          <w:sz w:val="24"/>
          <w:szCs w:val="22"/>
        </w:rPr>
        <w:drawing>
          <wp:inline distT="0" distB="0" distL="0" distR="0" wp14:anchorId="551DC805" wp14:editId="728F48D9">
            <wp:extent cx="4533900" cy="2910840"/>
            <wp:effectExtent l="0" t="0" r="0" b="3810"/>
            <wp:docPr id="18" name="Picture 1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3900" cy="2910840"/>
                    </a:xfrm>
                    <a:prstGeom prst="rect">
                      <a:avLst/>
                    </a:prstGeom>
                    <a:noFill/>
                    <a:ln>
                      <a:noFill/>
                    </a:ln>
                  </pic:spPr>
                </pic:pic>
              </a:graphicData>
            </a:graphic>
          </wp:inline>
        </w:drawing>
      </w:r>
    </w:p>
    <w:p w:rsidR="002A667A" w:rsidRPr="00D03ACF" w:rsidRDefault="002A667A" w:rsidP="006638C9"/>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32" w:name="_Toc414464612"/>
      <w:r w:rsidRPr="00D03ACF">
        <w:t>Základní parametry finančního nástroje</w:t>
      </w:r>
      <w:bookmarkEnd w:id="32"/>
    </w:p>
    <w:p w:rsidR="002A667A" w:rsidRPr="00D03ACF" w:rsidRDefault="002A667A" w:rsidP="006638C9">
      <w:pPr>
        <w:pStyle w:val="CaptionIntroductionparagraph"/>
      </w:pPr>
      <w:r w:rsidRPr="00D03ACF">
        <w:t>Úvěrový nástroj (SC 3.1, SC 3.2, SC 3.5)</w:t>
      </w:r>
    </w:p>
    <w:p w:rsidR="002A667A" w:rsidRPr="00D03ACF" w:rsidRDefault="002A667A" w:rsidP="006638C9"/>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2A667A" w:rsidRPr="00D03ACF" w:rsidTr="00B37E7F">
        <w:tc>
          <w:tcPr>
            <w:tcW w:w="2282" w:type="dxa"/>
            <w:shd w:val="clear" w:color="auto" w:fill="ECFFC3"/>
          </w:tcPr>
          <w:p w:rsidR="002A667A" w:rsidRPr="00D03ACF" w:rsidRDefault="002A667A" w:rsidP="00B37E7F">
            <w:pPr>
              <w:rPr>
                <w:b/>
              </w:rPr>
            </w:pPr>
          </w:p>
        </w:tc>
        <w:tc>
          <w:tcPr>
            <w:tcW w:w="6788" w:type="dxa"/>
            <w:shd w:val="clear" w:color="auto" w:fill="ECFFC3"/>
          </w:tcPr>
          <w:p w:rsidR="002A667A" w:rsidRPr="00D03ACF" w:rsidRDefault="002A667A" w:rsidP="00B37E7F">
            <w:pPr>
              <w:ind w:left="38"/>
              <w:rPr>
                <w:b/>
              </w:rPr>
            </w:pPr>
          </w:p>
        </w:tc>
      </w:tr>
      <w:tr w:rsidR="002A667A" w:rsidRPr="00D03ACF" w:rsidTr="00B37E7F">
        <w:tc>
          <w:tcPr>
            <w:tcW w:w="2282" w:type="dxa"/>
            <w:shd w:val="clear" w:color="auto" w:fill="92D400"/>
            <w:noWrap/>
          </w:tcPr>
          <w:p w:rsidR="002A667A" w:rsidRPr="00D03ACF" w:rsidRDefault="002A667A" w:rsidP="00B37E7F">
            <w:pPr>
              <w:rPr>
                <w:b/>
                <w:color w:val="FFFFFF"/>
              </w:rPr>
            </w:pPr>
            <w:r w:rsidRPr="00D03ACF">
              <w:rPr>
                <w:b/>
                <w:color w:val="FFFFFF"/>
              </w:rPr>
              <w:t>Cíle finančního nástroje</w:t>
            </w:r>
          </w:p>
        </w:tc>
        <w:tc>
          <w:tcPr>
            <w:tcW w:w="6788" w:type="dxa"/>
            <w:shd w:val="clear" w:color="auto" w:fill="FFFFFF"/>
            <w:noWrap/>
          </w:tcPr>
          <w:p w:rsidR="002A667A" w:rsidRPr="00D03ACF" w:rsidRDefault="002A667A" w:rsidP="00B37E7F">
            <w:r w:rsidRPr="00D03ACF">
              <w:t>Odstranit definovanou tržní mezeru v dostupnosti finančních prostředků pro konečného příjemce. Toho bude dosaženo poskytnutím zvýhodněného úvěru</w:t>
            </w:r>
            <w:r>
              <w:t xml:space="preserve"> spolu</w:t>
            </w:r>
            <w:r w:rsidRPr="00D03ACF">
              <w:t xml:space="preserve"> s příspěvkem na úhradu zpracování energetického auditu.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Definice a kritéria způsobilých projektů</w:t>
            </w:r>
          </w:p>
        </w:tc>
        <w:tc>
          <w:tcPr>
            <w:tcW w:w="6788" w:type="dxa"/>
            <w:shd w:val="clear" w:color="auto" w:fill="FFFFFF"/>
            <w:noWrap/>
          </w:tcPr>
          <w:p w:rsidR="002A667A" w:rsidRPr="00D03ACF" w:rsidRDefault="002A667A" w:rsidP="00B37E7F">
            <w:r w:rsidRPr="00D03ACF">
              <w:t>Finanční nástroj lze použít na aktivity/projekty podporované v rámci specifických cílů 3.1, 3.2 a 3.5.</w:t>
            </w:r>
          </w:p>
          <w:p w:rsidR="002A667A" w:rsidRPr="00D03ACF" w:rsidRDefault="002A667A" w:rsidP="00B37E7F">
            <w:r w:rsidRPr="00D03ACF">
              <w:t>Aktivity podporované v rámci SC 3.1:</w:t>
            </w:r>
          </w:p>
          <w:p w:rsidR="002A667A" w:rsidRPr="009C1813" w:rsidRDefault="002A667A" w:rsidP="00B37E7F">
            <w:pPr>
              <w:pStyle w:val="Odstavecseseznamem"/>
            </w:pPr>
          </w:p>
          <w:p w:rsidR="002A667A" w:rsidRPr="009C1813" w:rsidRDefault="002A667A" w:rsidP="006638C9">
            <w:pPr>
              <w:pStyle w:val="Odstavecseseznamem"/>
              <w:numPr>
                <w:ilvl w:val="0"/>
                <w:numId w:val="84"/>
              </w:numPr>
              <w:overflowPunct/>
              <w:autoSpaceDE/>
              <w:autoSpaceDN/>
              <w:adjustRightInd/>
              <w:contextualSpacing w:val="0"/>
              <w:textAlignment w:val="auto"/>
            </w:pPr>
            <w:r w:rsidRPr="009C1813">
              <w:t>Výstavba nových nebo rekonstrukce stávajících výroben elektřiny a tepla z obnovitelných zdrojů energie (OZE) s důrazem na malé vodní elektrárny (do 10 MW instalovaného výkonu), vyvedení tepla z bioplynových stanic (instalace vzdálené kogenerační jednotky) a výstavba zdrojů kombinované výroby elektřiny a tepla (KVET).</w:t>
            </w:r>
          </w:p>
          <w:p w:rsidR="002A667A" w:rsidRPr="00D03ACF" w:rsidRDefault="002A667A" w:rsidP="00B37E7F"/>
          <w:p w:rsidR="002A667A" w:rsidRPr="00D03ACF" w:rsidRDefault="002A667A" w:rsidP="00B37E7F">
            <w:r w:rsidRPr="00D03ACF">
              <w:t>Aktivity podporované v rámci SC 3.2:</w:t>
            </w:r>
          </w:p>
          <w:p w:rsidR="002A667A" w:rsidRPr="009C1813" w:rsidRDefault="002A667A" w:rsidP="006638C9">
            <w:pPr>
              <w:pStyle w:val="Odstavecseseznamem"/>
              <w:numPr>
                <w:ilvl w:val="0"/>
                <w:numId w:val="77"/>
              </w:numPr>
              <w:overflowPunct/>
              <w:autoSpaceDE/>
              <w:autoSpaceDN/>
              <w:adjustRightInd/>
              <w:spacing w:before="120"/>
              <w:contextualSpacing w:val="0"/>
              <w:jc w:val="left"/>
              <w:textAlignment w:val="auto"/>
            </w:pPr>
            <w:r w:rsidRPr="009C1813">
              <w:t>Modernizace a rekonstrukce rozvodů elektřiny, plynu a tepla v budovách a v energetických hospodářstvích výrobních závodů za účelem zvýšení účinnosti</w:t>
            </w:r>
          </w:p>
          <w:p w:rsidR="002A667A" w:rsidRPr="009C1813" w:rsidRDefault="002A667A" w:rsidP="006638C9">
            <w:pPr>
              <w:pStyle w:val="Odstavecseseznamem"/>
              <w:numPr>
                <w:ilvl w:val="0"/>
                <w:numId w:val="77"/>
              </w:numPr>
              <w:overflowPunct/>
              <w:autoSpaceDE/>
              <w:autoSpaceDN/>
              <w:adjustRightInd/>
              <w:spacing w:before="120"/>
              <w:contextualSpacing w:val="0"/>
              <w:jc w:val="left"/>
              <w:textAlignment w:val="auto"/>
            </w:pPr>
            <w:r w:rsidRPr="009C1813">
              <w:t>zavádění a modernizace systémů měření a regulace,</w:t>
            </w:r>
          </w:p>
          <w:p w:rsidR="002A667A" w:rsidRPr="009C1813" w:rsidRDefault="002A667A" w:rsidP="006638C9">
            <w:pPr>
              <w:pStyle w:val="Odstavecseseznamem"/>
              <w:numPr>
                <w:ilvl w:val="0"/>
                <w:numId w:val="77"/>
              </w:numPr>
              <w:overflowPunct/>
              <w:autoSpaceDE/>
              <w:autoSpaceDN/>
              <w:adjustRightInd/>
              <w:spacing w:before="120"/>
              <w:contextualSpacing w:val="0"/>
              <w:jc w:val="left"/>
              <w:textAlignment w:val="auto"/>
            </w:pPr>
            <w:r w:rsidRPr="009C1813">
              <w:t>modernizace, rekonstrukce stávajících zařízení na výrobu energie pro vlastní spotřebu vedoucí ke zvýšení její účinnosti,</w:t>
            </w:r>
          </w:p>
          <w:p w:rsidR="002A667A" w:rsidRPr="009C1813" w:rsidRDefault="002A667A" w:rsidP="006638C9">
            <w:pPr>
              <w:pStyle w:val="Odstavecseseznamem"/>
              <w:numPr>
                <w:ilvl w:val="0"/>
                <w:numId w:val="77"/>
              </w:numPr>
              <w:overflowPunct/>
              <w:autoSpaceDE/>
              <w:autoSpaceDN/>
              <w:adjustRightInd/>
              <w:spacing w:before="120"/>
              <w:contextualSpacing w:val="0"/>
              <w:jc w:val="left"/>
              <w:textAlignment w:val="auto"/>
            </w:pPr>
            <w:r w:rsidRPr="009C1813">
              <w:t>modernizace soustav osvětlení budov a průmyslových areálů (pouze v případě náhrady zastaralých technologií za nové vysoce efektivní osvětlovací systémy, např. světelných diod (LED),</w:t>
            </w:r>
          </w:p>
          <w:p w:rsidR="002A667A" w:rsidRPr="009C1813" w:rsidRDefault="002A667A" w:rsidP="006638C9">
            <w:pPr>
              <w:pStyle w:val="Odstavecseseznamem"/>
              <w:numPr>
                <w:ilvl w:val="0"/>
                <w:numId w:val="77"/>
              </w:numPr>
              <w:overflowPunct/>
              <w:autoSpaceDE/>
              <w:autoSpaceDN/>
              <w:adjustRightInd/>
              <w:spacing w:before="120"/>
              <w:contextualSpacing w:val="0"/>
              <w:jc w:val="left"/>
              <w:textAlignment w:val="auto"/>
            </w:pPr>
            <w:r w:rsidRPr="009C1813">
              <w:t>realizace opatření ke snižování energetické náročnosti budov v podnikatelském sektoru (zateplení obvodového pláště, výměna a renovace otvorových výplní, další stavební opatření mající prokazatelně vliv na energetickou náročnost budovy, instalace vzduchotechniky s rekuperací odpadního tepla),</w:t>
            </w:r>
          </w:p>
          <w:p w:rsidR="002A667A" w:rsidRPr="009C1813" w:rsidRDefault="002A667A" w:rsidP="006638C9">
            <w:pPr>
              <w:pStyle w:val="Odstavecseseznamem"/>
              <w:numPr>
                <w:ilvl w:val="0"/>
                <w:numId w:val="77"/>
              </w:numPr>
              <w:overflowPunct/>
              <w:autoSpaceDE/>
              <w:autoSpaceDN/>
              <w:adjustRightInd/>
              <w:spacing w:before="120"/>
              <w:contextualSpacing w:val="0"/>
              <w:jc w:val="left"/>
              <w:textAlignment w:val="auto"/>
            </w:pPr>
            <w:r w:rsidRPr="009C1813">
              <w:t>využití odpadní energie ve výrobních procesech,</w:t>
            </w:r>
          </w:p>
          <w:p w:rsidR="002A667A" w:rsidRPr="009C1813" w:rsidRDefault="002A667A" w:rsidP="006638C9">
            <w:pPr>
              <w:pStyle w:val="Odstavecseseznamem"/>
              <w:numPr>
                <w:ilvl w:val="0"/>
                <w:numId w:val="77"/>
              </w:numPr>
              <w:overflowPunct/>
              <w:autoSpaceDE/>
              <w:autoSpaceDN/>
              <w:adjustRightInd/>
              <w:spacing w:before="120"/>
              <w:contextualSpacing w:val="0"/>
              <w:jc w:val="left"/>
              <w:textAlignment w:val="auto"/>
            </w:pPr>
            <w:r w:rsidRPr="009C1813">
              <w:t>snižování energetické náročnosti/zvyšování energetické účinnosti výrobních a technologických procesů,</w:t>
            </w:r>
          </w:p>
          <w:p w:rsidR="002A667A" w:rsidRPr="009C1813" w:rsidRDefault="002A667A" w:rsidP="006638C9">
            <w:pPr>
              <w:pStyle w:val="Odstavecseseznamem"/>
              <w:numPr>
                <w:ilvl w:val="0"/>
                <w:numId w:val="77"/>
              </w:numPr>
              <w:overflowPunct/>
              <w:autoSpaceDE/>
              <w:autoSpaceDN/>
              <w:adjustRightInd/>
              <w:spacing w:before="120"/>
              <w:contextualSpacing w:val="0"/>
              <w:jc w:val="left"/>
              <w:textAlignment w:val="auto"/>
            </w:pPr>
            <w:r w:rsidRPr="009C1813">
              <w:t>instalace OZE pro vlastní spotřebu podniku,</w:t>
            </w:r>
          </w:p>
          <w:p w:rsidR="002A667A" w:rsidRPr="009C1813" w:rsidRDefault="002A667A" w:rsidP="006638C9">
            <w:pPr>
              <w:pStyle w:val="Odstavecseseznamem"/>
              <w:numPr>
                <w:ilvl w:val="0"/>
                <w:numId w:val="77"/>
              </w:numPr>
              <w:overflowPunct/>
              <w:autoSpaceDE/>
              <w:autoSpaceDN/>
              <w:adjustRightInd/>
              <w:spacing w:before="120"/>
              <w:contextualSpacing w:val="0"/>
              <w:jc w:val="left"/>
              <w:textAlignment w:val="auto"/>
            </w:pPr>
            <w:r w:rsidRPr="009C1813">
              <w:t>instalace kogenerační jednotky s maximálním využitím elektrické a tepelné energie pro vlastní spotřebu podniku,</w:t>
            </w:r>
          </w:p>
          <w:p w:rsidR="002A667A" w:rsidRPr="009C1813" w:rsidRDefault="002A667A" w:rsidP="006638C9">
            <w:pPr>
              <w:pStyle w:val="Odstavecseseznamem"/>
              <w:numPr>
                <w:ilvl w:val="0"/>
                <w:numId w:val="77"/>
              </w:numPr>
              <w:overflowPunct/>
              <w:autoSpaceDE/>
              <w:autoSpaceDN/>
              <w:adjustRightInd/>
              <w:spacing w:line="250" w:lineRule="atLeast"/>
              <w:jc w:val="left"/>
              <w:textAlignment w:val="auto"/>
            </w:pPr>
            <w:r w:rsidRPr="009C1813">
              <w:t>podpora vícenákladů na dosažení standardu budovy s téměř nulovou spotřebou a pasivního energetického standardu v případě rekonstrukce či výstavby nových podnikatelských budov. Vícenáklady budou odvozeny od modelových příkladů a pro účely podpory stanoveny jako pevná částka na jasně měřitelnou veličinu (např. na metr čtvereční energeticky vztažné plochy).</w:t>
            </w:r>
          </w:p>
          <w:p w:rsidR="002A667A" w:rsidRPr="00D03ACF" w:rsidRDefault="002A667A" w:rsidP="00B37E7F"/>
          <w:p w:rsidR="002A667A" w:rsidRPr="00D03ACF" w:rsidRDefault="002A667A" w:rsidP="00B37E7F">
            <w:r w:rsidRPr="00D03ACF">
              <w:t>Aktivity podporované v rámci SC 3.5:</w:t>
            </w:r>
          </w:p>
          <w:p w:rsidR="002A667A" w:rsidRPr="009C1813" w:rsidRDefault="002A667A" w:rsidP="006638C9">
            <w:pPr>
              <w:pStyle w:val="Odstavecseseznamem"/>
              <w:numPr>
                <w:ilvl w:val="0"/>
                <w:numId w:val="82"/>
              </w:numPr>
              <w:overflowPunct/>
              <w:autoSpaceDE/>
              <w:autoSpaceDN/>
              <w:adjustRightInd/>
              <w:contextualSpacing w:val="0"/>
              <w:textAlignment w:val="auto"/>
            </w:pPr>
            <w:r w:rsidRPr="009C1813">
              <w:t xml:space="preserve">Rekonstrukce a rozvoj soustav zásobování teplem resp. rozvodných tepelných zařízení, </w:t>
            </w:r>
          </w:p>
          <w:p w:rsidR="002A667A" w:rsidRPr="009C1813" w:rsidRDefault="002A667A" w:rsidP="006638C9">
            <w:pPr>
              <w:pStyle w:val="Odstavecseseznamem"/>
              <w:numPr>
                <w:ilvl w:val="0"/>
                <w:numId w:val="82"/>
              </w:numPr>
              <w:overflowPunct/>
              <w:autoSpaceDE/>
              <w:autoSpaceDN/>
              <w:adjustRightInd/>
              <w:contextualSpacing w:val="0"/>
              <w:textAlignment w:val="auto"/>
            </w:pPr>
            <w:r w:rsidRPr="009C1813">
              <w:t>zavádění a zvyšování účinnosti systémů kombinované výroby elektřiny a tepla.</w:t>
            </w:r>
          </w:p>
          <w:p w:rsidR="002A667A" w:rsidRPr="00D03ACF" w:rsidRDefault="002A667A" w:rsidP="00B37E7F">
            <w:pPr>
              <w:spacing w:line="250" w:lineRule="atLeast"/>
              <w:contextualSpacing/>
              <w:jc w:val="left"/>
            </w:pPr>
          </w:p>
        </w:tc>
      </w:tr>
      <w:tr w:rsidR="002A667A" w:rsidRPr="00D03ACF" w:rsidTr="00B37E7F">
        <w:tc>
          <w:tcPr>
            <w:tcW w:w="2282" w:type="dxa"/>
            <w:shd w:val="clear" w:color="auto" w:fill="92D400"/>
            <w:noWrap/>
          </w:tcPr>
          <w:p w:rsidR="002A667A" w:rsidRPr="00D03ACF" w:rsidRDefault="002A667A" w:rsidP="00B37E7F">
            <w:pPr>
              <w:rPr>
                <w:b/>
                <w:color w:val="FFFFFF"/>
              </w:rPr>
            </w:pPr>
            <w:r w:rsidRPr="00D03ACF">
              <w:rPr>
                <w:b/>
                <w:color w:val="FFFFFF"/>
              </w:rPr>
              <w:lastRenderedPageBreak/>
              <w:t>Forma podpory</w:t>
            </w:r>
          </w:p>
        </w:tc>
        <w:tc>
          <w:tcPr>
            <w:tcW w:w="6788" w:type="dxa"/>
            <w:shd w:val="clear" w:color="auto" w:fill="FFFFFF"/>
            <w:noWrap/>
          </w:tcPr>
          <w:p w:rsidR="002A667A" w:rsidRPr="00D03ACF" w:rsidRDefault="002A667A" w:rsidP="00B37E7F">
            <w:r w:rsidRPr="00D03ACF">
              <w:t xml:space="preserve">Ve sledovaných oblastech podpory je navrhována podpora formou zvýhodněného úvěrového nástroje, který je kombinací zdrojů </w:t>
            </w:r>
            <w:r>
              <w:t>OP PIK</w:t>
            </w:r>
            <w:r w:rsidRPr="00D03ACF">
              <w:t xml:space="preserve"> a spolufinancujících subjektů. </w:t>
            </w:r>
            <w:r w:rsidRPr="00D03ACF">
              <w:rPr>
                <w:b/>
              </w:rPr>
              <w:t>Finanční nástroj bude poskytnut formou úvěru s prodlouženou dobou splatnosti a/nebo sníženou úrokovou sazbou.</w:t>
            </w:r>
            <w:r w:rsidRPr="00D03ACF">
              <w:t xml:space="preserve"> Distributorem úvěrů konečným příjemcům bude vybraná finanční instituce.</w:t>
            </w:r>
          </w:p>
        </w:tc>
      </w:tr>
      <w:tr w:rsidR="002A667A" w:rsidRPr="00D03ACF" w:rsidTr="00B37E7F">
        <w:tc>
          <w:tcPr>
            <w:tcW w:w="2282" w:type="dxa"/>
            <w:shd w:val="clear" w:color="auto" w:fill="92D400"/>
            <w:noWrap/>
          </w:tcPr>
          <w:p w:rsidR="002A667A" w:rsidRPr="00D03ACF" w:rsidRDefault="002A667A" w:rsidP="00B37E7F">
            <w:pPr>
              <w:rPr>
                <w:b/>
                <w:color w:val="FFFFFF"/>
              </w:rPr>
            </w:pPr>
            <w:r w:rsidRPr="00D03ACF">
              <w:rPr>
                <w:b/>
                <w:color w:val="FFFFFF"/>
              </w:rPr>
              <w:t>Výše podpory</w:t>
            </w:r>
          </w:p>
        </w:tc>
        <w:tc>
          <w:tcPr>
            <w:tcW w:w="6788" w:type="dxa"/>
            <w:shd w:val="clear" w:color="auto" w:fill="FFFFFF"/>
            <w:noWrap/>
          </w:tcPr>
          <w:p w:rsidR="002A667A" w:rsidRPr="00D03ACF" w:rsidRDefault="002A667A" w:rsidP="00B37E7F">
            <w:r w:rsidRPr="00D03ACF">
              <w:t>Úvěr a subvence úrokové sazby se budou pohybovat v rozpětí 0,5 – 250 mil. Kč.</w:t>
            </w:r>
          </w:p>
        </w:tc>
      </w:tr>
      <w:tr w:rsidR="002A667A" w:rsidRPr="00D03ACF" w:rsidTr="00B37E7F">
        <w:tc>
          <w:tcPr>
            <w:tcW w:w="2282" w:type="dxa"/>
            <w:shd w:val="clear" w:color="auto" w:fill="92D400"/>
            <w:noWrap/>
          </w:tcPr>
          <w:p w:rsidR="002A667A" w:rsidRPr="00D03ACF" w:rsidRDefault="002A667A" w:rsidP="00B37E7F">
            <w:pPr>
              <w:rPr>
                <w:b/>
                <w:color w:val="FFFFFF"/>
              </w:rPr>
            </w:pPr>
            <w:r w:rsidRPr="00D03ACF">
              <w:rPr>
                <w:b/>
                <w:color w:val="FFFFFF"/>
              </w:rPr>
              <w:t>Základní parametry poskytované podpory</w:t>
            </w:r>
          </w:p>
        </w:tc>
        <w:tc>
          <w:tcPr>
            <w:tcW w:w="6788" w:type="dxa"/>
            <w:shd w:val="clear" w:color="auto" w:fill="FFFFFF"/>
            <w:noWrap/>
          </w:tcPr>
          <w:p w:rsidR="002A667A" w:rsidRPr="00D03ACF" w:rsidRDefault="002A667A" w:rsidP="00B37E7F">
            <w:r>
              <w:t>Deloitte Advisory</w:t>
            </w:r>
            <w:r w:rsidRPr="00D03ACF">
              <w:t xml:space="preserve"> doporučuje snížení úrokové míry pro konečného příjemce na polovinu tržní úrokové míry. Pro dosažené takto nízké sazby je nezbytné, aby úroková sazba fondu byla co nejnižší.</w:t>
            </w:r>
          </w:p>
        </w:tc>
      </w:tr>
      <w:tr w:rsidR="002A667A" w:rsidRPr="00D03ACF" w:rsidTr="00B37E7F">
        <w:tc>
          <w:tcPr>
            <w:tcW w:w="2282" w:type="dxa"/>
            <w:shd w:val="clear" w:color="auto" w:fill="92D400"/>
            <w:noWrap/>
          </w:tcPr>
          <w:p w:rsidR="002A667A" w:rsidRPr="00D03ACF" w:rsidRDefault="002A667A" w:rsidP="00B37E7F">
            <w:pPr>
              <w:rPr>
                <w:b/>
                <w:color w:val="FFFFFF"/>
              </w:rPr>
            </w:pPr>
            <w:r w:rsidRPr="00D03ACF">
              <w:rPr>
                <w:b/>
                <w:color w:val="FFFFFF"/>
              </w:rPr>
              <w:lastRenderedPageBreak/>
              <w:t>Kroky pro zjištění zájmu potenciálních spoluinvestorů</w:t>
            </w:r>
          </w:p>
        </w:tc>
        <w:tc>
          <w:tcPr>
            <w:tcW w:w="6788" w:type="dxa"/>
            <w:shd w:val="clear" w:color="auto" w:fill="FFFFFF"/>
            <w:noWrap/>
          </w:tcPr>
          <w:p w:rsidR="002A667A" w:rsidRPr="00D03ACF" w:rsidRDefault="002A667A" w:rsidP="00B37E7F">
            <w:r w:rsidRPr="00D03ACF">
              <w:t xml:space="preserve">Dle dosavadních jednání se zainteresovanými skupinami na přípravě </w:t>
            </w:r>
            <w:r>
              <w:t>OP PIK</w:t>
            </w:r>
            <w:r w:rsidRPr="00D03ACF">
              <w:t xml:space="preserve"> 2014-2020 byla identifikována potřeba povzbuzení potenciálních spolufinancujících subjektů k zapojení se do budovaných struktur, ať již na úrovni fondu, nebo na úrovni jednotlivých projektů. Jako motivační nástroje pro zapojení spolufinancujících subjektů lze využít zejména následující:</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 xml:space="preserve">Míra zapojení veřejných zdrojů – podíl je nutné nastavit na základě diskuze se zainteresovanými subjekty a potenciálními spolufinancujícími subjekty </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Ručení za případné ztráty projektu do výše sjednaného limitu first piece loss;</w:t>
            </w:r>
          </w:p>
          <w:p w:rsidR="002A667A" w:rsidRPr="009C1813" w:rsidRDefault="002A667A" w:rsidP="006638C9">
            <w:pPr>
              <w:pStyle w:val="Odstavecseseznamem"/>
              <w:numPr>
                <w:ilvl w:val="0"/>
                <w:numId w:val="76"/>
              </w:numPr>
              <w:overflowPunct/>
              <w:autoSpaceDE/>
              <w:autoSpaceDN/>
              <w:adjustRightInd/>
              <w:ind w:left="412" w:hanging="141"/>
              <w:textAlignment w:val="auto"/>
            </w:pPr>
            <w:r w:rsidRPr="009C1813">
              <w:t>Zvýhodněné dělení přijatých úroků ve prospěch spolufinancujícího subjektu do stanovené výše.</w:t>
            </w:r>
          </w:p>
          <w:p w:rsidR="002A667A" w:rsidRPr="009C1813" w:rsidRDefault="002A667A" w:rsidP="00B37E7F">
            <w:pPr>
              <w:pStyle w:val="Odstavecseseznamem"/>
            </w:pPr>
          </w:p>
        </w:tc>
      </w:tr>
      <w:tr w:rsidR="002A667A" w:rsidRPr="00D03ACF" w:rsidTr="00B37E7F">
        <w:tc>
          <w:tcPr>
            <w:tcW w:w="2282" w:type="dxa"/>
            <w:shd w:val="clear" w:color="auto" w:fill="92D400"/>
            <w:noWrap/>
          </w:tcPr>
          <w:p w:rsidR="002A667A" w:rsidRPr="00D03ACF" w:rsidRDefault="002A667A" w:rsidP="00B37E7F">
            <w:pPr>
              <w:rPr>
                <w:b/>
                <w:color w:val="FFFFFF"/>
              </w:rPr>
            </w:pPr>
            <w:r w:rsidRPr="00D03ACF">
              <w:rPr>
                <w:b/>
                <w:color w:val="FFFFFF"/>
              </w:rPr>
              <w:t>Očekávaná alokace</w:t>
            </w:r>
          </w:p>
        </w:tc>
        <w:tc>
          <w:tcPr>
            <w:tcW w:w="6788" w:type="dxa"/>
            <w:shd w:val="clear" w:color="auto" w:fill="FFFFFF"/>
            <w:noWrap/>
          </w:tcPr>
          <w:p w:rsidR="002A667A" w:rsidRPr="00D03ACF" w:rsidRDefault="002A667A" w:rsidP="00B37E7F">
            <w:r w:rsidRPr="00D03ACF">
              <w:t>SC 3.1</w:t>
            </w:r>
          </w:p>
          <w:p w:rsidR="002A667A" w:rsidRPr="00D03ACF" w:rsidRDefault="002A667A" w:rsidP="00B37E7F">
            <w:r>
              <w:t xml:space="preserve">Deloitte Advisory doporučuje </w:t>
            </w:r>
            <w:r w:rsidRPr="00D03ACF">
              <w:t xml:space="preserve">úvěrový finanční nástroj využít pro </w:t>
            </w:r>
            <w:r>
              <w:t>až</w:t>
            </w:r>
            <w:r w:rsidR="00A71B37">
              <w:t xml:space="preserve"> 10-</w:t>
            </w:r>
            <w:r w:rsidRPr="00D03ACF">
              <w:t>30</w:t>
            </w:r>
            <w:r w:rsidR="00A71B37">
              <w:t> </w:t>
            </w:r>
            <w:r w:rsidRPr="00D03ACF">
              <w:t xml:space="preserve"> % alokace podporovaných aktivit specifického cíle 3.1.</w:t>
            </w:r>
          </w:p>
          <w:p w:rsidR="002A667A" w:rsidRPr="00D03ACF" w:rsidRDefault="002A667A" w:rsidP="00B37E7F"/>
          <w:p w:rsidR="002A667A" w:rsidRPr="00D03ACF" w:rsidRDefault="002A667A" w:rsidP="00B37E7F">
            <w:r w:rsidRPr="00D03ACF">
              <w:t>SC 3.2</w:t>
            </w:r>
          </w:p>
          <w:p w:rsidR="002A667A" w:rsidRDefault="002A667A" w:rsidP="00B37E7F">
            <w:r>
              <w:t xml:space="preserve">Deloitte Advisory  doporučuje </w:t>
            </w:r>
            <w:r w:rsidRPr="00D03ACF">
              <w:t xml:space="preserve">úvěrový finanční nástroj využít pro </w:t>
            </w:r>
            <w:r>
              <w:t>až</w:t>
            </w:r>
            <w:r w:rsidR="00A71B37">
              <w:t> 10-30 </w:t>
            </w:r>
            <w:r w:rsidR="00A71B37" w:rsidRPr="00D03ACF">
              <w:t xml:space="preserve"> </w:t>
            </w:r>
            <w:r w:rsidRPr="00D03ACF">
              <w:t>% alokace podporovaných aktivit specifického cíle 3.2</w:t>
            </w:r>
            <w:r>
              <w:t>.</w:t>
            </w:r>
          </w:p>
          <w:p w:rsidR="002A667A" w:rsidRPr="00D03ACF" w:rsidRDefault="002A667A" w:rsidP="00B37E7F">
            <w:pPr>
              <w:spacing w:after="120"/>
              <w:contextualSpacing/>
            </w:pPr>
          </w:p>
          <w:p w:rsidR="002A667A" w:rsidRPr="00D03ACF" w:rsidRDefault="002A667A" w:rsidP="00B37E7F">
            <w:r w:rsidRPr="00D03ACF">
              <w:t>SC 3.5</w:t>
            </w:r>
          </w:p>
          <w:p w:rsidR="002A667A" w:rsidRDefault="002A667A" w:rsidP="00B37E7F">
            <w:r>
              <w:t>Deloitte Advisory doporučuje</w:t>
            </w:r>
            <w:r w:rsidRPr="00D03ACF">
              <w:t xml:space="preserve"> finanční nástroj využít pro</w:t>
            </w:r>
            <w:r>
              <w:t xml:space="preserve"> až</w:t>
            </w:r>
            <w:r w:rsidRPr="00D03ACF">
              <w:t xml:space="preserve"> </w:t>
            </w:r>
            <w:r w:rsidR="00A71B37">
              <w:t>10-</w:t>
            </w:r>
            <w:r w:rsidRPr="00D03ACF">
              <w:t>30 % alokace podporovaných aktivit specifického cíle 3.5.</w:t>
            </w:r>
          </w:p>
          <w:p w:rsidR="00A71B37" w:rsidRDefault="00A71B37" w:rsidP="00B37E7F"/>
          <w:p w:rsidR="00A71B37" w:rsidRPr="00D03ACF" w:rsidRDefault="00A71B37" w:rsidP="00D44CBE">
            <w:r>
              <w:t xml:space="preserve">V případě realizovatelné kombinovatelnosti zvýhodněného úvěru s menší mírou dotace </w:t>
            </w:r>
            <w:r>
              <w:t xml:space="preserve">doporučuje </w:t>
            </w:r>
            <w:r>
              <w:t>Deloitte Advisory alokaci této kombinace až 100 % u SC 3.2 a 30 % SC 3.1 a SC 3.5.</w:t>
            </w:r>
          </w:p>
        </w:tc>
      </w:tr>
    </w:tbl>
    <w:p w:rsidR="002A667A" w:rsidRDefault="002A667A" w:rsidP="006638C9"/>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33" w:name="_Toc414464613"/>
      <w:r w:rsidRPr="00D03ACF">
        <w:t>Očekávané výsledky finančního nástroje</w:t>
      </w:r>
      <w:bookmarkEnd w:id="33"/>
    </w:p>
    <w:p w:rsidR="003B346C" w:rsidRDefault="003B346C" w:rsidP="00D44CBE">
      <w:r w:rsidRPr="00D03ACF">
        <w:t>V</w:t>
      </w:r>
      <w:r>
        <w:t> modelu fungová</w:t>
      </w:r>
      <w:r w:rsidRPr="00A82311">
        <w:t>ní úvěrového nástroje Deloitte Advisory abstrahuje</w:t>
      </w:r>
      <w:r w:rsidRPr="00A82311">
        <w:t xml:space="preserve"> </w:t>
      </w:r>
      <w:r w:rsidRPr="00A82311">
        <w:t>od úrokového zisku, ztrát a poplatků za správu spolufinancujícího subjektu. Revolvingový efekt je znázorněn grafickou interpretací jako sumaprostředků, které by musel fond obdržet na konci primárního investičního cyklu, aby mohl realizovat sekundární investice, které financuje právě revolving. Údaje v grafu jsou uvedeny v mil. Kč</w:t>
      </w:r>
      <w:r w:rsidR="003C72B2">
        <w:t xml:space="preserve"> na modelové alokace Deloitte Advisory</w:t>
      </w:r>
      <w:r>
        <w:t>.</w:t>
      </w:r>
    </w:p>
    <w:p w:rsidR="002A667A" w:rsidRDefault="002A667A" w:rsidP="006638C9">
      <w:pPr>
        <w:pStyle w:val="BodyText1"/>
        <w:jc w:val="both"/>
      </w:pPr>
    </w:p>
    <w:p w:rsidR="002A667A" w:rsidRDefault="002A667A" w:rsidP="006638C9">
      <w:pPr>
        <w:pStyle w:val="CaptionIntroductionparagraph"/>
      </w:pPr>
      <w:r>
        <w:t>SC 3.1</w:t>
      </w:r>
    </w:p>
    <w:p w:rsidR="002A667A" w:rsidRDefault="008011AF" w:rsidP="006638C9">
      <w:pPr>
        <w:jc w:val="center"/>
        <w:rPr>
          <w:noProof/>
        </w:rPr>
      </w:pPr>
      <w:r>
        <w:rPr>
          <w:noProof/>
        </w:rPr>
        <w:lastRenderedPageBreak/>
        <w:drawing>
          <wp:inline distT="0" distB="0" distL="0" distR="0" wp14:anchorId="6ADE5ABA" wp14:editId="6F4B7C1E">
            <wp:extent cx="3436620" cy="2068777"/>
            <wp:effectExtent l="0" t="0" r="0" b="8255"/>
            <wp:docPr id="19" name="Picture 1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6620" cy="2068777"/>
                    </a:xfrm>
                    <a:prstGeom prst="rect">
                      <a:avLst/>
                    </a:prstGeom>
                    <a:noFill/>
                    <a:ln>
                      <a:noFill/>
                    </a:ln>
                  </pic:spPr>
                </pic:pic>
              </a:graphicData>
            </a:graphic>
          </wp:inline>
        </w:drawing>
      </w:r>
    </w:p>
    <w:p w:rsidR="002A667A" w:rsidRDefault="002A667A" w:rsidP="006638C9">
      <w:pPr>
        <w:rPr>
          <w:noProof/>
        </w:rPr>
      </w:pPr>
    </w:p>
    <w:p w:rsidR="002A667A" w:rsidRDefault="002A667A" w:rsidP="006638C9"/>
    <w:p w:rsidR="002A667A" w:rsidRDefault="002A667A" w:rsidP="006638C9">
      <w:pPr>
        <w:pStyle w:val="BodyText1"/>
        <w:jc w:val="both"/>
      </w:pPr>
    </w:p>
    <w:p w:rsidR="002A667A" w:rsidRDefault="002A667A" w:rsidP="006638C9">
      <w:pPr>
        <w:pStyle w:val="CaptionIntroductionparagraph"/>
      </w:pPr>
      <w:r>
        <w:t>SC 3.2</w:t>
      </w:r>
    </w:p>
    <w:p w:rsidR="002A667A" w:rsidRDefault="008011AF" w:rsidP="006638C9">
      <w:pPr>
        <w:pStyle w:val="CaptionIntroductionparagraph"/>
        <w:jc w:val="center"/>
      </w:pPr>
      <w:r>
        <w:rPr>
          <w:noProof/>
          <w:lang w:eastAsia="cs-CZ"/>
        </w:rPr>
        <w:drawing>
          <wp:inline distT="0" distB="0" distL="0" distR="0" wp14:anchorId="3DE56FFA" wp14:editId="2605A503">
            <wp:extent cx="3543300" cy="2061781"/>
            <wp:effectExtent l="0" t="0" r="0" b="0"/>
            <wp:docPr id="20" name="Picture 1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2061781"/>
                    </a:xfrm>
                    <a:prstGeom prst="rect">
                      <a:avLst/>
                    </a:prstGeom>
                    <a:noFill/>
                    <a:ln>
                      <a:noFill/>
                    </a:ln>
                  </pic:spPr>
                </pic:pic>
              </a:graphicData>
            </a:graphic>
          </wp:inline>
        </w:drawing>
      </w:r>
    </w:p>
    <w:p w:rsidR="002A667A" w:rsidRDefault="002A667A" w:rsidP="006638C9">
      <w:pPr>
        <w:pStyle w:val="CaptionIntroductionparagraph"/>
      </w:pPr>
    </w:p>
    <w:p w:rsidR="002A667A" w:rsidRDefault="002A667A" w:rsidP="006638C9">
      <w:pPr>
        <w:pStyle w:val="CaptionIntroductionparagraph"/>
      </w:pPr>
    </w:p>
    <w:p w:rsidR="002A667A" w:rsidRDefault="002A667A" w:rsidP="006638C9">
      <w:pPr>
        <w:pStyle w:val="CaptionIntroductionparagraph"/>
      </w:pPr>
    </w:p>
    <w:p w:rsidR="002A667A" w:rsidRDefault="002A667A" w:rsidP="006638C9">
      <w:pPr>
        <w:pStyle w:val="CaptionIntroductionparagraph"/>
      </w:pPr>
    </w:p>
    <w:p w:rsidR="002A667A" w:rsidRDefault="002A667A" w:rsidP="006638C9">
      <w:pPr>
        <w:pStyle w:val="CaptionIntroductionparagraph"/>
        <w:keepNext/>
      </w:pPr>
      <w:r>
        <w:t>SC 3.5</w:t>
      </w:r>
    </w:p>
    <w:p w:rsidR="002A667A" w:rsidRDefault="002A667A" w:rsidP="006638C9">
      <w:pPr>
        <w:pStyle w:val="CaptionIntroductionparagraph"/>
      </w:pPr>
    </w:p>
    <w:p w:rsidR="002A667A" w:rsidRDefault="008011AF" w:rsidP="006638C9">
      <w:pPr>
        <w:pStyle w:val="CaptionIntroductionparagraph"/>
        <w:jc w:val="center"/>
      </w:pPr>
      <w:r>
        <w:rPr>
          <w:noProof/>
          <w:lang w:eastAsia="cs-CZ"/>
        </w:rPr>
        <w:drawing>
          <wp:inline distT="0" distB="0" distL="0" distR="0" wp14:anchorId="419819BD" wp14:editId="0320439A">
            <wp:extent cx="3634740" cy="2110740"/>
            <wp:effectExtent l="0" t="0" r="3810" b="3810"/>
            <wp:docPr id="21" name="Picture 1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4740" cy="2110740"/>
                    </a:xfrm>
                    <a:prstGeom prst="rect">
                      <a:avLst/>
                    </a:prstGeom>
                    <a:noFill/>
                    <a:ln>
                      <a:noFill/>
                    </a:ln>
                  </pic:spPr>
                </pic:pic>
              </a:graphicData>
            </a:graphic>
          </wp:inline>
        </w:drawing>
      </w:r>
    </w:p>
    <w:p w:rsidR="002A667A" w:rsidRDefault="002A667A" w:rsidP="006638C9">
      <w:pPr>
        <w:pStyle w:val="CaptionIntroductionparagraph"/>
      </w:pPr>
    </w:p>
    <w:p w:rsidR="002A667A" w:rsidRPr="009F3E04" w:rsidRDefault="002A667A" w:rsidP="006638C9">
      <w:pPr>
        <w:pStyle w:val="BodyText1"/>
      </w:pPr>
    </w:p>
    <w:p w:rsidR="002A667A" w:rsidRPr="00C40BAA" w:rsidRDefault="002A667A" w:rsidP="008A0B9B">
      <w:pPr>
        <w:pStyle w:val="Nadpis2"/>
        <w:keepLines w:val="0"/>
        <w:numPr>
          <w:ilvl w:val="0"/>
          <w:numId w:val="0"/>
        </w:numPr>
        <w:overflowPunct/>
        <w:autoSpaceDE/>
        <w:autoSpaceDN/>
        <w:adjustRightInd/>
        <w:spacing w:before="240"/>
        <w:jc w:val="left"/>
        <w:textAlignment w:val="auto"/>
      </w:pPr>
      <w:bookmarkStart w:id="34" w:name="_Toc414464614"/>
      <w:r w:rsidRPr="00C40BAA">
        <w:lastRenderedPageBreak/>
        <w:t>Prioritní osa 4</w:t>
      </w:r>
      <w:bookmarkEnd w:id="34"/>
    </w:p>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35" w:name="_Toc414464615"/>
      <w:r w:rsidRPr="00D03ACF">
        <w:t>Odůvodnění volby oblasti podpory a návrhu nástroje</w:t>
      </w:r>
      <w:bookmarkEnd w:id="35"/>
    </w:p>
    <w:p w:rsidR="002A667A" w:rsidRDefault="002A667A" w:rsidP="00F67071">
      <w:r w:rsidRPr="00D03ACF">
        <w:t>Na základě tržní analýzy sektoru NGA síti a vyhodnocení dotazníkového šetření potenciálních investičních projektů v</w:t>
      </w:r>
      <w:r>
        <w:t>e</w:t>
      </w:r>
      <w:r w:rsidRPr="00D03ACF">
        <w:t xml:space="preserve"> sledované oblasti vykazuje specifický cíl </w:t>
      </w:r>
      <w:r w:rsidRPr="00D03ACF">
        <w:rPr>
          <w:b/>
        </w:rPr>
        <w:t>4.1 – “Zvětšit pokrytí vysokorychlostním přístupem k internetu“</w:t>
      </w:r>
      <w:r w:rsidRPr="00D03ACF">
        <w:t xml:space="preserve"> potenciál pro zapojení finančních nástrojů. Vysoký výskyt bílých </w:t>
      </w:r>
      <w:r>
        <w:t xml:space="preserve">míst </w:t>
      </w:r>
      <w:r w:rsidRPr="00D03ACF">
        <w:t>na území ČR je příležitost</w:t>
      </w:r>
      <w:r>
        <w:t>í</w:t>
      </w:r>
      <w:r w:rsidRPr="00D03ACF">
        <w:t xml:space="preserve"> pro firmy podnikající v digitální komunikaci získat finanční podporu na zasíťování tzv. méně lidnatých oblasti a těžko dostupných regionů. Docíl</w:t>
      </w:r>
      <w:r>
        <w:t>ení</w:t>
      </w:r>
      <w:r w:rsidRPr="00D03ACF">
        <w:t xml:space="preserve"> </w:t>
      </w:r>
      <w:r>
        <w:t xml:space="preserve">dostatečného </w:t>
      </w:r>
      <w:r w:rsidRPr="00D03ACF">
        <w:t>podíl</w:t>
      </w:r>
      <w:r>
        <w:t>u</w:t>
      </w:r>
      <w:r w:rsidRPr="00D03ACF">
        <w:t xml:space="preserve"> projektů s kladným cash flow, pro které by bylo vhodné následně využít finanční nástroje, </w:t>
      </w:r>
      <w:r>
        <w:t>je závislé na</w:t>
      </w:r>
      <w:r w:rsidRPr="00D03ACF">
        <w:t xml:space="preserve"> výš</w:t>
      </w:r>
      <w:r>
        <w:t>i</w:t>
      </w:r>
      <w:r w:rsidRPr="00D03ACF">
        <w:t xml:space="preserve"> administrativních nákladů a podmínek nastavených pro koncové příjemce.</w:t>
      </w:r>
    </w:p>
    <w:p w:rsidR="002A667A" w:rsidRDefault="002A667A" w:rsidP="00F67071"/>
    <w:p w:rsidR="002A667A" w:rsidRDefault="002A667A" w:rsidP="00F67071">
      <w:r w:rsidRPr="00D03ACF">
        <w:t>Dle závěr</w:t>
      </w:r>
      <w:r>
        <w:t>ů</w:t>
      </w:r>
      <w:r w:rsidRPr="00D03ACF">
        <w:t xml:space="preserve"> analýz</w:t>
      </w:r>
      <w:r>
        <w:t>y</w:t>
      </w:r>
      <w:r w:rsidRPr="00D03ACF">
        <w:t xml:space="preserve"> mají </w:t>
      </w:r>
      <w:r>
        <w:t xml:space="preserve">potenciální příjemci </w:t>
      </w:r>
      <w:r w:rsidRPr="00D03ACF">
        <w:t>nízkou motivac</w:t>
      </w:r>
      <w:r>
        <w:t>i</w:t>
      </w:r>
      <w:r w:rsidRPr="00D03ACF">
        <w:t xml:space="preserve"> při investování do těchto projektů kvůli vysokým nákladům a nízké rentabilitě. Řešení situace vyžaduje intervenci státu. Je nutné garantovat jist</w:t>
      </w:r>
      <w:r>
        <w:t>á</w:t>
      </w:r>
      <w:r w:rsidRPr="00D03ACF">
        <w:t xml:space="preserve"> pravidla zaručující </w:t>
      </w:r>
      <w:r>
        <w:t>nižší</w:t>
      </w:r>
      <w:r w:rsidRPr="00D03ACF">
        <w:t xml:space="preserve"> nákladovost při realizaci a nižší náklady na dluhové financování od komerčních finančních institucí. Pouze nižší náklady motivuji společnosti aspoň částečné zvýšit investice do rozvoje NGA sítí</w:t>
      </w:r>
      <w:r>
        <w:t xml:space="preserve"> v bílých místech</w:t>
      </w:r>
      <w:r w:rsidRPr="00D03ACF">
        <w:t>.</w:t>
      </w:r>
    </w:p>
    <w:p w:rsidR="002A667A" w:rsidRDefault="002A667A"/>
    <w:p w:rsidR="002A667A" w:rsidRDefault="002A667A" w:rsidP="00992CC9">
      <w:r>
        <w:t xml:space="preserve">S ohledem na </w:t>
      </w:r>
      <w:r w:rsidRPr="00D03ACF">
        <w:t>kritérium výstavby a provozování „sdílené sítě“</w:t>
      </w:r>
      <w:r>
        <w:t xml:space="preserve"> požadované OP PIK a aplikovatelnými pravidly veřejné podpory</w:t>
      </w:r>
      <w:r w:rsidRPr="00D03ACF">
        <w:t>, navrhujeme poskytování finanční podpory pomoci IFN v celkové výši 20% z alokace pro specifický cíl</w:t>
      </w:r>
      <w:r>
        <w:t xml:space="preserve"> 4.1</w:t>
      </w:r>
      <w:r w:rsidRPr="00D03ACF">
        <w:t>.</w:t>
      </w:r>
      <w:r>
        <w:t xml:space="preserve"> Příjemci mohou </w:t>
      </w:r>
      <w:r w:rsidRPr="00D03ACF">
        <w:t xml:space="preserve">při budování </w:t>
      </w:r>
      <w:r>
        <w:t xml:space="preserve">infrastruktury </w:t>
      </w:r>
      <w:r w:rsidRPr="00D03ACF">
        <w:t>využívat úspory z</w:t>
      </w:r>
      <w:r>
        <w:t> </w:t>
      </w:r>
      <w:r w:rsidRPr="00D03ACF">
        <w:t>rozsahu, a proto</w:t>
      </w:r>
      <w:r>
        <w:t xml:space="preserve"> </w:t>
      </w:r>
      <w:r w:rsidRPr="00D03ACF">
        <w:t xml:space="preserve">by využití IFN připadalo maximálně do úrovně 50 % způsobilých nákladů. Dotace </w:t>
      </w:r>
      <w:r>
        <w:t xml:space="preserve">by bylo vhodné </w:t>
      </w:r>
      <w:r w:rsidRPr="00D03ACF">
        <w:t>poskytovat projektům na základě rozřazení dle regionálního klíče (bílé oblastí), ekonomické výkonnosti (dlouhá doba návratnosti</w:t>
      </w:r>
      <w:r>
        <w:t xml:space="preserve">, nízká </w:t>
      </w:r>
      <w:r w:rsidRPr="00D03ACF">
        <w:t>profitabilita)</w:t>
      </w:r>
      <w:r>
        <w:t>.</w:t>
      </w:r>
      <w:r w:rsidRPr="00D03ACF">
        <w:t xml:space="preserve"> </w:t>
      </w:r>
      <w:r>
        <w:t>projekty v  šedých oblastech a zároveň s vyšší profitabilitou jsou naopak vhodné pro užití finančního nástroje.</w:t>
      </w:r>
    </w:p>
    <w:p w:rsidR="002A667A" w:rsidRDefault="002A667A"/>
    <w:p w:rsidR="002A667A" w:rsidRDefault="002A667A">
      <w:r w:rsidRPr="00D03ACF">
        <w:t xml:space="preserve">Vhodný koncept podnikatelského modelu je DBO, kterému ŘO </w:t>
      </w:r>
      <w:r>
        <w:t>prostřednictvím mechanismu finančního nástroje</w:t>
      </w:r>
      <w:r w:rsidRPr="00D03ACF">
        <w:t xml:space="preserve"> určí podmínky přidělení </w:t>
      </w:r>
      <w:r>
        <w:t>podpory</w:t>
      </w:r>
      <w:r w:rsidRPr="00D03ACF">
        <w:t xml:space="preserve">, ale provoz a vlastnictví </w:t>
      </w:r>
      <w:r>
        <w:t xml:space="preserve">projektu </w:t>
      </w:r>
      <w:r w:rsidRPr="00D03ACF">
        <w:t xml:space="preserve">je </w:t>
      </w:r>
      <w:r>
        <w:t>ji</w:t>
      </w:r>
      <w:r w:rsidRPr="00D03ACF">
        <w:t xml:space="preserve">ž v rukou </w:t>
      </w:r>
      <w:r>
        <w:t>konečného příjemce</w:t>
      </w:r>
      <w:r w:rsidRPr="00D03ACF">
        <w:t>.</w:t>
      </w:r>
    </w:p>
    <w:p w:rsidR="002A667A" w:rsidRDefault="002A667A"/>
    <w:p w:rsidR="002A667A" w:rsidRDefault="002A667A">
      <w:r>
        <w:t>Vhodným finančním nástrojem je dle závěrů Deloitte Advisory úvěrový finanční nástroj, dále bude analyzován i kapitálový finanční nástroj na bázi projektového financování.</w:t>
      </w:r>
    </w:p>
    <w:p w:rsidR="002A667A" w:rsidRDefault="002A667A"/>
    <w:p w:rsidR="002A667A" w:rsidRDefault="002A667A"/>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36" w:name="_Toc414464616"/>
      <w:r w:rsidRPr="00D03ACF">
        <w:lastRenderedPageBreak/>
        <w:t>Schéma fungování navrhovaného finančního nástroje</w:t>
      </w:r>
      <w:bookmarkEnd w:id="36"/>
      <w:r>
        <w:t xml:space="preserve"> (příklad úvěrového nástroje)</w:t>
      </w:r>
    </w:p>
    <w:p w:rsidR="002A667A" w:rsidRPr="00D03ACF" w:rsidRDefault="008011AF" w:rsidP="006638C9">
      <w:pPr>
        <w:jc w:val="center"/>
      </w:pPr>
      <w:r>
        <w:rPr>
          <w:noProof/>
        </w:rPr>
        <w:drawing>
          <wp:inline distT="0" distB="0" distL="0" distR="0">
            <wp:extent cx="4602480" cy="2476500"/>
            <wp:effectExtent l="0" t="0" r="7620" b="0"/>
            <wp:docPr id="22" name="Picture 1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0"/>
                    <pic:cNvPicPr>
                      <a:picLocks noChangeAspect="1" noChangeArrowheads="1"/>
                    </pic:cNvPicPr>
                  </pic:nvPicPr>
                  <pic:blipFill>
                    <a:blip r:embed="rId35">
                      <a:extLst>
                        <a:ext uri="{28A0092B-C50C-407E-A947-70E740481C1C}">
                          <a14:useLocalDpi xmlns:a14="http://schemas.microsoft.com/office/drawing/2010/main" val="0"/>
                        </a:ext>
                      </a:extLst>
                    </a:blip>
                    <a:srcRect t="6134"/>
                    <a:stretch>
                      <a:fillRect/>
                    </a:stretch>
                  </pic:blipFill>
                  <pic:spPr bwMode="auto">
                    <a:xfrm>
                      <a:off x="0" y="0"/>
                      <a:ext cx="4602480" cy="2476500"/>
                    </a:xfrm>
                    <a:prstGeom prst="rect">
                      <a:avLst/>
                    </a:prstGeom>
                    <a:noFill/>
                    <a:ln>
                      <a:noFill/>
                    </a:ln>
                  </pic:spPr>
                </pic:pic>
              </a:graphicData>
            </a:graphic>
          </wp:inline>
        </w:drawing>
      </w:r>
    </w:p>
    <w:p w:rsidR="002A667A" w:rsidRPr="00D03ACF" w:rsidRDefault="002A667A" w:rsidP="006638C9"/>
    <w:p w:rsidR="002A667A" w:rsidRPr="00D03ACF" w:rsidRDefault="008011AF" w:rsidP="006638C9">
      <w:pPr>
        <w:jc w:val="center"/>
      </w:pPr>
      <w:r>
        <w:rPr>
          <w:noProof/>
        </w:rPr>
        <w:drawing>
          <wp:inline distT="0" distB="0" distL="0" distR="0">
            <wp:extent cx="4693920" cy="3032760"/>
            <wp:effectExtent l="0" t="0" r="0" b="0"/>
            <wp:docPr id="23" name="Picture 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3920" cy="3032760"/>
                    </a:xfrm>
                    <a:prstGeom prst="rect">
                      <a:avLst/>
                    </a:prstGeom>
                    <a:noFill/>
                    <a:ln>
                      <a:noFill/>
                    </a:ln>
                  </pic:spPr>
                </pic:pic>
              </a:graphicData>
            </a:graphic>
          </wp:inline>
        </w:drawing>
      </w:r>
    </w:p>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37" w:name="_Toc414464617"/>
      <w:r w:rsidRPr="00D03ACF">
        <w:t>Základní parametry finančního nástroje</w:t>
      </w:r>
      <w:bookmarkEnd w:id="37"/>
    </w:p>
    <w:p w:rsidR="002A667A" w:rsidRPr="00D03ACF" w:rsidRDefault="002A667A" w:rsidP="006638C9">
      <w:pPr>
        <w:pStyle w:val="CaptionIntroductionparagraph"/>
      </w:pPr>
      <w:r w:rsidRPr="00D03ACF">
        <w:t xml:space="preserve">Úvěrový </w:t>
      </w:r>
      <w:r>
        <w:t xml:space="preserve">nebo kapitálový finanční </w:t>
      </w:r>
      <w:r w:rsidRPr="00D03ACF">
        <w:t>nástroj (SC 4.1)</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2A667A" w:rsidRPr="00D03ACF" w:rsidTr="00B37E7F">
        <w:tc>
          <w:tcPr>
            <w:tcW w:w="2282" w:type="dxa"/>
            <w:shd w:val="clear" w:color="auto" w:fill="ECFFC3"/>
          </w:tcPr>
          <w:p w:rsidR="002A667A" w:rsidRPr="00D03ACF" w:rsidRDefault="002A667A" w:rsidP="00B37E7F">
            <w:pPr>
              <w:rPr>
                <w:b/>
              </w:rPr>
            </w:pPr>
          </w:p>
        </w:tc>
        <w:tc>
          <w:tcPr>
            <w:tcW w:w="6788" w:type="dxa"/>
            <w:shd w:val="clear" w:color="auto" w:fill="ECFFC3"/>
          </w:tcPr>
          <w:p w:rsidR="002A667A" w:rsidRPr="00D03ACF" w:rsidRDefault="002A667A" w:rsidP="00B37E7F">
            <w:pPr>
              <w:ind w:left="38"/>
              <w:rPr>
                <w:b/>
              </w:rPr>
            </w:pPr>
          </w:p>
        </w:tc>
      </w:tr>
      <w:tr w:rsidR="002A667A" w:rsidRPr="00D03ACF" w:rsidTr="00B37E7F">
        <w:tc>
          <w:tcPr>
            <w:tcW w:w="2282" w:type="dxa"/>
            <w:shd w:val="clear" w:color="auto" w:fill="92D400"/>
            <w:noWrap/>
          </w:tcPr>
          <w:p w:rsidR="002A667A" w:rsidRPr="00D03ACF" w:rsidRDefault="002A667A" w:rsidP="00B37E7F">
            <w:pPr>
              <w:rPr>
                <w:b/>
                <w:color w:val="FFFFFF"/>
              </w:rPr>
            </w:pPr>
            <w:r w:rsidRPr="00D03ACF">
              <w:rPr>
                <w:b/>
                <w:color w:val="FFFFFF"/>
              </w:rPr>
              <w:t>Cíle finančního nástroje</w:t>
            </w:r>
          </w:p>
        </w:tc>
        <w:tc>
          <w:tcPr>
            <w:tcW w:w="6788" w:type="dxa"/>
            <w:shd w:val="clear" w:color="auto" w:fill="FFFFFF"/>
            <w:noWrap/>
          </w:tcPr>
          <w:p w:rsidR="002A667A" w:rsidRPr="00D03ACF" w:rsidRDefault="002A667A" w:rsidP="00B37E7F">
            <w:r w:rsidRPr="00D03ACF">
              <w:t xml:space="preserve">Cílem finančního nástroje je motivovat společnosti podnikající v elektronické komunikaci k budování a modernizaci sítí v tzv. bílých oblastech, které nedisponují vhodným připojením k vysokorychlostnímu internetu a plnit cíle vytyčené v koncepci Digitální Česko 2.0. Toho bude dosahováno poskytnutím finančního nástroje v podobě zvýhodněného úvěru. Konečný příjemce bude mít možnost pokrýt až 100 % způsobilých výdajů a nebude muset získávat finanční prostředky na spolufinancování dotace na komerčním trhu (MSP). Pro velké firmy bude nastavená možnost pokrýt pouze 50 % způsobilých nákladů, s ohledem na významnou </w:t>
            </w:r>
            <w:r w:rsidRPr="00D03ACF">
              <w:lastRenderedPageBreak/>
              <w:t>konkurenční výhodu ve formě úspor z rozsahu a postavení na trhu.</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lastRenderedPageBreak/>
              <w:t>Definice a kritéria způsobilých projektů</w:t>
            </w:r>
          </w:p>
        </w:tc>
        <w:tc>
          <w:tcPr>
            <w:tcW w:w="6788" w:type="dxa"/>
            <w:shd w:val="clear" w:color="auto" w:fill="FFFFFF"/>
            <w:noWrap/>
          </w:tcPr>
          <w:p w:rsidR="002A667A" w:rsidRPr="00D03ACF" w:rsidRDefault="002A667A" w:rsidP="00B37E7F">
            <w:r w:rsidRPr="00D03ACF">
              <w:t xml:space="preserve">Finanční nástroj lze použít na projekty podporované v rámci specifického cíle 4.1: </w:t>
            </w:r>
          </w:p>
          <w:p w:rsidR="002A667A" w:rsidRPr="009C1813" w:rsidRDefault="002A667A" w:rsidP="006638C9">
            <w:pPr>
              <w:pStyle w:val="Odstavecseseznamem"/>
              <w:numPr>
                <w:ilvl w:val="0"/>
                <w:numId w:val="77"/>
              </w:numPr>
              <w:overflowPunct/>
              <w:autoSpaceDE/>
              <w:autoSpaceDN/>
              <w:adjustRightInd/>
              <w:spacing w:line="250" w:lineRule="atLeast"/>
              <w:jc w:val="left"/>
              <w:textAlignment w:val="auto"/>
            </w:pPr>
            <w:r w:rsidRPr="009C1813">
              <w:t>Zvětšit pokrytí vysokorychlostním internetem v bílých a částečně šedých oblast</w:t>
            </w:r>
            <w:r>
              <w:t>e</w:t>
            </w:r>
            <w:r w:rsidRPr="009C1813">
              <w:t>ch budováním NGA síti v oblast</w:t>
            </w:r>
            <w:r>
              <w:t>e</w:t>
            </w:r>
            <w:r w:rsidRPr="009C1813">
              <w:t>ch s řídkým zalidněním a s nízkou pravděpodobnosti výstavby v příštích 3 letech;</w:t>
            </w:r>
          </w:p>
          <w:p w:rsidR="002A667A" w:rsidRPr="009C1813" w:rsidRDefault="002A667A" w:rsidP="006638C9">
            <w:pPr>
              <w:pStyle w:val="Odstavecseseznamem"/>
              <w:numPr>
                <w:ilvl w:val="0"/>
                <w:numId w:val="77"/>
              </w:numPr>
              <w:overflowPunct/>
              <w:autoSpaceDE/>
              <w:autoSpaceDN/>
              <w:adjustRightInd/>
              <w:spacing w:line="250" w:lineRule="atLeast"/>
              <w:jc w:val="left"/>
              <w:textAlignment w:val="auto"/>
            </w:pPr>
            <w:r w:rsidRPr="009C1813">
              <w:t>Modernizovat stávající sítě na NGA síť v bílých nebo šedých regionech, kde dochází k narušení tržní konkurence v daném segmentu.</w:t>
            </w:r>
          </w:p>
          <w:p w:rsidR="002A667A" w:rsidRPr="00D03ACF" w:rsidRDefault="002A667A" w:rsidP="00B37E7F"/>
          <w:p w:rsidR="002A667A" w:rsidRPr="00D03ACF" w:rsidRDefault="002A667A" w:rsidP="00B37E7F">
            <w:pPr>
              <w:rPr>
                <w:b/>
              </w:rPr>
            </w:pPr>
            <w:r w:rsidRPr="00D03ACF">
              <w:t>Základní podmínkou přijatelnosti projektů bude splnění kritéria otevřenosti sítě pro ostatních provozovatele komunikačních služeb a tzv. dlouhodobé udržitelnosti garantující nemonopolní postavení na trhu.</w:t>
            </w:r>
          </w:p>
        </w:tc>
      </w:tr>
      <w:tr w:rsidR="002A667A" w:rsidRPr="00D03ACF" w:rsidTr="00B37E7F">
        <w:tc>
          <w:tcPr>
            <w:tcW w:w="2282" w:type="dxa"/>
            <w:shd w:val="clear" w:color="auto" w:fill="92D400"/>
            <w:noWrap/>
          </w:tcPr>
          <w:p w:rsidR="002A667A" w:rsidRPr="00D03ACF" w:rsidRDefault="002A667A" w:rsidP="00B37E7F">
            <w:pPr>
              <w:rPr>
                <w:b/>
                <w:color w:val="FFFFFF"/>
              </w:rPr>
            </w:pPr>
            <w:r w:rsidRPr="00D03ACF">
              <w:rPr>
                <w:b/>
                <w:color w:val="FFFFFF"/>
              </w:rPr>
              <w:t>Forma podpory</w:t>
            </w:r>
          </w:p>
        </w:tc>
        <w:tc>
          <w:tcPr>
            <w:tcW w:w="6788" w:type="dxa"/>
            <w:shd w:val="clear" w:color="auto" w:fill="FFFFFF"/>
            <w:noWrap/>
          </w:tcPr>
          <w:p w:rsidR="002A667A" w:rsidRPr="00D03ACF" w:rsidRDefault="002A667A" w:rsidP="00B37E7F">
            <w:r w:rsidRPr="00D03ACF">
              <w:t xml:space="preserve">Ve sledované oblasti podpory je navrhován </w:t>
            </w:r>
            <w:r w:rsidRPr="00D03ACF">
              <w:rPr>
                <w:b/>
              </w:rPr>
              <w:t>finanční nástroj, který bude poskytnut formou zvýhodněného úvěru</w:t>
            </w:r>
            <w:r>
              <w:rPr>
                <w:b/>
              </w:rPr>
              <w:t xml:space="preserve"> nebo kapitálové investice do SPV zřízené konečným příjemcem za účelem realizace projektu NGA</w:t>
            </w:r>
            <w:r w:rsidRPr="00D03ACF">
              <w:rPr>
                <w:b/>
              </w:rPr>
              <w:t xml:space="preserve">. Zvýhodněný úvěr </w:t>
            </w:r>
            <w:r>
              <w:rPr>
                <w:b/>
              </w:rPr>
              <w:t xml:space="preserve">nebo kapitálový vstup </w:t>
            </w:r>
            <w:r w:rsidRPr="00D03ACF">
              <w:rPr>
                <w:b/>
              </w:rPr>
              <w:t>bude konečný příjemce moci použít k financování způsobilých nákladů ve výši 50 až 100 %</w:t>
            </w:r>
            <w:r>
              <w:rPr>
                <w:b/>
              </w:rPr>
              <w:t>.</w:t>
            </w:r>
            <w:r w:rsidRPr="00D03ACF">
              <w:rPr>
                <w:b/>
              </w:rPr>
              <w:t xml:space="preserve"> </w:t>
            </w:r>
            <w:r w:rsidRPr="00D03ACF">
              <w:t xml:space="preserve">Poskytovatelem zvýhodněného úvěru bude zvolená finanční instituce. Pro </w:t>
            </w:r>
            <w:r>
              <w:t xml:space="preserve">méně </w:t>
            </w:r>
            <w:r w:rsidRPr="00D03ACF">
              <w:t>rentabilní projekt</w:t>
            </w:r>
            <w:r>
              <w:t>y</w:t>
            </w:r>
            <w:r w:rsidRPr="00D03ACF">
              <w:t xml:space="preserve"> se jeví jako vhodnější nástroj </w:t>
            </w:r>
            <w:r>
              <w:t>podpory dotace</w:t>
            </w:r>
            <w:r w:rsidRPr="00D03ACF">
              <w:t xml:space="preserve"> v kontextu rozvoje </w:t>
            </w:r>
            <w:r>
              <w:t xml:space="preserve">infrastruktury </w:t>
            </w:r>
            <w:r w:rsidRPr="00D03ACF">
              <w:t>ve veřejném zájmu.</w:t>
            </w:r>
          </w:p>
        </w:tc>
      </w:tr>
      <w:tr w:rsidR="002A667A" w:rsidRPr="00D03ACF" w:rsidTr="00B37E7F">
        <w:tc>
          <w:tcPr>
            <w:tcW w:w="2282" w:type="dxa"/>
            <w:shd w:val="clear" w:color="auto" w:fill="92D400"/>
            <w:noWrap/>
          </w:tcPr>
          <w:p w:rsidR="002A667A" w:rsidRPr="00D03ACF" w:rsidRDefault="002A667A" w:rsidP="00B37E7F">
            <w:pPr>
              <w:rPr>
                <w:b/>
                <w:color w:val="FFFFFF"/>
              </w:rPr>
            </w:pPr>
            <w:r w:rsidRPr="00D03ACF">
              <w:rPr>
                <w:b/>
                <w:color w:val="FFFFFF"/>
              </w:rPr>
              <w:t>Výše podpory</w:t>
            </w:r>
          </w:p>
        </w:tc>
        <w:tc>
          <w:tcPr>
            <w:tcW w:w="6788" w:type="dxa"/>
            <w:shd w:val="clear" w:color="auto" w:fill="FFFFFF"/>
            <w:noWrap/>
          </w:tcPr>
          <w:p w:rsidR="002A667A" w:rsidRPr="00D03ACF" w:rsidRDefault="002A667A" w:rsidP="00B37E7F">
            <w:r>
              <w:t>Deloitte Advisory</w:t>
            </w:r>
            <w:r w:rsidRPr="00D03ACF">
              <w:t xml:space="preserve"> navrhuje </w:t>
            </w:r>
            <w:r>
              <w:t xml:space="preserve">zvýhodněné úvěry </w:t>
            </w:r>
            <w:r w:rsidRPr="00D03ACF">
              <w:t>ve výši až 50 % způsobilých nákladů projektu pro velké podniky a až 100 % způsobilých nákladů pro malé a střední podniky.</w:t>
            </w:r>
            <w:r>
              <w:t xml:space="preserve"> Alternativou k návrhu Deloitte Advisory jsou kapitálové vstupy do SPV konečných příjemců zřízené za účelem realizace projektů NGA.</w:t>
            </w:r>
          </w:p>
          <w:p w:rsidR="002A667A" w:rsidRPr="00D03ACF" w:rsidRDefault="002A667A" w:rsidP="00B37E7F"/>
          <w:p w:rsidR="002A667A" w:rsidRPr="00D03ACF" w:rsidRDefault="002A667A" w:rsidP="00B37E7F">
            <w:r>
              <w:t>Zvýhodněný ú</w:t>
            </w:r>
            <w:r w:rsidRPr="00D03ACF">
              <w:t xml:space="preserve">věr </w:t>
            </w:r>
            <w:r>
              <w:t xml:space="preserve">nebo kapitálový vstup </w:t>
            </w:r>
            <w:r w:rsidRPr="00D03ACF">
              <w:t xml:space="preserve">se bude pohybovat v rozpětí 1 – 200 mil. Kč. </w:t>
            </w:r>
          </w:p>
        </w:tc>
      </w:tr>
      <w:tr w:rsidR="002A667A" w:rsidRPr="00D03ACF" w:rsidTr="00B37E7F">
        <w:tc>
          <w:tcPr>
            <w:tcW w:w="2282" w:type="dxa"/>
            <w:shd w:val="clear" w:color="auto" w:fill="92D400"/>
            <w:noWrap/>
          </w:tcPr>
          <w:p w:rsidR="002A667A" w:rsidRPr="00D03ACF" w:rsidRDefault="002A667A" w:rsidP="00B37E7F">
            <w:pPr>
              <w:jc w:val="left"/>
              <w:rPr>
                <w:b/>
                <w:color w:val="FFFFFF"/>
              </w:rPr>
            </w:pPr>
            <w:r w:rsidRPr="00D03ACF">
              <w:rPr>
                <w:b/>
                <w:color w:val="FFFFFF"/>
              </w:rPr>
              <w:t>Základní parametry poskytované podpory</w:t>
            </w:r>
          </w:p>
        </w:tc>
        <w:tc>
          <w:tcPr>
            <w:tcW w:w="6788" w:type="dxa"/>
            <w:shd w:val="clear" w:color="auto" w:fill="FFFFFF"/>
            <w:noWrap/>
          </w:tcPr>
          <w:p w:rsidR="002A667A" w:rsidRPr="00D125B3" w:rsidRDefault="002A667A" w:rsidP="00B37E7F">
            <w:r w:rsidRPr="008A0B9B">
              <w:t>Deloitte Advisory dle dosavadních analýz očekává zvýhodněnou úrokovou sazbu úvěrového FN. Kapitálový</w:t>
            </w:r>
            <w:r>
              <w:t xml:space="preserve"> finanční nástroj </w:t>
            </w:r>
            <w:r w:rsidRPr="00D125B3">
              <w:t xml:space="preserve"> </w:t>
            </w:r>
            <w:r>
              <w:t>by umožnil zvýhodnění v podobě disproporční dělby zisku.</w:t>
            </w:r>
          </w:p>
        </w:tc>
      </w:tr>
      <w:tr w:rsidR="002A667A" w:rsidRPr="00D03ACF" w:rsidTr="00B37E7F">
        <w:tc>
          <w:tcPr>
            <w:tcW w:w="2282" w:type="dxa"/>
            <w:shd w:val="clear" w:color="auto" w:fill="92D400"/>
            <w:noWrap/>
          </w:tcPr>
          <w:p w:rsidR="002A667A" w:rsidRPr="00D03ACF" w:rsidRDefault="002A667A" w:rsidP="00B37E7F">
            <w:pPr>
              <w:rPr>
                <w:b/>
                <w:color w:val="FFFFFF"/>
              </w:rPr>
            </w:pPr>
            <w:r w:rsidRPr="00D03ACF">
              <w:rPr>
                <w:b/>
                <w:color w:val="FFFFFF"/>
              </w:rPr>
              <w:t>Kroky pro zjištění zájmu potenciálních spoluinvestorů</w:t>
            </w:r>
          </w:p>
        </w:tc>
        <w:tc>
          <w:tcPr>
            <w:tcW w:w="6788" w:type="dxa"/>
            <w:shd w:val="clear" w:color="auto" w:fill="FFFFFF"/>
            <w:noWrap/>
          </w:tcPr>
          <w:p w:rsidR="002A667A" w:rsidRPr="00D03ACF" w:rsidRDefault="002A667A" w:rsidP="00B37E7F">
            <w:r w:rsidRPr="00D03ACF">
              <w:t>Jako motivační nástroje pro zapojení spolufinancujících subjektů lze využít zejména následující:</w:t>
            </w:r>
          </w:p>
          <w:p w:rsidR="002A667A" w:rsidRPr="009C1813" w:rsidRDefault="002A667A" w:rsidP="006638C9">
            <w:pPr>
              <w:pStyle w:val="Odstavecseseznamem"/>
              <w:numPr>
                <w:ilvl w:val="0"/>
                <w:numId w:val="80"/>
              </w:numPr>
              <w:overflowPunct/>
              <w:autoSpaceDE/>
              <w:autoSpaceDN/>
              <w:adjustRightInd/>
              <w:contextualSpacing w:val="0"/>
              <w:textAlignment w:val="auto"/>
            </w:pPr>
            <w:r w:rsidRPr="009C1813">
              <w:t>garance pravidelného cash flow z volného přístupu k síti pro ostatní operátory (platba nájemného), garance pro ostatní účastníky, že nemůže vzniknout na nově vybudovaných NGA sítích monopol a sdílení nákladů proběhne společně, aby byli schopní splácet úvěr,</w:t>
            </w:r>
          </w:p>
          <w:p w:rsidR="002A667A" w:rsidRDefault="002A667A" w:rsidP="006638C9">
            <w:pPr>
              <w:pStyle w:val="Odstavecseseznamem"/>
              <w:numPr>
                <w:ilvl w:val="0"/>
                <w:numId w:val="80"/>
              </w:numPr>
              <w:overflowPunct/>
              <w:autoSpaceDE/>
              <w:autoSpaceDN/>
              <w:adjustRightInd/>
              <w:contextualSpacing w:val="0"/>
              <w:textAlignment w:val="auto"/>
            </w:pPr>
            <w:r w:rsidRPr="009C1813">
              <w:t>možnost kapitálového vstupu do business modelu DBO (veřejný/soukromý) pro rozvoj infrastruktury ve veřejném zájmu.</w:t>
            </w:r>
          </w:p>
          <w:p w:rsidR="002A667A" w:rsidRPr="009C1813" w:rsidRDefault="002A667A" w:rsidP="006638C9">
            <w:pPr>
              <w:pStyle w:val="Odstavecseseznamem"/>
              <w:numPr>
                <w:ilvl w:val="0"/>
                <w:numId w:val="80"/>
              </w:numPr>
              <w:overflowPunct/>
              <w:autoSpaceDE/>
              <w:autoSpaceDN/>
              <w:adjustRightInd/>
              <w:contextualSpacing w:val="0"/>
              <w:textAlignment w:val="auto"/>
            </w:pPr>
            <w:r>
              <w:t>V případě kapitálového vstupu – share A class pro soukromého investora zajišťující vyšší podíl na zisku, share B class pro veřejného investora (finanční nástroj)</w:t>
            </w:r>
          </w:p>
        </w:tc>
      </w:tr>
      <w:tr w:rsidR="002A667A" w:rsidRPr="00D03ACF" w:rsidTr="00B37E7F">
        <w:tc>
          <w:tcPr>
            <w:tcW w:w="2282" w:type="dxa"/>
            <w:shd w:val="clear" w:color="auto" w:fill="92D400"/>
            <w:noWrap/>
          </w:tcPr>
          <w:p w:rsidR="002A667A" w:rsidRPr="00D03ACF" w:rsidRDefault="002A667A" w:rsidP="00B37E7F">
            <w:pPr>
              <w:rPr>
                <w:b/>
                <w:color w:val="FFFFFF"/>
              </w:rPr>
            </w:pPr>
            <w:r w:rsidRPr="00D03ACF">
              <w:rPr>
                <w:b/>
                <w:color w:val="FFFFFF"/>
              </w:rPr>
              <w:t>Očekávaná alokace</w:t>
            </w:r>
          </w:p>
        </w:tc>
        <w:tc>
          <w:tcPr>
            <w:tcW w:w="6788" w:type="dxa"/>
            <w:shd w:val="clear" w:color="auto" w:fill="FFFFFF"/>
            <w:noWrap/>
          </w:tcPr>
          <w:p w:rsidR="002A667A" w:rsidRPr="00D03ACF" w:rsidRDefault="002A667A" w:rsidP="00B37E7F">
            <w:r>
              <w:t>Deloitte Advisory doporučuje</w:t>
            </w:r>
            <w:r w:rsidRPr="00D03ACF">
              <w:t xml:space="preserve"> finanční nástroj využít pro </w:t>
            </w:r>
            <w:r>
              <w:t xml:space="preserve">až </w:t>
            </w:r>
            <w:r w:rsidRPr="00D03ACF">
              <w:t>20 % alokace podporovaných aktivit specifického cíle 4.1.</w:t>
            </w:r>
          </w:p>
        </w:tc>
      </w:tr>
    </w:tbl>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38" w:name="_Toc414464618"/>
      <w:r w:rsidRPr="00D03ACF">
        <w:lastRenderedPageBreak/>
        <w:t>Posouzení zkušeností získaných v minulosti</w:t>
      </w:r>
      <w:bookmarkEnd w:id="38"/>
    </w:p>
    <w:p w:rsidR="002A667A" w:rsidRDefault="002A667A">
      <w:r w:rsidRPr="00D03ACF">
        <w:t>NGA sítě byly v ČR podporovány v rámci stimulace výstavby společné infrastruktury - liniových staveb, souběhů se silniční sítí, PPP výstaveb. Integrovaný operační program IOP byl zaměřen výhradně na projekty veřejném správy a veřejné služby a poskytován pouze formou dotací. Regionální operační program podpora telekomunikační/digitální infrastruktury fungovala výhradně na úrovni NUTS II. Další podporovanou oblastí byla v rámci ROP jihovýchod OP 3.3 Rozvoj a stabilizace venkovských sídel. Obce od 500 do 4 999 obyvatel mohly zakládat organizace, které byly příjemci dotace ve výši 2 – 50 mil. Kč na výstavbu širokopásmové NGA ITC sítě (až 85 % způsobilých nákladů)</w:t>
      </w:r>
      <w:r w:rsidRPr="00D03ACF">
        <w:rPr>
          <w:rStyle w:val="Znakapoznpodarou"/>
        </w:rPr>
        <w:footnoteReference w:id="12"/>
      </w:r>
      <w:r w:rsidRPr="00D03ACF">
        <w:t xml:space="preserve">. Vzhledem k tomu, že podpora rozvoje vysokorychlostních síti nebyla nikdy na celostátní úrovni podporovaná a stále byla dotovaná pouze na úrovni NUTS II., doposud nebyly v ČR pro tento specifický cíl použitý žádné finanční nástroje.   </w:t>
      </w:r>
    </w:p>
    <w:p w:rsidR="002A667A" w:rsidRPr="00D03ACF" w:rsidRDefault="002A667A" w:rsidP="006638C9">
      <w:pPr>
        <w:pStyle w:val="Nadpis3"/>
        <w:keepLines w:val="0"/>
        <w:numPr>
          <w:ilvl w:val="2"/>
          <w:numId w:val="48"/>
        </w:numPr>
        <w:overflowPunct/>
        <w:autoSpaceDE/>
        <w:autoSpaceDN/>
        <w:adjustRightInd/>
        <w:spacing w:before="240"/>
        <w:jc w:val="left"/>
        <w:textAlignment w:val="auto"/>
      </w:pPr>
      <w:bookmarkStart w:id="39" w:name="_Toc414464619"/>
      <w:r w:rsidRPr="00D03ACF">
        <w:t>Očekávané výsledky finančního nástroje</w:t>
      </w:r>
      <w:bookmarkEnd w:id="39"/>
    </w:p>
    <w:p w:rsidR="002A667A" w:rsidRDefault="002A667A" w:rsidP="00F67071">
      <w:r>
        <w:t>V modelovém příkladu společnost Deloitte Advisory pro zjednodušení abstrahovala od úrokových výnosů a poplatků za správu spolufinancujícího subjektu. Pro zjednodušení nepracujeme s rizikem. Pro co nejvýmluvnější vyčíslení revolvingového efektu jsme zvolili následující grafickou interpretaci, kde revolvingový efekt zobrazujeme jako sumu prostředků, které by musel fond obdržet na konci primárního investičního cyklu, aby mohl realizovat sekundární investice, které financuje právě revolving.</w:t>
      </w:r>
    </w:p>
    <w:p w:rsidR="002A667A" w:rsidRDefault="002A667A" w:rsidP="006638C9">
      <w:pPr>
        <w:pStyle w:val="BodyText1"/>
        <w:jc w:val="both"/>
      </w:pPr>
    </w:p>
    <w:p w:rsidR="002A667A" w:rsidRDefault="002A667A" w:rsidP="006638C9">
      <w:pPr>
        <w:pStyle w:val="CaptionIntroductionparagraph"/>
      </w:pPr>
      <w:r>
        <w:t>SC 4.1</w:t>
      </w:r>
    </w:p>
    <w:p w:rsidR="002A667A" w:rsidRDefault="002A667A" w:rsidP="006638C9">
      <w:pPr>
        <w:rPr>
          <w:noProof/>
        </w:rPr>
      </w:pPr>
    </w:p>
    <w:p w:rsidR="002A667A" w:rsidRDefault="008011AF" w:rsidP="006638C9">
      <w:pPr>
        <w:jc w:val="center"/>
        <w:rPr>
          <w:noProof/>
        </w:rPr>
      </w:pPr>
      <w:r>
        <w:rPr>
          <w:noProof/>
        </w:rPr>
        <w:drawing>
          <wp:inline distT="0" distB="0" distL="0" distR="0">
            <wp:extent cx="4648200" cy="2705100"/>
            <wp:effectExtent l="0" t="0" r="0" b="0"/>
            <wp:docPr id="24" name="Picture 1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8200" cy="2705100"/>
                    </a:xfrm>
                    <a:prstGeom prst="rect">
                      <a:avLst/>
                    </a:prstGeom>
                    <a:noFill/>
                    <a:ln>
                      <a:noFill/>
                    </a:ln>
                  </pic:spPr>
                </pic:pic>
              </a:graphicData>
            </a:graphic>
          </wp:inline>
        </w:drawing>
      </w:r>
    </w:p>
    <w:p w:rsidR="002A667A" w:rsidRDefault="002A667A" w:rsidP="006638C9">
      <w:pPr>
        <w:rPr>
          <w:noProof/>
        </w:rPr>
      </w:pPr>
    </w:p>
    <w:p w:rsidR="002A667A" w:rsidRPr="00D03ACF" w:rsidRDefault="002A667A" w:rsidP="006638C9"/>
    <w:p w:rsidR="002A667A" w:rsidRPr="00D03ACF" w:rsidRDefault="002A667A" w:rsidP="006638C9"/>
    <w:p w:rsidR="002A667A" w:rsidRDefault="002A667A" w:rsidP="00476945">
      <w:pPr>
        <w:pStyle w:val="Nadpis1"/>
        <w:numPr>
          <w:ilvl w:val="0"/>
          <w:numId w:val="0"/>
        </w:numPr>
      </w:pPr>
      <w:bookmarkStart w:id="40" w:name="_Toc409613006"/>
      <w:bookmarkStart w:id="41" w:name="_Toc413854349"/>
      <w:r>
        <w:br w:type="page"/>
      </w:r>
      <w:r>
        <w:lastRenderedPageBreak/>
        <w:t>Seznam zkratek</w:t>
      </w:r>
      <w:bookmarkEnd w:id="40"/>
      <w:bookmarkEnd w:id="41"/>
    </w:p>
    <w:p w:rsidR="002A667A" w:rsidRDefault="002A667A" w:rsidP="004C0A13">
      <w:pPr>
        <w:tabs>
          <w:tab w:val="left" w:pos="3402"/>
        </w:tabs>
        <w:spacing w:line="280" w:lineRule="atLeast"/>
        <w:ind w:left="3402" w:hanging="3402"/>
        <w:rPr>
          <w:rFonts w:cs="Calibri"/>
          <w:szCs w:val="24"/>
        </w:rPr>
      </w:pPr>
    </w:p>
    <w:p w:rsidR="002A667A" w:rsidRDefault="002A667A" w:rsidP="004C0A13">
      <w:pPr>
        <w:tabs>
          <w:tab w:val="left" w:pos="3402"/>
        </w:tabs>
        <w:spacing w:line="280" w:lineRule="atLeast"/>
        <w:ind w:left="3402" w:hanging="3402"/>
        <w:rPr>
          <w:rFonts w:cs="Calibri"/>
          <w:szCs w:val="24"/>
        </w:rPr>
      </w:pPr>
      <w:r>
        <w:rPr>
          <w:rFonts w:cs="Calibri"/>
          <w:szCs w:val="24"/>
        </w:rPr>
        <w:t>BF</w:t>
      </w:r>
      <w:r>
        <w:rPr>
          <w:rFonts w:cs="Calibri"/>
          <w:szCs w:val="24"/>
        </w:rPr>
        <w:tab/>
        <w:t>brownfield</w:t>
      </w:r>
    </w:p>
    <w:p w:rsidR="002A667A" w:rsidRDefault="002A667A" w:rsidP="004C0A13">
      <w:pPr>
        <w:tabs>
          <w:tab w:val="left" w:pos="3402"/>
        </w:tabs>
        <w:spacing w:line="280" w:lineRule="atLeast"/>
        <w:ind w:left="3402" w:hanging="3402"/>
        <w:rPr>
          <w:rFonts w:cs="Calibri"/>
          <w:szCs w:val="24"/>
        </w:rPr>
      </w:pPr>
      <w:r>
        <w:rPr>
          <w:rFonts w:cs="Calibri"/>
          <w:szCs w:val="24"/>
        </w:rPr>
        <w:t>BIS</w:t>
      </w:r>
      <w:r>
        <w:rPr>
          <w:rFonts w:cs="Calibri"/>
          <w:szCs w:val="24"/>
        </w:rPr>
        <w:tab/>
        <w:t>Bank for International Settlements</w:t>
      </w:r>
    </w:p>
    <w:p w:rsidR="002A667A" w:rsidRDefault="002A667A" w:rsidP="004C0A13">
      <w:pPr>
        <w:tabs>
          <w:tab w:val="left" w:pos="3402"/>
        </w:tabs>
        <w:spacing w:line="280" w:lineRule="atLeast"/>
        <w:ind w:left="3402" w:hanging="3402"/>
        <w:rPr>
          <w:rFonts w:cs="Calibri"/>
          <w:szCs w:val="24"/>
        </w:rPr>
      </w:pPr>
      <w:r>
        <w:rPr>
          <w:rFonts w:cs="Calibri"/>
          <w:szCs w:val="24"/>
        </w:rPr>
        <w:t>BPS</w:t>
      </w:r>
      <w:r>
        <w:rPr>
          <w:rFonts w:cs="Calibri"/>
          <w:szCs w:val="24"/>
        </w:rPr>
        <w:tab/>
        <w:t>bioplynová stanice</w:t>
      </w:r>
    </w:p>
    <w:p w:rsidR="002A667A" w:rsidRDefault="002A667A" w:rsidP="004C0A13">
      <w:pPr>
        <w:tabs>
          <w:tab w:val="left" w:pos="3402"/>
        </w:tabs>
        <w:spacing w:line="280" w:lineRule="atLeast"/>
        <w:ind w:left="3402" w:hanging="3402"/>
        <w:rPr>
          <w:rFonts w:cs="Calibri"/>
          <w:szCs w:val="24"/>
        </w:rPr>
      </w:pPr>
      <w:r>
        <w:rPr>
          <w:rFonts w:cs="Calibri"/>
          <w:szCs w:val="24"/>
        </w:rPr>
        <w:t>CI</w:t>
      </w:r>
      <w:r>
        <w:rPr>
          <w:rFonts w:cs="Calibri"/>
          <w:szCs w:val="24"/>
        </w:rPr>
        <w:tab/>
        <w:t>CzechInvest</w:t>
      </w:r>
    </w:p>
    <w:p w:rsidR="002A667A" w:rsidRDefault="002A667A" w:rsidP="004C0A13">
      <w:pPr>
        <w:tabs>
          <w:tab w:val="left" w:pos="3402"/>
        </w:tabs>
        <w:spacing w:line="280" w:lineRule="atLeast"/>
        <w:ind w:left="3402" w:hanging="3402"/>
        <w:rPr>
          <w:rFonts w:cs="Calibri"/>
          <w:szCs w:val="24"/>
        </w:rPr>
      </w:pPr>
      <w:r>
        <w:rPr>
          <w:rFonts w:cs="Calibri"/>
          <w:szCs w:val="24"/>
        </w:rPr>
        <w:t>CIP</w:t>
      </w:r>
      <w:r>
        <w:rPr>
          <w:rFonts w:cs="Calibri"/>
          <w:szCs w:val="24"/>
        </w:rPr>
        <w:tab/>
        <w:t>Competitiveness and Innovation Programme</w:t>
      </w:r>
    </w:p>
    <w:p w:rsidR="002A667A" w:rsidRDefault="002A667A" w:rsidP="004C0A13">
      <w:pPr>
        <w:tabs>
          <w:tab w:val="left" w:pos="3402"/>
        </w:tabs>
        <w:spacing w:line="280" w:lineRule="atLeast"/>
        <w:ind w:left="3402" w:hanging="3402"/>
        <w:rPr>
          <w:rFonts w:cs="Calibri"/>
          <w:szCs w:val="24"/>
        </w:rPr>
      </w:pPr>
      <w:r w:rsidRPr="0063015C">
        <w:rPr>
          <w:rFonts w:cs="Calibri"/>
          <w:szCs w:val="24"/>
        </w:rPr>
        <w:t>COESIF</w:t>
      </w:r>
      <w:r>
        <w:rPr>
          <w:rFonts w:cs="Calibri"/>
          <w:szCs w:val="24"/>
        </w:rPr>
        <w:tab/>
      </w:r>
      <w:r w:rsidRPr="0063015C">
        <w:rPr>
          <w:rFonts w:cs="Calibri"/>
          <w:szCs w:val="24"/>
        </w:rPr>
        <w:t>Coordination Committee for the European Structural and Investment Funds</w:t>
      </w:r>
    </w:p>
    <w:p w:rsidR="002A667A" w:rsidRDefault="002A667A" w:rsidP="004C0A13">
      <w:pPr>
        <w:tabs>
          <w:tab w:val="left" w:pos="3402"/>
        </w:tabs>
        <w:spacing w:line="280" w:lineRule="atLeast"/>
        <w:ind w:left="3402" w:hanging="3402"/>
        <w:rPr>
          <w:rFonts w:cs="Calibri"/>
          <w:szCs w:val="24"/>
        </w:rPr>
      </w:pPr>
      <w:r>
        <w:rPr>
          <w:rFonts w:cs="Calibri"/>
          <w:szCs w:val="24"/>
        </w:rPr>
        <w:t>COSME</w:t>
      </w:r>
      <w:r>
        <w:rPr>
          <w:rFonts w:cs="Calibri"/>
          <w:szCs w:val="24"/>
        </w:rPr>
        <w:tab/>
      </w:r>
      <w:r w:rsidRPr="00325210">
        <w:rPr>
          <w:rFonts w:cs="Calibri"/>
          <w:szCs w:val="24"/>
        </w:rPr>
        <w:t>Progra</w:t>
      </w:r>
      <w:r>
        <w:rPr>
          <w:rFonts w:cs="Calibri"/>
          <w:szCs w:val="24"/>
        </w:rPr>
        <w:t>mme for the Competitiveness of E</w:t>
      </w:r>
      <w:r w:rsidRPr="00325210">
        <w:rPr>
          <w:rFonts w:cs="Calibri"/>
          <w:szCs w:val="24"/>
        </w:rPr>
        <w:t>nterprises and SMEs</w:t>
      </w:r>
    </w:p>
    <w:p w:rsidR="002A667A" w:rsidRDefault="002A667A" w:rsidP="004C0A13">
      <w:pPr>
        <w:tabs>
          <w:tab w:val="left" w:pos="3402"/>
        </w:tabs>
        <w:spacing w:line="280" w:lineRule="atLeast"/>
        <w:ind w:left="3402" w:hanging="3402"/>
        <w:rPr>
          <w:rFonts w:cs="Calibri"/>
          <w:szCs w:val="24"/>
        </w:rPr>
      </w:pPr>
      <w:r>
        <w:rPr>
          <w:rFonts w:cs="Calibri"/>
          <w:szCs w:val="24"/>
        </w:rPr>
        <w:t xml:space="preserve">CVCA                                                     </w:t>
      </w:r>
      <w:r>
        <w:rPr>
          <w:rFonts w:cs="Calibri"/>
          <w:szCs w:val="24"/>
        </w:rPr>
        <w:tab/>
        <w:t>Czech Venture Capital &amp; Private Equity Association</w:t>
      </w:r>
    </w:p>
    <w:p w:rsidR="002A667A" w:rsidRDefault="002A667A" w:rsidP="004C0A13">
      <w:pPr>
        <w:tabs>
          <w:tab w:val="left" w:pos="3402"/>
        </w:tabs>
        <w:spacing w:line="280" w:lineRule="atLeast"/>
        <w:ind w:left="3402" w:hanging="3402"/>
        <w:rPr>
          <w:rFonts w:cs="Calibri"/>
          <w:szCs w:val="24"/>
        </w:rPr>
      </w:pPr>
      <w:r>
        <w:rPr>
          <w:rFonts w:cs="Calibri"/>
          <w:szCs w:val="24"/>
        </w:rPr>
        <w:t>ČBA</w:t>
      </w:r>
      <w:r>
        <w:rPr>
          <w:rFonts w:cs="Calibri"/>
          <w:szCs w:val="24"/>
        </w:rPr>
        <w:tab/>
        <w:t>Česká bankovní asociace</w:t>
      </w:r>
    </w:p>
    <w:p w:rsidR="002A667A" w:rsidRDefault="002A667A" w:rsidP="004C0A13">
      <w:pPr>
        <w:tabs>
          <w:tab w:val="left" w:pos="3402"/>
        </w:tabs>
        <w:spacing w:line="280" w:lineRule="atLeast"/>
        <w:ind w:left="3402" w:hanging="3402"/>
        <w:rPr>
          <w:rFonts w:cs="Calibri"/>
          <w:szCs w:val="24"/>
        </w:rPr>
      </w:pPr>
      <w:r>
        <w:rPr>
          <w:rFonts w:cs="Calibri"/>
          <w:szCs w:val="24"/>
        </w:rPr>
        <w:t>ČMZRB</w:t>
      </w:r>
      <w:r>
        <w:rPr>
          <w:rFonts w:cs="Calibri"/>
          <w:szCs w:val="24"/>
        </w:rPr>
        <w:tab/>
        <w:t>Českomoravská záruční a rozvojová banka, a.s.</w:t>
      </w:r>
    </w:p>
    <w:p w:rsidR="002A667A" w:rsidRDefault="002A667A" w:rsidP="004C0A13">
      <w:pPr>
        <w:tabs>
          <w:tab w:val="left" w:pos="3402"/>
        </w:tabs>
        <w:spacing w:line="280" w:lineRule="atLeast"/>
        <w:ind w:left="3402" w:hanging="3402"/>
        <w:rPr>
          <w:rFonts w:cs="Calibri"/>
          <w:szCs w:val="24"/>
        </w:rPr>
      </w:pPr>
      <w:r>
        <w:rPr>
          <w:rFonts w:cs="Calibri"/>
          <w:szCs w:val="24"/>
        </w:rPr>
        <w:t>ČNB</w:t>
      </w:r>
      <w:r>
        <w:rPr>
          <w:rFonts w:cs="Calibri"/>
          <w:szCs w:val="24"/>
        </w:rPr>
        <w:tab/>
        <w:t>Česká národní banka</w:t>
      </w:r>
    </w:p>
    <w:p w:rsidR="002A667A" w:rsidRDefault="002A667A" w:rsidP="004C0A13">
      <w:pPr>
        <w:tabs>
          <w:tab w:val="left" w:pos="3402"/>
        </w:tabs>
        <w:spacing w:line="280" w:lineRule="atLeast"/>
        <w:ind w:left="3402" w:hanging="3402"/>
        <w:rPr>
          <w:rFonts w:cs="Calibri"/>
          <w:szCs w:val="24"/>
        </w:rPr>
      </w:pPr>
      <w:r>
        <w:rPr>
          <w:rFonts w:cs="Calibri"/>
          <w:szCs w:val="24"/>
        </w:rPr>
        <w:t>ČRUIF</w:t>
      </w:r>
      <w:r>
        <w:rPr>
          <w:rFonts w:cs="Calibri"/>
          <w:szCs w:val="24"/>
        </w:rPr>
        <w:tab/>
        <w:t>Český rozvojový, uzavřený investiční fond, a.s.</w:t>
      </w:r>
    </w:p>
    <w:p w:rsidR="002A667A" w:rsidRDefault="002A667A" w:rsidP="004C0A13">
      <w:pPr>
        <w:tabs>
          <w:tab w:val="left" w:pos="3402"/>
        </w:tabs>
        <w:spacing w:line="280" w:lineRule="atLeast"/>
        <w:ind w:left="3402" w:hanging="3402"/>
        <w:rPr>
          <w:rFonts w:cs="Calibri"/>
          <w:szCs w:val="24"/>
        </w:rPr>
      </w:pPr>
      <w:r>
        <w:rPr>
          <w:rFonts w:cs="Calibri"/>
          <w:szCs w:val="24"/>
        </w:rPr>
        <w:t>ČSÚ</w:t>
      </w:r>
      <w:r>
        <w:rPr>
          <w:rFonts w:cs="Calibri"/>
          <w:szCs w:val="24"/>
        </w:rPr>
        <w:tab/>
        <w:t>Český statistický úřad</w:t>
      </w:r>
    </w:p>
    <w:p w:rsidR="002A667A" w:rsidRDefault="002A667A" w:rsidP="004C0A13">
      <w:pPr>
        <w:tabs>
          <w:tab w:val="left" w:pos="3402"/>
        </w:tabs>
        <w:spacing w:line="280" w:lineRule="atLeast"/>
        <w:ind w:left="3402" w:hanging="3402"/>
        <w:rPr>
          <w:rFonts w:cs="Calibri"/>
          <w:szCs w:val="24"/>
        </w:rPr>
      </w:pPr>
      <w:r>
        <w:rPr>
          <w:rFonts w:cs="Calibri"/>
          <w:szCs w:val="24"/>
        </w:rPr>
        <w:t>DBO</w:t>
      </w:r>
      <w:r>
        <w:rPr>
          <w:rFonts w:cs="Calibri"/>
          <w:szCs w:val="24"/>
        </w:rPr>
        <w:tab/>
        <w:t>Design, Build, Operate (forma PPP projektu)</w:t>
      </w:r>
    </w:p>
    <w:p w:rsidR="002A667A" w:rsidRDefault="002A667A" w:rsidP="004C0A13">
      <w:pPr>
        <w:tabs>
          <w:tab w:val="left" w:pos="3402"/>
        </w:tabs>
        <w:spacing w:line="280" w:lineRule="atLeast"/>
        <w:ind w:left="3402" w:hanging="3402"/>
        <w:rPr>
          <w:rFonts w:cs="Calibri"/>
          <w:szCs w:val="24"/>
        </w:rPr>
      </w:pPr>
      <w:r>
        <w:rPr>
          <w:rFonts w:cs="Calibri"/>
          <w:szCs w:val="24"/>
        </w:rPr>
        <w:t>DHM</w:t>
      </w:r>
      <w:r>
        <w:rPr>
          <w:rFonts w:cs="Calibri"/>
          <w:szCs w:val="24"/>
        </w:rPr>
        <w:tab/>
        <w:t>dlouhodobý hmotný majetek</w:t>
      </w:r>
    </w:p>
    <w:p w:rsidR="002A667A" w:rsidRDefault="002A667A" w:rsidP="004C0A13">
      <w:pPr>
        <w:tabs>
          <w:tab w:val="left" w:pos="3402"/>
        </w:tabs>
        <w:spacing w:line="280" w:lineRule="atLeast"/>
        <w:ind w:left="3402" w:hanging="3402"/>
        <w:rPr>
          <w:rFonts w:cs="Calibri"/>
          <w:szCs w:val="24"/>
        </w:rPr>
      </w:pPr>
      <w:r>
        <w:rPr>
          <w:rFonts w:cs="Calibri"/>
          <w:szCs w:val="24"/>
        </w:rPr>
        <w:t>EBRD</w:t>
      </w:r>
      <w:r>
        <w:rPr>
          <w:rFonts w:cs="Calibri"/>
          <w:szCs w:val="24"/>
        </w:rPr>
        <w:tab/>
        <w:t>European Bank for Reconstruction and Development</w:t>
      </w:r>
    </w:p>
    <w:p w:rsidR="002A667A" w:rsidRDefault="002A667A" w:rsidP="004C0A13">
      <w:pPr>
        <w:tabs>
          <w:tab w:val="left" w:pos="3402"/>
        </w:tabs>
        <w:spacing w:line="280" w:lineRule="atLeast"/>
        <w:ind w:left="3402" w:hanging="3402"/>
        <w:rPr>
          <w:rFonts w:cs="Calibri"/>
          <w:szCs w:val="24"/>
        </w:rPr>
      </w:pPr>
      <w:r>
        <w:rPr>
          <w:rFonts w:cs="Calibri"/>
          <w:szCs w:val="24"/>
        </w:rPr>
        <w:t>EE</w:t>
      </w:r>
      <w:r>
        <w:rPr>
          <w:rFonts w:cs="Calibri"/>
          <w:szCs w:val="24"/>
        </w:rPr>
        <w:tab/>
        <w:t>Energy Efficiency</w:t>
      </w:r>
    </w:p>
    <w:p w:rsidR="002A667A" w:rsidRDefault="002A667A" w:rsidP="004C0A13">
      <w:pPr>
        <w:tabs>
          <w:tab w:val="left" w:pos="3402"/>
        </w:tabs>
        <w:spacing w:line="280" w:lineRule="atLeast"/>
        <w:ind w:left="3402" w:hanging="3402"/>
        <w:rPr>
          <w:rFonts w:cs="Calibri"/>
          <w:szCs w:val="24"/>
        </w:rPr>
      </w:pPr>
      <w:r>
        <w:rPr>
          <w:rFonts w:cs="Calibri"/>
          <w:szCs w:val="24"/>
        </w:rPr>
        <w:t>EIB</w:t>
      </w:r>
      <w:r>
        <w:rPr>
          <w:rFonts w:cs="Calibri"/>
          <w:szCs w:val="24"/>
        </w:rPr>
        <w:tab/>
        <w:t>Evropská investiční banka</w:t>
      </w:r>
    </w:p>
    <w:p w:rsidR="002A667A" w:rsidRDefault="002A667A" w:rsidP="004C0A13">
      <w:pPr>
        <w:tabs>
          <w:tab w:val="left" w:pos="3402"/>
        </w:tabs>
        <w:spacing w:line="280" w:lineRule="atLeast"/>
        <w:ind w:left="3402" w:hanging="3402"/>
        <w:rPr>
          <w:rFonts w:cs="Calibri"/>
          <w:szCs w:val="24"/>
        </w:rPr>
      </w:pPr>
      <w:r>
        <w:rPr>
          <w:rFonts w:cs="Calibri"/>
          <w:szCs w:val="24"/>
        </w:rPr>
        <w:t>EIF</w:t>
      </w:r>
      <w:r>
        <w:rPr>
          <w:rFonts w:cs="Calibri"/>
          <w:szCs w:val="24"/>
        </w:rPr>
        <w:tab/>
        <w:t>Evropský investiční fond</w:t>
      </w:r>
    </w:p>
    <w:p w:rsidR="002A667A" w:rsidRDefault="002A667A" w:rsidP="004C0A13">
      <w:pPr>
        <w:tabs>
          <w:tab w:val="left" w:pos="3402"/>
        </w:tabs>
        <w:spacing w:line="280" w:lineRule="atLeast"/>
        <w:ind w:left="3402" w:hanging="3402"/>
        <w:rPr>
          <w:rFonts w:cs="Calibri"/>
          <w:szCs w:val="24"/>
        </w:rPr>
      </w:pPr>
      <w:r>
        <w:rPr>
          <w:rFonts w:cs="Calibri"/>
          <w:szCs w:val="24"/>
        </w:rPr>
        <w:t>EFRR</w:t>
      </w:r>
      <w:r>
        <w:rPr>
          <w:rFonts w:cs="Calibri"/>
          <w:szCs w:val="24"/>
        </w:rPr>
        <w:tab/>
        <w:t>Evropský fond pro regionální rozvoj</w:t>
      </w:r>
    </w:p>
    <w:p w:rsidR="002A667A" w:rsidRDefault="002A667A" w:rsidP="004C0A13">
      <w:pPr>
        <w:tabs>
          <w:tab w:val="left" w:pos="3402"/>
        </w:tabs>
        <w:spacing w:line="280" w:lineRule="atLeast"/>
        <w:ind w:left="3402" w:hanging="3402"/>
        <w:rPr>
          <w:rFonts w:cs="Calibri"/>
          <w:szCs w:val="24"/>
        </w:rPr>
      </w:pPr>
      <w:r>
        <w:rPr>
          <w:rFonts w:cs="Calibri"/>
          <w:szCs w:val="24"/>
        </w:rPr>
        <w:t>EPC</w:t>
      </w:r>
      <w:r>
        <w:rPr>
          <w:rFonts w:cs="Calibri"/>
          <w:szCs w:val="24"/>
        </w:rPr>
        <w:tab/>
        <w:t>Energy Performance Contracting</w:t>
      </w:r>
    </w:p>
    <w:p w:rsidR="002A667A" w:rsidRDefault="002A667A" w:rsidP="004C0A13">
      <w:pPr>
        <w:tabs>
          <w:tab w:val="left" w:pos="3402"/>
        </w:tabs>
        <w:spacing w:line="280" w:lineRule="atLeast"/>
        <w:ind w:left="3402" w:hanging="3402"/>
        <w:rPr>
          <w:rFonts w:cs="Calibri"/>
          <w:szCs w:val="24"/>
        </w:rPr>
      </w:pPr>
      <w:r>
        <w:rPr>
          <w:rFonts w:cs="Calibri"/>
          <w:szCs w:val="24"/>
        </w:rPr>
        <w:t>ESD</w:t>
      </w:r>
      <w:r>
        <w:rPr>
          <w:rFonts w:cs="Calibri"/>
          <w:szCs w:val="24"/>
        </w:rPr>
        <w:tab/>
        <w:t>Evropský soudní dvůr</w:t>
      </w:r>
    </w:p>
    <w:p w:rsidR="002A667A" w:rsidRDefault="002A667A" w:rsidP="004C0A13">
      <w:pPr>
        <w:tabs>
          <w:tab w:val="left" w:pos="3402"/>
        </w:tabs>
        <w:spacing w:line="280" w:lineRule="atLeast"/>
        <w:ind w:left="3402" w:hanging="3402"/>
        <w:rPr>
          <w:rFonts w:cs="Calibri"/>
          <w:szCs w:val="24"/>
        </w:rPr>
      </w:pPr>
      <w:r>
        <w:rPr>
          <w:rFonts w:cs="Calibri"/>
          <w:szCs w:val="24"/>
        </w:rPr>
        <w:t>ESIF</w:t>
      </w:r>
      <w:r>
        <w:rPr>
          <w:rFonts w:cs="Calibri"/>
          <w:szCs w:val="24"/>
        </w:rPr>
        <w:tab/>
        <w:t>Evropské strukturální a investiční fondy</w:t>
      </w:r>
    </w:p>
    <w:p w:rsidR="002A667A" w:rsidRDefault="002A667A" w:rsidP="004C0A13">
      <w:pPr>
        <w:tabs>
          <w:tab w:val="left" w:pos="3402"/>
        </w:tabs>
        <w:spacing w:line="280" w:lineRule="atLeast"/>
        <w:ind w:left="3402" w:hanging="3402"/>
        <w:rPr>
          <w:rFonts w:cs="Calibri"/>
          <w:szCs w:val="24"/>
        </w:rPr>
      </w:pPr>
      <w:r>
        <w:rPr>
          <w:rFonts w:cs="Calibri"/>
          <w:szCs w:val="24"/>
        </w:rPr>
        <w:t>EÚD</w:t>
      </w:r>
      <w:r>
        <w:rPr>
          <w:rFonts w:cs="Calibri"/>
          <w:szCs w:val="24"/>
        </w:rPr>
        <w:tab/>
        <w:t>Evropský účetní dvůr</w:t>
      </w:r>
    </w:p>
    <w:p w:rsidR="002A667A" w:rsidRDefault="002A667A" w:rsidP="004C0A13">
      <w:pPr>
        <w:tabs>
          <w:tab w:val="left" w:pos="3402"/>
        </w:tabs>
        <w:spacing w:line="280" w:lineRule="atLeast"/>
        <w:ind w:left="3402" w:hanging="3402"/>
        <w:rPr>
          <w:rFonts w:cs="Calibri"/>
          <w:szCs w:val="24"/>
        </w:rPr>
      </w:pPr>
      <w:r>
        <w:rPr>
          <w:rFonts w:cs="Calibri"/>
          <w:szCs w:val="24"/>
        </w:rPr>
        <w:t>FF</w:t>
      </w:r>
      <w:r>
        <w:rPr>
          <w:rFonts w:cs="Calibri"/>
          <w:szCs w:val="24"/>
        </w:rPr>
        <w:tab/>
        <w:t>fond fondů (v období 2007-2013 též holdingový fond, podílový fond)</w:t>
      </w:r>
    </w:p>
    <w:p w:rsidR="002A667A" w:rsidRDefault="002A667A" w:rsidP="004C0A13">
      <w:pPr>
        <w:tabs>
          <w:tab w:val="left" w:pos="3402"/>
        </w:tabs>
        <w:spacing w:line="280" w:lineRule="atLeast"/>
        <w:ind w:left="3402" w:hanging="3402"/>
        <w:rPr>
          <w:rFonts w:cs="Calibri"/>
          <w:szCs w:val="24"/>
        </w:rPr>
      </w:pPr>
      <w:r>
        <w:rPr>
          <w:rFonts w:cs="Calibri"/>
          <w:szCs w:val="24"/>
        </w:rPr>
        <w:t>FN</w:t>
      </w:r>
      <w:r>
        <w:rPr>
          <w:rFonts w:cs="Calibri"/>
          <w:szCs w:val="24"/>
        </w:rPr>
        <w:tab/>
        <w:t>finanční nástroj/e</w:t>
      </w:r>
    </w:p>
    <w:p w:rsidR="002A667A" w:rsidRDefault="002A667A" w:rsidP="004C0A13">
      <w:pPr>
        <w:tabs>
          <w:tab w:val="left" w:pos="3402"/>
        </w:tabs>
        <w:spacing w:line="280" w:lineRule="atLeast"/>
        <w:ind w:left="3402" w:hanging="3402"/>
        <w:rPr>
          <w:rFonts w:cs="Calibri"/>
          <w:szCs w:val="24"/>
        </w:rPr>
      </w:pPr>
      <w:r>
        <w:rPr>
          <w:rFonts w:cs="Calibri"/>
          <w:szCs w:val="24"/>
        </w:rPr>
        <w:t>HORIZONT 2020</w:t>
      </w:r>
      <w:r>
        <w:rPr>
          <w:rFonts w:cs="Calibri"/>
          <w:szCs w:val="24"/>
        </w:rPr>
        <w:tab/>
        <w:t>rámcový program EU pro výzkum a vývoj 2014-2020</w:t>
      </w:r>
    </w:p>
    <w:p w:rsidR="002A667A" w:rsidRDefault="002A667A" w:rsidP="004C0A13">
      <w:pPr>
        <w:tabs>
          <w:tab w:val="left" w:pos="3402"/>
        </w:tabs>
        <w:spacing w:line="280" w:lineRule="atLeast"/>
        <w:ind w:left="3402" w:hanging="3402"/>
        <w:rPr>
          <w:rFonts w:cs="Calibri"/>
          <w:szCs w:val="24"/>
        </w:rPr>
      </w:pPr>
      <w:r>
        <w:rPr>
          <w:rFonts w:cs="Calibri"/>
          <w:szCs w:val="24"/>
        </w:rPr>
        <w:t>IFN</w:t>
      </w:r>
      <w:r>
        <w:rPr>
          <w:rFonts w:cs="Calibri"/>
          <w:szCs w:val="24"/>
        </w:rPr>
        <w:tab/>
        <w:t>inovativní finanční nástroj</w:t>
      </w:r>
    </w:p>
    <w:p w:rsidR="002A667A" w:rsidRDefault="002A667A" w:rsidP="004C0A13">
      <w:pPr>
        <w:tabs>
          <w:tab w:val="left" w:pos="3402"/>
        </w:tabs>
        <w:spacing w:line="280" w:lineRule="atLeast"/>
        <w:ind w:left="3402" w:hanging="3402"/>
        <w:rPr>
          <w:rFonts w:cs="Calibri"/>
          <w:szCs w:val="24"/>
        </w:rPr>
      </w:pPr>
      <w:r>
        <w:rPr>
          <w:rFonts w:cs="Calibri"/>
          <w:szCs w:val="24"/>
        </w:rPr>
        <w:t>IRR</w:t>
      </w:r>
      <w:r>
        <w:rPr>
          <w:rFonts w:cs="Calibri"/>
          <w:szCs w:val="24"/>
        </w:rPr>
        <w:tab/>
        <w:t>Internal Rate of Return (vnitřní výnosové procento)</w:t>
      </w:r>
    </w:p>
    <w:p w:rsidR="002A667A" w:rsidRDefault="002A667A" w:rsidP="004C0A13">
      <w:pPr>
        <w:tabs>
          <w:tab w:val="left" w:pos="3402"/>
        </w:tabs>
        <w:spacing w:line="280" w:lineRule="atLeast"/>
        <w:ind w:left="3402" w:hanging="3402"/>
        <w:rPr>
          <w:rFonts w:cs="Calibri"/>
          <w:szCs w:val="24"/>
        </w:rPr>
      </w:pPr>
      <w:r>
        <w:rPr>
          <w:rFonts w:cs="Calibri"/>
          <w:szCs w:val="24"/>
        </w:rPr>
        <w:t>JEREMIE</w:t>
      </w:r>
      <w:r>
        <w:rPr>
          <w:rFonts w:cs="Calibri"/>
          <w:szCs w:val="24"/>
        </w:rPr>
        <w:tab/>
        <w:t xml:space="preserve">Joint European Resources for </w:t>
      </w:r>
      <w:r w:rsidRPr="00D02A7A">
        <w:rPr>
          <w:rFonts w:cs="Calibri"/>
          <w:szCs w:val="24"/>
        </w:rPr>
        <w:t>Micro to Medium Enterprises</w:t>
      </w:r>
    </w:p>
    <w:p w:rsidR="002A667A" w:rsidRDefault="002A667A" w:rsidP="004C0A13">
      <w:pPr>
        <w:tabs>
          <w:tab w:val="left" w:pos="3402"/>
        </w:tabs>
        <w:spacing w:line="280" w:lineRule="atLeast"/>
        <w:ind w:left="3402" w:hanging="3402"/>
        <w:rPr>
          <w:rFonts w:cs="Calibri"/>
          <w:szCs w:val="24"/>
        </w:rPr>
      </w:pPr>
      <w:r>
        <w:rPr>
          <w:rFonts w:cs="Calibri"/>
          <w:szCs w:val="24"/>
        </w:rPr>
        <w:t>JESSICA</w:t>
      </w:r>
      <w:r>
        <w:rPr>
          <w:rFonts w:cs="Calibri"/>
          <w:szCs w:val="24"/>
        </w:rPr>
        <w:tab/>
      </w:r>
      <w:r w:rsidRPr="00D02A7A">
        <w:rPr>
          <w:rFonts w:cs="Calibri"/>
          <w:szCs w:val="24"/>
        </w:rPr>
        <w:t>Joint European Support forSustainableInvestment in City Areas</w:t>
      </w:r>
    </w:p>
    <w:p w:rsidR="002A667A" w:rsidRDefault="002A667A" w:rsidP="004C0A13">
      <w:pPr>
        <w:tabs>
          <w:tab w:val="left" w:pos="3402"/>
        </w:tabs>
        <w:spacing w:line="280" w:lineRule="atLeast"/>
        <w:ind w:left="3402" w:hanging="3402"/>
        <w:rPr>
          <w:rFonts w:cs="Calibri"/>
          <w:szCs w:val="24"/>
        </w:rPr>
      </w:pPr>
      <w:r>
        <w:rPr>
          <w:rFonts w:cs="Calibri"/>
          <w:szCs w:val="24"/>
        </w:rPr>
        <w:t>LP</w:t>
      </w:r>
      <w:r>
        <w:rPr>
          <w:rFonts w:cs="Calibri"/>
          <w:szCs w:val="24"/>
        </w:rPr>
        <w:tab/>
        <w:t>Limited Partner, Limited Partnership (podle kontextu)</w:t>
      </w:r>
    </w:p>
    <w:p w:rsidR="002A667A" w:rsidRDefault="002A667A" w:rsidP="004C0A13">
      <w:pPr>
        <w:tabs>
          <w:tab w:val="left" w:pos="3402"/>
        </w:tabs>
        <w:spacing w:line="280" w:lineRule="atLeast"/>
        <w:ind w:left="3402" w:hanging="3402"/>
        <w:rPr>
          <w:rFonts w:cs="Calibri"/>
          <w:szCs w:val="24"/>
        </w:rPr>
      </w:pPr>
      <w:r>
        <w:rPr>
          <w:rFonts w:cs="Calibri"/>
          <w:szCs w:val="24"/>
        </w:rPr>
        <w:t>MCF</w:t>
      </w:r>
      <w:r>
        <w:rPr>
          <w:rFonts w:cs="Calibri"/>
          <w:szCs w:val="24"/>
        </w:rPr>
        <w:tab/>
        <w:t>Management Cost and Fees (náklady a poplatky za řízení)</w:t>
      </w:r>
    </w:p>
    <w:p w:rsidR="002A667A" w:rsidRDefault="002A667A" w:rsidP="004C0A13">
      <w:pPr>
        <w:tabs>
          <w:tab w:val="left" w:pos="3402"/>
        </w:tabs>
        <w:spacing w:line="280" w:lineRule="atLeast"/>
        <w:ind w:left="3402" w:hanging="3402"/>
        <w:rPr>
          <w:rFonts w:cs="Calibri"/>
          <w:szCs w:val="24"/>
        </w:rPr>
      </w:pPr>
      <w:r>
        <w:rPr>
          <w:rFonts w:cs="Calibri"/>
          <w:szCs w:val="24"/>
        </w:rPr>
        <w:t>MF</w:t>
      </w:r>
      <w:r>
        <w:rPr>
          <w:rFonts w:cs="Calibri"/>
          <w:szCs w:val="24"/>
        </w:rPr>
        <w:tab/>
        <w:t>Ministerstvo financí</w:t>
      </w:r>
    </w:p>
    <w:p w:rsidR="002A667A" w:rsidRDefault="002A667A" w:rsidP="004C0A13">
      <w:pPr>
        <w:tabs>
          <w:tab w:val="left" w:pos="3402"/>
        </w:tabs>
        <w:spacing w:line="280" w:lineRule="atLeast"/>
        <w:ind w:left="3402" w:hanging="3402"/>
        <w:rPr>
          <w:rFonts w:cs="Calibri"/>
          <w:szCs w:val="24"/>
        </w:rPr>
      </w:pPr>
      <w:r>
        <w:rPr>
          <w:rFonts w:cs="Calibri"/>
          <w:szCs w:val="24"/>
        </w:rPr>
        <w:t>MFTK</w:t>
      </w:r>
      <w:r>
        <w:rPr>
          <w:rFonts w:cs="Calibri"/>
          <w:szCs w:val="24"/>
        </w:rPr>
        <w:tab/>
        <w:t>Metodika finančních toků a kontroly</w:t>
      </w:r>
    </w:p>
    <w:p w:rsidR="002A667A" w:rsidRDefault="002A667A" w:rsidP="004C0A13">
      <w:pPr>
        <w:tabs>
          <w:tab w:val="left" w:pos="3402"/>
        </w:tabs>
        <w:spacing w:line="280" w:lineRule="atLeast"/>
        <w:ind w:left="3402" w:hanging="3402"/>
        <w:rPr>
          <w:rFonts w:cs="Calibri"/>
          <w:szCs w:val="24"/>
        </w:rPr>
      </w:pPr>
      <w:r>
        <w:rPr>
          <w:rFonts w:cs="Calibri"/>
          <w:szCs w:val="24"/>
        </w:rPr>
        <w:t>MMR</w:t>
      </w:r>
      <w:r>
        <w:rPr>
          <w:rFonts w:cs="Calibri"/>
          <w:szCs w:val="24"/>
        </w:rPr>
        <w:tab/>
        <w:t>Ministerstvo pro místní rozvoj</w:t>
      </w:r>
    </w:p>
    <w:p w:rsidR="002A667A" w:rsidRDefault="002A667A" w:rsidP="004C0A13">
      <w:pPr>
        <w:tabs>
          <w:tab w:val="left" w:pos="3402"/>
        </w:tabs>
        <w:spacing w:line="280" w:lineRule="atLeast"/>
        <w:ind w:left="3402" w:hanging="3402"/>
        <w:rPr>
          <w:rFonts w:cs="Calibri"/>
          <w:szCs w:val="24"/>
        </w:rPr>
      </w:pPr>
      <w:r>
        <w:rPr>
          <w:rFonts w:cs="Calibri"/>
          <w:szCs w:val="24"/>
        </w:rPr>
        <w:t>MPO</w:t>
      </w:r>
      <w:r>
        <w:rPr>
          <w:rFonts w:cs="Calibri"/>
          <w:szCs w:val="24"/>
        </w:rPr>
        <w:tab/>
        <w:t>Ministerstvo průmyslu a obchodu</w:t>
      </w:r>
    </w:p>
    <w:p w:rsidR="002A667A" w:rsidRDefault="002A667A" w:rsidP="004C0A13">
      <w:pPr>
        <w:tabs>
          <w:tab w:val="left" w:pos="3402"/>
        </w:tabs>
        <w:spacing w:line="280" w:lineRule="atLeast"/>
        <w:ind w:left="3402" w:hanging="3402"/>
        <w:rPr>
          <w:rFonts w:cs="Calibri"/>
          <w:szCs w:val="24"/>
        </w:rPr>
      </w:pPr>
      <w:r>
        <w:rPr>
          <w:rFonts w:cs="Calibri"/>
          <w:szCs w:val="24"/>
        </w:rPr>
        <w:t>MSP</w:t>
      </w:r>
      <w:r>
        <w:rPr>
          <w:rFonts w:cs="Calibri"/>
          <w:szCs w:val="24"/>
        </w:rPr>
        <w:tab/>
        <w:t>malý/é a střední podnik/y</w:t>
      </w:r>
    </w:p>
    <w:p w:rsidR="002A667A" w:rsidRDefault="002A667A" w:rsidP="004C0A13">
      <w:pPr>
        <w:tabs>
          <w:tab w:val="left" w:pos="3402"/>
        </w:tabs>
        <w:spacing w:line="280" w:lineRule="atLeast"/>
        <w:ind w:left="3402" w:hanging="3402"/>
        <w:rPr>
          <w:rFonts w:cs="Calibri"/>
          <w:szCs w:val="24"/>
        </w:rPr>
      </w:pPr>
      <w:r>
        <w:rPr>
          <w:rFonts w:cs="Calibri"/>
          <w:szCs w:val="24"/>
        </w:rPr>
        <w:t>MVE</w:t>
      </w:r>
      <w:r>
        <w:rPr>
          <w:rFonts w:cs="Calibri"/>
          <w:szCs w:val="24"/>
        </w:rPr>
        <w:tab/>
        <w:t>malá vodní elektrárna</w:t>
      </w:r>
    </w:p>
    <w:p w:rsidR="002A667A" w:rsidRDefault="002A667A" w:rsidP="004C0A13">
      <w:pPr>
        <w:tabs>
          <w:tab w:val="left" w:pos="3402"/>
        </w:tabs>
        <w:spacing w:line="280" w:lineRule="atLeast"/>
        <w:ind w:left="3402" w:hanging="3402"/>
        <w:rPr>
          <w:rFonts w:cs="Calibri"/>
          <w:szCs w:val="24"/>
        </w:rPr>
      </w:pPr>
      <w:r w:rsidRPr="001F2590">
        <w:rPr>
          <w:rFonts w:cs="Calibri"/>
          <w:szCs w:val="24"/>
        </w:rPr>
        <w:t xml:space="preserve">nařízení Evropského parlamentu a Rady (EU) č. 1303/2013 ze dne 17. prosince 2013 o společných ustanoveních o Evropském fondu pro regionální rozvoj, Evropském sociálním fondu, Fondu soudržnosti, Evropském zemědělském fondu pro rozvoj venkova a Evropském </w:t>
      </w:r>
      <w:r w:rsidRPr="001F2590">
        <w:rPr>
          <w:rFonts w:cs="Calibri"/>
          <w:szCs w:val="24"/>
        </w:rPr>
        <w:lastRenderedPageBreak/>
        <w:t>námořním a rybářském fondu, o obecných ustanoveních o Evropském fondu pro regionální rozvoj, Evropském sociálním fondu, Fondu soudržnosti a Evropském námořním a rybářském fondu a o zrušení nařízení Rady (ES) č. 1083/2006, OJ L 347, s. 320-469</w:t>
      </w:r>
    </w:p>
    <w:p w:rsidR="002A667A" w:rsidRDefault="002A667A" w:rsidP="004C0A13">
      <w:pPr>
        <w:tabs>
          <w:tab w:val="left" w:pos="3402"/>
        </w:tabs>
        <w:spacing w:line="280" w:lineRule="atLeast"/>
        <w:ind w:left="3402" w:hanging="3402"/>
        <w:rPr>
          <w:rFonts w:cs="Calibri"/>
          <w:szCs w:val="24"/>
        </w:rPr>
      </w:pPr>
      <w:r w:rsidRPr="008112FE">
        <w:rPr>
          <w:rFonts w:cs="Calibri"/>
          <w:szCs w:val="24"/>
        </w:rPr>
        <w:t>nařízení o EFRR</w:t>
      </w:r>
      <w:r>
        <w:rPr>
          <w:rFonts w:cs="Calibri"/>
          <w:szCs w:val="24"/>
        </w:rPr>
        <w:tab/>
      </w:r>
      <w:r w:rsidRPr="008112FE">
        <w:rPr>
          <w:rFonts w:cs="Calibri"/>
          <w:szCs w:val="24"/>
        </w:rPr>
        <w:t>návrh nařízení Evropského parlamentu a Rady o zvláštních ustanoveních týkajících se Evropského fondu pro regionální rozvoj a cíle Investice pro růst a zaměstnanost a o zrušení nařízení (ES) č. 1080/2006</w:t>
      </w:r>
    </w:p>
    <w:p w:rsidR="002A667A" w:rsidRDefault="002A667A" w:rsidP="004C0A13">
      <w:pPr>
        <w:tabs>
          <w:tab w:val="left" w:pos="3402"/>
        </w:tabs>
        <w:spacing w:line="280" w:lineRule="atLeast"/>
        <w:ind w:left="3402" w:hanging="3402"/>
        <w:rPr>
          <w:rFonts w:cs="Calibri"/>
          <w:szCs w:val="24"/>
        </w:rPr>
      </w:pPr>
      <w:r>
        <w:rPr>
          <w:rFonts w:cs="Calibri"/>
          <w:szCs w:val="24"/>
        </w:rPr>
        <w:t>NGA</w:t>
      </w:r>
      <w:r>
        <w:rPr>
          <w:rFonts w:cs="Calibri"/>
          <w:szCs w:val="24"/>
        </w:rPr>
        <w:tab/>
        <w:t>Next Generation Access (přístupové sítě příští generace)</w:t>
      </w:r>
    </w:p>
    <w:p w:rsidR="002A667A" w:rsidRDefault="002A667A" w:rsidP="004C0A13">
      <w:pPr>
        <w:tabs>
          <w:tab w:val="left" w:pos="3402"/>
        </w:tabs>
        <w:spacing w:line="280" w:lineRule="atLeast"/>
        <w:ind w:left="3402" w:hanging="3402"/>
        <w:rPr>
          <w:rFonts w:cs="Calibri"/>
          <w:szCs w:val="24"/>
        </w:rPr>
      </w:pPr>
      <w:r>
        <w:rPr>
          <w:rFonts w:cs="Calibri"/>
          <w:szCs w:val="24"/>
        </w:rPr>
        <w:t>NIF</w:t>
      </w:r>
      <w:r>
        <w:rPr>
          <w:rFonts w:cs="Calibri"/>
          <w:szCs w:val="24"/>
        </w:rPr>
        <w:tab/>
        <w:t>Národní inovační fond</w:t>
      </w:r>
    </w:p>
    <w:p w:rsidR="002A667A" w:rsidRDefault="002A667A" w:rsidP="004C0A13">
      <w:pPr>
        <w:tabs>
          <w:tab w:val="left" w:pos="3402"/>
        </w:tabs>
        <w:spacing w:line="280" w:lineRule="atLeast"/>
        <w:ind w:left="3402" w:hanging="3402"/>
        <w:rPr>
          <w:rFonts w:cs="Calibri"/>
          <w:szCs w:val="24"/>
        </w:rPr>
      </w:pPr>
      <w:r>
        <w:rPr>
          <w:rFonts w:cs="Calibri"/>
          <w:szCs w:val="24"/>
        </w:rPr>
        <w:t>NPV</w:t>
      </w:r>
      <w:r>
        <w:rPr>
          <w:rFonts w:cs="Calibri"/>
          <w:szCs w:val="24"/>
        </w:rPr>
        <w:tab/>
        <w:t>Net Present Value (čistá současná hodnota investice)</w:t>
      </w:r>
    </w:p>
    <w:p w:rsidR="002A667A" w:rsidRDefault="002A667A" w:rsidP="004C0A13">
      <w:pPr>
        <w:tabs>
          <w:tab w:val="left" w:pos="3402"/>
        </w:tabs>
        <w:spacing w:line="280" w:lineRule="atLeast"/>
        <w:ind w:left="3402" w:hanging="3402"/>
        <w:rPr>
          <w:rFonts w:cs="Calibri"/>
          <w:szCs w:val="24"/>
        </w:rPr>
      </w:pPr>
      <w:r>
        <w:rPr>
          <w:rFonts w:cs="Calibri"/>
          <w:szCs w:val="24"/>
        </w:rPr>
        <w:t>off-the-shelf instrument</w:t>
      </w:r>
      <w:r>
        <w:rPr>
          <w:rFonts w:cs="Calibri"/>
          <w:szCs w:val="24"/>
        </w:rPr>
        <w:tab/>
        <w:t>„bezpečné vody“ – standardizovaný finanční nástroj</w:t>
      </w:r>
    </w:p>
    <w:p w:rsidR="002A667A" w:rsidRDefault="002A667A" w:rsidP="004C0A13">
      <w:pPr>
        <w:tabs>
          <w:tab w:val="left" w:pos="3402"/>
        </w:tabs>
        <w:spacing w:line="280" w:lineRule="atLeast"/>
        <w:ind w:left="3402" w:hanging="3402"/>
        <w:rPr>
          <w:rFonts w:cs="Calibri"/>
          <w:szCs w:val="24"/>
        </w:rPr>
      </w:pPr>
      <w:r>
        <w:rPr>
          <w:rFonts w:cs="Calibri"/>
          <w:szCs w:val="24"/>
        </w:rPr>
        <w:t>OP</w:t>
      </w:r>
      <w:r>
        <w:rPr>
          <w:rFonts w:cs="Calibri"/>
          <w:szCs w:val="24"/>
        </w:rPr>
        <w:tab/>
        <w:t>operační program</w:t>
      </w:r>
    </w:p>
    <w:p w:rsidR="002A667A" w:rsidRDefault="002A667A" w:rsidP="004C0A13">
      <w:pPr>
        <w:tabs>
          <w:tab w:val="left" w:pos="3402"/>
        </w:tabs>
        <w:spacing w:line="280" w:lineRule="atLeast"/>
        <w:ind w:left="3402" w:hanging="3402"/>
        <w:rPr>
          <w:rFonts w:cs="Calibri"/>
          <w:szCs w:val="24"/>
        </w:rPr>
      </w:pPr>
      <w:r>
        <w:rPr>
          <w:rFonts w:cs="Calibri"/>
          <w:szCs w:val="24"/>
        </w:rPr>
        <w:t>OPPI</w:t>
      </w:r>
      <w:r>
        <w:rPr>
          <w:rFonts w:cs="Calibri"/>
          <w:szCs w:val="24"/>
        </w:rPr>
        <w:tab/>
        <w:t>Operační program Podnikání a inovace</w:t>
      </w:r>
    </w:p>
    <w:p w:rsidR="002A667A" w:rsidRDefault="002A667A" w:rsidP="004C0A13">
      <w:pPr>
        <w:tabs>
          <w:tab w:val="left" w:pos="3402"/>
        </w:tabs>
        <w:spacing w:line="280" w:lineRule="atLeast"/>
        <w:ind w:left="3402" w:hanging="3402"/>
        <w:rPr>
          <w:rFonts w:cs="Calibri"/>
          <w:szCs w:val="24"/>
        </w:rPr>
      </w:pPr>
      <w:r>
        <w:rPr>
          <w:rFonts w:cs="Calibri"/>
          <w:szCs w:val="24"/>
        </w:rPr>
        <w:t>OP PIK</w:t>
      </w:r>
      <w:r>
        <w:rPr>
          <w:rFonts w:cs="Calibri"/>
          <w:szCs w:val="24"/>
        </w:rPr>
        <w:tab/>
        <w:t>Operační program Podnikání a inovace pro konkurenceschopnost</w:t>
      </w:r>
    </w:p>
    <w:p w:rsidR="002A667A" w:rsidRDefault="002A667A" w:rsidP="004C0A13">
      <w:pPr>
        <w:tabs>
          <w:tab w:val="left" w:pos="3402"/>
        </w:tabs>
        <w:spacing w:line="280" w:lineRule="atLeast"/>
        <w:ind w:left="3402" w:hanging="3402"/>
        <w:rPr>
          <w:rFonts w:cs="Calibri"/>
          <w:szCs w:val="24"/>
        </w:rPr>
      </w:pPr>
      <w:r>
        <w:rPr>
          <w:rFonts w:cs="Calibri"/>
          <w:szCs w:val="24"/>
        </w:rPr>
        <w:t>OPPP</w:t>
      </w:r>
      <w:r>
        <w:rPr>
          <w:rFonts w:cs="Calibri"/>
          <w:szCs w:val="24"/>
        </w:rPr>
        <w:tab/>
        <w:t>Operační program Průmysl a podnikání</w:t>
      </w:r>
    </w:p>
    <w:p w:rsidR="002A667A" w:rsidRDefault="002A667A" w:rsidP="004C0A13">
      <w:pPr>
        <w:tabs>
          <w:tab w:val="left" w:pos="3402"/>
        </w:tabs>
        <w:spacing w:line="280" w:lineRule="atLeast"/>
        <w:ind w:left="3402" w:hanging="3402"/>
        <w:rPr>
          <w:rFonts w:cs="Calibri"/>
          <w:szCs w:val="24"/>
        </w:rPr>
      </w:pPr>
      <w:r>
        <w:rPr>
          <w:rFonts w:cs="Calibri"/>
          <w:szCs w:val="24"/>
        </w:rPr>
        <w:t>ROP</w:t>
      </w:r>
      <w:r>
        <w:rPr>
          <w:rFonts w:cs="Calibri"/>
          <w:szCs w:val="24"/>
        </w:rPr>
        <w:tab/>
        <w:t>Regionální operační program</w:t>
      </w:r>
    </w:p>
    <w:p w:rsidR="002A667A" w:rsidRDefault="002A667A" w:rsidP="004C0A13">
      <w:pPr>
        <w:tabs>
          <w:tab w:val="left" w:pos="3402"/>
        </w:tabs>
        <w:spacing w:line="280" w:lineRule="atLeast"/>
        <w:ind w:left="3402" w:hanging="3402"/>
        <w:rPr>
          <w:rFonts w:cs="Calibri"/>
          <w:szCs w:val="24"/>
        </w:rPr>
      </w:pPr>
      <w:r>
        <w:rPr>
          <w:rFonts w:cs="Calibri"/>
          <w:szCs w:val="24"/>
        </w:rPr>
        <w:t>SDEU</w:t>
      </w:r>
      <w:r>
        <w:rPr>
          <w:rFonts w:cs="Calibri"/>
          <w:szCs w:val="24"/>
        </w:rPr>
        <w:tab/>
        <w:t>Soudní dvůr Evropské unie</w:t>
      </w:r>
    </w:p>
    <w:p w:rsidR="002A667A" w:rsidRDefault="002A667A" w:rsidP="004C0A13">
      <w:pPr>
        <w:tabs>
          <w:tab w:val="left" w:pos="3402"/>
        </w:tabs>
        <w:spacing w:line="280" w:lineRule="atLeast"/>
        <w:ind w:left="3402" w:hanging="3402"/>
        <w:rPr>
          <w:rFonts w:cs="Calibri"/>
          <w:szCs w:val="24"/>
        </w:rPr>
      </w:pPr>
      <w:r>
        <w:rPr>
          <w:rFonts w:cs="Calibri"/>
          <w:szCs w:val="24"/>
        </w:rPr>
        <w:t>SFRB</w:t>
      </w:r>
      <w:r>
        <w:rPr>
          <w:rFonts w:cs="Calibri"/>
          <w:szCs w:val="24"/>
        </w:rPr>
        <w:tab/>
        <w:t>Státní fond rozvoje bydlení</w:t>
      </w:r>
    </w:p>
    <w:p w:rsidR="002A667A" w:rsidRDefault="002A667A" w:rsidP="004C0A13">
      <w:pPr>
        <w:tabs>
          <w:tab w:val="left" w:pos="3402"/>
        </w:tabs>
        <w:spacing w:line="280" w:lineRule="atLeast"/>
        <w:ind w:left="3402" w:hanging="3402"/>
        <w:rPr>
          <w:rFonts w:cs="Calibri"/>
          <w:szCs w:val="24"/>
        </w:rPr>
      </w:pPr>
      <w:r>
        <w:rPr>
          <w:rFonts w:cs="Calibri"/>
          <w:szCs w:val="24"/>
        </w:rPr>
        <w:t>SICAF</w:t>
      </w:r>
      <w:r>
        <w:rPr>
          <w:rFonts w:cs="Calibri"/>
          <w:szCs w:val="24"/>
        </w:rPr>
        <w:tab/>
        <w:t>Société d'i</w:t>
      </w:r>
      <w:r w:rsidRPr="006A68CD">
        <w:rPr>
          <w:rFonts w:cs="Calibri"/>
          <w:szCs w:val="24"/>
        </w:rPr>
        <w:t xml:space="preserve">nvestissement à </w:t>
      </w:r>
      <w:r>
        <w:rPr>
          <w:rFonts w:cs="Calibri"/>
          <w:szCs w:val="24"/>
        </w:rPr>
        <w:t>c</w:t>
      </w:r>
      <w:r w:rsidRPr="006A68CD">
        <w:rPr>
          <w:rFonts w:cs="Calibri"/>
          <w:szCs w:val="24"/>
        </w:rPr>
        <w:t>apital</w:t>
      </w:r>
      <w:r>
        <w:rPr>
          <w:rFonts w:cs="Calibri"/>
          <w:szCs w:val="24"/>
        </w:rPr>
        <w:t xml:space="preserve"> fixe</w:t>
      </w:r>
    </w:p>
    <w:p w:rsidR="002A667A" w:rsidRDefault="002A667A" w:rsidP="004C0A13">
      <w:pPr>
        <w:tabs>
          <w:tab w:val="left" w:pos="3402"/>
        </w:tabs>
        <w:spacing w:line="280" w:lineRule="atLeast"/>
        <w:ind w:left="3402" w:hanging="3402"/>
        <w:rPr>
          <w:rFonts w:cs="Calibri"/>
          <w:szCs w:val="24"/>
        </w:rPr>
      </w:pPr>
      <w:r>
        <w:rPr>
          <w:rFonts w:cs="Calibri"/>
          <w:szCs w:val="24"/>
        </w:rPr>
        <w:t>SICAV</w:t>
      </w:r>
      <w:r>
        <w:rPr>
          <w:rFonts w:cs="Calibri"/>
          <w:szCs w:val="24"/>
        </w:rPr>
        <w:tab/>
        <w:t>Société d'i</w:t>
      </w:r>
      <w:r w:rsidRPr="006A68CD">
        <w:rPr>
          <w:rFonts w:cs="Calibri"/>
          <w:szCs w:val="24"/>
        </w:rPr>
        <w:t xml:space="preserve">nvestissement à </w:t>
      </w:r>
      <w:r>
        <w:rPr>
          <w:rFonts w:cs="Calibri"/>
          <w:szCs w:val="24"/>
        </w:rPr>
        <w:t>c</w:t>
      </w:r>
      <w:r w:rsidRPr="006A68CD">
        <w:rPr>
          <w:rFonts w:cs="Calibri"/>
          <w:szCs w:val="24"/>
        </w:rPr>
        <w:t>apital</w:t>
      </w:r>
      <w:r>
        <w:rPr>
          <w:rFonts w:cs="Calibri"/>
          <w:szCs w:val="24"/>
        </w:rPr>
        <w:t xml:space="preserve"> v</w:t>
      </w:r>
      <w:r w:rsidRPr="006A68CD">
        <w:rPr>
          <w:rFonts w:cs="Calibri"/>
          <w:szCs w:val="24"/>
        </w:rPr>
        <w:t>ariable</w:t>
      </w:r>
    </w:p>
    <w:p w:rsidR="002A667A" w:rsidRDefault="002A667A" w:rsidP="004C0A13">
      <w:pPr>
        <w:tabs>
          <w:tab w:val="left" w:pos="3402"/>
        </w:tabs>
        <w:spacing w:line="280" w:lineRule="atLeast"/>
        <w:ind w:left="3402" w:hanging="3402"/>
        <w:rPr>
          <w:rFonts w:cs="Calibri"/>
          <w:szCs w:val="24"/>
        </w:rPr>
      </w:pPr>
      <w:r>
        <w:rPr>
          <w:rFonts w:cs="Calibri"/>
          <w:szCs w:val="24"/>
        </w:rPr>
        <w:t>SMEG</w:t>
      </w:r>
      <w:r>
        <w:rPr>
          <w:rFonts w:cs="Calibri"/>
          <w:szCs w:val="24"/>
        </w:rPr>
        <w:tab/>
        <w:t>SME Guarantee Facility</w:t>
      </w:r>
    </w:p>
    <w:p w:rsidR="002A667A" w:rsidRDefault="002A667A" w:rsidP="004C0A13">
      <w:pPr>
        <w:tabs>
          <w:tab w:val="left" w:pos="3402"/>
        </w:tabs>
        <w:spacing w:line="280" w:lineRule="atLeast"/>
        <w:ind w:left="3402" w:hanging="3402"/>
        <w:rPr>
          <w:rFonts w:cs="Calibri"/>
          <w:szCs w:val="24"/>
        </w:rPr>
      </w:pPr>
      <w:r>
        <w:rPr>
          <w:rFonts w:cs="Calibri"/>
          <w:szCs w:val="24"/>
        </w:rPr>
        <w:t>SPV</w:t>
      </w:r>
      <w:r>
        <w:rPr>
          <w:rFonts w:cs="Calibri"/>
          <w:szCs w:val="24"/>
        </w:rPr>
        <w:tab/>
        <w:t>Special Purpose Vehicle (prostředek zvláštního určení)</w:t>
      </w:r>
    </w:p>
    <w:p w:rsidR="002A667A" w:rsidRDefault="002A667A" w:rsidP="004C0A13">
      <w:pPr>
        <w:tabs>
          <w:tab w:val="left" w:pos="3402"/>
        </w:tabs>
        <w:spacing w:line="280" w:lineRule="atLeast"/>
        <w:ind w:left="3402" w:hanging="3402"/>
        <w:rPr>
          <w:rFonts w:cs="Calibri"/>
          <w:szCs w:val="24"/>
        </w:rPr>
      </w:pPr>
      <w:r>
        <w:rPr>
          <w:rFonts w:cs="Calibri"/>
          <w:szCs w:val="24"/>
        </w:rPr>
        <w:t>SSR</w:t>
      </w:r>
      <w:r>
        <w:rPr>
          <w:rFonts w:cs="Calibri"/>
          <w:szCs w:val="24"/>
        </w:rPr>
        <w:tab/>
        <w:t>Společný strategický rámec</w:t>
      </w:r>
    </w:p>
    <w:p w:rsidR="002A667A" w:rsidRDefault="002A667A" w:rsidP="004C0A13">
      <w:pPr>
        <w:tabs>
          <w:tab w:val="left" w:pos="3402"/>
        </w:tabs>
        <w:spacing w:line="280" w:lineRule="atLeast"/>
        <w:ind w:left="3402" w:hanging="3402"/>
        <w:rPr>
          <w:rFonts w:cs="Calibri"/>
          <w:szCs w:val="24"/>
        </w:rPr>
      </w:pPr>
      <w:r>
        <w:rPr>
          <w:rFonts w:cs="Calibri"/>
          <w:szCs w:val="24"/>
        </w:rPr>
        <w:t>SVE</w:t>
      </w:r>
      <w:r>
        <w:rPr>
          <w:rFonts w:cs="Calibri"/>
          <w:szCs w:val="24"/>
        </w:rPr>
        <w:tab/>
        <w:t>Střední a východní Evropa</w:t>
      </w:r>
    </w:p>
    <w:p w:rsidR="002A667A" w:rsidRDefault="002A667A" w:rsidP="004C0A13">
      <w:pPr>
        <w:tabs>
          <w:tab w:val="left" w:pos="3402"/>
        </w:tabs>
        <w:spacing w:line="280" w:lineRule="atLeast"/>
        <w:ind w:left="3402" w:hanging="3402"/>
        <w:rPr>
          <w:rFonts w:cs="Calibri"/>
          <w:szCs w:val="24"/>
        </w:rPr>
      </w:pPr>
      <w:r>
        <w:rPr>
          <w:rFonts w:cs="Calibri"/>
          <w:szCs w:val="24"/>
        </w:rPr>
        <w:t>TAČR</w:t>
      </w:r>
      <w:r>
        <w:rPr>
          <w:rFonts w:cs="Calibri"/>
          <w:szCs w:val="24"/>
        </w:rPr>
        <w:tab/>
        <w:t>Technologická agentura České republiky</w:t>
      </w:r>
    </w:p>
    <w:p w:rsidR="002A667A" w:rsidRDefault="002A667A" w:rsidP="004C0A13">
      <w:pPr>
        <w:tabs>
          <w:tab w:val="left" w:pos="3402"/>
        </w:tabs>
        <w:spacing w:line="280" w:lineRule="atLeast"/>
        <w:ind w:left="3402" w:hanging="3402"/>
        <w:rPr>
          <w:rFonts w:cs="Calibri"/>
          <w:szCs w:val="24"/>
        </w:rPr>
      </w:pPr>
      <w:r>
        <w:rPr>
          <w:rFonts w:cs="Calibri"/>
          <w:szCs w:val="24"/>
        </w:rPr>
        <w:t>tailor-made instrument</w:t>
      </w:r>
      <w:r>
        <w:rPr>
          <w:rFonts w:cs="Calibri"/>
          <w:szCs w:val="24"/>
        </w:rPr>
        <w:tab/>
        <w:t>finanční nástroj speciálně „ušitý na míru“ identifikovanému tržnímu selhání</w:t>
      </w:r>
    </w:p>
    <w:p w:rsidR="002A667A" w:rsidRDefault="002A667A" w:rsidP="004C0A13">
      <w:pPr>
        <w:tabs>
          <w:tab w:val="left" w:pos="3402"/>
        </w:tabs>
        <w:spacing w:line="280" w:lineRule="atLeast"/>
        <w:ind w:left="3402" w:hanging="3402"/>
        <w:rPr>
          <w:rFonts w:cs="Calibri"/>
          <w:szCs w:val="24"/>
        </w:rPr>
      </w:pPr>
      <w:r>
        <w:rPr>
          <w:rFonts w:cs="Calibri"/>
          <w:szCs w:val="24"/>
        </w:rPr>
        <w:t>ÚOHS</w:t>
      </w:r>
      <w:r>
        <w:rPr>
          <w:rFonts w:cs="Calibri"/>
          <w:szCs w:val="24"/>
        </w:rPr>
        <w:tab/>
        <w:t>Úřad pro ochranu hospodářské soutěže</w:t>
      </w:r>
    </w:p>
    <w:p w:rsidR="002A667A" w:rsidRDefault="002A667A" w:rsidP="004C0A13">
      <w:pPr>
        <w:tabs>
          <w:tab w:val="left" w:pos="3402"/>
        </w:tabs>
        <w:spacing w:line="280" w:lineRule="atLeast"/>
        <w:ind w:left="3402" w:hanging="3402"/>
        <w:rPr>
          <w:rFonts w:cs="Calibri"/>
          <w:szCs w:val="24"/>
        </w:rPr>
      </w:pPr>
      <w:r>
        <w:rPr>
          <w:rFonts w:cs="Calibri"/>
          <w:szCs w:val="24"/>
        </w:rPr>
        <w:t>VO</w:t>
      </w:r>
      <w:r>
        <w:rPr>
          <w:rFonts w:cs="Calibri"/>
          <w:szCs w:val="24"/>
        </w:rPr>
        <w:tab/>
        <w:t>výzkumná organizace</w:t>
      </w:r>
    </w:p>
    <w:p w:rsidR="002A667A" w:rsidRDefault="002A667A" w:rsidP="004C0A13">
      <w:pPr>
        <w:tabs>
          <w:tab w:val="left" w:pos="3402"/>
        </w:tabs>
        <w:spacing w:line="280" w:lineRule="atLeast"/>
        <w:ind w:left="3402" w:hanging="3402"/>
        <w:rPr>
          <w:rFonts w:cs="Calibri"/>
          <w:szCs w:val="24"/>
        </w:rPr>
      </w:pPr>
      <w:r>
        <w:rPr>
          <w:rFonts w:cs="Calibri"/>
          <w:szCs w:val="24"/>
        </w:rPr>
        <w:t>v.v.i.</w:t>
      </w:r>
      <w:r>
        <w:rPr>
          <w:rFonts w:cs="Calibri"/>
          <w:szCs w:val="24"/>
        </w:rPr>
        <w:tab/>
        <w:t>vědecko výzkumná instituce</w:t>
      </w:r>
    </w:p>
    <w:p w:rsidR="002A667A" w:rsidRDefault="002A667A" w:rsidP="004C0A13">
      <w:pPr>
        <w:tabs>
          <w:tab w:val="left" w:pos="3402"/>
        </w:tabs>
        <w:spacing w:line="280" w:lineRule="atLeast"/>
        <w:ind w:left="3402" w:hanging="3402"/>
        <w:rPr>
          <w:rFonts w:cs="Calibri"/>
          <w:szCs w:val="24"/>
        </w:rPr>
      </w:pPr>
      <w:r w:rsidRPr="00113BDA">
        <w:rPr>
          <w:rFonts w:cs="Calibri"/>
          <w:szCs w:val="24"/>
        </w:rPr>
        <w:t>ZISIF</w:t>
      </w:r>
      <w:r>
        <w:rPr>
          <w:rFonts w:cs="Calibri"/>
          <w:szCs w:val="24"/>
        </w:rPr>
        <w:tab/>
      </w:r>
      <w:r w:rsidRPr="00113BDA">
        <w:rPr>
          <w:rFonts w:cs="Calibri"/>
          <w:szCs w:val="24"/>
        </w:rPr>
        <w:t>zákon č. 240/2013 Sb., o investičních společnostech a investičních fondech a</w:t>
      </w:r>
      <w:r>
        <w:rPr>
          <w:rFonts w:cs="Calibri"/>
          <w:szCs w:val="24"/>
        </w:rPr>
        <w:t xml:space="preserve"> navazující podzákonné předpisy</w:t>
      </w:r>
    </w:p>
    <w:p w:rsidR="002A667A" w:rsidRDefault="002A667A" w:rsidP="004C0A13">
      <w:pPr>
        <w:tabs>
          <w:tab w:val="left" w:pos="3402"/>
        </w:tabs>
        <w:spacing w:line="280" w:lineRule="atLeast"/>
        <w:ind w:left="3402" w:hanging="3402"/>
        <w:rPr>
          <w:rFonts w:cs="Calibri"/>
          <w:szCs w:val="24"/>
        </w:rPr>
      </w:pPr>
      <w:r w:rsidRPr="00113BDA">
        <w:rPr>
          <w:rFonts w:cs="Calibri"/>
          <w:szCs w:val="24"/>
        </w:rPr>
        <w:t>ZVZ</w:t>
      </w:r>
      <w:r>
        <w:rPr>
          <w:rFonts w:cs="Calibri"/>
          <w:szCs w:val="24"/>
        </w:rPr>
        <w:tab/>
      </w:r>
      <w:r w:rsidRPr="00113BDA">
        <w:rPr>
          <w:rFonts w:cs="Calibri"/>
          <w:szCs w:val="24"/>
        </w:rPr>
        <w:t>zákon č. 137/2006 Sb., o veřejných zakázkách, ve znění pozdějších předpisů a navazující podzákonné předpisy,</w:t>
      </w:r>
    </w:p>
    <w:p w:rsidR="002A667A" w:rsidRPr="00AD3B4B" w:rsidRDefault="002A667A" w:rsidP="00171AF5"/>
    <w:sectPr w:rsidR="002A667A" w:rsidRPr="00AD3B4B" w:rsidSect="00B37E7F">
      <w:headerReference w:type="even" r:id="rId38"/>
      <w:headerReference w:type="default" r:id="rId39"/>
      <w:footerReference w:type="default" r:id="rId40"/>
      <w:headerReference w:type="first" r:id="rId41"/>
      <w:pgSz w:w="11906" w:h="16838" w:code="9"/>
      <w:pgMar w:top="1418" w:right="1418" w:bottom="1418" w:left="1418" w:header="709" w:footer="709"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D03" w:rsidRDefault="00C64D03" w:rsidP="006561E1">
      <w:r>
        <w:separator/>
      </w:r>
    </w:p>
  </w:endnote>
  <w:endnote w:type="continuationSeparator" w:id="0">
    <w:p w:rsidR="00C64D03" w:rsidRDefault="00C64D03" w:rsidP="00656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D03" w:rsidRDefault="00C64D03" w:rsidP="00EB27E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C64D03" w:rsidRDefault="00C64D0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D03" w:rsidRDefault="00C64D03" w:rsidP="00060A95">
    <w:pPr>
      <w:tabs>
        <w:tab w:val="center" w:pos="4536"/>
        <w:tab w:val="left" w:pos="4678"/>
        <w:tab w:val="right" w:pos="9072"/>
      </w:tabs>
      <w:spacing w:after="120"/>
      <w:jc w:val="center"/>
    </w:pPr>
    <w:r>
      <w:rPr>
        <w:rFonts w:ascii="Arial" w:hAnsi="Arial" w:cs="Arial"/>
        <w:b/>
        <w:bCs/>
        <w:color w:val="000099"/>
        <w:spacing w:val="70"/>
        <w:sz w:val="18"/>
      </w:rPr>
      <w:t>INVESTICE DO VAŠÍ BUDOUCNOSTI</w:t>
    </w:r>
  </w:p>
  <w:p w:rsidR="00C64D03" w:rsidRDefault="00C64D03">
    <w:pPr>
      <w:pStyle w:val="Zpat"/>
      <w:jc w:val="center"/>
    </w:pPr>
    <w:r>
      <w:fldChar w:fldCharType="begin"/>
    </w:r>
    <w:r>
      <w:instrText>PAGE   \* MERGEFORMAT</w:instrText>
    </w:r>
    <w:r>
      <w:fldChar w:fldCharType="separate"/>
    </w:r>
    <w:r w:rsidR="00D44CBE">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D03" w:rsidRDefault="008011AF" w:rsidP="00EB27E7">
    <w:pPr>
      <w:tabs>
        <w:tab w:val="center" w:pos="4536"/>
        <w:tab w:val="right" w:pos="9072"/>
      </w:tabs>
      <w:jc w:val="center"/>
    </w:pPr>
    <w:r>
      <w:rPr>
        <w:noProof/>
      </w:rPr>
      <w:drawing>
        <wp:anchor distT="0" distB="0" distL="114300" distR="114300" simplePos="0" relativeHeight="251666432" behindDoc="0" locked="0" layoutInCell="1" allowOverlap="1" wp14:anchorId="6FA733B3" wp14:editId="7C773B0E">
          <wp:simplePos x="0" y="0"/>
          <wp:positionH relativeFrom="column">
            <wp:posOffset>-81280</wp:posOffset>
          </wp:positionH>
          <wp:positionV relativeFrom="paragraph">
            <wp:posOffset>-4182745</wp:posOffset>
          </wp:positionV>
          <wp:extent cx="1820545" cy="89027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0545" cy="890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52190FC" wp14:editId="73C3C1A0">
          <wp:simplePos x="0" y="0"/>
          <wp:positionH relativeFrom="column">
            <wp:posOffset>4291330</wp:posOffset>
          </wp:positionH>
          <wp:positionV relativeFrom="paragraph">
            <wp:posOffset>-3655695</wp:posOffset>
          </wp:positionV>
          <wp:extent cx="1327785" cy="253365"/>
          <wp:effectExtent l="0" t="0" r="5715" b="0"/>
          <wp:wrapNone/>
          <wp:docPr id="6" name="Picture 15" descr="Deloitte_no_backg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oitte_no_background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7785" cy="253365"/>
                  </a:xfrm>
                  <a:prstGeom prst="rect">
                    <a:avLst/>
                  </a:prstGeom>
                  <a:noFill/>
                </pic:spPr>
              </pic:pic>
            </a:graphicData>
          </a:graphic>
          <wp14:sizeRelH relativeFrom="page">
            <wp14:pctWidth>0</wp14:pctWidth>
          </wp14:sizeRelH>
          <wp14:sizeRelV relativeFrom="page">
            <wp14:pctHeight>0</wp14:pctHeight>
          </wp14:sizeRelV>
        </wp:anchor>
      </w:drawing>
    </w:r>
    <w:r w:rsidR="00C64D03">
      <w:rPr>
        <w:rFonts w:ascii="Arial" w:hAnsi="Arial" w:cs="Arial"/>
        <w:b/>
        <w:bCs/>
        <w:color w:val="000099"/>
        <w:spacing w:val="70"/>
        <w:sz w:val="18"/>
      </w:rPr>
      <w:t>INVESTICE DO VAŠÍ BUDOUCNOSTI</w:t>
    </w:r>
  </w:p>
  <w:p w:rsidR="00C64D03" w:rsidRDefault="00C64D03">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D03" w:rsidRDefault="00C64D03">
    <w:pPr>
      <w:pStyle w:val="Zpat"/>
      <w:jc w:val="right"/>
    </w:pPr>
    <w:r>
      <w:fldChar w:fldCharType="begin"/>
    </w:r>
    <w:r>
      <w:instrText xml:space="preserve"> PAGE   \* MERGEFORMAT </w:instrText>
    </w:r>
    <w:r>
      <w:fldChar w:fldCharType="separate"/>
    </w:r>
    <w:r w:rsidR="00D44CBE">
      <w:rPr>
        <w:noProof/>
      </w:rPr>
      <w:t>4</w:t>
    </w:r>
    <w:r>
      <w:rPr>
        <w:noProof/>
      </w:rPr>
      <w:fldChar w:fldCharType="end"/>
    </w:r>
  </w:p>
  <w:p w:rsidR="00C64D03" w:rsidRPr="003530AF" w:rsidRDefault="00C64D03" w:rsidP="00B37E7F">
    <w:pPr>
      <w:pStyle w:val="Zpat"/>
      <w:jc w:val="right"/>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D03" w:rsidRDefault="00C64D03" w:rsidP="006561E1">
      <w:r>
        <w:separator/>
      </w:r>
    </w:p>
  </w:footnote>
  <w:footnote w:type="continuationSeparator" w:id="0">
    <w:p w:rsidR="00C64D03" w:rsidRDefault="00C64D03" w:rsidP="006561E1">
      <w:r>
        <w:continuationSeparator/>
      </w:r>
    </w:p>
  </w:footnote>
  <w:footnote w:id="1">
    <w:p w:rsidR="00C64D03" w:rsidRDefault="00C64D03" w:rsidP="006638C9">
      <w:pPr>
        <w:pStyle w:val="Textpoznpodarou"/>
      </w:pPr>
      <w:r>
        <w:rPr>
          <w:rStyle w:val="Znakapoznpodarou"/>
        </w:rPr>
        <w:footnoteRef/>
      </w:r>
      <w:r w:rsidRPr="002E16B8">
        <w:t xml:space="preserve">Dle dodatečných jednání s klíčovými zainteresovanými subjekty je možné </w:t>
      </w:r>
      <w:r>
        <w:t>pro</w:t>
      </w:r>
      <w:r w:rsidRPr="002E16B8">
        <w:t>jednat s vhodnými potenciálními investory zapojení na úrovni fondu</w:t>
      </w:r>
      <w:r>
        <w:t>.</w:t>
      </w:r>
    </w:p>
  </w:footnote>
  <w:footnote w:id="2">
    <w:p w:rsidR="00C64D03" w:rsidRDefault="00C64D03" w:rsidP="006638C9">
      <w:pPr>
        <w:pStyle w:val="Textpoznpodarou"/>
      </w:pPr>
      <w:r>
        <w:rPr>
          <w:rStyle w:val="Znakapoznpodarou"/>
        </w:rPr>
        <w:footnoteRef/>
      </w:r>
      <w:r>
        <w:t xml:space="preserve"> Srovnání provedeno na základě dat z čtvrtletní monitorovací zprávy o průběhu čerpání strukturálních fondů v ČR k</w:t>
      </w:r>
      <w:r>
        <w:br/>
        <w:t xml:space="preserve"> III. Q 2014. Srovnání kombinuje posouzení počtu podaných žádostí v oblasti podpory 3.1 OP VaVpI a počtu projektů s vydaným rozhodnutím, resp. požadovaný objem financování v podaných žádostech, objem přislíbeného financování skrze Rozhodnutí o poskytnutí dotace.</w:t>
      </w:r>
    </w:p>
  </w:footnote>
  <w:footnote w:id="3">
    <w:p w:rsidR="00C64D03" w:rsidRDefault="00C64D03" w:rsidP="006638C9">
      <w:pPr>
        <w:pStyle w:val="Textpoznpodarou"/>
      </w:pPr>
      <w:r>
        <w:rPr>
          <w:rStyle w:val="Znakapoznpodarou"/>
        </w:rPr>
        <w:footnoteRef/>
      </w:r>
      <w:r w:rsidRPr="002E16B8">
        <w:t xml:space="preserve">Dle dodatečných jednání s klíčovými zainteresovanými subjekty je možné </w:t>
      </w:r>
      <w:r>
        <w:t>pro</w:t>
      </w:r>
      <w:r w:rsidRPr="002E16B8">
        <w:t>jednat s vhodnými potenciálními investory zapojení na úrovni fondu</w:t>
      </w:r>
      <w:r>
        <w:t>.</w:t>
      </w:r>
    </w:p>
  </w:footnote>
  <w:footnote w:id="4">
    <w:p w:rsidR="00C64D03" w:rsidRDefault="00C64D03" w:rsidP="006638C9">
      <w:pPr>
        <w:pStyle w:val="Textpoznpodarou"/>
      </w:pPr>
      <w:r>
        <w:rPr>
          <w:rStyle w:val="Znakapoznpodarou"/>
        </w:rPr>
        <w:footnoteRef/>
      </w:r>
      <w:r>
        <w:t xml:space="preserve"> Zdroj dostupný z </w:t>
      </w:r>
      <w:hyperlink r:id="rId1" w:history="1">
        <w:r w:rsidRPr="0056146C">
          <w:rPr>
            <w:rStyle w:val="Hypertextovodkaz"/>
          </w:rPr>
          <w:t>http://www.rr-moravskoslezsko.cz/moznosti-financni-podpory/jessica</w:t>
        </w:r>
      </w:hyperlink>
    </w:p>
  </w:footnote>
  <w:footnote w:id="5">
    <w:p w:rsidR="00C64D03" w:rsidRDefault="00C64D03" w:rsidP="006638C9">
      <w:pPr>
        <w:pStyle w:val="Textpoznpodarou"/>
      </w:pPr>
      <w:r w:rsidRPr="00F17D93">
        <w:rPr>
          <w:rStyle w:val="Znakapoznpodarou"/>
        </w:rPr>
        <w:footnoteRef/>
      </w:r>
      <w:r w:rsidRPr="00F17D93">
        <w:t xml:space="preserve"> DOLEŽALOVA L., SLÁNSKÁ V.: Příklad řešení regenerací brownfieldů s využitím pozemkového fondu a rozvojové společnosti v Severním Porýní-Vestfálsku, Urbanizmus a územní rozvoj, 2008 </w:t>
      </w:r>
    </w:p>
  </w:footnote>
  <w:footnote w:id="6">
    <w:p w:rsidR="00C64D03" w:rsidRDefault="00C64D03" w:rsidP="006638C9">
      <w:pPr>
        <w:pStyle w:val="Textpoznpodarou"/>
      </w:pPr>
      <w:r w:rsidRPr="00F17D93">
        <w:rPr>
          <w:rStyle w:val="Znakapoznpodarou"/>
        </w:rPr>
        <w:footnoteRef/>
      </w:r>
      <w:r w:rsidRPr="00F17D93">
        <w:t xml:space="preserve"> finanční nástroj</w:t>
      </w:r>
    </w:p>
  </w:footnote>
  <w:footnote w:id="7">
    <w:p w:rsidR="00C64D03" w:rsidRDefault="00C64D03" w:rsidP="006638C9">
      <w:pPr>
        <w:pStyle w:val="Textpoznpodarou"/>
      </w:pPr>
      <w:r w:rsidRPr="00F17D93">
        <w:rPr>
          <w:rStyle w:val="Znakapoznpodarou"/>
        </w:rPr>
        <w:footnoteRef/>
      </w:r>
      <w:r w:rsidRPr="00F17D93">
        <w:t xml:space="preserve"> http://geography.upol.cz/soubory/lide/szczyrba/Brownfields_zahranicni_pristupy.pdf</w:t>
      </w:r>
    </w:p>
  </w:footnote>
  <w:footnote w:id="8">
    <w:p w:rsidR="00C64D03" w:rsidRDefault="00C64D03" w:rsidP="006638C9">
      <w:pPr>
        <w:pStyle w:val="Textpoznpodarou"/>
      </w:pPr>
      <w:r>
        <w:rPr>
          <w:rStyle w:val="Znakapoznpodarou"/>
        </w:rPr>
        <w:footnoteRef/>
      </w:r>
      <w:r>
        <w:t xml:space="preserve"> zanedbané obytní zóny, které utrpěli ztrátou průmyslu nebo jiné funkce</w:t>
      </w:r>
    </w:p>
  </w:footnote>
  <w:footnote w:id="9">
    <w:p w:rsidR="00C64D03" w:rsidRDefault="00C64D03" w:rsidP="006638C9">
      <w:pPr>
        <w:pStyle w:val="Textpoznpodarou"/>
      </w:pPr>
      <w:r>
        <w:rPr>
          <w:rStyle w:val="Znakapoznpodarou"/>
        </w:rPr>
        <w:footnoteRef/>
      </w:r>
      <w:r>
        <w:t xml:space="preserve"> VYŠKOVSKÁ Monika: Řešení průmyslových brownfields ve Francii a možnost jejich implementace v ČR, Masaryková univerzita, 2013, dostupné na: </w:t>
      </w:r>
      <w:hyperlink r:id="rId2" w:history="1">
        <w:r w:rsidRPr="00345103">
          <w:rPr>
            <w:rStyle w:val="Hypertextovodkaz"/>
          </w:rPr>
          <w:t>http://is.muni.cz/th/323053/esf_m/Diplomova_prace-Monika_Vyskovska.pdf</w:t>
        </w:r>
      </w:hyperlink>
    </w:p>
  </w:footnote>
  <w:footnote w:id="10">
    <w:p w:rsidR="00C64D03" w:rsidRDefault="00C64D03" w:rsidP="006638C9">
      <w:pPr>
        <w:pStyle w:val="Textpoznpodarou"/>
      </w:pPr>
      <w:r>
        <w:rPr>
          <w:rStyle w:val="Znakapoznpodarou"/>
        </w:rPr>
        <w:footnoteRef/>
      </w:r>
      <w:r>
        <w:t xml:space="preserve"> SLADKÁ Markéta: Nástroje regenerace brownfields ve Spojeném Království: možnost inspirace pro ČR, Masaryková univerzita, 2010, dostupné na: </w:t>
      </w:r>
      <w:hyperlink r:id="rId3" w:history="1">
        <w:r w:rsidRPr="00345103">
          <w:rPr>
            <w:rStyle w:val="Hypertextovodkaz"/>
          </w:rPr>
          <w:t>https://is.muni.cz/th/172093/esf_m/diplomova_prace.pdf</w:t>
        </w:r>
      </w:hyperlink>
    </w:p>
  </w:footnote>
  <w:footnote w:id="11">
    <w:p w:rsidR="000A6A79" w:rsidRDefault="000A6A79" w:rsidP="000A6A79">
      <w:pPr>
        <w:pStyle w:val="Textpoznpodarou"/>
      </w:pPr>
      <w:r>
        <w:rPr>
          <w:rStyle w:val="Znakapoznpodarou"/>
        </w:rPr>
        <w:footnoteRef/>
      </w:r>
      <w:r>
        <w:t xml:space="preserve"> Pravidla tuto kombinaci budou reálně umožňovat, ale uvedení do praxe bude více nákladné a demotivující, než by byly potenciální přínosy jejího zavedení.</w:t>
      </w:r>
    </w:p>
  </w:footnote>
  <w:footnote w:id="12">
    <w:p w:rsidR="00C64D03" w:rsidRPr="00373F7E" w:rsidRDefault="00C64D03" w:rsidP="006638C9">
      <w:pPr>
        <w:pStyle w:val="Textpoznpodarou"/>
      </w:pPr>
      <w:r>
        <w:rPr>
          <w:rStyle w:val="Znakapoznpodarou"/>
        </w:rPr>
        <w:footnoteRef/>
      </w:r>
      <w:r>
        <w:t xml:space="preserve"> PAVLINCE Petr: Výstavba telekomunikační </w:t>
      </w:r>
      <w:r w:rsidRPr="00BC27FE">
        <w:t>infrastruktu</w:t>
      </w:r>
      <w:r>
        <w:t xml:space="preserve">ry v regionu Jihovýchod aneb </w:t>
      </w:r>
      <w:r w:rsidRPr="00BC27FE">
        <w:t>role veřejné správy ve výstavbě NGA sítí</w:t>
      </w:r>
      <w:r>
        <w:t>, Kraj Vysočina</w:t>
      </w:r>
    </w:p>
    <w:p w:rsidR="00C64D03" w:rsidRDefault="00C64D03" w:rsidP="006638C9">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D03" w:rsidRDefault="008011AF">
    <w:pPr>
      <w:pStyle w:val="Zhlav"/>
    </w:pPr>
    <w:r>
      <w:rPr>
        <w:noProof/>
      </w:rPr>
      <w:drawing>
        <wp:anchor distT="0" distB="0" distL="114300" distR="114300" simplePos="0" relativeHeight="251660288" behindDoc="0" locked="0" layoutInCell="1" allowOverlap="1" wp14:anchorId="200AD109" wp14:editId="5A021851">
          <wp:simplePos x="0" y="0"/>
          <wp:positionH relativeFrom="column">
            <wp:posOffset>3964305</wp:posOffset>
          </wp:positionH>
          <wp:positionV relativeFrom="paragraph">
            <wp:posOffset>17780</wp:posOffset>
          </wp:positionV>
          <wp:extent cx="1803400" cy="316865"/>
          <wp:effectExtent l="0" t="0" r="6350" b="6985"/>
          <wp:wrapNone/>
          <wp:docPr id="1" name="obrázek 10" descr="EU logo EEI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EU logo EEI C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0"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D6BB14C" wp14:editId="477D6A3B">
          <wp:simplePos x="0" y="0"/>
          <wp:positionH relativeFrom="column">
            <wp:posOffset>-17145</wp:posOffset>
          </wp:positionH>
          <wp:positionV relativeFrom="paragraph">
            <wp:posOffset>63500</wp:posOffset>
          </wp:positionV>
          <wp:extent cx="817880" cy="264795"/>
          <wp:effectExtent l="0" t="0" r="1270" b="190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880" cy="2647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D03" w:rsidRDefault="008011AF">
    <w:pPr>
      <w:pStyle w:val="Zhlav"/>
    </w:pPr>
    <w:r>
      <w:rPr>
        <w:noProof/>
      </w:rPr>
      <w:drawing>
        <wp:anchor distT="0" distB="0" distL="114300" distR="114300" simplePos="0" relativeHeight="251663360" behindDoc="0" locked="0" layoutInCell="1" allowOverlap="1" wp14:anchorId="3161270F" wp14:editId="77244B2E">
          <wp:simplePos x="0" y="0"/>
          <wp:positionH relativeFrom="column">
            <wp:posOffset>3959225</wp:posOffset>
          </wp:positionH>
          <wp:positionV relativeFrom="paragraph">
            <wp:posOffset>170180</wp:posOffset>
          </wp:positionV>
          <wp:extent cx="1803400" cy="316865"/>
          <wp:effectExtent l="0" t="0" r="6350" b="6985"/>
          <wp:wrapNone/>
          <wp:docPr id="3" name="obrázek 4" descr="EU logo EEI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EU logo EEI C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0"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66510A8" wp14:editId="2E3CDAEB">
          <wp:simplePos x="0" y="0"/>
          <wp:positionH relativeFrom="column">
            <wp:posOffset>25400</wp:posOffset>
          </wp:positionH>
          <wp:positionV relativeFrom="paragraph">
            <wp:posOffset>215900</wp:posOffset>
          </wp:positionV>
          <wp:extent cx="817880" cy="264795"/>
          <wp:effectExtent l="0" t="0" r="1270" b="1905"/>
          <wp:wrapNone/>
          <wp:docPr id="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880" cy="2647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D03" w:rsidRDefault="00C64D03">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447" o:spid="_x0000_s2058" type="#_x0000_t136" style="position:absolute;left:0;text-align:left;margin-left:0;margin-top:0;width:443.15pt;height:40.25pt;rotation:315;z-index:-251640832;mso-position-horizontal:center;mso-position-horizontal-relative:margin;mso-position-vertical:center;mso-position-vertical-relative:margin" o:allowincell="f" fillcolor="silver" stroked="f">
          <v:fill opacity=".5"/>
          <v:textpath style="font-family:&quot;Arial&quot;;font-size:1pt" string="Draftová verze výstupu"/>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D03" w:rsidRPr="00624DC2" w:rsidRDefault="00C64D03">
    <w:pPr>
      <w:pStyle w:val="Zhlav"/>
      <w:tabs>
        <w:tab w:val="left" w:pos="709"/>
      </w:tabs>
      <w:rPr>
        <w:lang w:val="en-G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448" o:spid="_x0000_s2059" type="#_x0000_t136" style="position:absolute;left:0;text-align:left;margin-left:0;margin-top:0;width:443.15pt;height:40.25pt;rotation:315;z-index:-251638784;mso-position-horizontal:center;mso-position-horizontal-relative:margin;mso-position-vertical:center;mso-position-vertical-relative:margin" o:allowincell="f" fillcolor="silver" stroked="f">
          <v:fill opacity=".5"/>
          <v:textpath style="font-family:&quot;Arial&quot;;font-size:1pt" string="Draftová verze výstupu"/>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D03" w:rsidRDefault="00C64D03">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446" o:spid="_x0000_s2060" type="#_x0000_t136" style="position:absolute;left:0;text-align:left;margin-left:0;margin-top:0;width:443.15pt;height:40.25pt;rotation:315;z-index:-251636736;mso-position-horizontal:center;mso-position-horizontal-relative:margin;mso-position-vertical:center;mso-position-vertical-relative:margin" o:allowincell="f" fillcolor="silver" stroked="f">
          <v:fill opacity=".5"/>
          <v:textpath style="font-family:&quot;Arial&quot;;font-size:1pt" string="Draftová verze výstupu"/>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A94E9FC"/>
    <w:lvl w:ilvl="0">
      <w:start w:val="1"/>
      <w:numFmt w:val="bullet"/>
      <w:lvlText w:val=""/>
      <w:lvlJc w:val="left"/>
      <w:pPr>
        <w:tabs>
          <w:tab w:val="num" w:pos="284"/>
        </w:tabs>
        <w:ind w:left="284" w:hanging="284"/>
      </w:pPr>
      <w:rPr>
        <w:rFonts w:ascii="Symbol" w:hAnsi="Symbol" w:hint="default"/>
      </w:rPr>
    </w:lvl>
  </w:abstractNum>
  <w:abstractNum w:abstractNumId="1">
    <w:nsid w:val="02104031"/>
    <w:multiLevelType w:val="hybridMultilevel"/>
    <w:tmpl w:val="C0C029B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nsid w:val="04B8242C"/>
    <w:multiLevelType w:val="hybridMultilevel"/>
    <w:tmpl w:val="192AAC38"/>
    <w:lvl w:ilvl="0" w:tplc="4B2ADDB6">
      <w:numFmt w:val="bullet"/>
      <w:lvlText w:val="•"/>
      <w:lvlJc w:val="left"/>
      <w:pPr>
        <w:ind w:left="1080" w:hanging="72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60F2C39"/>
    <w:multiLevelType w:val="hybridMultilevel"/>
    <w:tmpl w:val="75BC1D64"/>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nsid w:val="06B3372B"/>
    <w:multiLevelType w:val="multilevel"/>
    <w:tmpl w:val="0405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
    <w:nsid w:val="08875385"/>
    <w:multiLevelType w:val="hybridMultilevel"/>
    <w:tmpl w:val="A9B4FE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A3D7B72"/>
    <w:multiLevelType w:val="hybridMultilevel"/>
    <w:tmpl w:val="1C90376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nsid w:val="0E2D7D13"/>
    <w:multiLevelType w:val="hybridMultilevel"/>
    <w:tmpl w:val="1B68C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F026AFB"/>
    <w:multiLevelType w:val="hybridMultilevel"/>
    <w:tmpl w:val="E7ECC8A2"/>
    <w:lvl w:ilvl="0" w:tplc="0405000F">
      <w:start w:val="1"/>
      <w:numFmt w:val="decimal"/>
      <w:lvlText w:val="%1."/>
      <w:lvlJc w:val="left"/>
      <w:pPr>
        <w:ind w:left="780" w:hanging="360"/>
      </w:pPr>
      <w:rPr>
        <w:rFonts w:cs="Times New Roman"/>
      </w:rPr>
    </w:lvl>
    <w:lvl w:ilvl="1" w:tplc="04050019" w:tentative="1">
      <w:start w:val="1"/>
      <w:numFmt w:val="lowerLetter"/>
      <w:lvlText w:val="%2."/>
      <w:lvlJc w:val="left"/>
      <w:pPr>
        <w:ind w:left="1500" w:hanging="360"/>
      </w:pPr>
      <w:rPr>
        <w:rFonts w:cs="Times New Roman"/>
      </w:rPr>
    </w:lvl>
    <w:lvl w:ilvl="2" w:tplc="0405001B" w:tentative="1">
      <w:start w:val="1"/>
      <w:numFmt w:val="lowerRoman"/>
      <w:lvlText w:val="%3."/>
      <w:lvlJc w:val="right"/>
      <w:pPr>
        <w:ind w:left="2220" w:hanging="180"/>
      </w:pPr>
      <w:rPr>
        <w:rFonts w:cs="Times New Roman"/>
      </w:rPr>
    </w:lvl>
    <w:lvl w:ilvl="3" w:tplc="0405000F" w:tentative="1">
      <w:start w:val="1"/>
      <w:numFmt w:val="decimal"/>
      <w:lvlText w:val="%4."/>
      <w:lvlJc w:val="left"/>
      <w:pPr>
        <w:ind w:left="2940" w:hanging="360"/>
      </w:pPr>
      <w:rPr>
        <w:rFonts w:cs="Times New Roman"/>
      </w:rPr>
    </w:lvl>
    <w:lvl w:ilvl="4" w:tplc="04050019" w:tentative="1">
      <w:start w:val="1"/>
      <w:numFmt w:val="lowerLetter"/>
      <w:lvlText w:val="%5."/>
      <w:lvlJc w:val="left"/>
      <w:pPr>
        <w:ind w:left="3660" w:hanging="360"/>
      </w:pPr>
      <w:rPr>
        <w:rFonts w:cs="Times New Roman"/>
      </w:rPr>
    </w:lvl>
    <w:lvl w:ilvl="5" w:tplc="0405001B" w:tentative="1">
      <w:start w:val="1"/>
      <w:numFmt w:val="lowerRoman"/>
      <w:lvlText w:val="%6."/>
      <w:lvlJc w:val="right"/>
      <w:pPr>
        <w:ind w:left="4380" w:hanging="180"/>
      </w:pPr>
      <w:rPr>
        <w:rFonts w:cs="Times New Roman"/>
      </w:rPr>
    </w:lvl>
    <w:lvl w:ilvl="6" w:tplc="0405000F" w:tentative="1">
      <w:start w:val="1"/>
      <w:numFmt w:val="decimal"/>
      <w:lvlText w:val="%7."/>
      <w:lvlJc w:val="left"/>
      <w:pPr>
        <w:ind w:left="5100" w:hanging="360"/>
      </w:pPr>
      <w:rPr>
        <w:rFonts w:cs="Times New Roman"/>
      </w:rPr>
    </w:lvl>
    <w:lvl w:ilvl="7" w:tplc="04050019" w:tentative="1">
      <w:start w:val="1"/>
      <w:numFmt w:val="lowerLetter"/>
      <w:lvlText w:val="%8."/>
      <w:lvlJc w:val="left"/>
      <w:pPr>
        <w:ind w:left="5820" w:hanging="360"/>
      </w:pPr>
      <w:rPr>
        <w:rFonts w:cs="Times New Roman"/>
      </w:rPr>
    </w:lvl>
    <w:lvl w:ilvl="8" w:tplc="0405001B" w:tentative="1">
      <w:start w:val="1"/>
      <w:numFmt w:val="lowerRoman"/>
      <w:lvlText w:val="%9."/>
      <w:lvlJc w:val="right"/>
      <w:pPr>
        <w:ind w:left="6540" w:hanging="180"/>
      </w:pPr>
      <w:rPr>
        <w:rFonts w:cs="Times New Roman"/>
      </w:rPr>
    </w:lvl>
  </w:abstractNum>
  <w:abstractNum w:abstractNumId="9">
    <w:nsid w:val="101B19D8"/>
    <w:multiLevelType w:val="hybridMultilevel"/>
    <w:tmpl w:val="E0E67456"/>
    <w:lvl w:ilvl="0" w:tplc="98347F98">
      <w:numFmt w:val="bullet"/>
      <w:lvlText w:val="•"/>
      <w:lvlJc w:val="left"/>
      <w:pPr>
        <w:ind w:left="1065" w:hanging="705"/>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1E24900"/>
    <w:multiLevelType w:val="hybridMultilevel"/>
    <w:tmpl w:val="A19C58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403704D"/>
    <w:multiLevelType w:val="hybridMultilevel"/>
    <w:tmpl w:val="FE3CF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55D5566"/>
    <w:multiLevelType w:val="hybridMultilevel"/>
    <w:tmpl w:val="44248D9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15A2249F"/>
    <w:multiLevelType w:val="hybridMultilevel"/>
    <w:tmpl w:val="46CC8AFE"/>
    <w:lvl w:ilvl="0" w:tplc="9034B83A">
      <w:start w:val="1"/>
      <w:numFmt w:val="bullet"/>
      <w:pStyle w:val="Bulletslevel2"/>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15CA2912"/>
    <w:multiLevelType w:val="hybridMultilevel"/>
    <w:tmpl w:val="A7701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65038C0"/>
    <w:multiLevelType w:val="hybridMultilevel"/>
    <w:tmpl w:val="40149D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6A60693"/>
    <w:multiLevelType w:val="hybridMultilevel"/>
    <w:tmpl w:val="C9184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8B75760"/>
    <w:multiLevelType w:val="hybridMultilevel"/>
    <w:tmpl w:val="1D7699E4"/>
    <w:lvl w:ilvl="0" w:tplc="7BB43F48">
      <w:start w:val="1"/>
      <w:numFmt w:val="decimal"/>
      <w:lvlText w:val="%1)"/>
      <w:lvlJc w:val="left"/>
      <w:pPr>
        <w:ind w:left="1665" w:hanging="945"/>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18">
    <w:nsid w:val="19563633"/>
    <w:multiLevelType w:val="hybridMultilevel"/>
    <w:tmpl w:val="C0C029B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nsid w:val="1A056B22"/>
    <w:multiLevelType w:val="hybridMultilevel"/>
    <w:tmpl w:val="680AB4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18B78AA"/>
    <w:multiLevelType w:val="hybridMultilevel"/>
    <w:tmpl w:val="DFDCBB8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nsid w:val="21D407C6"/>
    <w:multiLevelType w:val="hybridMultilevel"/>
    <w:tmpl w:val="EDA8D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250136E"/>
    <w:multiLevelType w:val="multilevel"/>
    <w:tmpl w:val="18222E50"/>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576" w:hanging="576"/>
      </w:pPr>
      <w:rPr>
        <w:rFonts w:cs="Times New Roman"/>
        <w:b w:val="0"/>
        <w:bCs w:val="0"/>
        <w:i w:val="0"/>
        <w:iCs w:val="0"/>
        <w:caps w:val="0"/>
        <w:smallCaps w:val="0"/>
        <w:strike w:val="0"/>
        <w:dstrike w:val="0"/>
        <w:vanish w:val="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Nadpis3"/>
      <w:lvlText w:val="%1.%2.%3"/>
      <w:lvlJc w:val="left"/>
      <w:pPr>
        <w:ind w:left="720" w:hanging="720"/>
      </w:pPr>
      <w:rPr>
        <w:rFonts w:cs="Times New Roman"/>
        <w:b w:val="0"/>
        <w:bCs w:val="0"/>
        <w:i w:val="0"/>
        <w:iCs w:val="0"/>
        <w:caps w:val="0"/>
        <w:smallCaps w:val="0"/>
        <w:strike w:val="0"/>
        <w:dstrike w:val="0"/>
        <w:vanish w:val="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23">
    <w:nsid w:val="24271623"/>
    <w:multiLevelType w:val="hybridMultilevel"/>
    <w:tmpl w:val="CDEE9AFC"/>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nsid w:val="245B6626"/>
    <w:multiLevelType w:val="hybridMultilevel"/>
    <w:tmpl w:val="FB56B6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46323AE"/>
    <w:multiLevelType w:val="hybridMultilevel"/>
    <w:tmpl w:val="EA100E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24980886"/>
    <w:multiLevelType w:val="hybridMultilevel"/>
    <w:tmpl w:val="51B021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6D26E50"/>
    <w:multiLevelType w:val="hybridMultilevel"/>
    <w:tmpl w:val="96223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28BF5559"/>
    <w:multiLevelType w:val="multilevel"/>
    <w:tmpl w:val="54968AE0"/>
    <w:lvl w:ilvl="0">
      <w:start w:val="1"/>
      <w:numFmt w:val="decimal"/>
      <w:lvlText w:val="%1"/>
      <w:lvlJc w:val="left"/>
      <w:pPr>
        <w:ind w:left="432" w:hanging="432"/>
      </w:pPr>
      <w:rPr>
        <w:rFonts w:cs="Times New Roman" w:hint="default"/>
      </w:rPr>
    </w:lvl>
    <w:lvl w:ilvl="1">
      <w:start w:val="1"/>
      <w:numFmt w:val="decimal"/>
      <w:lvlText w:val="%1.%2"/>
      <w:lvlJc w:val="left"/>
      <w:pPr>
        <w:ind w:left="718"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nsid w:val="2940262E"/>
    <w:multiLevelType w:val="hybridMultilevel"/>
    <w:tmpl w:val="D08E75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9746FEE"/>
    <w:multiLevelType w:val="hybridMultilevel"/>
    <w:tmpl w:val="C0C029B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1">
    <w:nsid w:val="29D47750"/>
    <w:multiLevelType w:val="multilevel"/>
    <w:tmpl w:val="BBCC0F14"/>
    <w:lvl w:ilvl="0">
      <w:start w:val="1"/>
      <w:numFmt w:val="decimal"/>
      <w:lvlText w:val="%1."/>
      <w:lvlJc w:val="left"/>
      <w:pPr>
        <w:ind w:left="720" w:hanging="360"/>
      </w:pPr>
      <w:rPr>
        <w:rFonts w:cs="Times New Roman"/>
      </w:rPr>
    </w:lvl>
    <w:lvl w:ilvl="1">
      <w:numFmt w:val="bullet"/>
      <w:lvlText w:val="•"/>
      <w:lvlJc w:val="left"/>
      <w:pPr>
        <w:ind w:left="1440" w:hanging="360"/>
      </w:pPr>
      <w:rPr>
        <w:rFonts w:ascii="Calibri" w:eastAsia="Times New Roman" w:hAnsi="Calibri"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2">
    <w:nsid w:val="2A140B6C"/>
    <w:multiLevelType w:val="hybridMultilevel"/>
    <w:tmpl w:val="224CFE86"/>
    <w:lvl w:ilvl="0" w:tplc="98347F98">
      <w:numFmt w:val="bullet"/>
      <w:lvlText w:val="•"/>
      <w:lvlJc w:val="left"/>
      <w:pPr>
        <w:ind w:left="1065" w:hanging="705"/>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A553727"/>
    <w:multiLevelType w:val="hybridMultilevel"/>
    <w:tmpl w:val="0ED0B5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2BE35A6C"/>
    <w:multiLevelType w:val="hybridMultilevel"/>
    <w:tmpl w:val="742AD1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2D8D24DA"/>
    <w:multiLevelType w:val="hybridMultilevel"/>
    <w:tmpl w:val="085AD1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2E750D60"/>
    <w:multiLevelType w:val="hybridMultilevel"/>
    <w:tmpl w:val="C26C5E6A"/>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37">
    <w:nsid w:val="2F0E75AA"/>
    <w:multiLevelType w:val="hybridMultilevel"/>
    <w:tmpl w:val="B026288E"/>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8">
    <w:nsid w:val="30113583"/>
    <w:multiLevelType w:val="hybridMultilevel"/>
    <w:tmpl w:val="5B928A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30E90DB4"/>
    <w:multiLevelType w:val="hybridMultilevel"/>
    <w:tmpl w:val="E55CA14E"/>
    <w:lvl w:ilvl="0" w:tplc="04050001">
      <w:start w:val="1"/>
      <w:numFmt w:val="bullet"/>
      <w:lvlText w:val=""/>
      <w:lvlJc w:val="left"/>
      <w:pPr>
        <w:ind w:left="778" w:hanging="360"/>
      </w:pPr>
      <w:rPr>
        <w:rFonts w:ascii="Symbol" w:hAnsi="Symbol" w:hint="default"/>
      </w:rPr>
    </w:lvl>
    <w:lvl w:ilvl="1" w:tplc="04050003">
      <w:start w:val="1"/>
      <w:numFmt w:val="bullet"/>
      <w:lvlText w:val="o"/>
      <w:lvlJc w:val="left"/>
      <w:pPr>
        <w:ind w:left="1498" w:hanging="360"/>
      </w:pPr>
      <w:rPr>
        <w:rFonts w:ascii="Courier New" w:hAnsi="Courier New" w:hint="default"/>
      </w:rPr>
    </w:lvl>
    <w:lvl w:ilvl="2" w:tplc="04050005" w:tentative="1">
      <w:start w:val="1"/>
      <w:numFmt w:val="bullet"/>
      <w:lvlText w:val=""/>
      <w:lvlJc w:val="left"/>
      <w:pPr>
        <w:ind w:left="2218" w:hanging="360"/>
      </w:pPr>
      <w:rPr>
        <w:rFonts w:ascii="Wingdings" w:hAnsi="Wingdings" w:hint="default"/>
      </w:rPr>
    </w:lvl>
    <w:lvl w:ilvl="3" w:tplc="04050001" w:tentative="1">
      <w:start w:val="1"/>
      <w:numFmt w:val="bullet"/>
      <w:lvlText w:val=""/>
      <w:lvlJc w:val="left"/>
      <w:pPr>
        <w:ind w:left="2938" w:hanging="360"/>
      </w:pPr>
      <w:rPr>
        <w:rFonts w:ascii="Symbol" w:hAnsi="Symbol" w:hint="default"/>
      </w:rPr>
    </w:lvl>
    <w:lvl w:ilvl="4" w:tplc="04050003" w:tentative="1">
      <w:start w:val="1"/>
      <w:numFmt w:val="bullet"/>
      <w:lvlText w:val="o"/>
      <w:lvlJc w:val="left"/>
      <w:pPr>
        <w:ind w:left="3658" w:hanging="360"/>
      </w:pPr>
      <w:rPr>
        <w:rFonts w:ascii="Courier New" w:hAnsi="Courier New" w:hint="default"/>
      </w:rPr>
    </w:lvl>
    <w:lvl w:ilvl="5" w:tplc="04050005" w:tentative="1">
      <w:start w:val="1"/>
      <w:numFmt w:val="bullet"/>
      <w:lvlText w:val=""/>
      <w:lvlJc w:val="left"/>
      <w:pPr>
        <w:ind w:left="4378" w:hanging="360"/>
      </w:pPr>
      <w:rPr>
        <w:rFonts w:ascii="Wingdings" w:hAnsi="Wingdings" w:hint="default"/>
      </w:rPr>
    </w:lvl>
    <w:lvl w:ilvl="6" w:tplc="04050001" w:tentative="1">
      <w:start w:val="1"/>
      <w:numFmt w:val="bullet"/>
      <w:lvlText w:val=""/>
      <w:lvlJc w:val="left"/>
      <w:pPr>
        <w:ind w:left="5098" w:hanging="360"/>
      </w:pPr>
      <w:rPr>
        <w:rFonts w:ascii="Symbol" w:hAnsi="Symbol" w:hint="default"/>
      </w:rPr>
    </w:lvl>
    <w:lvl w:ilvl="7" w:tplc="04050003" w:tentative="1">
      <w:start w:val="1"/>
      <w:numFmt w:val="bullet"/>
      <w:lvlText w:val="o"/>
      <w:lvlJc w:val="left"/>
      <w:pPr>
        <w:ind w:left="5818" w:hanging="360"/>
      </w:pPr>
      <w:rPr>
        <w:rFonts w:ascii="Courier New" w:hAnsi="Courier New" w:hint="default"/>
      </w:rPr>
    </w:lvl>
    <w:lvl w:ilvl="8" w:tplc="04050005" w:tentative="1">
      <w:start w:val="1"/>
      <w:numFmt w:val="bullet"/>
      <w:lvlText w:val=""/>
      <w:lvlJc w:val="left"/>
      <w:pPr>
        <w:ind w:left="6538" w:hanging="360"/>
      </w:pPr>
      <w:rPr>
        <w:rFonts w:ascii="Wingdings" w:hAnsi="Wingdings" w:hint="default"/>
      </w:rPr>
    </w:lvl>
  </w:abstractNum>
  <w:abstractNum w:abstractNumId="40">
    <w:nsid w:val="3218017F"/>
    <w:multiLevelType w:val="hybridMultilevel"/>
    <w:tmpl w:val="3BBE5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33271680"/>
    <w:multiLevelType w:val="hybridMultilevel"/>
    <w:tmpl w:val="C76028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34FC5558"/>
    <w:multiLevelType w:val="hybridMultilevel"/>
    <w:tmpl w:val="B29CB5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35251BBA"/>
    <w:multiLevelType w:val="hybridMultilevel"/>
    <w:tmpl w:val="EC62F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3714277E"/>
    <w:multiLevelType w:val="hybridMultilevel"/>
    <w:tmpl w:val="A1941868"/>
    <w:lvl w:ilvl="0" w:tplc="BE148E10">
      <w:start w:val="1"/>
      <w:numFmt w:val="upperRoman"/>
      <w:pStyle w:val="Styl1"/>
      <w:lvlText w:val="%1."/>
      <w:lvlJc w:val="left"/>
      <w:pPr>
        <w:ind w:left="1080" w:hanging="72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5">
    <w:nsid w:val="382C39B2"/>
    <w:multiLevelType w:val="multilevel"/>
    <w:tmpl w:val="2F7E483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6">
    <w:nsid w:val="390E174C"/>
    <w:multiLevelType w:val="hybridMultilevel"/>
    <w:tmpl w:val="42DC455E"/>
    <w:lvl w:ilvl="0" w:tplc="FEB62C22">
      <w:start w:val="1"/>
      <w:numFmt w:val="decimal"/>
      <w:lvlText w:val="%1."/>
      <w:lvlJc w:val="left"/>
      <w:pPr>
        <w:ind w:left="720" w:hanging="360"/>
      </w:pPr>
      <w:rPr>
        <w:rFonts w:cs="Times New Roman"/>
      </w:rPr>
    </w:lvl>
    <w:lvl w:ilvl="1" w:tplc="04050003" w:tentative="1">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47">
    <w:nsid w:val="3B143D1C"/>
    <w:multiLevelType w:val="hybridMultilevel"/>
    <w:tmpl w:val="3926B33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8">
    <w:nsid w:val="3B1F4B89"/>
    <w:multiLevelType w:val="hybridMultilevel"/>
    <w:tmpl w:val="F760B478"/>
    <w:lvl w:ilvl="0" w:tplc="4B2ADDB6">
      <w:numFmt w:val="bullet"/>
      <w:lvlText w:val="•"/>
      <w:lvlJc w:val="left"/>
      <w:pPr>
        <w:ind w:left="1080" w:hanging="72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3B5B4878"/>
    <w:multiLevelType w:val="hybridMultilevel"/>
    <w:tmpl w:val="DE8AD17E"/>
    <w:lvl w:ilvl="0" w:tplc="04050003">
      <w:start w:val="1"/>
      <w:numFmt w:val="bullet"/>
      <w:lvlText w:val="o"/>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3E796015"/>
    <w:multiLevelType w:val="hybridMultilevel"/>
    <w:tmpl w:val="4EC0A17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1">
    <w:nsid w:val="3F7B055B"/>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2">
    <w:nsid w:val="403020B9"/>
    <w:multiLevelType w:val="hybridMultilevel"/>
    <w:tmpl w:val="2130A27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3">
    <w:nsid w:val="41E4116A"/>
    <w:multiLevelType w:val="hybridMultilevel"/>
    <w:tmpl w:val="89285C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437D5015"/>
    <w:multiLevelType w:val="hybridMultilevel"/>
    <w:tmpl w:val="123850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451912A0"/>
    <w:multiLevelType w:val="hybridMultilevel"/>
    <w:tmpl w:val="91E814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459B1C11"/>
    <w:multiLevelType w:val="hybridMultilevel"/>
    <w:tmpl w:val="C4EE68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460D1268"/>
    <w:multiLevelType w:val="hybridMultilevel"/>
    <w:tmpl w:val="8DDE2628"/>
    <w:lvl w:ilvl="0" w:tplc="0405000F">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58">
    <w:nsid w:val="46904732"/>
    <w:multiLevelType w:val="multilevel"/>
    <w:tmpl w:val="B9268802"/>
    <w:lvl w:ilvl="0">
      <w:start w:val="1"/>
      <w:numFmt w:val="decimal"/>
      <w:lvlText w:val="%1."/>
      <w:lvlJc w:val="left"/>
      <w:pPr>
        <w:ind w:left="360" w:hanging="360"/>
      </w:pPr>
      <w:rPr>
        <w:rFonts w:ascii="Times New Roman" w:hAnsi="Times New Roman" w:cs="Times New Roman" w:hint="default"/>
        <w:b w:val="0"/>
        <w:i w:val="0"/>
        <w:color w:val="002776"/>
        <w:sz w:val="32"/>
        <w:szCs w:val="32"/>
      </w:rPr>
    </w:lvl>
    <w:lvl w:ilvl="1">
      <w:start w:val="1"/>
      <w:numFmt w:val="decimal"/>
      <w:lvlText w:val="%1.%2"/>
      <w:lvlJc w:val="left"/>
      <w:pPr>
        <w:tabs>
          <w:tab w:val="num" w:pos="3261"/>
        </w:tabs>
        <w:ind w:left="3148" w:hanging="454"/>
      </w:pPr>
      <w:rPr>
        <w:rFonts w:ascii="Times New Roman Bold" w:hAnsi="Times New Roman Bold" w:cs="Times New Roman" w:hint="default"/>
        <w:b/>
        <w:i w:val="0"/>
        <w:color w:val="000066"/>
        <w:sz w:val="24"/>
        <w:szCs w:val="24"/>
      </w:rPr>
    </w:lvl>
    <w:lvl w:ilvl="2">
      <w:start w:val="1"/>
      <w:numFmt w:val="decimal"/>
      <w:lvlText w:val="%1.%2.%3"/>
      <w:lvlJc w:val="left"/>
      <w:pPr>
        <w:tabs>
          <w:tab w:val="num" w:pos="560"/>
        </w:tabs>
        <w:ind w:left="737" w:hanging="737"/>
      </w:pPr>
      <w:rPr>
        <w:rFonts w:ascii="Times New Roman Bold" w:hAnsi="Times New Roman Bold" w:cs="Times New Roman" w:hint="default"/>
        <w:b/>
        <w:i w:val="0"/>
        <w:color w:val="000066"/>
        <w:sz w:val="24"/>
        <w:szCs w:val="24"/>
      </w:rPr>
    </w:lvl>
    <w:lvl w:ilvl="3">
      <w:start w:val="1"/>
      <w:numFmt w:val="decimal"/>
      <w:lvlText w:val="%1.%2.%3.%4"/>
      <w:lvlJc w:val="left"/>
      <w:pPr>
        <w:tabs>
          <w:tab w:val="num" w:pos="744"/>
        </w:tabs>
        <w:ind w:left="744" w:hanging="864"/>
      </w:pPr>
      <w:rPr>
        <w:rFonts w:cs="Times New Roman" w:hint="default"/>
      </w:rPr>
    </w:lvl>
    <w:lvl w:ilvl="4">
      <w:start w:val="1"/>
      <w:numFmt w:val="decimal"/>
      <w:lvlText w:val="%1.%2.%3.%4.%5"/>
      <w:lvlJc w:val="left"/>
      <w:pPr>
        <w:tabs>
          <w:tab w:val="num" w:pos="888"/>
        </w:tabs>
        <w:ind w:left="888" w:hanging="1008"/>
      </w:pPr>
      <w:rPr>
        <w:rFonts w:cs="Times New Roman" w:hint="default"/>
      </w:rPr>
    </w:lvl>
    <w:lvl w:ilvl="5">
      <w:start w:val="1"/>
      <w:numFmt w:val="decimal"/>
      <w:lvlText w:val="%1.%2.%3.%4.%5.%6"/>
      <w:lvlJc w:val="left"/>
      <w:pPr>
        <w:tabs>
          <w:tab w:val="num" w:pos="1032"/>
        </w:tabs>
        <w:ind w:left="1032" w:hanging="1152"/>
      </w:pPr>
      <w:rPr>
        <w:rFonts w:cs="Times New Roman" w:hint="default"/>
      </w:rPr>
    </w:lvl>
    <w:lvl w:ilvl="6">
      <w:start w:val="1"/>
      <w:numFmt w:val="decimal"/>
      <w:lvlText w:val="%1.%2.%3.%4.%5.%6.%7"/>
      <w:lvlJc w:val="left"/>
      <w:pPr>
        <w:tabs>
          <w:tab w:val="num" w:pos="1176"/>
        </w:tabs>
        <w:ind w:left="1176" w:hanging="1296"/>
      </w:pPr>
      <w:rPr>
        <w:rFonts w:cs="Times New Roman" w:hint="default"/>
      </w:rPr>
    </w:lvl>
    <w:lvl w:ilvl="7">
      <w:start w:val="1"/>
      <w:numFmt w:val="decimal"/>
      <w:lvlText w:val="%1.%2.%3.%4.%5.%6.%7.%8"/>
      <w:lvlJc w:val="left"/>
      <w:pPr>
        <w:tabs>
          <w:tab w:val="num" w:pos="1320"/>
        </w:tabs>
        <w:ind w:left="1320" w:hanging="1440"/>
      </w:pPr>
      <w:rPr>
        <w:rFonts w:cs="Times New Roman" w:hint="default"/>
      </w:rPr>
    </w:lvl>
    <w:lvl w:ilvl="8">
      <w:start w:val="1"/>
      <w:numFmt w:val="decimal"/>
      <w:lvlText w:val="%1.%2.%3.%4.%5.%6.%7.%8.%9"/>
      <w:lvlJc w:val="left"/>
      <w:pPr>
        <w:tabs>
          <w:tab w:val="num" w:pos="1464"/>
        </w:tabs>
        <w:ind w:left="1464" w:hanging="1584"/>
      </w:pPr>
      <w:rPr>
        <w:rFonts w:cs="Times New Roman" w:hint="default"/>
      </w:rPr>
    </w:lvl>
  </w:abstractNum>
  <w:abstractNum w:abstractNumId="59">
    <w:nsid w:val="47A954CC"/>
    <w:multiLevelType w:val="hybridMultilevel"/>
    <w:tmpl w:val="7EF4E6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484D001F"/>
    <w:multiLevelType w:val="hybridMultilevel"/>
    <w:tmpl w:val="9F7CDE9C"/>
    <w:lvl w:ilvl="0" w:tplc="E6BEA4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4C191206"/>
    <w:multiLevelType w:val="hybridMultilevel"/>
    <w:tmpl w:val="BBCC0F14"/>
    <w:lvl w:ilvl="0" w:tplc="04050017">
      <w:start w:val="1"/>
      <w:numFmt w:val="decimal"/>
      <w:lvlText w:val="%1."/>
      <w:lvlJc w:val="left"/>
      <w:pPr>
        <w:ind w:left="720" w:hanging="360"/>
      </w:pPr>
      <w:rPr>
        <w:rFonts w:cs="Times New Roman"/>
      </w:rPr>
    </w:lvl>
    <w:lvl w:ilvl="1" w:tplc="04050019">
      <w:numFmt w:val="bullet"/>
      <w:lvlText w:val="•"/>
      <w:lvlJc w:val="left"/>
      <w:pPr>
        <w:ind w:left="1440" w:hanging="360"/>
      </w:pPr>
      <w:rPr>
        <w:rFonts w:ascii="Calibri" w:eastAsia="Times New Roman" w:hAnsi="Calibri"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2">
    <w:nsid w:val="4D0502D2"/>
    <w:multiLevelType w:val="hybridMultilevel"/>
    <w:tmpl w:val="BCE2C074"/>
    <w:lvl w:ilvl="0" w:tplc="0405000F">
      <w:start w:val="1"/>
      <w:numFmt w:val="bullet"/>
      <w:lvlText w:val=""/>
      <w:lvlJc w:val="left"/>
      <w:pPr>
        <w:ind w:left="1080" w:hanging="360"/>
      </w:pPr>
      <w:rPr>
        <w:rFonts w:ascii="Symbol" w:hAnsi="Symbol" w:hint="default"/>
      </w:rPr>
    </w:lvl>
    <w:lvl w:ilvl="1" w:tplc="DB643056">
      <w:start w:val="1"/>
      <w:numFmt w:val="bullet"/>
      <w:lvlText w:val="o"/>
      <w:lvlJc w:val="left"/>
      <w:pPr>
        <w:ind w:left="1800" w:hanging="360"/>
      </w:pPr>
      <w:rPr>
        <w:rFonts w:ascii="Courier New" w:hAnsi="Courier New" w:hint="default"/>
      </w:rPr>
    </w:lvl>
    <w:lvl w:ilvl="2" w:tplc="0405001B" w:tentative="1">
      <w:start w:val="1"/>
      <w:numFmt w:val="bullet"/>
      <w:lvlText w:val=""/>
      <w:lvlJc w:val="left"/>
      <w:pPr>
        <w:ind w:left="2520" w:hanging="360"/>
      </w:pPr>
      <w:rPr>
        <w:rFonts w:ascii="Wingdings" w:hAnsi="Wingdings" w:hint="default"/>
      </w:rPr>
    </w:lvl>
    <w:lvl w:ilvl="3" w:tplc="0405000F" w:tentative="1">
      <w:start w:val="1"/>
      <w:numFmt w:val="bullet"/>
      <w:lvlText w:val=""/>
      <w:lvlJc w:val="left"/>
      <w:pPr>
        <w:ind w:left="3240" w:hanging="360"/>
      </w:pPr>
      <w:rPr>
        <w:rFonts w:ascii="Symbol" w:hAnsi="Symbol" w:hint="default"/>
      </w:rPr>
    </w:lvl>
    <w:lvl w:ilvl="4" w:tplc="04050019" w:tentative="1">
      <w:start w:val="1"/>
      <w:numFmt w:val="bullet"/>
      <w:lvlText w:val="o"/>
      <w:lvlJc w:val="left"/>
      <w:pPr>
        <w:ind w:left="3960" w:hanging="360"/>
      </w:pPr>
      <w:rPr>
        <w:rFonts w:ascii="Courier New" w:hAnsi="Courier New" w:hint="default"/>
      </w:rPr>
    </w:lvl>
    <w:lvl w:ilvl="5" w:tplc="0405001B" w:tentative="1">
      <w:start w:val="1"/>
      <w:numFmt w:val="bullet"/>
      <w:lvlText w:val=""/>
      <w:lvlJc w:val="left"/>
      <w:pPr>
        <w:ind w:left="4680" w:hanging="360"/>
      </w:pPr>
      <w:rPr>
        <w:rFonts w:ascii="Wingdings" w:hAnsi="Wingdings" w:hint="default"/>
      </w:rPr>
    </w:lvl>
    <w:lvl w:ilvl="6" w:tplc="0405000F" w:tentative="1">
      <w:start w:val="1"/>
      <w:numFmt w:val="bullet"/>
      <w:lvlText w:val=""/>
      <w:lvlJc w:val="left"/>
      <w:pPr>
        <w:ind w:left="5400" w:hanging="360"/>
      </w:pPr>
      <w:rPr>
        <w:rFonts w:ascii="Symbol" w:hAnsi="Symbol" w:hint="default"/>
      </w:rPr>
    </w:lvl>
    <w:lvl w:ilvl="7" w:tplc="04050019" w:tentative="1">
      <w:start w:val="1"/>
      <w:numFmt w:val="bullet"/>
      <w:lvlText w:val="o"/>
      <w:lvlJc w:val="left"/>
      <w:pPr>
        <w:ind w:left="6120" w:hanging="360"/>
      </w:pPr>
      <w:rPr>
        <w:rFonts w:ascii="Courier New" w:hAnsi="Courier New" w:hint="default"/>
      </w:rPr>
    </w:lvl>
    <w:lvl w:ilvl="8" w:tplc="0405001B" w:tentative="1">
      <w:start w:val="1"/>
      <w:numFmt w:val="bullet"/>
      <w:lvlText w:val=""/>
      <w:lvlJc w:val="left"/>
      <w:pPr>
        <w:ind w:left="6840" w:hanging="360"/>
      </w:pPr>
      <w:rPr>
        <w:rFonts w:ascii="Wingdings" w:hAnsi="Wingdings" w:hint="default"/>
      </w:rPr>
    </w:lvl>
  </w:abstractNum>
  <w:abstractNum w:abstractNumId="63">
    <w:nsid w:val="4ECC4043"/>
    <w:multiLevelType w:val="hybridMultilevel"/>
    <w:tmpl w:val="AA1EC4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4">
    <w:nsid w:val="4F163B54"/>
    <w:multiLevelType w:val="hybridMultilevel"/>
    <w:tmpl w:val="ABE2B0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521B0E28"/>
    <w:multiLevelType w:val="hybridMultilevel"/>
    <w:tmpl w:val="9B2A0D9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6">
    <w:nsid w:val="527F2478"/>
    <w:multiLevelType w:val="hybridMultilevel"/>
    <w:tmpl w:val="9E1AB66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nsid w:val="53D27922"/>
    <w:multiLevelType w:val="hybridMultilevel"/>
    <w:tmpl w:val="3118DF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56147E87"/>
    <w:multiLevelType w:val="hybridMultilevel"/>
    <w:tmpl w:val="255EE3FC"/>
    <w:lvl w:ilvl="0" w:tplc="89AE416C">
      <w:start w:val="1"/>
      <w:numFmt w:val="bullet"/>
      <w:lvlText w:val="•"/>
      <w:lvlJc w:val="left"/>
      <w:pPr>
        <w:tabs>
          <w:tab w:val="num" w:pos="360"/>
        </w:tabs>
        <w:ind w:left="360" w:hanging="360"/>
      </w:pPr>
      <w:rPr>
        <w:rFonts w:ascii="Times New Roman" w:hAnsi="Times New Roman" w:hint="default"/>
      </w:rPr>
    </w:lvl>
    <w:lvl w:ilvl="1" w:tplc="258CDA4A">
      <w:start w:val="1"/>
      <w:numFmt w:val="lowerRoman"/>
      <w:lvlText w:val="%2."/>
      <w:lvlJc w:val="right"/>
      <w:pPr>
        <w:tabs>
          <w:tab w:val="num" w:pos="1080"/>
        </w:tabs>
        <w:ind w:left="1080" w:hanging="360"/>
      </w:pPr>
      <w:rPr>
        <w:rFonts w:cs="Times New Roman" w:hint="default"/>
      </w:rPr>
    </w:lvl>
    <w:lvl w:ilvl="2" w:tplc="07E89724">
      <w:start w:val="1"/>
      <w:numFmt w:val="bullet"/>
      <w:lvlText w:val="•"/>
      <w:lvlJc w:val="left"/>
      <w:pPr>
        <w:tabs>
          <w:tab w:val="num" w:pos="1800"/>
        </w:tabs>
        <w:ind w:left="1800" w:hanging="360"/>
      </w:pPr>
      <w:rPr>
        <w:rFonts w:ascii="Times New Roman" w:hAnsi="Times New Roman" w:hint="default"/>
      </w:rPr>
    </w:lvl>
    <w:lvl w:ilvl="3" w:tplc="A98E30EA" w:tentative="1">
      <w:start w:val="1"/>
      <w:numFmt w:val="bullet"/>
      <w:lvlText w:val="•"/>
      <w:lvlJc w:val="left"/>
      <w:pPr>
        <w:tabs>
          <w:tab w:val="num" w:pos="2520"/>
        </w:tabs>
        <w:ind w:left="2520" w:hanging="360"/>
      </w:pPr>
      <w:rPr>
        <w:rFonts w:ascii="Times New Roman" w:hAnsi="Times New Roman" w:hint="default"/>
      </w:rPr>
    </w:lvl>
    <w:lvl w:ilvl="4" w:tplc="0A2EFE3E" w:tentative="1">
      <w:start w:val="1"/>
      <w:numFmt w:val="bullet"/>
      <w:lvlText w:val="•"/>
      <w:lvlJc w:val="left"/>
      <w:pPr>
        <w:tabs>
          <w:tab w:val="num" w:pos="3240"/>
        </w:tabs>
        <w:ind w:left="3240" w:hanging="360"/>
      </w:pPr>
      <w:rPr>
        <w:rFonts w:ascii="Times New Roman" w:hAnsi="Times New Roman" w:hint="default"/>
      </w:rPr>
    </w:lvl>
    <w:lvl w:ilvl="5" w:tplc="4D785A28" w:tentative="1">
      <w:start w:val="1"/>
      <w:numFmt w:val="bullet"/>
      <w:lvlText w:val="•"/>
      <w:lvlJc w:val="left"/>
      <w:pPr>
        <w:tabs>
          <w:tab w:val="num" w:pos="3960"/>
        </w:tabs>
        <w:ind w:left="3960" w:hanging="360"/>
      </w:pPr>
      <w:rPr>
        <w:rFonts w:ascii="Times New Roman" w:hAnsi="Times New Roman" w:hint="default"/>
      </w:rPr>
    </w:lvl>
    <w:lvl w:ilvl="6" w:tplc="1F7A076E" w:tentative="1">
      <w:start w:val="1"/>
      <w:numFmt w:val="bullet"/>
      <w:lvlText w:val="•"/>
      <w:lvlJc w:val="left"/>
      <w:pPr>
        <w:tabs>
          <w:tab w:val="num" w:pos="4680"/>
        </w:tabs>
        <w:ind w:left="4680" w:hanging="360"/>
      </w:pPr>
      <w:rPr>
        <w:rFonts w:ascii="Times New Roman" w:hAnsi="Times New Roman" w:hint="default"/>
      </w:rPr>
    </w:lvl>
    <w:lvl w:ilvl="7" w:tplc="55B0D064" w:tentative="1">
      <w:start w:val="1"/>
      <w:numFmt w:val="bullet"/>
      <w:lvlText w:val="•"/>
      <w:lvlJc w:val="left"/>
      <w:pPr>
        <w:tabs>
          <w:tab w:val="num" w:pos="5400"/>
        </w:tabs>
        <w:ind w:left="5400" w:hanging="360"/>
      </w:pPr>
      <w:rPr>
        <w:rFonts w:ascii="Times New Roman" w:hAnsi="Times New Roman" w:hint="default"/>
      </w:rPr>
    </w:lvl>
    <w:lvl w:ilvl="8" w:tplc="40489298" w:tentative="1">
      <w:start w:val="1"/>
      <w:numFmt w:val="bullet"/>
      <w:lvlText w:val="•"/>
      <w:lvlJc w:val="left"/>
      <w:pPr>
        <w:tabs>
          <w:tab w:val="num" w:pos="6120"/>
        </w:tabs>
        <w:ind w:left="6120" w:hanging="360"/>
      </w:pPr>
      <w:rPr>
        <w:rFonts w:ascii="Times New Roman" w:hAnsi="Times New Roman" w:hint="default"/>
      </w:rPr>
    </w:lvl>
  </w:abstractNum>
  <w:abstractNum w:abstractNumId="69">
    <w:nsid w:val="57B913C5"/>
    <w:multiLevelType w:val="hybridMultilevel"/>
    <w:tmpl w:val="4DEA5902"/>
    <w:lvl w:ilvl="0" w:tplc="04050003">
      <w:start w:val="1"/>
      <w:numFmt w:val="bullet"/>
      <w:lvlText w:val="o"/>
      <w:lvlJc w:val="left"/>
      <w:pPr>
        <w:ind w:left="360" w:hanging="360"/>
      </w:pPr>
      <w:rPr>
        <w:rFonts w:ascii="Courier New" w:hAnsi="Courier New"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0">
    <w:nsid w:val="57FD3D0F"/>
    <w:multiLevelType w:val="hybridMultilevel"/>
    <w:tmpl w:val="6F384EEC"/>
    <w:lvl w:ilvl="0" w:tplc="04050001">
      <w:start w:val="1"/>
      <w:numFmt w:val="bullet"/>
      <w:lvlText w:val=""/>
      <w:lvlJc w:val="left"/>
      <w:pPr>
        <w:ind w:left="3725" w:hanging="465"/>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589D547D"/>
    <w:multiLevelType w:val="hybridMultilevel"/>
    <w:tmpl w:val="11AAF38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2">
    <w:nsid w:val="58D24641"/>
    <w:multiLevelType w:val="hybridMultilevel"/>
    <w:tmpl w:val="BF7223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59CB02A8"/>
    <w:multiLevelType w:val="hybridMultilevel"/>
    <w:tmpl w:val="0CE064BC"/>
    <w:lvl w:ilvl="0" w:tplc="D11234B2">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5C587867"/>
    <w:multiLevelType w:val="hybridMultilevel"/>
    <w:tmpl w:val="D764C8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5C805E69"/>
    <w:multiLevelType w:val="hybridMultilevel"/>
    <w:tmpl w:val="961C31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5E3554F7"/>
    <w:multiLevelType w:val="hybridMultilevel"/>
    <w:tmpl w:val="ECAE89D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7">
    <w:nsid w:val="5F921F82"/>
    <w:multiLevelType w:val="hybridMultilevel"/>
    <w:tmpl w:val="DF322FF8"/>
    <w:lvl w:ilvl="0" w:tplc="04050001">
      <w:numFmt w:val="bullet"/>
      <w:lvlText w:val="•"/>
      <w:lvlJc w:val="left"/>
      <w:pPr>
        <w:ind w:left="1065" w:hanging="705"/>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6158380D"/>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9">
    <w:nsid w:val="625A6A0B"/>
    <w:multiLevelType w:val="hybridMultilevel"/>
    <w:tmpl w:val="41A48C46"/>
    <w:lvl w:ilvl="0" w:tplc="FFFFFFFF">
      <w:start w:val="1"/>
      <w:numFmt w:val="bullet"/>
      <w:lvlText w:val="•"/>
      <w:lvlJc w:val="left"/>
      <w:pPr>
        <w:tabs>
          <w:tab w:val="num" w:pos="1080"/>
        </w:tabs>
        <w:ind w:left="1080" w:hanging="360"/>
      </w:pPr>
      <w:rPr>
        <w:rFonts w:ascii="Arial" w:hAnsi="Aria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0">
    <w:nsid w:val="62A4744F"/>
    <w:multiLevelType w:val="multilevel"/>
    <w:tmpl w:val="1054E2D0"/>
    <w:lvl w:ilvl="0">
      <w:start w:val="1"/>
      <w:numFmt w:val="decimal"/>
      <w:pStyle w:val="smlouvaheading1"/>
      <w:lvlText w:val="%1"/>
      <w:lvlJc w:val="left"/>
      <w:pPr>
        <w:ind w:left="360" w:hanging="360"/>
      </w:pPr>
      <w:rPr>
        <w:rFonts w:ascii="Arial" w:hAnsi="Arial" w:cs="Times New Roman" w:hint="default"/>
        <w:b/>
        <w:i w:val="0"/>
        <w:sz w:val="19"/>
      </w:rPr>
    </w:lvl>
    <w:lvl w:ilvl="1">
      <w:start w:val="1"/>
      <w:numFmt w:val="decimal"/>
      <w:pStyle w:val="smlouvaheading2"/>
      <w:lvlText w:val="%1.%2"/>
      <w:lvlJc w:val="left"/>
      <w:pPr>
        <w:ind w:left="720" w:hanging="360"/>
      </w:pPr>
      <w:rPr>
        <w:rFonts w:ascii="Arial" w:hAnsi="Arial" w:cs="Times New Roman" w:hint="default"/>
        <w:b w:val="0"/>
        <w:i w:val="0"/>
        <w:sz w:val="19"/>
      </w:rPr>
    </w:lvl>
    <w:lvl w:ilvl="2">
      <w:start w:val="1"/>
      <w:numFmt w:val="decimal"/>
      <w:pStyle w:val="smlouvaheading3"/>
      <w:lvlText w:val="%1.%2.%3"/>
      <w:lvlJc w:val="left"/>
      <w:pPr>
        <w:ind w:left="1080" w:hanging="360"/>
      </w:pPr>
      <w:rPr>
        <w:rFonts w:ascii="Arial" w:hAnsi="Arial" w:cs="Times New Roman" w:hint="default"/>
        <w:b w:val="0"/>
        <w:i w:val="0"/>
        <w:sz w:val="19"/>
      </w:rPr>
    </w:lvl>
    <w:lvl w:ilvl="3">
      <w:start w:val="1"/>
      <w:numFmt w:val="decimal"/>
      <w:pStyle w:val="smlouvaheading4"/>
      <w:lvlText w:val="%1.%2.%3.%4"/>
      <w:lvlJc w:val="left"/>
      <w:pPr>
        <w:ind w:left="1440" w:hanging="360"/>
      </w:pPr>
      <w:rPr>
        <w:rFonts w:ascii="Arial" w:hAnsi="Arial" w:cs="Times New Roman" w:hint="default"/>
        <w:b w:val="0"/>
        <w:i w:val="0"/>
        <w:sz w:val="19"/>
      </w:rPr>
    </w:lvl>
    <w:lvl w:ilvl="4">
      <w:start w:val="1"/>
      <w:numFmt w:val="none"/>
      <w:lvlText w:val=""/>
      <w:lvlJc w:val="left"/>
      <w:pPr>
        <w:ind w:left="1800" w:hanging="360"/>
      </w:pPr>
      <w:rPr>
        <w:rFonts w:ascii="Arial" w:hAnsi="Arial" w:cs="Times New Roman" w:hint="default"/>
        <w:b w:val="0"/>
        <w:i/>
        <w:sz w:val="19"/>
      </w:rPr>
    </w:lvl>
    <w:lvl w:ilvl="5">
      <w:start w:val="1"/>
      <w:numFmt w:val="none"/>
      <w:lvlText w:val=""/>
      <w:lvlJc w:val="left"/>
      <w:pPr>
        <w:ind w:left="2160" w:hanging="360"/>
      </w:pPr>
      <w:rPr>
        <w:rFonts w:ascii="Arial" w:hAnsi="Arial" w:cs="Times New Roman" w:hint="default"/>
        <w:b w:val="0"/>
        <w:i/>
        <w:sz w:val="19"/>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1">
    <w:nsid w:val="62A75FF2"/>
    <w:multiLevelType w:val="hybridMultilevel"/>
    <w:tmpl w:val="04DA6A26"/>
    <w:lvl w:ilvl="0" w:tplc="418E36F0">
      <w:start w:val="1"/>
      <w:numFmt w:val="decimal"/>
      <w:lvlText w:val="%1."/>
      <w:lvlJc w:val="left"/>
      <w:pPr>
        <w:ind w:left="720" w:hanging="360"/>
      </w:pPr>
      <w:rPr>
        <w:rFonts w:cs="Times New Roman"/>
      </w:rPr>
    </w:lvl>
    <w:lvl w:ilvl="1" w:tplc="04050003">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82">
    <w:nsid w:val="634935A9"/>
    <w:multiLevelType w:val="hybridMultilevel"/>
    <w:tmpl w:val="FDAA157A"/>
    <w:lvl w:ilvl="0" w:tplc="938A899E">
      <w:start w:val="1"/>
      <w:numFmt w:val="bullet"/>
      <w:pStyle w:val="Bulletslevel1"/>
      <w:lvlText w:val=""/>
      <w:lvlJc w:val="left"/>
      <w:pPr>
        <w:ind w:left="720" w:hanging="360"/>
      </w:pPr>
      <w:rPr>
        <w:rFonts w:ascii="Symbol" w:hAnsi="Symbol" w:hint="default"/>
        <w:b w:val="0"/>
        <w:i w:val="0"/>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5594DF9"/>
    <w:multiLevelType w:val="hybridMultilevel"/>
    <w:tmpl w:val="125EE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6A6608DE"/>
    <w:multiLevelType w:val="hybridMultilevel"/>
    <w:tmpl w:val="CA189C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6B1017F8"/>
    <w:multiLevelType w:val="hybridMultilevel"/>
    <w:tmpl w:val="8012A76A"/>
    <w:lvl w:ilvl="0" w:tplc="0405000F">
      <w:start w:val="1"/>
      <w:numFmt w:val="decimal"/>
      <w:lvlText w:val="%1."/>
      <w:lvlJc w:val="left"/>
      <w:pPr>
        <w:ind w:left="720" w:hanging="360"/>
      </w:pPr>
      <w:rPr>
        <w:rFonts w:cs="Times New Roman" w:hint="default"/>
      </w:rPr>
    </w:lvl>
    <w:lvl w:ilvl="1" w:tplc="04050019">
      <w:start w:val="1"/>
      <w:numFmt w:val="bullet"/>
      <w:lvlText w:val="o"/>
      <w:lvlJc w:val="left"/>
      <w:pPr>
        <w:ind w:left="1440" w:hanging="360"/>
      </w:pPr>
      <w:rPr>
        <w:rFonts w:ascii="Courier New" w:hAnsi="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86">
    <w:nsid w:val="6CB659F8"/>
    <w:multiLevelType w:val="hybridMultilevel"/>
    <w:tmpl w:val="CBB810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6D58053C"/>
    <w:multiLevelType w:val="hybridMultilevel"/>
    <w:tmpl w:val="F028D2DA"/>
    <w:lvl w:ilvl="0" w:tplc="0405000F">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6EC24FE9"/>
    <w:multiLevelType w:val="hybridMultilevel"/>
    <w:tmpl w:val="E8767D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6FA4459E"/>
    <w:multiLevelType w:val="hybridMultilevel"/>
    <w:tmpl w:val="13AC2F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74E251A9"/>
    <w:multiLevelType w:val="hybridMultilevel"/>
    <w:tmpl w:val="C0C029B6"/>
    <w:lvl w:ilvl="0" w:tplc="04050001">
      <w:start w:val="1"/>
      <w:numFmt w:val="decimal"/>
      <w:lvlText w:val="%1."/>
      <w:lvlJc w:val="left"/>
      <w:pPr>
        <w:ind w:left="720" w:hanging="360"/>
      </w:pPr>
      <w:rPr>
        <w:rFonts w:cs="Times New Roman"/>
      </w:rPr>
    </w:lvl>
    <w:lvl w:ilvl="1" w:tplc="04050003">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91">
    <w:nsid w:val="750B73DF"/>
    <w:multiLevelType w:val="hybridMultilevel"/>
    <w:tmpl w:val="F29A8E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77861DEF"/>
    <w:multiLevelType w:val="hybridMultilevel"/>
    <w:tmpl w:val="08842EDE"/>
    <w:lvl w:ilvl="0" w:tplc="0405000F">
      <w:start w:val="1"/>
      <w:numFmt w:val="bullet"/>
      <w:lvlText w:val="•"/>
      <w:lvlJc w:val="left"/>
      <w:pPr>
        <w:tabs>
          <w:tab w:val="num" w:pos="1080"/>
        </w:tabs>
        <w:ind w:left="1080" w:hanging="360"/>
      </w:pPr>
      <w:rPr>
        <w:rFonts w:ascii="Arial" w:hAnsi="Arial" w:hint="default"/>
      </w:rPr>
    </w:lvl>
    <w:lvl w:ilvl="1" w:tplc="04050019">
      <w:start w:val="1"/>
      <w:numFmt w:val="bullet"/>
      <w:lvlText w:val="o"/>
      <w:lvlJc w:val="left"/>
      <w:pPr>
        <w:ind w:left="1800" w:hanging="360"/>
      </w:pPr>
      <w:rPr>
        <w:rFonts w:ascii="Courier New" w:hAnsi="Courier New" w:hint="default"/>
      </w:rPr>
    </w:lvl>
    <w:lvl w:ilvl="2" w:tplc="0405001B" w:tentative="1">
      <w:start w:val="1"/>
      <w:numFmt w:val="bullet"/>
      <w:lvlText w:val=""/>
      <w:lvlJc w:val="left"/>
      <w:pPr>
        <w:ind w:left="2520" w:hanging="360"/>
      </w:pPr>
      <w:rPr>
        <w:rFonts w:ascii="Wingdings" w:hAnsi="Wingdings" w:hint="default"/>
      </w:rPr>
    </w:lvl>
    <w:lvl w:ilvl="3" w:tplc="0405000F" w:tentative="1">
      <w:start w:val="1"/>
      <w:numFmt w:val="bullet"/>
      <w:lvlText w:val=""/>
      <w:lvlJc w:val="left"/>
      <w:pPr>
        <w:ind w:left="3240" w:hanging="360"/>
      </w:pPr>
      <w:rPr>
        <w:rFonts w:ascii="Symbol" w:hAnsi="Symbol" w:hint="default"/>
      </w:rPr>
    </w:lvl>
    <w:lvl w:ilvl="4" w:tplc="04050019" w:tentative="1">
      <w:start w:val="1"/>
      <w:numFmt w:val="bullet"/>
      <w:lvlText w:val="o"/>
      <w:lvlJc w:val="left"/>
      <w:pPr>
        <w:ind w:left="3960" w:hanging="360"/>
      </w:pPr>
      <w:rPr>
        <w:rFonts w:ascii="Courier New" w:hAnsi="Courier New" w:hint="default"/>
      </w:rPr>
    </w:lvl>
    <w:lvl w:ilvl="5" w:tplc="0405001B" w:tentative="1">
      <w:start w:val="1"/>
      <w:numFmt w:val="bullet"/>
      <w:lvlText w:val=""/>
      <w:lvlJc w:val="left"/>
      <w:pPr>
        <w:ind w:left="4680" w:hanging="360"/>
      </w:pPr>
      <w:rPr>
        <w:rFonts w:ascii="Wingdings" w:hAnsi="Wingdings" w:hint="default"/>
      </w:rPr>
    </w:lvl>
    <w:lvl w:ilvl="6" w:tplc="0405000F" w:tentative="1">
      <w:start w:val="1"/>
      <w:numFmt w:val="bullet"/>
      <w:lvlText w:val=""/>
      <w:lvlJc w:val="left"/>
      <w:pPr>
        <w:ind w:left="5400" w:hanging="360"/>
      </w:pPr>
      <w:rPr>
        <w:rFonts w:ascii="Symbol" w:hAnsi="Symbol" w:hint="default"/>
      </w:rPr>
    </w:lvl>
    <w:lvl w:ilvl="7" w:tplc="04050019" w:tentative="1">
      <w:start w:val="1"/>
      <w:numFmt w:val="bullet"/>
      <w:lvlText w:val="o"/>
      <w:lvlJc w:val="left"/>
      <w:pPr>
        <w:ind w:left="6120" w:hanging="360"/>
      </w:pPr>
      <w:rPr>
        <w:rFonts w:ascii="Courier New" w:hAnsi="Courier New" w:hint="default"/>
      </w:rPr>
    </w:lvl>
    <w:lvl w:ilvl="8" w:tplc="0405001B" w:tentative="1">
      <w:start w:val="1"/>
      <w:numFmt w:val="bullet"/>
      <w:lvlText w:val=""/>
      <w:lvlJc w:val="left"/>
      <w:pPr>
        <w:ind w:left="6840" w:hanging="360"/>
      </w:pPr>
      <w:rPr>
        <w:rFonts w:ascii="Wingdings" w:hAnsi="Wingdings" w:hint="default"/>
      </w:rPr>
    </w:lvl>
  </w:abstractNum>
  <w:abstractNum w:abstractNumId="93">
    <w:nsid w:val="77E43160"/>
    <w:multiLevelType w:val="hybridMultilevel"/>
    <w:tmpl w:val="7AA6BB8E"/>
    <w:lvl w:ilvl="0" w:tplc="04050001">
      <w:start w:val="1"/>
      <w:numFmt w:val="bullet"/>
      <w:lvlText w:val=""/>
      <w:lvlJc w:val="left"/>
      <w:pPr>
        <w:ind w:left="720" w:hanging="360"/>
      </w:pPr>
      <w:rPr>
        <w:rFonts w:ascii="Symbol" w:hAnsi="Symbol" w:hint="default"/>
      </w:rPr>
    </w:lvl>
    <w:lvl w:ilvl="1" w:tplc="E294F620">
      <w:numFmt w:val="bullet"/>
      <w:lvlText w:val="•"/>
      <w:lvlJc w:val="left"/>
      <w:pPr>
        <w:ind w:left="1440" w:hanging="360"/>
      </w:pPr>
      <w:rPr>
        <w:rFonts w:ascii="Arial" w:eastAsia="Times New Roman" w:hAnsi="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7AD80A48"/>
    <w:multiLevelType w:val="hybridMultilevel"/>
    <w:tmpl w:val="5EB00808"/>
    <w:lvl w:ilvl="0" w:tplc="418E36F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7B762295"/>
    <w:multiLevelType w:val="hybridMultilevel"/>
    <w:tmpl w:val="B2D41B5C"/>
    <w:lvl w:ilvl="0" w:tplc="04050001">
      <w:numFmt w:val="bullet"/>
      <w:lvlText w:val="•"/>
      <w:lvlJc w:val="left"/>
      <w:pPr>
        <w:ind w:left="1425" w:hanging="705"/>
      </w:pPr>
      <w:rPr>
        <w:rFonts w:ascii="Calibri" w:eastAsia="Times New Roman" w:hAnsi="Calibri"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6">
    <w:nsid w:val="7C437CD7"/>
    <w:multiLevelType w:val="hybridMultilevel"/>
    <w:tmpl w:val="406022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7CC854D8"/>
    <w:multiLevelType w:val="hybridMultilevel"/>
    <w:tmpl w:val="938E4F10"/>
    <w:lvl w:ilvl="0" w:tplc="98347F98">
      <w:start w:val="1"/>
      <w:numFmt w:val="decimal"/>
      <w:lvlText w:val="%1."/>
      <w:lvlJc w:val="left"/>
      <w:pPr>
        <w:tabs>
          <w:tab w:val="num" w:pos="720"/>
        </w:tabs>
        <w:ind w:left="720" w:hanging="360"/>
      </w:pPr>
      <w:rPr>
        <w:rFonts w:cs="Times New Roman"/>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num w:numId="1">
    <w:abstractNumId w:val="4"/>
  </w:num>
  <w:num w:numId="2">
    <w:abstractNumId w:val="22"/>
  </w:num>
  <w:num w:numId="3">
    <w:abstractNumId w:val="32"/>
  </w:num>
  <w:num w:numId="4">
    <w:abstractNumId w:val="9"/>
  </w:num>
  <w:num w:numId="5">
    <w:abstractNumId w:val="92"/>
  </w:num>
  <w:num w:numId="6">
    <w:abstractNumId w:val="79"/>
  </w:num>
  <w:num w:numId="7">
    <w:abstractNumId w:val="95"/>
  </w:num>
  <w:num w:numId="8">
    <w:abstractNumId w:val="67"/>
  </w:num>
  <w:num w:numId="9">
    <w:abstractNumId w:val="87"/>
  </w:num>
  <w:num w:numId="10">
    <w:abstractNumId w:val="15"/>
  </w:num>
  <w:num w:numId="11">
    <w:abstractNumId w:val="77"/>
  </w:num>
  <w:num w:numId="12">
    <w:abstractNumId w:val="34"/>
  </w:num>
  <w:num w:numId="13">
    <w:abstractNumId w:val="94"/>
  </w:num>
  <w:num w:numId="14">
    <w:abstractNumId w:val="62"/>
  </w:num>
  <w:num w:numId="15">
    <w:abstractNumId w:val="25"/>
  </w:num>
  <w:num w:numId="16">
    <w:abstractNumId w:val="78"/>
  </w:num>
  <w:num w:numId="17">
    <w:abstractNumId w:val="61"/>
  </w:num>
  <w:num w:numId="18">
    <w:abstractNumId w:val="46"/>
  </w:num>
  <w:num w:numId="19">
    <w:abstractNumId w:val="1"/>
  </w:num>
  <w:num w:numId="20">
    <w:abstractNumId w:val="18"/>
  </w:num>
  <w:num w:numId="21">
    <w:abstractNumId w:val="30"/>
  </w:num>
  <w:num w:numId="22">
    <w:abstractNumId w:val="81"/>
  </w:num>
  <w:num w:numId="23">
    <w:abstractNumId w:val="37"/>
  </w:num>
  <w:num w:numId="24">
    <w:abstractNumId w:val="90"/>
  </w:num>
  <w:num w:numId="25">
    <w:abstractNumId w:val="3"/>
  </w:num>
  <w:num w:numId="26">
    <w:abstractNumId w:val="31"/>
  </w:num>
  <w:num w:numId="27">
    <w:abstractNumId w:val="97"/>
  </w:num>
  <w:num w:numId="28">
    <w:abstractNumId w:val="39"/>
  </w:num>
  <w:num w:numId="29">
    <w:abstractNumId w:val="35"/>
  </w:num>
  <w:num w:numId="30">
    <w:abstractNumId w:val="57"/>
  </w:num>
  <w:num w:numId="31">
    <w:abstractNumId w:val="28"/>
  </w:num>
  <w:num w:numId="32">
    <w:abstractNumId w:val="36"/>
  </w:num>
  <w:num w:numId="33">
    <w:abstractNumId w:val="85"/>
  </w:num>
  <w:num w:numId="34">
    <w:abstractNumId w:val="22"/>
  </w:num>
  <w:num w:numId="35">
    <w:abstractNumId w:val="22"/>
  </w:num>
  <w:num w:numId="36">
    <w:abstractNumId w:val="22"/>
  </w:num>
  <w:num w:numId="37">
    <w:abstractNumId w:val="22"/>
  </w:num>
  <w:num w:numId="38">
    <w:abstractNumId w:val="45"/>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5"/>
  </w:num>
  <w:num w:numId="41">
    <w:abstractNumId w:val="52"/>
  </w:num>
  <w:num w:numId="42">
    <w:abstractNumId w:val="38"/>
  </w:num>
  <w:num w:numId="43">
    <w:abstractNumId w:val="69"/>
  </w:num>
  <w:num w:numId="44">
    <w:abstractNumId w:val="76"/>
  </w:num>
  <w:num w:numId="45">
    <w:abstractNumId w:val="22"/>
  </w:num>
  <w:num w:numId="46">
    <w:abstractNumId w:val="72"/>
  </w:num>
  <w:num w:numId="47">
    <w:abstractNumId w:val="82"/>
  </w:num>
  <w:num w:numId="48">
    <w:abstractNumId w:val="51"/>
  </w:num>
  <w:num w:numId="49">
    <w:abstractNumId w:val="13"/>
  </w:num>
  <w:num w:numId="50">
    <w:abstractNumId w:val="80"/>
  </w:num>
  <w:num w:numId="51">
    <w:abstractNumId w:val="16"/>
  </w:num>
  <w:num w:numId="52">
    <w:abstractNumId w:val="59"/>
  </w:num>
  <w:num w:numId="53">
    <w:abstractNumId w:val="49"/>
  </w:num>
  <w:num w:numId="54">
    <w:abstractNumId w:val="23"/>
  </w:num>
  <w:num w:numId="55">
    <w:abstractNumId w:val="86"/>
  </w:num>
  <w:num w:numId="56">
    <w:abstractNumId w:val="14"/>
  </w:num>
  <w:num w:numId="57">
    <w:abstractNumId w:val="74"/>
  </w:num>
  <w:num w:numId="58">
    <w:abstractNumId w:val="75"/>
  </w:num>
  <w:num w:numId="59">
    <w:abstractNumId w:val="43"/>
  </w:num>
  <w:num w:numId="60">
    <w:abstractNumId w:val="8"/>
  </w:num>
  <w:num w:numId="61">
    <w:abstractNumId w:val="0"/>
  </w:num>
  <w:num w:numId="62">
    <w:abstractNumId w:val="47"/>
  </w:num>
  <w:num w:numId="63">
    <w:abstractNumId w:val="44"/>
  </w:num>
  <w:num w:numId="64">
    <w:abstractNumId w:val="68"/>
  </w:num>
  <w:num w:numId="65">
    <w:abstractNumId w:val="60"/>
  </w:num>
  <w:num w:numId="66">
    <w:abstractNumId w:val="58"/>
  </w:num>
  <w:num w:numId="67">
    <w:abstractNumId w:val="54"/>
  </w:num>
  <w:num w:numId="68">
    <w:abstractNumId w:val="40"/>
  </w:num>
  <w:num w:numId="69">
    <w:abstractNumId w:val="89"/>
  </w:num>
  <w:num w:numId="70">
    <w:abstractNumId w:val="91"/>
  </w:num>
  <w:num w:numId="71">
    <w:abstractNumId w:val="33"/>
  </w:num>
  <w:num w:numId="72">
    <w:abstractNumId w:val="29"/>
  </w:num>
  <w:num w:numId="73">
    <w:abstractNumId w:val="55"/>
  </w:num>
  <w:num w:numId="74">
    <w:abstractNumId w:val="24"/>
  </w:num>
  <w:num w:numId="75">
    <w:abstractNumId w:val="11"/>
  </w:num>
  <w:num w:numId="76">
    <w:abstractNumId w:val="70"/>
  </w:num>
  <w:num w:numId="77">
    <w:abstractNumId w:val="93"/>
  </w:num>
  <w:num w:numId="78">
    <w:abstractNumId w:val="73"/>
  </w:num>
  <w:num w:numId="79">
    <w:abstractNumId w:val="96"/>
  </w:num>
  <w:num w:numId="80">
    <w:abstractNumId w:val="88"/>
  </w:num>
  <w:num w:numId="81">
    <w:abstractNumId w:val="10"/>
  </w:num>
  <w:num w:numId="82">
    <w:abstractNumId w:val="26"/>
  </w:num>
  <w:num w:numId="83">
    <w:abstractNumId w:val="19"/>
  </w:num>
  <w:num w:numId="84">
    <w:abstractNumId w:val="83"/>
  </w:num>
  <w:num w:numId="85">
    <w:abstractNumId w:val="64"/>
  </w:num>
  <w:num w:numId="86">
    <w:abstractNumId w:val="84"/>
  </w:num>
  <w:num w:numId="87">
    <w:abstractNumId w:val="56"/>
  </w:num>
  <w:num w:numId="88">
    <w:abstractNumId w:val="53"/>
  </w:num>
  <w:num w:numId="89">
    <w:abstractNumId w:val="2"/>
  </w:num>
  <w:num w:numId="90">
    <w:abstractNumId w:val="48"/>
  </w:num>
  <w:num w:numId="91">
    <w:abstractNumId w:val="71"/>
  </w:num>
  <w:num w:numId="92">
    <w:abstractNumId w:val="17"/>
  </w:num>
  <w:num w:numId="93">
    <w:abstractNumId w:val="21"/>
  </w:num>
  <w:num w:numId="94">
    <w:abstractNumId w:val="7"/>
  </w:num>
  <w:num w:numId="95">
    <w:abstractNumId w:val="27"/>
  </w:num>
  <w:num w:numId="96">
    <w:abstractNumId w:val="50"/>
  </w:num>
  <w:num w:numId="97">
    <w:abstractNumId w:val="41"/>
  </w:num>
  <w:num w:numId="98">
    <w:abstractNumId w:val="63"/>
  </w:num>
  <w:num w:numId="99">
    <w:abstractNumId w:val="6"/>
  </w:num>
  <w:num w:numId="100">
    <w:abstractNumId w:val="12"/>
  </w:num>
  <w:num w:numId="101">
    <w:abstractNumId w:val="20"/>
  </w:num>
  <w:num w:numId="102">
    <w:abstractNumId w:val="66"/>
  </w:num>
  <w:num w:numId="103">
    <w:abstractNumId w:val="42"/>
  </w:num>
  <w:num w:numId="104">
    <w:abstractNumId w:val="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trackRevisions/>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1E1"/>
    <w:rsid w:val="0000024E"/>
    <w:rsid w:val="00001374"/>
    <w:rsid w:val="00003EAA"/>
    <w:rsid w:val="00004922"/>
    <w:rsid w:val="00007ACF"/>
    <w:rsid w:val="00007B41"/>
    <w:rsid w:val="00007F94"/>
    <w:rsid w:val="00011070"/>
    <w:rsid w:val="00012C12"/>
    <w:rsid w:val="000132D7"/>
    <w:rsid w:val="00015AAC"/>
    <w:rsid w:val="0001651A"/>
    <w:rsid w:val="00017DD1"/>
    <w:rsid w:val="00022E4C"/>
    <w:rsid w:val="0002484F"/>
    <w:rsid w:val="00024EB3"/>
    <w:rsid w:val="0002761F"/>
    <w:rsid w:val="00030ED0"/>
    <w:rsid w:val="000348F9"/>
    <w:rsid w:val="00037204"/>
    <w:rsid w:val="0004113A"/>
    <w:rsid w:val="00042BEB"/>
    <w:rsid w:val="00042F62"/>
    <w:rsid w:val="000437EF"/>
    <w:rsid w:val="0004640B"/>
    <w:rsid w:val="0004720B"/>
    <w:rsid w:val="00050C6E"/>
    <w:rsid w:val="0005545B"/>
    <w:rsid w:val="00055E54"/>
    <w:rsid w:val="00060A95"/>
    <w:rsid w:val="000625EC"/>
    <w:rsid w:val="000628B2"/>
    <w:rsid w:val="00064FB2"/>
    <w:rsid w:val="00065F1C"/>
    <w:rsid w:val="0006649B"/>
    <w:rsid w:val="00066655"/>
    <w:rsid w:val="00067B11"/>
    <w:rsid w:val="00070476"/>
    <w:rsid w:val="000704DD"/>
    <w:rsid w:val="0007393D"/>
    <w:rsid w:val="000750C2"/>
    <w:rsid w:val="000754A0"/>
    <w:rsid w:val="00075B31"/>
    <w:rsid w:val="00076233"/>
    <w:rsid w:val="000771AD"/>
    <w:rsid w:val="00080229"/>
    <w:rsid w:val="00081A64"/>
    <w:rsid w:val="00082D6D"/>
    <w:rsid w:val="00082F41"/>
    <w:rsid w:val="00084399"/>
    <w:rsid w:val="000858D8"/>
    <w:rsid w:val="00087025"/>
    <w:rsid w:val="00087DE7"/>
    <w:rsid w:val="00091B20"/>
    <w:rsid w:val="000924E1"/>
    <w:rsid w:val="0009727E"/>
    <w:rsid w:val="000A0F88"/>
    <w:rsid w:val="000A47FD"/>
    <w:rsid w:val="000A6A79"/>
    <w:rsid w:val="000A6D74"/>
    <w:rsid w:val="000B58F5"/>
    <w:rsid w:val="000C1B4F"/>
    <w:rsid w:val="000C1C23"/>
    <w:rsid w:val="000C38AE"/>
    <w:rsid w:val="000C4262"/>
    <w:rsid w:val="000C685B"/>
    <w:rsid w:val="000C77DB"/>
    <w:rsid w:val="000D2962"/>
    <w:rsid w:val="000D691E"/>
    <w:rsid w:val="000E1BCA"/>
    <w:rsid w:val="000E21F7"/>
    <w:rsid w:val="000F1B78"/>
    <w:rsid w:val="000F1E82"/>
    <w:rsid w:val="000F2EBC"/>
    <w:rsid w:val="000F506E"/>
    <w:rsid w:val="000F6475"/>
    <w:rsid w:val="000F6778"/>
    <w:rsid w:val="000F7549"/>
    <w:rsid w:val="00101728"/>
    <w:rsid w:val="001042DB"/>
    <w:rsid w:val="001075B2"/>
    <w:rsid w:val="0011037F"/>
    <w:rsid w:val="00110693"/>
    <w:rsid w:val="00110DE7"/>
    <w:rsid w:val="00113784"/>
    <w:rsid w:val="00113BDA"/>
    <w:rsid w:val="00114B09"/>
    <w:rsid w:val="00117750"/>
    <w:rsid w:val="00120172"/>
    <w:rsid w:val="0012655B"/>
    <w:rsid w:val="00130190"/>
    <w:rsid w:val="00132988"/>
    <w:rsid w:val="00135141"/>
    <w:rsid w:val="001356F7"/>
    <w:rsid w:val="00137503"/>
    <w:rsid w:val="00140663"/>
    <w:rsid w:val="00141FEF"/>
    <w:rsid w:val="00143B54"/>
    <w:rsid w:val="00144361"/>
    <w:rsid w:val="00147B43"/>
    <w:rsid w:val="00151A1C"/>
    <w:rsid w:val="0015223E"/>
    <w:rsid w:val="00152EB4"/>
    <w:rsid w:val="00153995"/>
    <w:rsid w:val="001540D5"/>
    <w:rsid w:val="00154F3F"/>
    <w:rsid w:val="001563AC"/>
    <w:rsid w:val="0015702C"/>
    <w:rsid w:val="00157F20"/>
    <w:rsid w:val="00161CDE"/>
    <w:rsid w:val="00164C49"/>
    <w:rsid w:val="00166BB5"/>
    <w:rsid w:val="00167E3C"/>
    <w:rsid w:val="00171AF5"/>
    <w:rsid w:val="001766AE"/>
    <w:rsid w:val="00177177"/>
    <w:rsid w:val="00180EC1"/>
    <w:rsid w:val="00181306"/>
    <w:rsid w:val="00182A6F"/>
    <w:rsid w:val="00182C7A"/>
    <w:rsid w:val="0018303A"/>
    <w:rsid w:val="001834F9"/>
    <w:rsid w:val="00185D09"/>
    <w:rsid w:val="001907AB"/>
    <w:rsid w:val="001909F1"/>
    <w:rsid w:val="0019410B"/>
    <w:rsid w:val="001A055B"/>
    <w:rsid w:val="001A1530"/>
    <w:rsid w:val="001A247D"/>
    <w:rsid w:val="001A387B"/>
    <w:rsid w:val="001A49E4"/>
    <w:rsid w:val="001A5636"/>
    <w:rsid w:val="001A7724"/>
    <w:rsid w:val="001B3024"/>
    <w:rsid w:val="001B56F4"/>
    <w:rsid w:val="001B5F67"/>
    <w:rsid w:val="001C11D4"/>
    <w:rsid w:val="001C1C0E"/>
    <w:rsid w:val="001C3828"/>
    <w:rsid w:val="001C426D"/>
    <w:rsid w:val="001C5E56"/>
    <w:rsid w:val="001D1197"/>
    <w:rsid w:val="001D1877"/>
    <w:rsid w:val="001D1EEF"/>
    <w:rsid w:val="001D219F"/>
    <w:rsid w:val="001D283B"/>
    <w:rsid w:val="001D32AD"/>
    <w:rsid w:val="001D3F9D"/>
    <w:rsid w:val="001D55F5"/>
    <w:rsid w:val="001D5892"/>
    <w:rsid w:val="001D5B0A"/>
    <w:rsid w:val="001D5BA9"/>
    <w:rsid w:val="001D7FF0"/>
    <w:rsid w:val="001E25C5"/>
    <w:rsid w:val="001E6A57"/>
    <w:rsid w:val="001E77F4"/>
    <w:rsid w:val="001F19D0"/>
    <w:rsid w:val="001F221B"/>
    <w:rsid w:val="001F2590"/>
    <w:rsid w:val="001F2B49"/>
    <w:rsid w:val="001F3C28"/>
    <w:rsid w:val="001F6C5A"/>
    <w:rsid w:val="002071A4"/>
    <w:rsid w:val="0020777F"/>
    <w:rsid w:val="00207FA8"/>
    <w:rsid w:val="00210500"/>
    <w:rsid w:val="00210FAA"/>
    <w:rsid w:val="00211542"/>
    <w:rsid w:val="00213C25"/>
    <w:rsid w:val="0021517B"/>
    <w:rsid w:val="002156A5"/>
    <w:rsid w:val="00215AA6"/>
    <w:rsid w:val="002212C5"/>
    <w:rsid w:val="00221769"/>
    <w:rsid w:val="002223E8"/>
    <w:rsid w:val="0022341D"/>
    <w:rsid w:val="0022745A"/>
    <w:rsid w:val="00227C18"/>
    <w:rsid w:val="00233938"/>
    <w:rsid w:val="00233AA6"/>
    <w:rsid w:val="00233FF1"/>
    <w:rsid w:val="0023435E"/>
    <w:rsid w:val="00237CC2"/>
    <w:rsid w:val="002454F8"/>
    <w:rsid w:val="00246C0F"/>
    <w:rsid w:val="00250999"/>
    <w:rsid w:val="002515F7"/>
    <w:rsid w:val="002519A6"/>
    <w:rsid w:val="0025227F"/>
    <w:rsid w:val="00253334"/>
    <w:rsid w:val="00253B52"/>
    <w:rsid w:val="0025404E"/>
    <w:rsid w:val="00254911"/>
    <w:rsid w:val="00254F5C"/>
    <w:rsid w:val="002563D4"/>
    <w:rsid w:val="00256406"/>
    <w:rsid w:val="00257A77"/>
    <w:rsid w:val="00261EC0"/>
    <w:rsid w:val="00261EEA"/>
    <w:rsid w:val="00262688"/>
    <w:rsid w:val="00266F8F"/>
    <w:rsid w:val="00267AC6"/>
    <w:rsid w:val="00272B8D"/>
    <w:rsid w:val="00273228"/>
    <w:rsid w:val="0027339A"/>
    <w:rsid w:val="00273523"/>
    <w:rsid w:val="0027432F"/>
    <w:rsid w:val="0027471A"/>
    <w:rsid w:val="0027489B"/>
    <w:rsid w:val="00274941"/>
    <w:rsid w:val="002814BA"/>
    <w:rsid w:val="002862A4"/>
    <w:rsid w:val="002903A5"/>
    <w:rsid w:val="00290DFB"/>
    <w:rsid w:val="002939CA"/>
    <w:rsid w:val="00293BFD"/>
    <w:rsid w:val="002976AD"/>
    <w:rsid w:val="002A0C4B"/>
    <w:rsid w:val="002A223E"/>
    <w:rsid w:val="002A3E74"/>
    <w:rsid w:val="002A5076"/>
    <w:rsid w:val="002A667A"/>
    <w:rsid w:val="002A74A2"/>
    <w:rsid w:val="002A74A5"/>
    <w:rsid w:val="002B0641"/>
    <w:rsid w:val="002B17E8"/>
    <w:rsid w:val="002B1906"/>
    <w:rsid w:val="002B4186"/>
    <w:rsid w:val="002B71BA"/>
    <w:rsid w:val="002B7553"/>
    <w:rsid w:val="002B75F1"/>
    <w:rsid w:val="002C1AB4"/>
    <w:rsid w:val="002C20A0"/>
    <w:rsid w:val="002C3F1F"/>
    <w:rsid w:val="002C41C1"/>
    <w:rsid w:val="002D3016"/>
    <w:rsid w:val="002D44D9"/>
    <w:rsid w:val="002D5FD5"/>
    <w:rsid w:val="002E16B8"/>
    <w:rsid w:val="002E31F4"/>
    <w:rsid w:val="002E56FD"/>
    <w:rsid w:val="002E6FA9"/>
    <w:rsid w:val="002F4C89"/>
    <w:rsid w:val="002F526D"/>
    <w:rsid w:val="002F5775"/>
    <w:rsid w:val="003005E7"/>
    <w:rsid w:val="00301DE0"/>
    <w:rsid w:val="0030272F"/>
    <w:rsid w:val="00302DEC"/>
    <w:rsid w:val="003034CE"/>
    <w:rsid w:val="003036BA"/>
    <w:rsid w:val="00303F95"/>
    <w:rsid w:val="003041F2"/>
    <w:rsid w:val="00307228"/>
    <w:rsid w:val="00312A2F"/>
    <w:rsid w:val="003139C5"/>
    <w:rsid w:val="00314653"/>
    <w:rsid w:val="00314E5A"/>
    <w:rsid w:val="003168BC"/>
    <w:rsid w:val="00317598"/>
    <w:rsid w:val="00321D5D"/>
    <w:rsid w:val="00325210"/>
    <w:rsid w:val="003256DD"/>
    <w:rsid w:val="00327214"/>
    <w:rsid w:val="00327AFA"/>
    <w:rsid w:val="00330F00"/>
    <w:rsid w:val="003315B6"/>
    <w:rsid w:val="003352BE"/>
    <w:rsid w:val="00336EDA"/>
    <w:rsid w:val="00337832"/>
    <w:rsid w:val="00340B46"/>
    <w:rsid w:val="00341EE0"/>
    <w:rsid w:val="00341F0D"/>
    <w:rsid w:val="00342B00"/>
    <w:rsid w:val="0034406F"/>
    <w:rsid w:val="0034465A"/>
    <w:rsid w:val="00345103"/>
    <w:rsid w:val="00345D65"/>
    <w:rsid w:val="00346709"/>
    <w:rsid w:val="00346D26"/>
    <w:rsid w:val="003530AF"/>
    <w:rsid w:val="00353930"/>
    <w:rsid w:val="00353E05"/>
    <w:rsid w:val="00353EB9"/>
    <w:rsid w:val="003547A1"/>
    <w:rsid w:val="0035620F"/>
    <w:rsid w:val="0035682A"/>
    <w:rsid w:val="00357635"/>
    <w:rsid w:val="0036269F"/>
    <w:rsid w:val="00363C8C"/>
    <w:rsid w:val="00363ED2"/>
    <w:rsid w:val="003664A3"/>
    <w:rsid w:val="003709F3"/>
    <w:rsid w:val="00371565"/>
    <w:rsid w:val="00372FCD"/>
    <w:rsid w:val="00373F7E"/>
    <w:rsid w:val="00374036"/>
    <w:rsid w:val="00376D28"/>
    <w:rsid w:val="00381A20"/>
    <w:rsid w:val="0038394F"/>
    <w:rsid w:val="00385FEA"/>
    <w:rsid w:val="00391779"/>
    <w:rsid w:val="003944D2"/>
    <w:rsid w:val="00395562"/>
    <w:rsid w:val="00396F7C"/>
    <w:rsid w:val="00397581"/>
    <w:rsid w:val="003A0BF1"/>
    <w:rsid w:val="003A15F0"/>
    <w:rsid w:val="003A2F93"/>
    <w:rsid w:val="003A392B"/>
    <w:rsid w:val="003A4726"/>
    <w:rsid w:val="003A49F2"/>
    <w:rsid w:val="003A65D8"/>
    <w:rsid w:val="003A782E"/>
    <w:rsid w:val="003B0210"/>
    <w:rsid w:val="003B224C"/>
    <w:rsid w:val="003B30D8"/>
    <w:rsid w:val="003B346C"/>
    <w:rsid w:val="003B5840"/>
    <w:rsid w:val="003C1FC5"/>
    <w:rsid w:val="003C3334"/>
    <w:rsid w:val="003C3C3B"/>
    <w:rsid w:val="003C558B"/>
    <w:rsid w:val="003C72B2"/>
    <w:rsid w:val="003D0264"/>
    <w:rsid w:val="003D16D1"/>
    <w:rsid w:val="003D2353"/>
    <w:rsid w:val="003D32B3"/>
    <w:rsid w:val="003D3569"/>
    <w:rsid w:val="003D4DE6"/>
    <w:rsid w:val="003D578B"/>
    <w:rsid w:val="003D6230"/>
    <w:rsid w:val="003D6542"/>
    <w:rsid w:val="003E04B5"/>
    <w:rsid w:val="003E419F"/>
    <w:rsid w:val="003F030E"/>
    <w:rsid w:val="003F1C5F"/>
    <w:rsid w:val="003F31B1"/>
    <w:rsid w:val="003F3714"/>
    <w:rsid w:val="003F4BD9"/>
    <w:rsid w:val="004013FB"/>
    <w:rsid w:val="0040162B"/>
    <w:rsid w:val="004037F8"/>
    <w:rsid w:val="0041151E"/>
    <w:rsid w:val="00415EF8"/>
    <w:rsid w:val="00416BF2"/>
    <w:rsid w:val="00420900"/>
    <w:rsid w:val="0042157F"/>
    <w:rsid w:val="00422202"/>
    <w:rsid w:val="00424AC3"/>
    <w:rsid w:val="004252B0"/>
    <w:rsid w:val="004265D2"/>
    <w:rsid w:val="0043123A"/>
    <w:rsid w:val="00431C55"/>
    <w:rsid w:val="00432D23"/>
    <w:rsid w:val="00433B1F"/>
    <w:rsid w:val="0043406F"/>
    <w:rsid w:val="004341BB"/>
    <w:rsid w:val="00435382"/>
    <w:rsid w:val="0044158E"/>
    <w:rsid w:val="00441CBF"/>
    <w:rsid w:val="0044371E"/>
    <w:rsid w:val="004437C3"/>
    <w:rsid w:val="004441B7"/>
    <w:rsid w:val="00446716"/>
    <w:rsid w:val="00451931"/>
    <w:rsid w:val="00454BFC"/>
    <w:rsid w:val="00455AA4"/>
    <w:rsid w:val="00455BE2"/>
    <w:rsid w:val="00455CE7"/>
    <w:rsid w:val="00457989"/>
    <w:rsid w:val="00457C2C"/>
    <w:rsid w:val="00461E71"/>
    <w:rsid w:val="00462E37"/>
    <w:rsid w:val="0046311C"/>
    <w:rsid w:val="0046464A"/>
    <w:rsid w:val="00464F2B"/>
    <w:rsid w:val="00467406"/>
    <w:rsid w:val="00470789"/>
    <w:rsid w:val="004730F6"/>
    <w:rsid w:val="00473B0C"/>
    <w:rsid w:val="00474270"/>
    <w:rsid w:val="00476945"/>
    <w:rsid w:val="00476BF3"/>
    <w:rsid w:val="00476C7B"/>
    <w:rsid w:val="0048196C"/>
    <w:rsid w:val="0048265B"/>
    <w:rsid w:val="004827C0"/>
    <w:rsid w:val="004838BB"/>
    <w:rsid w:val="00485E0D"/>
    <w:rsid w:val="00492C7A"/>
    <w:rsid w:val="00493943"/>
    <w:rsid w:val="004942C8"/>
    <w:rsid w:val="00494560"/>
    <w:rsid w:val="004A2745"/>
    <w:rsid w:val="004A570D"/>
    <w:rsid w:val="004A6621"/>
    <w:rsid w:val="004A6B9A"/>
    <w:rsid w:val="004A725C"/>
    <w:rsid w:val="004A77D6"/>
    <w:rsid w:val="004B120C"/>
    <w:rsid w:val="004B17A5"/>
    <w:rsid w:val="004B1C1E"/>
    <w:rsid w:val="004B1E3D"/>
    <w:rsid w:val="004B3511"/>
    <w:rsid w:val="004B4338"/>
    <w:rsid w:val="004B4E2F"/>
    <w:rsid w:val="004B64B9"/>
    <w:rsid w:val="004B76CB"/>
    <w:rsid w:val="004B7EA0"/>
    <w:rsid w:val="004C0A13"/>
    <w:rsid w:val="004C24A2"/>
    <w:rsid w:val="004C2D90"/>
    <w:rsid w:val="004C5E4C"/>
    <w:rsid w:val="004C6349"/>
    <w:rsid w:val="004C745E"/>
    <w:rsid w:val="004D36A4"/>
    <w:rsid w:val="004D493B"/>
    <w:rsid w:val="004E149F"/>
    <w:rsid w:val="004E215E"/>
    <w:rsid w:val="004E2D62"/>
    <w:rsid w:val="004E6079"/>
    <w:rsid w:val="004F4416"/>
    <w:rsid w:val="004F5853"/>
    <w:rsid w:val="00500226"/>
    <w:rsid w:val="00501D3E"/>
    <w:rsid w:val="00501EE7"/>
    <w:rsid w:val="005037F8"/>
    <w:rsid w:val="005057AD"/>
    <w:rsid w:val="005062AE"/>
    <w:rsid w:val="005068CA"/>
    <w:rsid w:val="0050754F"/>
    <w:rsid w:val="0050796E"/>
    <w:rsid w:val="00513334"/>
    <w:rsid w:val="005144D9"/>
    <w:rsid w:val="005162A5"/>
    <w:rsid w:val="00522D5F"/>
    <w:rsid w:val="00526115"/>
    <w:rsid w:val="005268FF"/>
    <w:rsid w:val="00526D8E"/>
    <w:rsid w:val="0053667B"/>
    <w:rsid w:val="0053674C"/>
    <w:rsid w:val="00540AE5"/>
    <w:rsid w:val="00540DD7"/>
    <w:rsid w:val="005415B9"/>
    <w:rsid w:val="0054384C"/>
    <w:rsid w:val="00545716"/>
    <w:rsid w:val="00547F86"/>
    <w:rsid w:val="00554CC1"/>
    <w:rsid w:val="0055724C"/>
    <w:rsid w:val="00557F94"/>
    <w:rsid w:val="00560201"/>
    <w:rsid w:val="0056146C"/>
    <w:rsid w:val="005624AB"/>
    <w:rsid w:val="00562B73"/>
    <w:rsid w:val="005631D6"/>
    <w:rsid w:val="0056345A"/>
    <w:rsid w:val="005649DD"/>
    <w:rsid w:val="005650F7"/>
    <w:rsid w:val="00565E36"/>
    <w:rsid w:val="00565F47"/>
    <w:rsid w:val="0057020D"/>
    <w:rsid w:val="0057130F"/>
    <w:rsid w:val="005720B7"/>
    <w:rsid w:val="00575323"/>
    <w:rsid w:val="00580151"/>
    <w:rsid w:val="005828A0"/>
    <w:rsid w:val="00583593"/>
    <w:rsid w:val="005857F6"/>
    <w:rsid w:val="005865A5"/>
    <w:rsid w:val="00587409"/>
    <w:rsid w:val="00591361"/>
    <w:rsid w:val="0059147B"/>
    <w:rsid w:val="00592357"/>
    <w:rsid w:val="00592D19"/>
    <w:rsid w:val="00593057"/>
    <w:rsid w:val="0059431E"/>
    <w:rsid w:val="00594D51"/>
    <w:rsid w:val="00595CE2"/>
    <w:rsid w:val="005A11F7"/>
    <w:rsid w:val="005A1754"/>
    <w:rsid w:val="005A29C6"/>
    <w:rsid w:val="005A2EE0"/>
    <w:rsid w:val="005A4876"/>
    <w:rsid w:val="005A6103"/>
    <w:rsid w:val="005B3E0F"/>
    <w:rsid w:val="005B5934"/>
    <w:rsid w:val="005B7D5B"/>
    <w:rsid w:val="005C03D6"/>
    <w:rsid w:val="005C30FC"/>
    <w:rsid w:val="005C3778"/>
    <w:rsid w:val="005D3CBE"/>
    <w:rsid w:val="005D6CA2"/>
    <w:rsid w:val="005D703D"/>
    <w:rsid w:val="005D77EC"/>
    <w:rsid w:val="005E3B29"/>
    <w:rsid w:val="005E501D"/>
    <w:rsid w:val="005E533B"/>
    <w:rsid w:val="005E630A"/>
    <w:rsid w:val="005F1974"/>
    <w:rsid w:val="005F201F"/>
    <w:rsid w:val="005F2B40"/>
    <w:rsid w:val="005F2CF1"/>
    <w:rsid w:val="005F31B2"/>
    <w:rsid w:val="005F6C8F"/>
    <w:rsid w:val="006005E9"/>
    <w:rsid w:val="00600F84"/>
    <w:rsid w:val="00601FF2"/>
    <w:rsid w:val="0060500B"/>
    <w:rsid w:val="00605487"/>
    <w:rsid w:val="006070C6"/>
    <w:rsid w:val="006075D5"/>
    <w:rsid w:val="00610D2B"/>
    <w:rsid w:val="00614BDA"/>
    <w:rsid w:val="00617198"/>
    <w:rsid w:val="0061784B"/>
    <w:rsid w:val="006212F6"/>
    <w:rsid w:val="0062144E"/>
    <w:rsid w:val="006220EA"/>
    <w:rsid w:val="0062488F"/>
    <w:rsid w:val="00624DC2"/>
    <w:rsid w:val="00625C37"/>
    <w:rsid w:val="00626F2E"/>
    <w:rsid w:val="006279AB"/>
    <w:rsid w:val="0063015C"/>
    <w:rsid w:val="006317C6"/>
    <w:rsid w:val="00635F85"/>
    <w:rsid w:val="006415F6"/>
    <w:rsid w:val="006416BA"/>
    <w:rsid w:val="006448CF"/>
    <w:rsid w:val="00655FEF"/>
    <w:rsid w:val="006561E1"/>
    <w:rsid w:val="006567F2"/>
    <w:rsid w:val="00656A0E"/>
    <w:rsid w:val="00661000"/>
    <w:rsid w:val="00662349"/>
    <w:rsid w:val="006638C9"/>
    <w:rsid w:val="00664618"/>
    <w:rsid w:val="00664E27"/>
    <w:rsid w:val="00665979"/>
    <w:rsid w:val="00670BD5"/>
    <w:rsid w:val="0067101E"/>
    <w:rsid w:val="00671E30"/>
    <w:rsid w:val="00674307"/>
    <w:rsid w:val="006747DD"/>
    <w:rsid w:val="00676D11"/>
    <w:rsid w:val="00677C02"/>
    <w:rsid w:val="0068052D"/>
    <w:rsid w:val="00680B5C"/>
    <w:rsid w:val="0068157A"/>
    <w:rsid w:val="00681F7B"/>
    <w:rsid w:val="00683E47"/>
    <w:rsid w:val="00683F34"/>
    <w:rsid w:val="0068631B"/>
    <w:rsid w:val="0069045C"/>
    <w:rsid w:val="00690DAC"/>
    <w:rsid w:val="00691942"/>
    <w:rsid w:val="006931CD"/>
    <w:rsid w:val="00694AD9"/>
    <w:rsid w:val="006A0D72"/>
    <w:rsid w:val="006A1E7C"/>
    <w:rsid w:val="006A4A73"/>
    <w:rsid w:val="006A68CD"/>
    <w:rsid w:val="006A74BB"/>
    <w:rsid w:val="006A7DD3"/>
    <w:rsid w:val="006B4240"/>
    <w:rsid w:val="006B5500"/>
    <w:rsid w:val="006B58EE"/>
    <w:rsid w:val="006B6540"/>
    <w:rsid w:val="006C2B8B"/>
    <w:rsid w:val="006C4374"/>
    <w:rsid w:val="006C4A17"/>
    <w:rsid w:val="006C5148"/>
    <w:rsid w:val="006C51D1"/>
    <w:rsid w:val="006C55C7"/>
    <w:rsid w:val="006C56BA"/>
    <w:rsid w:val="006C7B31"/>
    <w:rsid w:val="006C7B7E"/>
    <w:rsid w:val="006D5148"/>
    <w:rsid w:val="006D5DBA"/>
    <w:rsid w:val="006E0171"/>
    <w:rsid w:val="006E379A"/>
    <w:rsid w:val="006E4D0C"/>
    <w:rsid w:val="006E73CA"/>
    <w:rsid w:val="006E7E23"/>
    <w:rsid w:val="006F1A2A"/>
    <w:rsid w:val="006F42A5"/>
    <w:rsid w:val="006F4666"/>
    <w:rsid w:val="006F5127"/>
    <w:rsid w:val="006F59FB"/>
    <w:rsid w:val="006F6D5C"/>
    <w:rsid w:val="006F7AAC"/>
    <w:rsid w:val="00700CAA"/>
    <w:rsid w:val="00700E8D"/>
    <w:rsid w:val="00700EF1"/>
    <w:rsid w:val="007013B8"/>
    <w:rsid w:val="0070320F"/>
    <w:rsid w:val="00706BAA"/>
    <w:rsid w:val="00711310"/>
    <w:rsid w:val="00711EB4"/>
    <w:rsid w:val="007130D4"/>
    <w:rsid w:val="00716AD5"/>
    <w:rsid w:val="0071724D"/>
    <w:rsid w:val="00722500"/>
    <w:rsid w:val="00722998"/>
    <w:rsid w:val="00722B2E"/>
    <w:rsid w:val="00723858"/>
    <w:rsid w:val="00723EA3"/>
    <w:rsid w:val="0072403F"/>
    <w:rsid w:val="0072485A"/>
    <w:rsid w:val="007309BE"/>
    <w:rsid w:val="00732070"/>
    <w:rsid w:val="00733F9C"/>
    <w:rsid w:val="00734D71"/>
    <w:rsid w:val="00735089"/>
    <w:rsid w:val="0073587E"/>
    <w:rsid w:val="00737851"/>
    <w:rsid w:val="007409CC"/>
    <w:rsid w:val="0074157F"/>
    <w:rsid w:val="00741924"/>
    <w:rsid w:val="00746FF4"/>
    <w:rsid w:val="0075128B"/>
    <w:rsid w:val="00751551"/>
    <w:rsid w:val="007519B6"/>
    <w:rsid w:val="00752004"/>
    <w:rsid w:val="00753240"/>
    <w:rsid w:val="007579EF"/>
    <w:rsid w:val="007579FE"/>
    <w:rsid w:val="00757EDA"/>
    <w:rsid w:val="00760EB7"/>
    <w:rsid w:val="0076490D"/>
    <w:rsid w:val="0076589E"/>
    <w:rsid w:val="00765D98"/>
    <w:rsid w:val="00770E77"/>
    <w:rsid w:val="007752F0"/>
    <w:rsid w:val="00776020"/>
    <w:rsid w:val="00776424"/>
    <w:rsid w:val="00776BD0"/>
    <w:rsid w:val="007774D1"/>
    <w:rsid w:val="00777F5C"/>
    <w:rsid w:val="00783E95"/>
    <w:rsid w:val="00784717"/>
    <w:rsid w:val="00784C2F"/>
    <w:rsid w:val="00785FE9"/>
    <w:rsid w:val="00790914"/>
    <w:rsid w:val="007920AF"/>
    <w:rsid w:val="00793E8B"/>
    <w:rsid w:val="00793F87"/>
    <w:rsid w:val="007974FA"/>
    <w:rsid w:val="007A0F3F"/>
    <w:rsid w:val="007A127D"/>
    <w:rsid w:val="007A197B"/>
    <w:rsid w:val="007A24AE"/>
    <w:rsid w:val="007A65C4"/>
    <w:rsid w:val="007A699E"/>
    <w:rsid w:val="007B07AF"/>
    <w:rsid w:val="007B0DDE"/>
    <w:rsid w:val="007B1543"/>
    <w:rsid w:val="007B3F79"/>
    <w:rsid w:val="007B463D"/>
    <w:rsid w:val="007B6168"/>
    <w:rsid w:val="007B669C"/>
    <w:rsid w:val="007B7552"/>
    <w:rsid w:val="007B7673"/>
    <w:rsid w:val="007C0E86"/>
    <w:rsid w:val="007C1D48"/>
    <w:rsid w:val="007C252C"/>
    <w:rsid w:val="007C2546"/>
    <w:rsid w:val="007C5364"/>
    <w:rsid w:val="007C55DD"/>
    <w:rsid w:val="007C6E8B"/>
    <w:rsid w:val="007D1614"/>
    <w:rsid w:val="007E2558"/>
    <w:rsid w:val="007E2F0B"/>
    <w:rsid w:val="007E3EF9"/>
    <w:rsid w:val="007E49E5"/>
    <w:rsid w:val="007E4F38"/>
    <w:rsid w:val="007E52EE"/>
    <w:rsid w:val="007E6559"/>
    <w:rsid w:val="007F1467"/>
    <w:rsid w:val="007F1B20"/>
    <w:rsid w:val="007F1F28"/>
    <w:rsid w:val="007F23E6"/>
    <w:rsid w:val="007F2C10"/>
    <w:rsid w:val="007F3497"/>
    <w:rsid w:val="007F57B0"/>
    <w:rsid w:val="007F5B4B"/>
    <w:rsid w:val="007F5D7C"/>
    <w:rsid w:val="007F7407"/>
    <w:rsid w:val="0080112E"/>
    <w:rsid w:val="008011AF"/>
    <w:rsid w:val="0080213F"/>
    <w:rsid w:val="0080268E"/>
    <w:rsid w:val="00807CDD"/>
    <w:rsid w:val="008112FE"/>
    <w:rsid w:val="00813F23"/>
    <w:rsid w:val="0081650C"/>
    <w:rsid w:val="008175FD"/>
    <w:rsid w:val="00817840"/>
    <w:rsid w:val="00820B35"/>
    <w:rsid w:val="0082465D"/>
    <w:rsid w:val="0082490D"/>
    <w:rsid w:val="00825EDE"/>
    <w:rsid w:val="00826470"/>
    <w:rsid w:val="00830A45"/>
    <w:rsid w:val="00831C64"/>
    <w:rsid w:val="008331D2"/>
    <w:rsid w:val="008346A6"/>
    <w:rsid w:val="00835CCA"/>
    <w:rsid w:val="008369BD"/>
    <w:rsid w:val="00837575"/>
    <w:rsid w:val="008425CE"/>
    <w:rsid w:val="00842D40"/>
    <w:rsid w:val="008436B9"/>
    <w:rsid w:val="0084453C"/>
    <w:rsid w:val="00852EEF"/>
    <w:rsid w:val="00856105"/>
    <w:rsid w:val="00857163"/>
    <w:rsid w:val="0086149D"/>
    <w:rsid w:val="00864C12"/>
    <w:rsid w:val="008663CD"/>
    <w:rsid w:val="008674AE"/>
    <w:rsid w:val="008703AB"/>
    <w:rsid w:val="008717C7"/>
    <w:rsid w:val="008726F2"/>
    <w:rsid w:val="00874B52"/>
    <w:rsid w:val="00877984"/>
    <w:rsid w:val="008779D7"/>
    <w:rsid w:val="00881217"/>
    <w:rsid w:val="00884BD3"/>
    <w:rsid w:val="0088558C"/>
    <w:rsid w:val="0088620F"/>
    <w:rsid w:val="00886600"/>
    <w:rsid w:val="00895066"/>
    <w:rsid w:val="00896015"/>
    <w:rsid w:val="00897143"/>
    <w:rsid w:val="008A0B9B"/>
    <w:rsid w:val="008A2A16"/>
    <w:rsid w:val="008A38AA"/>
    <w:rsid w:val="008A50E2"/>
    <w:rsid w:val="008A6523"/>
    <w:rsid w:val="008A7E6D"/>
    <w:rsid w:val="008B0887"/>
    <w:rsid w:val="008B1A7A"/>
    <w:rsid w:val="008C0681"/>
    <w:rsid w:val="008C1A6E"/>
    <w:rsid w:val="008C2B16"/>
    <w:rsid w:val="008C3F1A"/>
    <w:rsid w:val="008C4DC6"/>
    <w:rsid w:val="008C5DF6"/>
    <w:rsid w:val="008D341C"/>
    <w:rsid w:val="008D34F3"/>
    <w:rsid w:val="008D4ED1"/>
    <w:rsid w:val="008D55D2"/>
    <w:rsid w:val="008D58C0"/>
    <w:rsid w:val="008D5DBB"/>
    <w:rsid w:val="008E0AC7"/>
    <w:rsid w:val="008E1170"/>
    <w:rsid w:val="008E6992"/>
    <w:rsid w:val="008F0188"/>
    <w:rsid w:val="008F18A7"/>
    <w:rsid w:val="008F2E6C"/>
    <w:rsid w:val="008F47E4"/>
    <w:rsid w:val="008F579D"/>
    <w:rsid w:val="008F5FDA"/>
    <w:rsid w:val="008F6EE4"/>
    <w:rsid w:val="008F6F0F"/>
    <w:rsid w:val="009033D3"/>
    <w:rsid w:val="00904344"/>
    <w:rsid w:val="00904B2F"/>
    <w:rsid w:val="00906820"/>
    <w:rsid w:val="00906EF1"/>
    <w:rsid w:val="00907A85"/>
    <w:rsid w:val="00910B3D"/>
    <w:rsid w:val="00910E6B"/>
    <w:rsid w:val="0091224C"/>
    <w:rsid w:val="00912340"/>
    <w:rsid w:val="0091267E"/>
    <w:rsid w:val="00914708"/>
    <w:rsid w:val="00914D67"/>
    <w:rsid w:val="0091664E"/>
    <w:rsid w:val="009202AB"/>
    <w:rsid w:val="00923976"/>
    <w:rsid w:val="00924113"/>
    <w:rsid w:val="00925F89"/>
    <w:rsid w:val="0092746B"/>
    <w:rsid w:val="00933328"/>
    <w:rsid w:val="00933D27"/>
    <w:rsid w:val="00934179"/>
    <w:rsid w:val="00935CA2"/>
    <w:rsid w:val="009410E2"/>
    <w:rsid w:val="00942A69"/>
    <w:rsid w:val="00943C1D"/>
    <w:rsid w:val="00945823"/>
    <w:rsid w:val="0094720A"/>
    <w:rsid w:val="00947692"/>
    <w:rsid w:val="00947D4F"/>
    <w:rsid w:val="00951180"/>
    <w:rsid w:val="0095230B"/>
    <w:rsid w:val="00953BAD"/>
    <w:rsid w:val="009544F5"/>
    <w:rsid w:val="009564A0"/>
    <w:rsid w:val="009638E3"/>
    <w:rsid w:val="00964166"/>
    <w:rsid w:val="009655FB"/>
    <w:rsid w:val="009672AB"/>
    <w:rsid w:val="009677DA"/>
    <w:rsid w:val="0097025B"/>
    <w:rsid w:val="0097251C"/>
    <w:rsid w:val="00972C92"/>
    <w:rsid w:val="009745A0"/>
    <w:rsid w:val="00974F99"/>
    <w:rsid w:val="009763F0"/>
    <w:rsid w:val="00976C2B"/>
    <w:rsid w:val="00977C1E"/>
    <w:rsid w:val="009821CF"/>
    <w:rsid w:val="009829AA"/>
    <w:rsid w:val="00982E44"/>
    <w:rsid w:val="0098449A"/>
    <w:rsid w:val="009877DC"/>
    <w:rsid w:val="009916BF"/>
    <w:rsid w:val="00992CC9"/>
    <w:rsid w:val="00992F61"/>
    <w:rsid w:val="00994AFA"/>
    <w:rsid w:val="00994D93"/>
    <w:rsid w:val="0099508D"/>
    <w:rsid w:val="009A0183"/>
    <w:rsid w:val="009A5AA7"/>
    <w:rsid w:val="009A5E84"/>
    <w:rsid w:val="009B149A"/>
    <w:rsid w:val="009B1D9D"/>
    <w:rsid w:val="009B35F7"/>
    <w:rsid w:val="009B489A"/>
    <w:rsid w:val="009B54C6"/>
    <w:rsid w:val="009B5E78"/>
    <w:rsid w:val="009B6732"/>
    <w:rsid w:val="009B748A"/>
    <w:rsid w:val="009C1813"/>
    <w:rsid w:val="009C3357"/>
    <w:rsid w:val="009D1228"/>
    <w:rsid w:val="009D1887"/>
    <w:rsid w:val="009D2041"/>
    <w:rsid w:val="009D2704"/>
    <w:rsid w:val="009D4CE5"/>
    <w:rsid w:val="009D4EBB"/>
    <w:rsid w:val="009D6004"/>
    <w:rsid w:val="009D6315"/>
    <w:rsid w:val="009E112A"/>
    <w:rsid w:val="009E2316"/>
    <w:rsid w:val="009E2A81"/>
    <w:rsid w:val="009E2B43"/>
    <w:rsid w:val="009E3569"/>
    <w:rsid w:val="009E5087"/>
    <w:rsid w:val="009E69D4"/>
    <w:rsid w:val="009F0422"/>
    <w:rsid w:val="009F0C56"/>
    <w:rsid w:val="009F1CB7"/>
    <w:rsid w:val="009F3BD3"/>
    <w:rsid w:val="009F3BF2"/>
    <w:rsid w:val="009F3E04"/>
    <w:rsid w:val="009F43E3"/>
    <w:rsid w:val="009F5864"/>
    <w:rsid w:val="009F5E79"/>
    <w:rsid w:val="009F71DE"/>
    <w:rsid w:val="00A00276"/>
    <w:rsid w:val="00A012BD"/>
    <w:rsid w:val="00A01C91"/>
    <w:rsid w:val="00A028C7"/>
    <w:rsid w:val="00A03249"/>
    <w:rsid w:val="00A03312"/>
    <w:rsid w:val="00A058FC"/>
    <w:rsid w:val="00A1045A"/>
    <w:rsid w:val="00A10509"/>
    <w:rsid w:val="00A1578C"/>
    <w:rsid w:val="00A208B0"/>
    <w:rsid w:val="00A21A86"/>
    <w:rsid w:val="00A21C4B"/>
    <w:rsid w:val="00A22D14"/>
    <w:rsid w:val="00A24C20"/>
    <w:rsid w:val="00A2518F"/>
    <w:rsid w:val="00A25D0A"/>
    <w:rsid w:val="00A264E4"/>
    <w:rsid w:val="00A312FC"/>
    <w:rsid w:val="00A318D8"/>
    <w:rsid w:val="00A326BA"/>
    <w:rsid w:val="00A327EF"/>
    <w:rsid w:val="00A32863"/>
    <w:rsid w:val="00A34E7D"/>
    <w:rsid w:val="00A35566"/>
    <w:rsid w:val="00A35F56"/>
    <w:rsid w:val="00A37C13"/>
    <w:rsid w:val="00A37E26"/>
    <w:rsid w:val="00A44356"/>
    <w:rsid w:val="00A448AD"/>
    <w:rsid w:val="00A45129"/>
    <w:rsid w:val="00A4738F"/>
    <w:rsid w:val="00A4775F"/>
    <w:rsid w:val="00A505F9"/>
    <w:rsid w:val="00A52253"/>
    <w:rsid w:val="00A5296D"/>
    <w:rsid w:val="00A57419"/>
    <w:rsid w:val="00A57DC5"/>
    <w:rsid w:val="00A60B7B"/>
    <w:rsid w:val="00A61E42"/>
    <w:rsid w:val="00A63D6A"/>
    <w:rsid w:val="00A71273"/>
    <w:rsid w:val="00A71B37"/>
    <w:rsid w:val="00A71E2E"/>
    <w:rsid w:val="00A7260A"/>
    <w:rsid w:val="00A745F8"/>
    <w:rsid w:val="00A76993"/>
    <w:rsid w:val="00A773FD"/>
    <w:rsid w:val="00A831DF"/>
    <w:rsid w:val="00A83BEC"/>
    <w:rsid w:val="00A87C5B"/>
    <w:rsid w:val="00A93616"/>
    <w:rsid w:val="00A9409D"/>
    <w:rsid w:val="00A9490C"/>
    <w:rsid w:val="00A97410"/>
    <w:rsid w:val="00AA0534"/>
    <w:rsid w:val="00AA113A"/>
    <w:rsid w:val="00AB02DD"/>
    <w:rsid w:val="00AB060B"/>
    <w:rsid w:val="00AB35E4"/>
    <w:rsid w:val="00AC0419"/>
    <w:rsid w:val="00AC3040"/>
    <w:rsid w:val="00AC3046"/>
    <w:rsid w:val="00AC461F"/>
    <w:rsid w:val="00AC4ED5"/>
    <w:rsid w:val="00AC6B9D"/>
    <w:rsid w:val="00AD0B95"/>
    <w:rsid w:val="00AD1B74"/>
    <w:rsid w:val="00AD2055"/>
    <w:rsid w:val="00AD2884"/>
    <w:rsid w:val="00AD3B4B"/>
    <w:rsid w:val="00AD4C8C"/>
    <w:rsid w:val="00AD572D"/>
    <w:rsid w:val="00AD5A9E"/>
    <w:rsid w:val="00AE1ECA"/>
    <w:rsid w:val="00AE497F"/>
    <w:rsid w:val="00AE5C7E"/>
    <w:rsid w:val="00AE6259"/>
    <w:rsid w:val="00AE634D"/>
    <w:rsid w:val="00AF0645"/>
    <w:rsid w:val="00AF1864"/>
    <w:rsid w:val="00AF4747"/>
    <w:rsid w:val="00AF73F8"/>
    <w:rsid w:val="00B009CE"/>
    <w:rsid w:val="00B01508"/>
    <w:rsid w:val="00B0299B"/>
    <w:rsid w:val="00B065A5"/>
    <w:rsid w:val="00B076DA"/>
    <w:rsid w:val="00B117C7"/>
    <w:rsid w:val="00B11FC3"/>
    <w:rsid w:val="00B14A26"/>
    <w:rsid w:val="00B17A4B"/>
    <w:rsid w:val="00B17B4C"/>
    <w:rsid w:val="00B17E1D"/>
    <w:rsid w:val="00B20D11"/>
    <w:rsid w:val="00B21DA0"/>
    <w:rsid w:val="00B2265B"/>
    <w:rsid w:val="00B2284C"/>
    <w:rsid w:val="00B238E1"/>
    <w:rsid w:val="00B24532"/>
    <w:rsid w:val="00B25898"/>
    <w:rsid w:val="00B3105E"/>
    <w:rsid w:val="00B32E6E"/>
    <w:rsid w:val="00B345B5"/>
    <w:rsid w:val="00B36AAB"/>
    <w:rsid w:val="00B37E7F"/>
    <w:rsid w:val="00B407EA"/>
    <w:rsid w:val="00B42113"/>
    <w:rsid w:val="00B43CE0"/>
    <w:rsid w:val="00B455E6"/>
    <w:rsid w:val="00B46BA5"/>
    <w:rsid w:val="00B46E74"/>
    <w:rsid w:val="00B520FD"/>
    <w:rsid w:val="00B5257E"/>
    <w:rsid w:val="00B531AB"/>
    <w:rsid w:val="00B55A25"/>
    <w:rsid w:val="00B55D0C"/>
    <w:rsid w:val="00B55F2E"/>
    <w:rsid w:val="00B56695"/>
    <w:rsid w:val="00B570CF"/>
    <w:rsid w:val="00B572CD"/>
    <w:rsid w:val="00B60191"/>
    <w:rsid w:val="00B62BDF"/>
    <w:rsid w:val="00B62E6E"/>
    <w:rsid w:val="00B67416"/>
    <w:rsid w:val="00B70279"/>
    <w:rsid w:val="00B71B6D"/>
    <w:rsid w:val="00B7680C"/>
    <w:rsid w:val="00B76B9F"/>
    <w:rsid w:val="00B82F19"/>
    <w:rsid w:val="00B84186"/>
    <w:rsid w:val="00B86104"/>
    <w:rsid w:val="00B902C2"/>
    <w:rsid w:val="00B92348"/>
    <w:rsid w:val="00B924F6"/>
    <w:rsid w:val="00B94C36"/>
    <w:rsid w:val="00B952C3"/>
    <w:rsid w:val="00B9734A"/>
    <w:rsid w:val="00B97E1D"/>
    <w:rsid w:val="00BA2BE0"/>
    <w:rsid w:val="00BA49FA"/>
    <w:rsid w:val="00BA4F30"/>
    <w:rsid w:val="00BA5DF2"/>
    <w:rsid w:val="00BA7F9E"/>
    <w:rsid w:val="00BB0031"/>
    <w:rsid w:val="00BB05CA"/>
    <w:rsid w:val="00BB41FE"/>
    <w:rsid w:val="00BB623D"/>
    <w:rsid w:val="00BB77F5"/>
    <w:rsid w:val="00BB7E29"/>
    <w:rsid w:val="00BB7ECF"/>
    <w:rsid w:val="00BC082C"/>
    <w:rsid w:val="00BC0AB6"/>
    <w:rsid w:val="00BC0F7C"/>
    <w:rsid w:val="00BC2284"/>
    <w:rsid w:val="00BC238F"/>
    <w:rsid w:val="00BC27FE"/>
    <w:rsid w:val="00BC3B41"/>
    <w:rsid w:val="00BC774A"/>
    <w:rsid w:val="00BC7BCA"/>
    <w:rsid w:val="00BD2105"/>
    <w:rsid w:val="00BD2563"/>
    <w:rsid w:val="00BD2982"/>
    <w:rsid w:val="00BD2BD5"/>
    <w:rsid w:val="00BD42FB"/>
    <w:rsid w:val="00BD4CA2"/>
    <w:rsid w:val="00BD56C8"/>
    <w:rsid w:val="00BD61F4"/>
    <w:rsid w:val="00BD64C2"/>
    <w:rsid w:val="00BD65CE"/>
    <w:rsid w:val="00BD7EA5"/>
    <w:rsid w:val="00BE02E1"/>
    <w:rsid w:val="00BE5796"/>
    <w:rsid w:val="00BE582F"/>
    <w:rsid w:val="00BE5DED"/>
    <w:rsid w:val="00BE7964"/>
    <w:rsid w:val="00BE7E98"/>
    <w:rsid w:val="00BF0553"/>
    <w:rsid w:val="00BF3C48"/>
    <w:rsid w:val="00BF5F5D"/>
    <w:rsid w:val="00BF6C4F"/>
    <w:rsid w:val="00BF704B"/>
    <w:rsid w:val="00BF7B3E"/>
    <w:rsid w:val="00C0114A"/>
    <w:rsid w:val="00C02E46"/>
    <w:rsid w:val="00C04635"/>
    <w:rsid w:val="00C060E1"/>
    <w:rsid w:val="00C06F89"/>
    <w:rsid w:val="00C12A00"/>
    <w:rsid w:val="00C14D9E"/>
    <w:rsid w:val="00C157A9"/>
    <w:rsid w:val="00C20B34"/>
    <w:rsid w:val="00C23E66"/>
    <w:rsid w:val="00C256BD"/>
    <w:rsid w:val="00C2784F"/>
    <w:rsid w:val="00C30A3F"/>
    <w:rsid w:val="00C31247"/>
    <w:rsid w:val="00C32F03"/>
    <w:rsid w:val="00C34D6B"/>
    <w:rsid w:val="00C35BF8"/>
    <w:rsid w:val="00C3608F"/>
    <w:rsid w:val="00C40BAA"/>
    <w:rsid w:val="00C41549"/>
    <w:rsid w:val="00C41D7D"/>
    <w:rsid w:val="00C44033"/>
    <w:rsid w:val="00C4648F"/>
    <w:rsid w:val="00C478B4"/>
    <w:rsid w:val="00C500F0"/>
    <w:rsid w:val="00C51032"/>
    <w:rsid w:val="00C5256C"/>
    <w:rsid w:val="00C525C3"/>
    <w:rsid w:val="00C53415"/>
    <w:rsid w:val="00C57033"/>
    <w:rsid w:val="00C60ECD"/>
    <w:rsid w:val="00C62E3D"/>
    <w:rsid w:val="00C62E5E"/>
    <w:rsid w:val="00C634F4"/>
    <w:rsid w:val="00C64D03"/>
    <w:rsid w:val="00C658E2"/>
    <w:rsid w:val="00C65FDB"/>
    <w:rsid w:val="00C74817"/>
    <w:rsid w:val="00C81F05"/>
    <w:rsid w:val="00C83592"/>
    <w:rsid w:val="00C84376"/>
    <w:rsid w:val="00C84C92"/>
    <w:rsid w:val="00C85EB1"/>
    <w:rsid w:val="00C87CB0"/>
    <w:rsid w:val="00C90621"/>
    <w:rsid w:val="00C910D3"/>
    <w:rsid w:val="00C94E02"/>
    <w:rsid w:val="00C975D7"/>
    <w:rsid w:val="00C97F4A"/>
    <w:rsid w:val="00CA0217"/>
    <w:rsid w:val="00CA0881"/>
    <w:rsid w:val="00CA0F31"/>
    <w:rsid w:val="00CA1A8B"/>
    <w:rsid w:val="00CA3874"/>
    <w:rsid w:val="00CA4A28"/>
    <w:rsid w:val="00CA5DF6"/>
    <w:rsid w:val="00CA70B9"/>
    <w:rsid w:val="00CA7F3B"/>
    <w:rsid w:val="00CB125B"/>
    <w:rsid w:val="00CB148C"/>
    <w:rsid w:val="00CB2CB9"/>
    <w:rsid w:val="00CB76E1"/>
    <w:rsid w:val="00CC1774"/>
    <w:rsid w:val="00CC3A99"/>
    <w:rsid w:val="00CC4646"/>
    <w:rsid w:val="00CC4CA2"/>
    <w:rsid w:val="00CC5FC7"/>
    <w:rsid w:val="00CC70F8"/>
    <w:rsid w:val="00CC7695"/>
    <w:rsid w:val="00CD09D2"/>
    <w:rsid w:val="00CD170D"/>
    <w:rsid w:val="00CD5174"/>
    <w:rsid w:val="00CE0F8D"/>
    <w:rsid w:val="00CF29B1"/>
    <w:rsid w:val="00CF554B"/>
    <w:rsid w:val="00CF705E"/>
    <w:rsid w:val="00CF7099"/>
    <w:rsid w:val="00CF7943"/>
    <w:rsid w:val="00D004DA"/>
    <w:rsid w:val="00D00C54"/>
    <w:rsid w:val="00D01585"/>
    <w:rsid w:val="00D02A7A"/>
    <w:rsid w:val="00D02B3C"/>
    <w:rsid w:val="00D03ACF"/>
    <w:rsid w:val="00D053DB"/>
    <w:rsid w:val="00D06C0D"/>
    <w:rsid w:val="00D07C1D"/>
    <w:rsid w:val="00D10947"/>
    <w:rsid w:val="00D10F4D"/>
    <w:rsid w:val="00D125B3"/>
    <w:rsid w:val="00D12A61"/>
    <w:rsid w:val="00D14008"/>
    <w:rsid w:val="00D144BB"/>
    <w:rsid w:val="00D15FCA"/>
    <w:rsid w:val="00D205D4"/>
    <w:rsid w:val="00D20A8E"/>
    <w:rsid w:val="00D2182C"/>
    <w:rsid w:val="00D222C7"/>
    <w:rsid w:val="00D23452"/>
    <w:rsid w:val="00D2362B"/>
    <w:rsid w:val="00D31A73"/>
    <w:rsid w:val="00D33BF7"/>
    <w:rsid w:val="00D3534A"/>
    <w:rsid w:val="00D35C74"/>
    <w:rsid w:val="00D36323"/>
    <w:rsid w:val="00D400D6"/>
    <w:rsid w:val="00D4221A"/>
    <w:rsid w:val="00D42234"/>
    <w:rsid w:val="00D42F02"/>
    <w:rsid w:val="00D433D2"/>
    <w:rsid w:val="00D44CBE"/>
    <w:rsid w:val="00D44E6E"/>
    <w:rsid w:val="00D46647"/>
    <w:rsid w:val="00D468EC"/>
    <w:rsid w:val="00D478D0"/>
    <w:rsid w:val="00D514A2"/>
    <w:rsid w:val="00D522F6"/>
    <w:rsid w:val="00D542C6"/>
    <w:rsid w:val="00D54D70"/>
    <w:rsid w:val="00D57630"/>
    <w:rsid w:val="00D60347"/>
    <w:rsid w:val="00D63CD7"/>
    <w:rsid w:val="00D660E9"/>
    <w:rsid w:val="00D668B8"/>
    <w:rsid w:val="00D73F61"/>
    <w:rsid w:val="00D740C1"/>
    <w:rsid w:val="00D74FA7"/>
    <w:rsid w:val="00D75AD2"/>
    <w:rsid w:val="00D76BFD"/>
    <w:rsid w:val="00D8097B"/>
    <w:rsid w:val="00D85309"/>
    <w:rsid w:val="00D87B80"/>
    <w:rsid w:val="00D90D1B"/>
    <w:rsid w:val="00D9149C"/>
    <w:rsid w:val="00D92A2B"/>
    <w:rsid w:val="00D93287"/>
    <w:rsid w:val="00D93517"/>
    <w:rsid w:val="00D93D15"/>
    <w:rsid w:val="00D94DB7"/>
    <w:rsid w:val="00D95716"/>
    <w:rsid w:val="00D95BB8"/>
    <w:rsid w:val="00D96B03"/>
    <w:rsid w:val="00DA05A3"/>
    <w:rsid w:val="00DA0A7A"/>
    <w:rsid w:val="00DA272E"/>
    <w:rsid w:val="00DA2C62"/>
    <w:rsid w:val="00DA2E6E"/>
    <w:rsid w:val="00DA38F1"/>
    <w:rsid w:val="00DA4827"/>
    <w:rsid w:val="00DA4D0E"/>
    <w:rsid w:val="00DA5BBF"/>
    <w:rsid w:val="00DA7C20"/>
    <w:rsid w:val="00DB5BBE"/>
    <w:rsid w:val="00DB6FD0"/>
    <w:rsid w:val="00DB7744"/>
    <w:rsid w:val="00DB7968"/>
    <w:rsid w:val="00DC0186"/>
    <w:rsid w:val="00DC0610"/>
    <w:rsid w:val="00DC25FE"/>
    <w:rsid w:val="00DC310F"/>
    <w:rsid w:val="00DC3742"/>
    <w:rsid w:val="00DC3B1F"/>
    <w:rsid w:val="00DC3BF2"/>
    <w:rsid w:val="00DC6459"/>
    <w:rsid w:val="00DD1393"/>
    <w:rsid w:val="00DD4FB3"/>
    <w:rsid w:val="00DD69BE"/>
    <w:rsid w:val="00DE094D"/>
    <w:rsid w:val="00DE1D35"/>
    <w:rsid w:val="00DE2499"/>
    <w:rsid w:val="00DE5096"/>
    <w:rsid w:val="00DF1003"/>
    <w:rsid w:val="00DF5537"/>
    <w:rsid w:val="00DF66B0"/>
    <w:rsid w:val="00DF6E0B"/>
    <w:rsid w:val="00E0031A"/>
    <w:rsid w:val="00E0072A"/>
    <w:rsid w:val="00E00F58"/>
    <w:rsid w:val="00E01C2E"/>
    <w:rsid w:val="00E036D0"/>
    <w:rsid w:val="00E0486A"/>
    <w:rsid w:val="00E05BEC"/>
    <w:rsid w:val="00E05EDA"/>
    <w:rsid w:val="00E07015"/>
    <w:rsid w:val="00E10886"/>
    <w:rsid w:val="00E10E27"/>
    <w:rsid w:val="00E15F70"/>
    <w:rsid w:val="00E162FA"/>
    <w:rsid w:val="00E17663"/>
    <w:rsid w:val="00E179D3"/>
    <w:rsid w:val="00E20A73"/>
    <w:rsid w:val="00E2157A"/>
    <w:rsid w:val="00E21713"/>
    <w:rsid w:val="00E21CF1"/>
    <w:rsid w:val="00E26FF6"/>
    <w:rsid w:val="00E27D33"/>
    <w:rsid w:val="00E32C8D"/>
    <w:rsid w:val="00E37C0D"/>
    <w:rsid w:val="00E37E17"/>
    <w:rsid w:val="00E4523A"/>
    <w:rsid w:val="00E4531F"/>
    <w:rsid w:val="00E46D7D"/>
    <w:rsid w:val="00E4726C"/>
    <w:rsid w:val="00E512EE"/>
    <w:rsid w:val="00E5241B"/>
    <w:rsid w:val="00E5251D"/>
    <w:rsid w:val="00E528C8"/>
    <w:rsid w:val="00E52A0C"/>
    <w:rsid w:val="00E52B50"/>
    <w:rsid w:val="00E52D8D"/>
    <w:rsid w:val="00E53E47"/>
    <w:rsid w:val="00E54F18"/>
    <w:rsid w:val="00E55D8B"/>
    <w:rsid w:val="00E55DA2"/>
    <w:rsid w:val="00E576F0"/>
    <w:rsid w:val="00E57CCB"/>
    <w:rsid w:val="00E60F31"/>
    <w:rsid w:val="00E6270B"/>
    <w:rsid w:val="00E67AB6"/>
    <w:rsid w:val="00E67F3E"/>
    <w:rsid w:val="00E75D0A"/>
    <w:rsid w:val="00E81F0F"/>
    <w:rsid w:val="00E82C7F"/>
    <w:rsid w:val="00E84A5E"/>
    <w:rsid w:val="00E855DB"/>
    <w:rsid w:val="00E856AA"/>
    <w:rsid w:val="00E8581D"/>
    <w:rsid w:val="00E94D58"/>
    <w:rsid w:val="00EA08CF"/>
    <w:rsid w:val="00EA09B1"/>
    <w:rsid w:val="00EA0A6F"/>
    <w:rsid w:val="00EA1153"/>
    <w:rsid w:val="00EA4FE9"/>
    <w:rsid w:val="00EA6531"/>
    <w:rsid w:val="00EA73DA"/>
    <w:rsid w:val="00EB2189"/>
    <w:rsid w:val="00EB2427"/>
    <w:rsid w:val="00EB27E7"/>
    <w:rsid w:val="00EB2EA9"/>
    <w:rsid w:val="00EB5A1A"/>
    <w:rsid w:val="00EB6AD5"/>
    <w:rsid w:val="00EB72F9"/>
    <w:rsid w:val="00EB7775"/>
    <w:rsid w:val="00EC1CBD"/>
    <w:rsid w:val="00EC3E54"/>
    <w:rsid w:val="00EC4743"/>
    <w:rsid w:val="00EC52E6"/>
    <w:rsid w:val="00EC63B5"/>
    <w:rsid w:val="00EC6FF2"/>
    <w:rsid w:val="00EC7DAF"/>
    <w:rsid w:val="00ED007C"/>
    <w:rsid w:val="00ED3407"/>
    <w:rsid w:val="00ED799A"/>
    <w:rsid w:val="00ED7E45"/>
    <w:rsid w:val="00EE0F25"/>
    <w:rsid w:val="00EE1BAE"/>
    <w:rsid w:val="00EE22FF"/>
    <w:rsid w:val="00EE3C49"/>
    <w:rsid w:val="00EE497E"/>
    <w:rsid w:val="00EE4D47"/>
    <w:rsid w:val="00EE73AE"/>
    <w:rsid w:val="00EF03E0"/>
    <w:rsid w:val="00EF1E0D"/>
    <w:rsid w:val="00EF28C3"/>
    <w:rsid w:val="00EF7455"/>
    <w:rsid w:val="00F02D76"/>
    <w:rsid w:val="00F06C91"/>
    <w:rsid w:val="00F0788B"/>
    <w:rsid w:val="00F12884"/>
    <w:rsid w:val="00F15B24"/>
    <w:rsid w:val="00F16512"/>
    <w:rsid w:val="00F17D93"/>
    <w:rsid w:val="00F20A2F"/>
    <w:rsid w:val="00F2306B"/>
    <w:rsid w:val="00F24282"/>
    <w:rsid w:val="00F256B1"/>
    <w:rsid w:val="00F259B8"/>
    <w:rsid w:val="00F2758B"/>
    <w:rsid w:val="00F27678"/>
    <w:rsid w:val="00F3237D"/>
    <w:rsid w:val="00F352AF"/>
    <w:rsid w:val="00F373F8"/>
    <w:rsid w:val="00F40196"/>
    <w:rsid w:val="00F404E6"/>
    <w:rsid w:val="00F41130"/>
    <w:rsid w:val="00F42B2F"/>
    <w:rsid w:val="00F4423D"/>
    <w:rsid w:val="00F44E1B"/>
    <w:rsid w:val="00F451FA"/>
    <w:rsid w:val="00F47219"/>
    <w:rsid w:val="00F5333D"/>
    <w:rsid w:val="00F5578A"/>
    <w:rsid w:val="00F560B1"/>
    <w:rsid w:val="00F56C23"/>
    <w:rsid w:val="00F61ADE"/>
    <w:rsid w:val="00F61C2C"/>
    <w:rsid w:val="00F62102"/>
    <w:rsid w:val="00F6236B"/>
    <w:rsid w:val="00F63058"/>
    <w:rsid w:val="00F63691"/>
    <w:rsid w:val="00F638D6"/>
    <w:rsid w:val="00F66480"/>
    <w:rsid w:val="00F67071"/>
    <w:rsid w:val="00F701E7"/>
    <w:rsid w:val="00F705C6"/>
    <w:rsid w:val="00F70B42"/>
    <w:rsid w:val="00F71905"/>
    <w:rsid w:val="00F746BE"/>
    <w:rsid w:val="00F74B06"/>
    <w:rsid w:val="00F75FB4"/>
    <w:rsid w:val="00F7637F"/>
    <w:rsid w:val="00F76C3E"/>
    <w:rsid w:val="00F7702D"/>
    <w:rsid w:val="00F77613"/>
    <w:rsid w:val="00F80B02"/>
    <w:rsid w:val="00F81216"/>
    <w:rsid w:val="00F820AE"/>
    <w:rsid w:val="00F82857"/>
    <w:rsid w:val="00F82B75"/>
    <w:rsid w:val="00F8333A"/>
    <w:rsid w:val="00F83DDE"/>
    <w:rsid w:val="00F850FB"/>
    <w:rsid w:val="00F92BAC"/>
    <w:rsid w:val="00F96669"/>
    <w:rsid w:val="00F96A08"/>
    <w:rsid w:val="00F97B1B"/>
    <w:rsid w:val="00FA1A2F"/>
    <w:rsid w:val="00FB06C0"/>
    <w:rsid w:val="00FB12F2"/>
    <w:rsid w:val="00FB19EB"/>
    <w:rsid w:val="00FB20E9"/>
    <w:rsid w:val="00FB2CAD"/>
    <w:rsid w:val="00FB2DAF"/>
    <w:rsid w:val="00FB3B08"/>
    <w:rsid w:val="00FB627F"/>
    <w:rsid w:val="00FC0C17"/>
    <w:rsid w:val="00FC3830"/>
    <w:rsid w:val="00FC38F3"/>
    <w:rsid w:val="00FC63D6"/>
    <w:rsid w:val="00FD0045"/>
    <w:rsid w:val="00FD1A9F"/>
    <w:rsid w:val="00FD32E5"/>
    <w:rsid w:val="00FD3F8D"/>
    <w:rsid w:val="00FD433E"/>
    <w:rsid w:val="00FD7585"/>
    <w:rsid w:val="00FE0A43"/>
    <w:rsid w:val="00FE101F"/>
    <w:rsid w:val="00FE5BCE"/>
    <w:rsid w:val="00FF09C2"/>
    <w:rsid w:val="00FF22B2"/>
    <w:rsid w:val="00FF2B84"/>
    <w:rsid w:val="00FF34B6"/>
    <w:rsid w:val="00FF4517"/>
    <w:rsid w:val="00FF5121"/>
    <w:rsid w:val="00FF600E"/>
    <w:rsid w:val="00FF6973"/>
    <w:rsid w:val="00FF70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ln">
    <w:name w:val="Normal"/>
    <w:qFormat/>
    <w:rsid w:val="00A21A86"/>
    <w:pPr>
      <w:overflowPunct w:val="0"/>
      <w:autoSpaceDE w:val="0"/>
      <w:autoSpaceDN w:val="0"/>
      <w:adjustRightInd w:val="0"/>
      <w:jc w:val="both"/>
      <w:textAlignment w:val="baseline"/>
    </w:pPr>
    <w:rPr>
      <w:rFonts w:ascii="Calibri" w:hAnsi="Calibri"/>
      <w:szCs w:val="20"/>
    </w:rPr>
  </w:style>
  <w:style w:type="paragraph" w:styleId="Nadpis1">
    <w:name w:val="heading 1"/>
    <w:basedOn w:val="Normln"/>
    <w:next w:val="Normln"/>
    <w:link w:val="Nadpis1Char"/>
    <w:uiPriority w:val="99"/>
    <w:qFormat/>
    <w:rsid w:val="00F75FB4"/>
    <w:pPr>
      <w:keepNext/>
      <w:keepLines/>
      <w:numPr>
        <w:numId w:val="2"/>
      </w:numPr>
      <w:spacing w:before="480"/>
      <w:outlineLvl w:val="0"/>
    </w:pPr>
    <w:rPr>
      <w:rFonts w:ascii="Cambria" w:hAnsi="Cambria"/>
      <w:b/>
      <w:bCs/>
      <w:color w:val="1F497D"/>
      <w:sz w:val="32"/>
      <w:szCs w:val="28"/>
    </w:rPr>
  </w:style>
  <w:style w:type="paragraph" w:styleId="Nadpis2">
    <w:name w:val="heading 2"/>
    <w:basedOn w:val="Normln"/>
    <w:next w:val="Normln"/>
    <w:link w:val="Nadpis2Char"/>
    <w:uiPriority w:val="99"/>
    <w:qFormat/>
    <w:rsid w:val="00CC70F8"/>
    <w:pPr>
      <w:keepNext/>
      <w:keepLines/>
      <w:numPr>
        <w:ilvl w:val="1"/>
        <w:numId w:val="2"/>
      </w:numPr>
      <w:spacing w:before="200" w:after="240"/>
      <w:outlineLvl w:val="1"/>
    </w:pPr>
    <w:rPr>
      <w:rFonts w:ascii="Cambria" w:hAnsi="Cambria"/>
      <w:b/>
      <w:bCs/>
      <w:color w:val="548DD4"/>
      <w:sz w:val="28"/>
      <w:szCs w:val="26"/>
    </w:rPr>
  </w:style>
  <w:style w:type="paragraph" w:styleId="Nadpis3">
    <w:name w:val="heading 3"/>
    <w:basedOn w:val="Normln"/>
    <w:next w:val="Normln"/>
    <w:link w:val="Nadpis3Char"/>
    <w:uiPriority w:val="99"/>
    <w:qFormat/>
    <w:rsid w:val="009D1228"/>
    <w:pPr>
      <w:keepNext/>
      <w:keepLines/>
      <w:numPr>
        <w:ilvl w:val="2"/>
        <w:numId w:val="2"/>
      </w:numPr>
      <w:spacing w:before="200" w:after="240"/>
      <w:outlineLvl w:val="2"/>
    </w:pPr>
    <w:rPr>
      <w:rFonts w:ascii="Cambria" w:hAnsi="Cambria"/>
      <w:b/>
      <w:bCs/>
      <w:color w:val="548DD4"/>
      <w:sz w:val="28"/>
    </w:rPr>
  </w:style>
  <w:style w:type="paragraph" w:styleId="Nadpis4">
    <w:name w:val="heading 4"/>
    <w:basedOn w:val="Normln"/>
    <w:next w:val="Normln"/>
    <w:link w:val="Nadpis4Char"/>
    <w:uiPriority w:val="99"/>
    <w:qFormat/>
    <w:rsid w:val="00B9734A"/>
    <w:pPr>
      <w:keepNext/>
      <w:keepLines/>
      <w:numPr>
        <w:ilvl w:val="3"/>
        <w:numId w:val="2"/>
      </w:numPr>
      <w:spacing w:before="200"/>
      <w:outlineLvl w:val="3"/>
    </w:pPr>
    <w:rPr>
      <w:rFonts w:ascii="Cambria" w:hAnsi="Cambria"/>
      <w:b/>
      <w:bCs/>
      <w:i/>
      <w:iCs/>
      <w:color w:val="4F81BD"/>
    </w:rPr>
  </w:style>
  <w:style w:type="paragraph" w:styleId="Nadpis5">
    <w:name w:val="heading 5"/>
    <w:basedOn w:val="Normln"/>
    <w:next w:val="Normln"/>
    <w:link w:val="Nadpis5Char"/>
    <w:uiPriority w:val="99"/>
    <w:qFormat/>
    <w:rsid w:val="00B9734A"/>
    <w:pPr>
      <w:keepNext/>
      <w:keepLines/>
      <w:numPr>
        <w:ilvl w:val="4"/>
        <w:numId w:val="2"/>
      </w:numPr>
      <w:spacing w:before="200"/>
      <w:outlineLvl w:val="4"/>
    </w:pPr>
    <w:rPr>
      <w:rFonts w:ascii="Cambria" w:hAnsi="Cambria"/>
      <w:color w:val="243F60"/>
    </w:rPr>
  </w:style>
  <w:style w:type="paragraph" w:styleId="Nadpis6">
    <w:name w:val="heading 6"/>
    <w:basedOn w:val="Normln"/>
    <w:next w:val="Normln"/>
    <w:link w:val="Nadpis6Char"/>
    <w:uiPriority w:val="99"/>
    <w:qFormat/>
    <w:rsid w:val="00B9734A"/>
    <w:pPr>
      <w:keepNext/>
      <w:keepLines/>
      <w:numPr>
        <w:ilvl w:val="5"/>
        <w:numId w:val="2"/>
      </w:numPr>
      <w:spacing w:before="200"/>
      <w:outlineLvl w:val="5"/>
    </w:pPr>
    <w:rPr>
      <w:rFonts w:ascii="Cambria" w:hAnsi="Cambria"/>
      <w:i/>
      <w:iCs/>
      <w:color w:val="243F60"/>
    </w:rPr>
  </w:style>
  <w:style w:type="paragraph" w:styleId="Nadpis7">
    <w:name w:val="heading 7"/>
    <w:basedOn w:val="Normln"/>
    <w:next w:val="Normln"/>
    <w:link w:val="Nadpis7Char"/>
    <w:uiPriority w:val="99"/>
    <w:qFormat/>
    <w:rsid w:val="00B9734A"/>
    <w:pPr>
      <w:keepNext/>
      <w:keepLines/>
      <w:numPr>
        <w:ilvl w:val="6"/>
        <w:numId w:val="2"/>
      </w:numPr>
      <w:spacing w:before="200"/>
      <w:outlineLvl w:val="6"/>
    </w:pPr>
    <w:rPr>
      <w:rFonts w:ascii="Cambria" w:hAnsi="Cambria"/>
      <w:i/>
      <w:iCs/>
      <w:color w:val="404040"/>
    </w:rPr>
  </w:style>
  <w:style w:type="paragraph" w:styleId="Nadpis8">
    <w:name w:val="heading 8"/>
    <w:basedOn w:val="Normln"/>
    <w:next w:val="Normln"/>
    <w:link w:val="Nadpis8Char"/>
    <w:uiPriority w:val="99"/>
    <w:qFormat/>
    <w:rsid w:val="00B9734A"/>
    <w:pPr>
      <w:keepNext/>
      <w:keepLines/>
      <w:numPr>
        <w:ilvl w:val="7"/>
        <w:numId w:val="2"/>
      </w:numPr>
      <w:spacing w:before="200"/>
      <w:outlineLvl w:val="7"/>
    </w:pPr>
    <w:rPr>
      <w:rFonts w:ascii="Cambria" w:hAnsi="Cambria"/>
      <w:color w:val="404040"/>
      <w:sz w:val="20"/>
    </w:rPr>
  </w:style>
  <w:style w:type="paragraph" w:styleId="Nadpis9">
    <w:name w:val="heading 9"/>
    <w:basedOn w:val="Normln"/>
    <w:next w:val="Normln"/>
    <w:link w:val="Nadpis9Char"/>
    <w:uiPriority w:val="99"/>
    <w:qFormat/>
    <w:rsid w:val="00B9734A"/>
    <w:pPr>
      <w:keepNext/>
      <w:keepLines/>
      <w:numPr>
        <w:ilvl w:val="8"/>
        <w:numId w:val="2"/>
      </w:numPr>
      <w:spacing w:before="20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75FB4"/>
    <w:rPr>
      <w:rFonts w:ascii="Cambria" w:hAnsi="Cambria" w:cs="Times New Roman"/>
      <w:b/>
      <w:bCs/>
      <w:color w:val="1F497D"/>
      <w:sz w:val="28"/>
      <w:szCs w:val="28"/>
    </w:rPr>
  </w:style>
  <w:style w:type="character" w:customStyle="1" w:styleId="Nadpis2Char">
    <w:name w:val="Nadpis 2 Char"/>
    <w:basedOn w:val="Standardnpsmoodstavce"/>
    <w:link w:val="Nadpis2"/>
    <w:uiPriority w:val="99"/>
    <w:locked/>
    <w:rsid w:val="00CC70F8"/>
    <w:rPr>
      <w:rFonts w:ascii="Cambria" w:hAnsi="Cambria" w:cs="Times New Roman"/>
      <w:b/>
      <w:bCs/>
      <w:color w:val="548DD4"/>
      <w:sz w:val="26"/>
      <w:szCs w:val="26"/>
      <w:lang w:val="cs-CZ" w:eastAsia="cs-CZ" w:bidi="ar-SA"/>
    </w:rPr>
  </w:style>
  <w:style w:type="character" w:customStyle="1" w:styleId="Nadpis3Char">
    <w:name w:val="Nadpis 3 Char"/>
    <w:basedOn w:val="Standardnpsmoodstavce"/>
    <w:link w:val="Nadpis3"/>
    <w:uiPriority w:val="99"/>
    <w:locked/>
    <w:rsid w:val="009D1228"/>
    <w:rPr>
      <w:rFonts w:ascii="Cambria" w:hAnsi="Cambria" w:cs="Times New Roman"/>
      <w:b/>
      <w:bCs/>
      <w:color w:val="548DD4"/>
      <w:sz w:val="28"/>
      <w:lang w:val="cs-CZ" w:eastAsia="cs-CZ" w:bidi="ar-SA"/>
    </w:rPr>
  </w:style>
  <w:style w:type="character" w:customStyle="1" w:styleId="Nadpis4Char">
    <w:name w:val="Nadpis 4 Char"/>
    <w:basedOn w:val="Standardnpsmoodstavce"/>
    <w:link w:val="Nadpis4"/>
    <w:uiPriority w:val="99"/>
    <w:locked/>
    <w:rsid w:val="00B9734A"/>
    <w:rPr>
      <w:rFonts w:ascii="Cambria" w:hAnsi="Cambria" w:cs="Times New Roman"/>
      <w:b/>
      <w:bCs/>
      <w:i/>
      <w:iCs/>
      <w:color w:val="4F81BD"/>
      <w:sz w:val="22"/>
      <w:lang w:val="cs-CZ" w:eastAsia="cs-CZ" w:bidi="ar-SA"/>
    </w:rPr>
  </w:style>
  <w:style w:type="character" w:customStyle="1" w:styleId="Nadpis5Char">
    <w:name w:val="Nadpis 5 Char"/>
    <w:basedOn w:val="Standardnpsmoodstavce"/>
    <w:link w:val="Nadpis5"/>
    <w:uiPriority w:val="99"/>
    <w:locked/>
    <w:rsid w:val="00B9734A"/>
    <w:rPr>
      <w:rFonts w:ascii="Cambria" w:hAnsi="Cambria" w:cs="Times New Roman"/>
      <w:color w:val="243F60"/>
      <w:sz w:val="22"/>
      <w:lang w:val="cs-CZ" w:eastAsia="cs-CZ" w:bidi="ar-SA"/>
    </w:rPr>
  </w:style>
  <w:style w:type="character" w:customStyle="1" w:styleId="Nadpis6Char">
    <w:name w:val="Nadpis 6 Char"/>
    <w:basedOn w:val="Standardnpsmoodstavce"/>
    <w:link w:val="Nadpis6"/>
    <w:uiPriority w:val="99"/>
    <w:locked/>
    <w:rsid w:val="00B9734A"/>
    <w:rPr>
      <w:rFonts w:ascii="Cambria" w:hAnsi="Cambria" w:cs="Times New Roman"/>
      <w:i/>
      <w:iCs/>
      <w:color w:val="243F60"/>
      <w:sz w:val="22"/>
      <w:lang w:val="cs-CZ" w:eastAsia="cs-CZ" w:bidi="ar-SA"/>
    </w:rPr>
  </w:style>
  <w:style w:type="character" w:customStyle="1" w:styleId="Nadpis7Char">
    <w:name w:val="Nadpis 7 Char"/>
    <w:basedOn w:val="Standardnpsmoodstavce"/>
    <w:link w:val="Nadpis7"/>
    <w:uiPriority w:val="99"/>
    <w:locked/>
    <w:rsid w:val="00B9734A"/>
    <w:rPr>
      <w:rFonts w:ascii="Cambria" w:hAnsi="Cambria" w:cs="Times New Roman"/>
      <w:i/>
      <w:iCs/>
      <w:color w:val="404040"/>
      <w:sz w:val="22"/>
      <w:lang w:val="cs-CZ" w:eastAsia="cs-CZ" w:bidi="ar-SA"/>
    </w:rPr>
  </w:style>
  <w:style w:type="character" w:customStyle="1" w:styleId="Nadpis8Char">
    <w:name w:val="Nadpis 8 Char"/>
    <w:basedOn w:val="Standardnpsmoodstavce"/>
    <w:link w:val="Nadpis8"/>
    <w:uiPriority w:val="99"/>
    <w:semiHidden/>
    <w:locked/>
    <w:rsid w:val="00B9734A"/>
    <w:rPr>
      <w:rFonts w:ascii="Cambria" w:hAnsi="Cambria" w:cs="Times New Roman"/>
      <w:color w:val="404040"/>
      <w:lang w:val="cs-CZ" w:eastAsia="cs-CZ" w:bidi="ar-SA"/>
    </w:rPr>
  </w:style>
  <w:style w:type="character" w:customStyle="1" w:styleId="Nadpis9Char">
    <w:name w:val="Nadpis 9 Char"/>
    <w:basedOn w:val="Standardnpsmoodstavce"/>
    <w:link w:val="Nadpis9"/>
    <w:uiPriority w:val="99"/>
    <w:semiHidden/>
    <w:locked/>
    <w:rsid w:val="00B9734A"/>
    <w:rPr>
      <w:rFonts w:ascii="Cambria" w:hAnsi="Cambria" w:cs="Times New Roman"/>
      <w:i/>
      <w:iCs/>
      <w:color w:val="404040"/>
      <w:lang w:val="cs-CZ" w:eastAsia="cs-CZ" w:bidi="ar-SA"/>
    </w:rPr>
  </w:style>
  <w:style w:type="paragraph" w:styleId="Textbubliny">
    <w:name w:val="Balloon Text"/>
    <w:basedOn w:val="Normln"/>
    <w:link w:val="TextbublinyChar"/>
    <w:uiPriority w:val="99"/>
    <w:semiHidden/>
    <w:rsid w:val="003709F3"/>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3709F3"/>
    <w:rPr>
      <w:rFonts w:ascii="Tahoma" w:hAnsi="Tahoma" w:cs="Tahoma"/>
      <w:sz w:val="16"/>
      <w:szCs w:val="16"/>
    </w:rPr>
  </w:style>
  <w:style w:type="paragraph" w:styleId="Zhlav">
    <w:name w:val="header"/>
    <w:basedOn w:val="Normln"/>
    <w:link w:val="ZhlavChar"/>
    <w:uiPriority w:val="99"/>
    <w:rsid w:val="006561E1"/>
    <w:pPr>
      <w:tabs>
        <w:tab w:val="center" w:pos="4536"/>
        <w:tab w:val="right" w:pos="9072"/>
      </w:tabs>
    </w:pPr>
  </w:style>
  <w:style w:type="character" w:customStyle="1" w:styleId="ZhlavChar">
    <w:name w:val="Záhlaví Char"/>
    <w:basedOn w:val="Standardnpsmoodstavce"/>
    <w:link w:val="Zhlav"/>
    <w:uiPriority w:val="99"/>
    <w:locked/>
    <w:rsid w:val="006561E1"/>
    <w:rPr>
      <w:rFonts w:ascii="Calibri" w:hAnsi="Calibri" w:cs="Times New Roman"/>
      <w:sz w:val="22"/>
    </w:rPr>
  </w:style>
  <w:style w:type="paragraph" w:styleId="Zpat">
    <w:name w:val="footer"/>
    <w:basedOn w:val="Normln"/>
    <w:link w:val="ZpatChar"/>
    <w:uiPriority w:val="99"/>
    <w:rsid w:val="006561E1"/>
    <w:pPr>
      <w:tabs>
        <w:tab w:val="center" w:pos="4536"/>
        <w:tab w:val="right" w:pos="9072"/>
      </w:tabs>
    </w:pPr>
  </w:style>
  <w:style w:type="character" w:customStyle="1" w:styleId="ZpatChar">
    <w:name w:val="Zápatí Char"/>
    <w:basedOn w:val="Standardnpsmoodstavce"/>
    <w:link w:val="Zpat"/>
    <w:uiPriority w:val="99"/>
    <w:locked/>
    <w:rsid w:val="006561E1"/>
    <w:rPr>
      <w:rFonts w:ascii="Calibri" w:hAnsi="Calibri" w:cs="Times New Roman"/>
      <w:sz w:val="22"/>
    </w:rPr>
  </w:style>
  <w:style w:type="character" w:styleId="Hypertextovodkaz">
    <w:name w:val="Hyperlink"/>
    <w:basedOn w:val="Standardnpsmoodstavce"/>
    <w:uiPriority w:val="99"/>
    <w:rsid w:val="000C1B4F"/>
    <w:rPr>
      <w:rFonts w:cs="Times New Roman"/>
      <w:color w:val="0000FF"/>
      <w:u w:val="single"/>
    </w:rPr>
  </w:style>
  <w:style w:type="character" w:styleId="slostrnky">
    <w:name w:val="page number"/>
    <w:basedOn w:val="Standardnpsmoodstavce"/>
    <w:uiPriority w:val="99"/>
    <w:rsid w:val="000C1B4F"/>
    <w:rPr>
      <w:rFonts w:cs="Times New Roman"/>
    </w:rPr>
  </w:style>
  <w:style w:type="paragraph" w:styleId="Odstavecseseznamem">
    <w:name w:val="List Paragraph"/>
    <w:aliases w:val="Odstavec cíl se seznamem,Odstavec se seznamem1,Nad,Odstavec se seznamem5"/>
    <w:basedOn w:val="Normln"/>
    <w:link w:val="OdstavecseseznamemChar"/>
    <w:uiPriority w:val="99"/>
    <w:qFormat/>
    <w:rsid w:val="00EB7775"/>
    <w:pPr>
      <w:ind w:left="720"/>
      <w:contextualSpacing/>
    </w:pPr>
  </w:style>
  <w:style w:type="character" w:customStyle="1" w:styleId="OdstavecseseznamemChar">
    <w:name w:val="Odstavec se seznamem Char"/>
    <w:aliases w:val="Odstavec cíl se seznamem Char,Odstavec se seznamem1 Char,Nad Char,Odstavec se seznamem5 Char"/>
    <w:link w:val="Odstavecseseznamem"/>
    <w:uiPriority w:val="99"/>
    <w:locked/>
    <w:rsid w:val="008346A6"/>
    <w:rPr>
      <w:rFonts w:ascii="Calibri" w:hAnsi="Calibri"/>
      <w:sz w:val="22"/>
    </w:rPr>
  </w:style>
  <w:style w:type="character" w:styleId="Znakapoznpodarou">
    <w:name w:val="footnote reference"/>
    <w:aliases w:val="Überschrift 4 Zchn1,Título 4 Car Zchn,Heading 4 Char1 Car Zchn,no vale 2 Zchn,no vale 2 Car Zchn,PGI Fußnote Ziffer,BVI fnr,Footnote symbol,Footnote Reference Superscript,Appel note de bas de p,Appel note de bas de page,Légende"/>
    <w:basedOn w:val="Standardnpsmoodstavce"/>
    <w:uiPriority w:val="99"/>
    <w:rsid w:val="00CC70F8"/>
    <w:rPr>
      <w:rFonts w:ascii="Arial" w:hAnsi="Arial" w:cs="Times New Roman"/>
      <w:sz w:val="16"/>
      <w:vertAlign w:val="superscript"/>
    </w:rPr>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fn"/>
    <w:basedOn w:val="Normln"/>
    <w:link w:val="TextpoznpodarouChar"/>
    <w:uiPriority w:val="99"/>
    <w:rsid w:val="00CC70F8"/>
    <w:pPr>
      <w:overflowPunct/>
      <w:autoSpaceDE/>
      <w:autoSpaceDN/>
      <w:adjustRightInd/>
      <w:textAlignment w:val="auto"/>
    </w:pPr>
    <w:rPr>
      <w:rFonts w:ascii="Arial" w:hAnsi="Arial" w:cs="Arial"/>
      <w:sz w:val="16"/>
      <w:lang w:eastAsia="en-US"/>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locked/>
    <w:rsid w:val="00CC70F8"/>
    <w:rPr>
      <w:rFonts w:ascii="Arial" w:hAnsi="Arial" w:cs="Arial"/>
      <w:sz w:val="16"/>
      <w:lang w:eastAsia="en-US"/>
    </w:rPr>
  </w:style>
  <w:style w:type="paragraph" w:styleId="Titulek">
    <w:name w:val="caption"/>
    <w:basedOn w:val="Normln"/>
    <w:next w:val="Normln"/>
    <w:link w:val="TitulekChar"/>
    <w:uiPriority w:val="99"/>
    <w:qFormat/>
    <w:rsid w:val="00CC70F8"/>
    <w:pPr>
      <w:overflowPunct/>
      <w:autoSpaceDE/>
      <w:autoSpaceDN/>
      <w:adjustRightInd/>
      <w:textAlignment w:val="auto"/>
    </w:pPr>
    <w:rPr>
      <w:rFonts w:ascii="Arial" w:hAnsi="Arial" w:cs="Arial"/>
      <w:b/>
      <w:bCs/>
      <w:color w:val="4F81BD"/>
      <w:sz w:val="20"/>
      <w:lang w:eastAsia="en-US"/>
    </w:rPr>
  </w:style>
  <w:style w:type="character" w:customStyle="1" w:styleId="TitulekChar">
    <w:name w:val="Titulek Char"/>
    <w:basedOn w:val="Standardnpsmoodstavce"/>
    <w:link w:val="Titulek"/>
    <w:uiPriority w:val="99"/>
    <w:locked/>
    <w:rsid w:val="00CC70F8"/>
    <w:rPr>
      <w:rFonts w:ascii="Arial" w:hAnsi="Arial" w:cs="Arial"/>
      <w:b/>
      <w:bCs/>
      <w:color w:val="4F81BD"/>
      <w:lang w:eastAsia="en-US"/>
    </w:rPr>
  </w:style>
  <w:style w:type="table" w:customStyle="1" w:styleId="TableGridLight1">
    <w:name w:val="Table Grid Light1"/>
    <w:uiPriority w:val="99"/>
    <w:rsid w:val="00CC70F8"/>
    <w:rPr>
      <w:sz w:val="20"/>
      <w:szCs w:val="20"/>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eslovannadpisy">
    <w:name w:val="Nečíslované nadpisy"/>
    <w:basedOn w:val="Normln"/>
    <w:uiPriority w:val="99"/>
    <w:rsid w:val="00A57419"/>
    <w:pPr>
      <w:spacing w:after="120"/>
    </w:pPr>
    <w:rPr>
      <w:b/>
      <w:color w:val="18B462"/>
    </w:rPr>
  </w:style>
  <w:style w:type="table" w:customStyle="1" w:styleId="Deloittetable1">
    <w:name w:val="Deloitte table 1"/>
    <w:uiPriority w:val="99"/>
    <w:rsid w:val="00A21A86"/>
    <w:rPr>
      <w:rFonts w:ascii="Arial" w:hAnsi="Arial"/>
      <w:sz w:val="19"/>
      <w:szCs w:val="20"/>
    </w:rPr>
    <w:tblPr>
      <w:tblInd w:w="0" w:type="dxa"/>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paragraph" w:customStyle="1" w:styleId="Vtneslovannadpis">
    <w:name w:val="Větší nečíslovaný nadpis"/>
    <w:basedOn w:val="Neslovannadpisy"/>
    <w:uiPriority w:val="99"/>
    <w:rsid w:val="00A21A86"/>
    <w:pPr>
      <w:spacing w:after="240"/>
    </w:pPr>
    <w:rPr>
      <w:rFonts w:ascii="Cambria" w:hAnsi="Cambria"/>
      <w:color w:val="548DD4"/>
      <w:sz w:val="24"/>
    </w:rPr>
  </w:style>
  <w:style w:type="table" w:styleId="Mkatabulky">
    <w:name w:val="Table Grid"/>
    <w:aliases w:val="Deloitte table 3"/>
    <w:basedOn w:val="Normlntabulka"/>
    <w:uiPriority w:val="99"/>
    <w:rsid w:val="002B7553"/>
    <w:rPr>
      <w:rFonts w:ascii="Arial" w:hAnsi="Arial"/>
      <w:sz w:val="19"/>
      <w:szCs w:val="20"/>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Times New Roman"/>
        <w:b/>
        <w:color w:val="FFFFFF"/>
        <w:sz w:val="19"/>
      </w:rPr>
      <w:tblPr/>
      <w:tcPr>
        <w:shd w:val="clear" w:color="auto" w:fill="72C7E7"/>
      </w:tcPr>
    </w:tblStylePr>
    <w:tblStylePr w:type="firstCol">
      <w:rPr>
        <w:rFonts w:ascii="Arial" w:hAnsi="Arial" w:cs="Times New Roman"/>
        <w:sz w:val="19"/>
      </w:rPr>
    </w:tblStylePr>
  </w:style>
  <w:style w:type="paragraph" w:customStyle="1" w:styleId="Textpspvku">
    <w:name w:val="Text příspěvku"/>
    <w:basedOn w:val="Normln"/>
    <w:uiPriority w:val="99"/>
    <w:rsid w:val="00FF70E4"/>
    <w:pPr>
      <w:tabs>
        <w:tab w:val="left" w:pos="284"/>
      </w:tabs>
      <w:overflowPunct/>
      <w:autoSpaceDE/>
      <w:autoSpaceDN/>
      <w:adjustRightInd/>
      <w:spacing w:after="120"/>
      <w:textAlignment w:val="auto"/>
    </w:pPr>
    <w:rPr>
      <w:szCs w:val="24"/>
      <w:lang w:eastAsia="en-US"/>
    </w:rPr>
  </w:style>
  <w:style w:type="table" w:customStyle="1" w:styleId="Deloittetable2">
    <w:name w:val="Deloitte table 2"/>
    <w:uiPriority w:val="99"/>
    <w:rsid w:val="00E528C8"/>
    <w:rPr>
      <w:rFonts w:ascii="Arial" w:hAnsi="Arial"/>
      <w:sz w:val="19"/>
      <w:szCs w:val="20"/>
    </w:rPr>
    <w:tblPr>
      <w:tblInd w:w="0" w:type="dxa"/>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character" w:customStyle="1" w:styleId="BodytextChar">
    <w:name w:val="Body text Char"/>
    <w:link w:val="BodyText1"/>
    <w:uiPriority w:val="99"/>
    <w:locked/>
    <w:rsid w:val="00416BF2"/>
    <w:rPr>
      <w:rFonts w:ascii="Arial" w:hAnsi="Arial"/>
      <w:color w:val="000000"/>
      <w:sz w:val="48"/>
      <w:lang w:val="cs-CZ" w:eastAsia="en-US"/>
    </w:rPr>
  </w:style>
  <w:style w:type="paragraph" w:customStyle="1" w:styleId="BodyText1">
    <w:name w:val="Body Text1"/>
    <w:link w:val="BodytextChar"/>
    <w:uiPriority w:val="99"/>
    <w:rsid w:val="00416BF2"/>
    <w:rPr>
      <w:rFonts w:ascii="Arial" w:hAnsi="Arial" w:cs="Arial"/>
      <w:color w:val="000000"/>
      <w:sz w:val="19"/>
      <w:szCs w:val="48"/>
      <w:lang w:eastAsia="en-US"/>
    </w:rPr>
  </w:style>
  <w:style w:type="character" w:styleId="Odkaznakoment">
    <w:name w:val="annotation reference"/>
    <w:basedOn w:val="Standardnpsmoodstavce"/>
    <w:uiPriority w:val="99"/>
    <w:rsid w:val="001F3C28"/>
    <w:rPr>
      <w:rFonts w:cs="Times New Roman"/>
      <w:sz w:val="16"/>
      <w:szCs w:val="16"/>
    </w:rPr>
  </w:style>
  <w:style w:type="paragraph" w:styleId="Textkomente">
    <w:name w:val="annotation text"/>
    <w:basedOn w:val="Normln"/>
    <w:link w:val="TextkomenteChar"/>
    <w:uiPriority w:val="99"/>
    <w:rsid w:val="001F3C28"/>
    <w:rPr>
      <w:sz w:val="20"/>
    </w:rPr>
  </w:style>
  <w:style w:type="character" w:customStyle="1" w:styleId="TextkomenteChar">
    <w:name w:val="Text komentáře Char"/>
    <w:basedOn w:val="Standardnpsmoodstavce"/>
    <w:link w:val="Textkomente"/>
    <w:uiPriority w:val="99"/>
    <w:locked/>
    <w:rsid w:val="001F3C28"/>
    <w:rPr>
      <w:rFonts w:ascii="Calibri" w:hAnsi="Calibri" w:cs="Times New Roman"/>
    </w:rPr>
  </w:style>
  <w:style w:type="paragraph" w:styleId="Pedmtkomente">
    <w:name w:val="annotation subject"/>
    <w:basedOn w:val="Textkomente"/>
    <w:next w:val="Textkomente"/>
    <w:link w:val="PedmtkomenteChar"/>
    <w:uiPriority w:val="99"/>
    <w:rsid w:val="001F3C28"/>
    <w:rPr>
      <w:b/>
      <w:bCs/>
    </w:rPr>
  </w:style>
  <w:style w:type="character" w:customStyle="1" w:styleId="PedmtkomenteChar">
    <w:name w:val="Předmět komentáře Char"/>
    <w:basedOn w:val="TextkomenteChar"/>
    <w:link w:val="Pedmtkomente"/>
    <w:uiPriority w:val="99"/>
    <w:locked/>
    <w:rsid w:val="001F3C28"/>
    <w:rPr>
      <w:rFonts w:ascii="Calibri" w:hAnsi="Calibri" w:cs="Times New Roman"/>
      <w:b/>
      <w:bCs/>
    </w:rPr>
  </w:style>
  <w:style w:type="paragraph" w:styleId="Obsah1">
    <w:name w:val="toc 1"/>
    <w:basedOn w:val="Normln"/>
    <w:next w:val="Normln"/>
    <w:autoRedefine/>
    <w:uiPriority w:val="99"/>
    <w:locked/>
    <w:rsid w:val="006075D5"/>
    <w:pPr>
      <w:tabs>
        <w:tab w:val="left" w:pos="426"/>
        <w:tab w:val="right" w:leader="dot" w:pos="9060"/>
      </w:tabs>
    </w:pPr>
  </w:style>
  <w:style w:type="paragraph" w:styleId="Obsah2">
    <w:name w:val="toc 2"/>
    <w:basedOn w:val="Normln"/>
    <w:next w:val="Normln"/>
    <w:autoRedefine/>
    <w:uiPriority w:val="99"/>
    <w:locked/>
    <w:rsid w:val="0022745A"/>
    <w:pPr>
      <w:ind w:left="220"/>
    </w:pPr>
  </w:style>
  <w:style w:type="paragraph" w:styleId="Obsah3">
    <w:name w:val="toc 3"/>
    <w:basedOn w:val="Normln"/>
    <w:next w:val="Normln"/>
    <w:autoRedefine/>
    <w:uiPriority w:val="99"/>
    <w:locked/>
    <w:rsid w:val="0022745A"/>
    <w:pPr>
      <w:ind w:left="440"/>
    </w:pPr>
  </w:style>
  <w:style w:type="character" w:customStyle="1" w:styleId="hps">
    <w:name w:val="hps"/>
    <w:basedOn w:val="Standardnpsmoodstavce"/>
    <w:uiPriority w:val="99"/>
    <w:rsid w:val="009F5E79"/>
    <w:rPr>
      <w:rFonts w:cs="Times New Roman"/>
    </w:rPr>
  </w:style>
  <w:style w:type="paragraph" w:styleId="Zkladntext">
    <w:name w:val="Body Text"/>
    <w:basedOn w:val="Normln"/>
    <w:link w:val="ZkladntextChar"/>
    <w:uiPriority w:val="99"/>
    <w:locked/>
    <w:rsid w:val="00BF6C4F"/>
    <w:pPr>
      <w:overflowPunct/>
      <w:autoSpaceDE/>
      <w:autoSpaceDN/>
      <w:adjustRightInd/>
      <w:spacing w:after="240" w:line="240" w:lineRule="atLeast"/>
      <w:textAlignment w:val="auto"/>
    </w:pPr>
    <w:rPr>
      <w:rFonts w:ascii="Georgia" w:hAnsi="Georgia"/>
      <w:sz w:val="24"/>
      <w:lang w:eastAsia="en-US"/>
    </w:rPr>
  </w:style>
  <w:style w:type="character" w:customStyle="1" w:styleId="ZkladntextChar">
    <w:name w:val="Základní text Char"/>
    <w:basedOn w:val="Standardnpsmoodstavce"/>
    <w:link w:val="Zkladntext"/>
    <w:uiPriority w:val="99"/>
    <w:locked/>
    <w:rsid w:val="00BF6C4F"/>
    <w:rPr>
      <w:rFonts w:ascii="Georgia" w:hAnsi="Georgia" w:cs="Times New Roman"/>
      <w:sz w:val="24"/>
      <w:lang w:val="cs-CZ" w:eastAsia="en-US" w:bidi="ar-SA"/>
    </w:rPr>
  </w:style>
  <w:style w:type="paragraph" w:customStyle="1" w:styleId="Legalentity">
    <w:name w:val="Legal entity"/>
    <w:basedOn w:val="Normln"/>
    <w:uiPriority w:val="99"/>
    <w:rsid w:val="006638C9"/>
    <w:pPr>
      <w:widowControl w:val="0"/>
      <w:suppressAutoHyphens/>
      <w:overflowPunct/>
      <w:spacing w:after="90" w:line="180" w:lineRule="atLeast"/>
      <w:textAlignment w:val="center"/>
    </w:pPr>
    <w:rPr>
      <w:rFonts w:ascii="Arial" w:hAnsi="Arial" w:cs="Arial"/>
      <w:color w:val="000000"/>
      <w:sz w:val="16"/>
      <w:lang w:val="en-GB" w:eastAsia="en-GB"/>
    </w:rPr>
  </w:style>
  <w:style w:type="paragraph" w:customStyle="1" w:styleId="smlouvaheading1">
    <w:name w:val="smlouva heading 1"/>
    <w:next w:val="BodyText1"/>
    <w:uiPriority w:val="99"/>
    <w:rsid w:val="006638C9"/>
    <w:pPr>
      <w:numPr>
        <w:numId w:val="50"/>
      </w:numPr>
      <w:tabs>
        <w:tab w:val="left" w:pos="873"/>
      </w:tabs>
      <w:spacing w:before="240" w:after="120"/>
      <w:ind w:left="357" w:hanging="357"/>
      <w:jc w:val="both"/>
    </w:pPr>
    <w:rPr>
      <w:rFonts w:ascii="Arial" w:hAnsi="Arial"/>
      <w:b/>
      <w:noProof/>
      <w:color w:val="000000"/>
      <w:sz w:val="19"/>
      <w:szCs w:val="24"/>
      <w:lang w:eastAsia="en-US"/>
    </w:rPr>
  </w:style>
  <w:style w:type="paragraph" w:customStyle="1" w:styleId="CaptionIntroductionparagraph">
    <w:name w:val="Caption Introduction paragraph"/>
    <w:uiPriority w:val="99"/>
    <w:rsid w:val="006638C9"/>
    <w:rPr>
      <w:rFonts w:ascii="Arial" w:hAnsi="Arial"/>
      <w:b/>
      <w:color w:val="00A1DE"/>
      <w:sz w:val="24"/>
      <w:lang w:eastAsia="en-US"/>
    </w:rPr>
  </w:style>
  <w:style w:type="paragraph" w:customStyle="1" w:styleId="smlouvaheading2">
    <w:name w:val="smlouva heading 2"/>
    <w:basedOn w:val="CaptionIntroductionparagraph"/>
    <w:next w:val="BodyText1"/>
    <w:uiPriority w:val="99"/>
    <w:rsid w:val="006638C9"/>
    <w:pPr>
      <w:numPr>
        <w:ilvl w:val="1"/>
        <w:numId w:val="50"/>
      </w:numPr>
      <w:tabs>
        <w:tab w:val="left" w:pos="567"/>
      </w:tabs>
      <w:spacing w:before="120"/>
      <w:ind w:left="567" w:hanging="567"/>
      <w:jc w:val="both"/>
    </w:pPr>
    <w:rPr>
      <w:b w:val="0"/>
      <w:color w:val="000000"/>
      <w:sz w:val="19"/>
    </w:rPr>
  </w:style>
  <w:style w:type="paragraph" w:customStyle="1" w:styleId="smlouvaheading3">
    <w:name w:val="smlouva heading 3"/>
    <w:basedOn w:val="smlouvaheading2"/>
    <w:next w:val="BodyText1"/>
    <w:uiPriority w:val="99"/>
    <w:rsid w:val="006638C9"/>
    <w:pPr>
      <w:numPr>
        <w:ilvl w:val="2"/>
      </w:numPr>
      <w:tabs>
        <w:tab w:val="clear" w:pos="567"/>
        <w:tab w:val="left" w:pos="794"/>
      </w:tabs>
      <w:ind w:left="794" w:hanging="794"/>
    </w:pPr>
  </w:style>
  <w:style w:type="paragraph" w:customStyle="1" w:styleId="smlouvaheading4">
    <w:name w:val="smlouva heading 4"/>
    <w:basedOn w:val="smlouvaheading3"/>
    <w:next w:val="BodyText1"/>
    <w:uiPriority w:val="99"/>
    <w:rsid w:val="006638C9"/>
    <w:pPr>
      <w:numPr>
        <w:ilvl w:val="3"/>
      </w:numPr>
      <w:tabs>
        <w:tab w:val="clear" w:pos="794"/>
        <w:tab w:val="left" w:pos="1021"/>
      </w:tabs>
      <w:ind w:left="1021" w:hanging="1021"/>
    </w:pPr>
    <w:rPr>
      <w:color w:val="auto"/>
    </w:rPr>
  </w:style>
  <w:style w:type="paragraph" w:customStyle="1" w:styleId="smlouvabodytextbold">
    <w:name w:val="smlouva body text bold"/>
    <w:basedOn w:val="smlouvaheading4"/>
    <w:next w:val="BodyText1"/>
    <w:uiPriority w:val="99"/>
    <w:rsid w:val="006638C9"/>
    <w:pPr>
      <w:numPr>
        <w:ilvl w:val="0"/>
        <w:numId w:val="0"/>
      </w:numPr>
    </w:pPr>
    <w:rPr>
      <w:b/>
    </w:rPr>
  </w:style>
  <w:style w:type="paragraph" w:customStyle="1" w:styleId="Bodytextbold">
    <w:name w:val="Body text bold"/>
    <w:basedOn w:val="smlouvabodytextbold"/>
    <w:next w:val="BodyText1"/>
    <w:uiPriority w:val="99"/>
    <w:rsid w:val="006638C9"/>
    <w:pPr>
      <w:tabs>
        <w:tab w:val="clear" w:pos="1021"/>
        <w:tab w:val="left" w:pos="1134"/>
      </w:tabs>
    </w:pPr>
    <w:rPr>
      <w:color w:val="000000"/>
    </w:rPr>
  </w:style>
  <w:style w:type="character" w:customStyle="1" w:styleId="CaptionbodyChar">
    <w:name w:val="Caption body Char"/>
    <w:link w:val="Captionbody"/>
    <w:uiPriority w:val="99"/>
    <w:locked/>
    <w:rsid w:val="006638C9"/>
    <w:rPr>
      <w:rFonts w:ascii="Arial" w:hAnsi="Arial"/>
      <w:color w:val="000000"/>
      <w:sz w:val="22"/>
      <w:lang w:val="en-US" w:eastAsia="en-US"/>
    </w:rPr>
  </w:style>
  <w:style w:type="paragraph" w:customStyle="1" w:styleId="Captionbody">
    <w:name w:val="Caption body"/>
    <w:link w:val="CaptionbodyChar"/>
    <w:uiPriority w:val="99"/>
    <w:rsid w:val="006638C9"/>
    <w:rPr>
      <w:rFonts w:ascii="Arial" w:hAnsi="Arial"/>
      <w:color w:val="000000"/>
      <w:sz w:val="18"/>
      <w:lang w:val="en-US" w:eastAsia="en-US"/>
    </w:rPr>
  </w:style>
  <w:style w:type="paragraph" w:customStyle="1" w:styleId="Captionheading">
    <w:name w:val="Caption heading"/>
    <w:basedOn w:val="Captionbody"/>
    <w:uiPriority w:val="99"/>
    <w:rsid w:val="006638C9"/>
    <w:rPr>
      <w:b/>
    </w:rPr>
  </w:style>
  <w:style w:type="paragraph" w:customStyle="1" w:styleId="smlouvabodytext">
    <w:name w:val="smlouva body text"/>
    <w:basedOn w:val="Normln"/>
    <w:uiPriority w:val="99"/>
    <w:rsid w:val="006638C9"/>
    <w:pPr>
      <w:overflowPunct/>
      <w:autoSpaceDE/>
      <w:autoSpaceDN/>
      <w:adjustRightInd/>
      <w:spacing w:before="120"/>
      <w:textAlignment w:val="auto"/>
    </w:pPr>
    <w:rPr>
      <w:rFonts w:ascii="Arial" w:hAnsi="Arial" w:cs="Arial"/>
      <w:noProof/>
      <w:sz w:val="19"/>
      <w:szCs w:val="24"/>
      <w:lang w:eastAsia="en-US"/>
    </w:rPr>
  </w:style>
  <w:style w:type="paragraph" w:customStyle="1" w:styleId="Bulletslevel1">
    <w:name w:val="Bullets level 1"/>
    <w:basedOn w:val="Normln"/>
    <w:link w:val="Bulletslevel1Char"/>
    <w:uiPriority w:val="99"/>
    <w:rsid w:val="006638C9"/>
    <w:pPr>
      <w:numPr>
        <w:numId w:val="47"/>
      </w:numPr>
      <w:overflowPunct/>
      <w:autoSpaceDE/>
      <w:autoSpaceDN/>
      <w:adjustRightInd/>
      <w:spacing w:before="120"/>
      <w:ind w:left="360"/>
      <w:textAlignment w:val="auto"/>
    </w:pPr>
    <w:rPr>
      <w:rFonts w:ascii="Arial" w:hAnsi="Arial"/>
      <w:color w:val="000000"/>
      <w:sz w:val="19"/>
      <w:lang w:val="en-GB" w:eastAsia="en-US"/>
    </w:rPr>
  </w:style>
  <w:style w:type="character" w:customStyle="1" w:styleId="Bulletslevel1Char">
    <w:name w:val="Bullets level 1 Char"/>
    <w:link w:val="Bulletslevel1"/>
    <w:uiPriority w:val="99"/>
    <w:locked/>
    <w:rsid w:val="006638C9"/>
    <w:rPr>
      <w:rFonts w:ascii="Arial" w:eastAsia="Times New Roman" w:hAnsi="Arial"/>
      <w:color w:val="000000"/>
      <w:sz w:val="20"/>
      <w:lang w:val="en-GB" w:eastAsia="en-US"/>
    </w:rPr>
  </w:style>
  <w:style w:type="paragraph" w:customStyle="1" w:styleId="Bulletslevel2">
    <w:name w:val="Bullets level 2"/>
    <w:basedOn w:val="Normln"/>
    <w:link w:val="Bulletslevel2Char"/>
    <w:uiPriority w:val="99"/>
    <w:rsid w:val="006638C9"/>
    <w:pPr>
      <w:numPr>
        <w:numId w:val="49"/>
      </w:numPr>
      <w:tabs>
        <w:tab w:val="left" w:pos="567"/>
      </w:tabs>
      <w:overflowPunct/>
      <w:autoSpaceDE/>
      <w:autoSpaceDN/>
      <w:adjustRightInd/>
      <w:spacing w:before="120"/>
      <w:textAlignment w:val="auto"/>
    </w:pPr>
    <w:rPr>
      <w:rFonts w:ascii="Arial" w:hAnsi="Arial"/>
      <w:color w:val="000000"/>
      <w:sz w:val="19"/>
      <w:lang w:val="en-GB" w:eastAsia="en-US"/>
    </w:rPr>
  </w:style>
  <w:style w:type="character" w:customStyle="1" w:styleId="Bulletslevel2Char">
    <w:name w:val="Bullets level 2 Char"/>
    <w:link w:val="Bulletslevel2"/>
    <w:uiPriority w:val="99"/>
    <w:locked/>
    <w:rsid w:val="006638C9"/>
    <w:rPr>
      <w:rFonts w:ascii="Arial" w:eastAsia="Times New Roman" w:hAnsi="Arial"/>
      <w:color w:val="000000"/>
      <w:sz w:val="20"/>
      <w:lang w:val="en-GB" w:eastAsia="en-US"/>
    </w:rPr>
  </w:style>
  <w:style w:type="paragraph" w:customStyle="1" w:styleId="PulloutQuote">
    <w:name w:val="Pullout Quote"/>
    <w:uiPriority w:val="99"/>
    <w:rsid w:val="006638C9"/>
    <w:pPr>
      <w:pBdr>
        <w:top w:val="single" w:sz="4" w:space="4" w:color="00A1DE"/>
      </w:pBdr>
      <w:suppressAutoHyphens/>
      <w:spacing w:line="320" w:lineRule="exact"/>
    </w:pPr>
    <w:rPr>
      <w:color w:val="00A1DE"/>
      <w:sz w:val="32"/>
      <w:szCs w:val="20"/>
      <w:lang w:val="en-GB" w:eastAsia="en-US"/>
    </w:rPr>
  </w:style>
  <w:style w:type="paragraph" w:customStyle="1" w:styleId="Highlight1">
    <w:name w:val="Highlight 1"/>
    <w:basedOn w:val="Normln"/>
    <w:uiPriority w:val="99"/>
    <w:rsid w:val="006638C9"/>
    <w:pPr>
      <w:overflowPunct/>
      <w:autoSpaceDE/>
      <w:autoSpaceDN/>
      <w:adjustRightInd/>
      <w:textAlignment w:val="auto"/>
    </w:pPr>
    <w:rPr>
      <w:rFonts w:ascii="Arial" w:hAnsi="Arial" w:cs="Arial"/>
      <w:b/>
      <w:color w:val="3C8A2E"/>
      <w:sz w:val="20"/>
      <w:szCs w:val="16"/>
      <w:lang w:eastAsia="en-US"/>
    </w:rPr>
  </w:style>
  <w:style w:type="paragraph" w:customStyle="1" w:styleId="Highlight2">
    <w:name w:val="Highlight 2"/>
    <w:basedOn w:val="Highlight1"/>
    <w:uiPriority w:val="99"/>
    <w:rsid w:val="006638C9"/>
    <w:rPr>
      <w:color w:val="92D400"/>
    </w:rPr>
  </w:style>
  <w:style w:type="paragraph" w:styleId="Obsah4">
    <w:name w:val="toc 4"/>
    <w:basedOn w:val="Normln"/>
    <w:next w:val="Normln"/>
    <w:autoRedefine/>
    <w:uiPriority w:val="99"/>
    <w:rsid w:val="006638C9"/>
    <w:pPr>
      <w:overflowPunct/>
      <w:autoSpaceDE/>
      <w:autoSpaceDN/>
      <w:adjustRightInd/>
      <w:spacing w:after="240"/>
      <w:ind w:left="720"/>
      <w:textAlignment w:val="auto"/>
    </w:pPr>
    <w:rPr>
      <w:rFonts w:ascii="Arial" w:hAnsi="Arial" w:cs="Arial"/>
      <w:sz w:val="19"/>
      <w:szCs w:val="24"/>
      <w:lang w:eastAsia="en-US"/>
    </w:rPr>
  </w:style>
  <w:style w:type="table" w:styleId="Tabulkasprostorovmiefekty1">
    <w:name w:val="Table 3D effects 1"/>
    <w:basedOn w:val="Normlntabulka"/>
    <w:uiPriority w:val="99"/>
    <w:locked/>
    <w:rsid w:val="006638C9"/>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uiPriority w:val="99"/>
    <w:rsid w:val="006638C9"/>
    <w:rPr>
      <w:rFonts w:ascii="Arial" w:hAnsi="Arial"/>
      <w:sz w:val="19"/>
      <w:szCs w:val="20"/>
    </w:rPr>
    <w:tblPr>
      <w:tblInd w:w="0" w:type="dxa"/>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cs="Times New Roman"/>
        <w:b/>
        <w:color w:val="FFFFFF"/>
        <w:sz w:val="19"/>
      </w:rPr>
      <w:tblPr/>
      <w:tcPr>
        <w:shd w:val="clear" w:color="auto" w:fill="3C8A2E"/>
      </w:tcPr>
    </w:tblStylePr>
    <w:tblStylePr w:type="firstCol">
      <w:rPr>
        <w:rFonts w:ascii="Arial" w:hAnsi="Arial" w:cs="Times New Roman"/>
        <w:sz w:val="19"/>
      </w:rPr>
      <w:tblPr>
        <w:tblCellMar>
          <w:top w:w="0" w:type="dxa"/>
          <w:left w:w="0" w:type="dxa"/>
          <w:bottom w:w="0" w:type="dxa"/>
          <w:right w:w="0" w:type="dxa"/>
        </w:tblCellMar>
      </w:tblPr>
    </w:tblStylePr>
  </w:style>
  <w:style w:type="table" w:customStyle="1" w:styleId="Deloittetable5">
    <w:name w:val="Deloitte table 5"/>
    <w:uiPriority w:val="99"/>
    <w:rsid w:val="006638C9"/>
    <w:rPr>
      <w:rFonts w:ascii="Arial" w:hAnsi="Arial"/>
      <w:sz w:val="19"/>
      <w:szCs w:val="20"/>
    </w:rPr>
    <w:tblPr>
      <w:tblInd w:w="0" w:type="dxa"/>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cs="Times New Roman"/>
        <w:b/>
        <w:color w:val="000000"/>
        <w:sz w:val="19"/>
      </w:rPr>
      <w:tblPr/>
      <w:tcPr>
        <w:shd w:val="clear" w:color="auto" w:fill="C9DD03"/>
      </w:tcPr>
    </w:tblStylePr>
    <w:tblStylePr w:type="firstCol">
      <w:pPr>
        <w:spacing w:beforeLines="0" w:beforeAutospacing="0" w:afterLines="0" w:afterAutospacing="0"/>
      </w:pPr>
      <w:rPr>
        <w:rFonts w:ascii="Arial" w:hAnsi="Arial" w:cs="Times New Roman"/>
        <w:sz w:val="19"/>
      </w:rPr>
    </w:tblStylePr>
  </w:style>
  <w:style w:type="table" w:customStyle="1" w:styleId="Style1">
    <w:name w:val="Style1"/>
    <w:uiPriority w:val="99"/>
    <w:rsid w:val="006638C9"/>
    <w:rPr>
      <w:rFonts w:ascii="Arial" w:hAnsi="Arial"/>
      <w:sz w:val="19"/>
      <w:szCs w:val="20"/>
    </w:rPr>
    <w:tblPr>
      <w:tblInd w:w="0" w:type="dxa"/>
      <w:tblCellMar>
        <w:top w:w="0" w:type="dxa"/>
        <w:left w:w="108" w:type="dxa"/>
        <w:bottom w:w="0" w:type="dxa"/>
        <w:right w:w="108" w:type="dxa"/>
      </w:tblCellMar>
    </w:tblPr>
  </w:style>
  <w:style w:type="table" w:customStyle="1" w:styleId="Deloittetable6">
    <w:name w:val="Deloitte table 6"/>
    <w:uiPriority w:val="99"/>
    <w:rsid w:val="006638C9"/>
    <w:rPr>
      <w:rFonts w:ascii="Arial" w:hAnsi="Arial"/>
      <w:sz w:val="19"/>
      <w:szCs w:val="20"/>
    </w:rPr>
    <w:tblPr>
      <w:tblInd w:w="0" w:type="dxa"/>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cs="Times New Roman"/>
        <w:b/>
        <w:color w:val="FFFFFF"/>
        <w:sz w:val="19"/>
      </w:rPr>
      <w:tblPr/>
      <w:tcPr>
        <w:shd w:val="clear" w:color="auto" w:fill="52D0FF"/>
      </w:tcPr>
    </w:tblStylePr>
    <w:tblStylePr w:type="firstCol">
      <w:pPr>
        <w:spacing w:beforeLines="0" w:beforeAutospacing="0" w:afterLines="0" w:afterAutospacing="0"/>
      </w:pPr>
      <w:rPr>
        <w:rFonts w:ascii="Arial" w:hAnsi="Arial" w:cs="Times New Roman"/>
        <w:sz w:val="19"/>
      </w:rPr>
    </w:tblStylePr>
  </w:style>
  <w:style w:type="table" w:customStyle="1" w:styleId="Deloittetable7">
    <w:name w:val="Deloitte table 7"/>
    <w:uiPriority w:val="99"/>
    <w:rsid w:val="006638C9"/>
    <w:rPr>
      <w:rFonts w:ascii="Arial" w:hAnsi="Arial"/>
      <w:sz w:val="19"/>
      <w:szCs w:val="20"/>
    </w:rPr>
    <w:tblPr>
      <w:tblInd w:w="0" w:type="dxa"/>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cs="Times New Roman"/>
        <w:b/>
        <w:color w:val="FFFFFF"/>
        <w:sz w:val="19"/>
      </w:rPr>
      <w:tblPr/>
      <w:tcPr>
        <w:shd w:val="clear" w:color="auto" w:fill="2D6823"/>
      </w:tcPr>
    </w:tblStylePr>
    <w:tblStylePr w:type="firstCol">
      <w:pPr>
        <w:spacing w:beforeLines="0" w:beforeAutospacing="0" w:afterLines="0" w:afterAutospacing="0"/>
      </w:pPr>
      <w:rPr>
        <w:rFonts w:ascii="Arial" w:hAnsi="Arial" w:cs="Times New Roman"/>
        <w:sz w:val="19"/>
      </w:rPr>
    </w:tblStylePr>
  </w:style>
  <w:style w:type="table" w:styleId="Tabulkasprostorovmiefekty3">
    <w:name w:val="Table 3D effects 3"/>
    <w:basedOn w:val="Normlntabulka"/>
    <w:uiPriority w:val="99"/>
    <w:locked/>
    <w:rsid w:val="006638C9"/>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Deloittetable8">
    <w:name w:val="Deloitte table 8"/>
    <w:uiPriority w:val="99"/>
    <w:rsid w:val="006638C9"/>
    <w:pPr>
      <w:contextualSpacing/>
    </w:pPr>
    <w:rPr>
      <w:rFonts w:ascii="Arial" w:hAnsi="Arial"/>
      <w:sz w:val="19"/>
      <w:szCs w:val="20"/>
    </w:rPr>
    <w:tblPr>
      <w:tblInd w:w="0" w:type="dxa"/>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cs="Times New Roman"/>
        <w:sz w:val="19"/>
      </w:rPr>
    </w:tblStylePr>
    <w:tblStylePr w:type="firstCol">
      <w:pPr>
        <w:spacing w:beforeLines="0" w:beforeAutospacing="0" w:afterLines="0" w:afterAutospacing="0"/>
      </w:pPr>
      <w:rPr>
        <w:rFonts w:ascii="Arial" w:hAnsi="Arial" w:cs="Times New Roman"/>
        <w:b/>
        <w:color w:val="FFFFFF"/>
        <w:sz w:val="19"/>
      </w:rPr>
      <w:tblPr/>
      <w:tcPr>
        <w:shd w:val="clear" w:color="auto" w:fill="2D6823"/>
      </w:tcPr>
    </w:tblStylePr>
  </w:style>
  <w:style w:type="table" w:customStyle="1" w:styleId="Deloittetable81">
    <w:name w:val="Deloitte table 8.1"/>
    <w:uiPriority w:val="99"/>
    <w:rsid w:val="006638C9"/>
    <w:rPr>
      <w:rFonts w:ascii="Arial" w:hAnsi="Arial"/>
      <w:sz w:val="19"/>
      <w:szCs w:val="20"/>
    </w:rPr>
    <w:tblPr>
      <w:tblInd w:w="0" w:type="dxa"/>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rFonts w:ascii="Arial" w:hAnsi="Arial" w:cs="Times New Roman"/>
        <w:sz w:val="19"/>
      </w:rPr>
    </w:tblStylePr>
    <w:tblStylePr w:type="firstCol">
      <w:pPr>
        <w:spacing w:beforeLines="0" w:beforeAutospacing="0" w:afterLines="0" w:afterAutospacing="0"/>
      </w:pPr>
      <w:rPr>
        <w:rFonts w:ascii="Arial" w:hAnsi="Arial" w:cs="Times New Roman"/>
        <w:b/>
        <w:color w:val="FFFFFF"/>
        <w:sz w:val="19"/>
      </w:rPr>
      <w:tblPr/>
      <w:tcPr>
        <w:shd w:val="clear" w:color="auto" w:fill="92D400"/>
      </w:tcPr>
    </w:tblStylePr>
  </w:style>
  <w:style w:type="table" w:customStyle="1" w:styleId="Deloittetable82">
    <w:name w:val="Deloitte table 8.2"/>
    <w:uiPriority w:val="99"/>
    <w:rsid w:val="006638C9"/>
    <w:rPr>
      <w:rFonts w:ascii="Arial" w:hAnsi="Arial"/>
      <w:sz w:val="19"/>
      <w:szCs w:val="20"/>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cs="Times New Roman"/>
        <w:sz w:val="19"/>
      </w:rPr>
    </w:tblStylePr>
    <w:tblStylePr w:type="firstCol">
      <w:pPr>
        <w:spacing w:beforeLines="0" w:beforeAutospacing="0" w:afterLines="0" w:afterAutospacing="0"/>
      </w:pPr>
      <w:rPr>
        <w:rFonts w:ascii="Arial" w:hAnsi="Arial" w:cs="Times New Roman"/>
        <w:b/>
        <w:color w:val="FFFFFF"/>
        <w:sz w:val="19"/>
      </w:rPr>
      <w:tblPr/>
      <w:tcPr>
        <w:shd w:val="clear" w:color="auto" w:fill="00A1DE"/>
      </w:tcPr>
    </w:tblStylePr>
  </w:style>
  <w:style w:type="table" w:customStyle="1" w:styleId="Deloittetable83">
    <w:name w:val="Deloitte table 8.3"/>
    <w:uiPriority w:val="99"/>
    <w:rsid w:val="006638C9"/>
    <w:rPr>
      <w:rFonts w:ascii="Arial" w:hAnsi="Arial"/>
      <w:sz w:val="19"/>
      <w:szCs w:val="20"/>
    </w:rPr>
    <w:tblPr>
      <w:tblInd w:w="0" w:type="dxa"/>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Times New Roman"/>
        <w:sz w:val="19"/>
      </w:rPr>
    </w:tblStylePr>
    <w:tblStylePr w:type="firstCol">
      <w:rPr>
        <w:rFonts w:ascii="Arial" w:hAnsi="Arial" w:cs="Times New Roman"/>
        <w:b/>
        <w:sz w:val="19"/>
      </w:rPr>
      <w:tblPr/>
      <w:tcPr>
        <w:shd w:val="clear" w:color="auto" w:fill="72C7E7"/>
      </w:tcPr>
    </w:tblStylePr>
  </w:style>
  <w:style w:type="table" w:customStyle="1" w:styleId="Deloittetable84">
    <w:name w:val="Deloitte table 8.4"/>
    <w:uiPriority w:val="99"/>
    <w:rsid w:val="006638C9"/>
    <w:rPr>
      <w:rFonts w:ascii="Arial" w:hAnsi="Arial"/>
      <w:sz w:val="19"/>
      <w:szCs w:val="20"/>
    </w:rPr>
    <w:tblPr>
      <w:tblInd w:w="0" w:type="dxa"/>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spacing w:beforeLines="0" w:beforeAutospacing="0" w:afterLines="0" w:afterAutospacing="0"/>
      </w:pPr>
      <w:rPr>
        <w:rFonts w:ascii="Arial" w:hAnsi="Arial" w:cs="Times New Roman"/>
        <w:sz w:val="19"/>
      </w:rPr>
    </w:tblStylePr>
    <w:tblStylePr w:type="firstCol">
      <w:rPr>
        <w:rFonts w:ascii="Arial" w:hAnsi="Arial" w:cs="Times New Roman"/>
        <w:b/>
        <w:color w:val="FFFFFF"/>
        <w:sz w:val="19"/>
      </w:rPr>
      <w:tblPr/>
      <w:tcPr>
        <w:shd w:val="clear" w:color="auto" w:fill="3C8A2E"/>
      </w:tcPr>
    </w:tblStylePr>
  </w:style>
  <w:style w:type="table" w:customStyle="1" w:styleId="Deloittetable85">
    <w:name w:val="Deloitte table 8.5"/>
    <w:uiPriority w:val="99"/>
    <w:rsid w:val="006638C9"/>
    <w:rPr>
      <w:rFonts w:ascii="Arial" w:hAnsi="Arial"/>
      <w:sz w:val="19"/>
      <w:szCs w:val="20"/>
    </w:rPr>
    <w:tblPr>
      <w:tblInd w:w="0" w:type="dxa"/>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cs="Times New Roman"/>
        <w:sz w:val="19"/>
      </w:rPr>
    </w:tblStylePr>
    <w:tblStylePr w:type="firstCol">
      <w:pPr>
        <w:spacing w:beforeLines="0" w:beforeAutospacing="0" w:afterLines="0" w:afterAutospacing="0"/>
      </w:pPr>
      <w:rPr>
        <w:rFonts w:ascii="Arial" w:hAnsi="Arial" w:cs="Times New Roman"/>
        <w:b/>
        <w:sz w:val="19"/>
      </w:rPr>
      <w:tblPr/>
      <w:tcPr>
        <w:shd w:val="clear" w:color="auto" w:fill="C9DD03"/>
      </w:tcPr>
    </w:tblStylePr>
  </w:style>
  <w:style w:type="table" w:customStyle="1" w:styleId="Deloittetable86">
    <w:name w:val="Deloitte table 8.6"/>
    <w:uiPriority w:val="99"/>
    <w:rsid w:val="006638C9"/>
    <w:rPr>
      <w:rFonts w:ascii="Arial" w:hAnsi="Arial"/>
      <w:sz w:val="19"/>
      <w:szCs w:val="20"/>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cs="Times New Roman"/>
        <w:sz w:val="19"/>
      </w:rPr>
    </w:tblStylePr>
    <w:tblStylePr w:type="firstCol">
      <w:pPr>
        <w:spacing w:beforeLines="0" w:beforeAutospacing="0" w:afterLines="0" w:afterAutospacing="0"/>
      </w:pPr>
      <w:rPr>
        <w:rFonts w:ascii="Arial" w:hAnsi="Arial" w:cs="Times New Roman"/>
        <w:b/>
        <w:color w:val="FFFFFF"/>
        <w:sz w:val="19"/>
      </w:rPr>
      <w:tblPr/>
      <w:tcPr>
        <w:shd w:val="clear" w:color="auto" w:fill="00A1DE"/>
      </w:tcPr>
    </w:tblStylePr>
  </w:style>
  <w:style w:type="table" w:styleId="Sloupcetabulky3">
    <w:name w:val="Table Columns 3"/>
    <w:basedOn w:val="Normlntabulka"/>
    <w:uiPriority w:val="99"/>
    <w:locked/>
    <w:rsid w:val="006638C9"/>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Barevnseznamzvraznn4">
    <w:name w:val="Colorful List Accent 4"/>
    <w:basedOn w:val="Normlntabulka"/>
    <w:uiPriority w:val="99"/>
    <w:rsid w:val="006638C9"/>
    <w:rPr>
      <w:color w:val="000000"/>
      <w:sz w:val="20"/>
      <w:szCs w:val="20"/>
    </w:rPr>
    <w:tblPr>
      <w:tblStyleRowBandSize w:val="1"/>
      <w:tblStyleColBandSize w:val="1"/>
    </w:tblPr>
    <w:tcPr>
      <w:shd w:val="clear" w:color="auto" w:fill="F1F9FC"/>
    </w:tcPr>
    <w:tblStylePr w:type="firstRow">
      <w:rPr>
        <w:rFonts w:cs="Times New Roman"/>
        <w:b/>
        <w:bCs/>
        <w:color w:val="FFFFFF"/>
      </w:rPr>
      <w:tblPr/>
      <w:tcPr>
        <w:tcBorders>
          <w:bottom w:val="single" w:sz="12" w:space="0" w:color="FFFFFF"/>
        </w:tcBorders>
        <w:shd w:val="clear" w:color="auto" w:fill="007FB1"/>
      </w:tcPr>
    </w:tblStylePr>
    <w:tblStylePr w:type="lastRow">
      <w:rPr>
        <w:rFonts w:cs="Times New Roman"/>
        <w:b/>
        <w:bCs/>
        <w:color w:val="007FB1"/>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F1F9"/>
      </w:tcPr>
    </w:tblStylePr>
    <w:tblStylePr w:type="band1Horz">
      <w:rPr>
        <w:rFonts w:cs="Times New Roman"/>
      </w:rPr>
      <w:tblPr/>
      <w:tcPr>
        <w:shd w:val="clear" w:color="auto" w:fill="E2F3FA"/>
      </w:tcPr>
    </w:tblStylePr>
  </w:style>
  <w:style w:type="table" w:styleId="Stednmka2zvraznn4">
    <w:name w:val="Medium Grid 2 Accent 4"/>
    <w:basedOn w:val="Normlntabulka"/>
    <w:uiPriority w:val="99"/>
    <w:rsid w:val="006638C9"/>
    <w:rPr>
      <w:rFonts w:ascii="Arial" w:hAnsi="Arial"/>
      <w:color w:val="000000"/>
      <w:sz w:val="20"/>
      <w:szCs w:val="20"/>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rFonts w:cs="Times New Roman"/>
        <w:b/>
        <w:bCs/>
        <w:color w:val="000000"/>
      </w:rPr>
      <w:tblPr/>
      <w:tcPr>
        <w:shd w:val="clear" w:color="auto" w:fill="F1F9F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F3FA"/>
      </w:tcPr>
    </w:tblStylePr>
    <w:tblStylePr w:type="band1Vert">
      <w:rPr>
        <w:rFonts w:cs="Times New Roman"/>
      </w:rPr>
      <w:tblPr/>
      <w:tcPr>
        <w:shd w:val="clear" w:color="auto" w:fill="B8E2F3"/>
      </w:tcPr>
    </w:tblStylePr>
    <w:tblStylePr w:type="band1Horz">
      <w:rPr>
        <w:rFonts w:cs="Times New Roman"/>
      </w:rPr>
      <w:tblPr/>
      <w:tcPr>
        <w:tcBorders>
          <w:insideH w:val="single" w:sz="6" w:space="0" w:color="72C7E7"/>
          <w:insideV w:val="single" w:sz="6" w:space="0" w:color="72C7E7"/>
        </w:tcBorders>
        <w:shd w:val="clear" w:color="auto" w:fill="B8E2F3"/>
      </w:tcPr>
    </w:tblStylePr>
    <w:tblStylePr w:type="nwCell">
      <w:rPr>
        <w:rFonts w:cs="Times New Roman"/>
      </w:rPr>
      <w:tblPr/>
      <w:tcPr>
        <w:shd w:val="clear" w:color="auto" w:fill="FFFFFF"/>
      </w:tcPr>
    </w:tblStylePr>
  </w:style>
  <w:style w:type="paragraph" w:styleId="Obsah5">
    <w:name w:val="toc 5"/>
    <w:basedOn w:val="Normln"/>
    <w:next w:val="Normln"/>
    <w:autoRedefine/>
    <w:uiPriority w:val="99"/>
    <w:rsid w:val="006638C9"/>
    <w:pPr>
      <w:overflowPunct/>
      <w:autoSpaceDE/>
      <w:autoSpaceDN/>
      <w:adjustRightInd/>
      <w:spacing w:after="100"/>
      <w:ind w:left="960"/>
      <w:textAlignment w:val="auto"/>
    </w:pPr>
    <w:rPr>
      <w:rFonts w:ascii="Arial" w:hAnsi="Arial" w:cs="Arial"/>
      <w:sz w:val="19"/>
      <w:szCs w:val="24"/>
      <w:lang w:eastAsia="en-US"/>
    </w:rPr>
  </w:style>
  <w:style w:type="paragraph" w:customStyle="1" w:styleId="Highlight3">
    <w:name w:val="Highlight 3"/>
    <w:basedOn w:val="Highlight2"/>
    <w:uiPriority w:val="99"/>
    <w:rsid w:val="006638C9"/>
    <w:rPr>
      <w:color w:val="00A1DE"/>
    </w:rPr>
  </w:style>
  <w:style w:type="paragraph" w:styleId="Nadpisobsahu">
    <w:name w:val="TOC Heading"/>
    <w:basedOn w:val="Nadpis1"/>
    <w:next w:val="Normln"/>
    <w:uiPriority w:val="99"/>
    <w:qFormat/>
    <w:rsid w:val="006638C9"/>
    <w:pPr>
      <w:numPr>
        <w:numId w:val="0"/>
      </w:numPr>
      <w:overflowPunct/>
      <w:autoSpaceDE/>
      <w:autoSpaceDN/>
      <w:adjustRightInd/>
      <w:spacing w:line="276" w:lineRule="auto"/>
      <w:jc w:val="left"/>
      <w:textAlignment w:val="auto"/>
      <w:outlineLvl w:val="9"/>
    </w:pPr>
    <w:rPr>
      <w:rFonts w:ascii="Arial" w:hAnsi="Arial"/>
      <w:color w:val="001D58"/>
      <w:sz w:val="28"/>
      <w:lang w:eastAsia="en-US"/>
    </w:rPr>
  </w:style>
  <w:style w:type="character" w:customStyle="1" w:styleId="st1">
    <w:name w:val="st1"/>
    <w:uiPriority w:val="99"/>
    <w:rsid w:val="006638C9"/>
  </w:style>
  <w:style w:type="paragraph" w:customStyle="1" w:styleId="Default">
    <w:name w:val="Default"/>
    <w:uiPriority w:val="99"/>
    <w:rsid w:val="006638C9"/>
    <w:pPr>
      <w:autoSpaceDE w:val="0"/>
      <w:autoSpaceDN w:val="0"/>
      <w:adjustRightInd w:val="0"/>
    </w:pPr>
    <w:rPr>
      <w:color w:val="000000"/>
      <w:sz w:val="24"/>
      <w:szCs w:val="24"/>
    </w:rPr>
  </w:style>
  <w:style w:type="paragraph" w:styleId="Normlnweb">
    <w:name w:val="Normal (Web)"/>
    <w:basedOn w:val="Normln"/>
    <w:uiPriority w:val="99"/>
    <w:locked/>
    <w:rsid w:val="006638C9"/>
    <w:pPr>
      <w:overflowPunct/>
      <w:autoSpaceDE/>
      <w:autoSpaceDN/>
      <w:adjustRightInd/>
      <w:spacing w:before="100" w:beforeAutospacing="1" w:after="100" w:afterAutospacing="1"/>
      <w:textAlignment w:val="auto"/>
    </w:pPr>
    <w:rPr>
      <w:rFonts w:ascii="Arial Unicode MS" w:hAnsi="Arial Unicode MS" w:cs="Arial Unicode MS"/>
      <w:sz w:val="24"/>
      <w:szCs w:val="24"/>
      <w:lang w:val="en-US"/>
    </w:rPr>
  </w:style>
  <w:style w:type="character" w:customStyle="1" w:styleId="apple-converted-space">
    <w:name w:val="apple-converted-space"/>
    <w:basedOn w:val="Standardnpsmoodstavce"/>
    <w:uiPriority w:val="99"/>
    <w:rsid w:val="006638C9"/>
    <w:rPr>
      <w:rFonts w:cs="Times New Roman"/>
    </w:rPr>
  </w:style>
  <w:style w:type="paragraph" w:customStyle="1" w:styleId="Styl1">
    <w:name w:val="Styl1"/>
    <w:basedOn w:val="Normln"/>
    <w:uiPriority w:val="99"/>
    <w:rsid w:val="006638C9"/>
    <w:pPr>
      <w:numPr>
        <w:numId w:val="63"/>
      </w:numPr>
      <w:tabs>
        <w:tab w:val="left" w:pos="540"/>
      </w:tabs>
      <w:overflowPunct/>
      <w:autoSpaceDE/>
      <w:autoSpaceDN/>
      <w:adjustRightInd/>
      <w:spacing w:after="60"/>
      <w:jc w:val="center"/>
      <w:textAlignment w:val="auto"/>
    </w:pPr>
    <w:rPr>
      <w:rFonts w:ascii="Cambria" w:hAnsi="Cambria" w:cs="Arial"/>
      <w:b/>
      <w:szCs w:val="22"/>
    </w:rPr>
  </w:style>
  <w:style w:type="paragraph" w:customStyle="1" w:styleId="Zkladntext21">
    <w:name w:val="Základní text 21"/>
    <w:basedOn w:val="Default"/>
    <w:next w:val="Default"/>
    <w:uiPriority w:val="99"/>
    <w:rsid w:val="006638C9"/>
    <w:rPr>
      <w:rFonts w:ascii="Tahoma" w:hAnsi="Tahoma" w:cs="Tahoma"/>
      <w:color w:val="auto"/>
    </w:rPr>
  </w:style>
  <w:style w:type="character" w:styleId="Siln">
    <w:name w:val="Strong"/>
    <w:basedOn w:val="Standardnpsmoodstavce"/>
    <w:uiPriority w:val="99"/>
    <w:qFormat/>
    <w:rsid w:val="006638C9"/>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ln">
    <w:name w:val="Normal"/>
    <w:qFormat/>
    <w:rsid w:val="00A21A86"/>
    <w:pPr>
      <w:overflowPunct w:val="0"/>
      <w:autoSpaceDE w:val="0"/>
      <w:autoSpaceDN w:val="0"/>
      <w:adjustRightInd w:val="0"/>
      <w:jc w:val="both"/>
      <w:textAlignment w:val="baseline"/>
    </w:pPr>
    <w:rPr>
      <w:rFonts w:ascii="Calibri" w:hAnsi="Calibri"/>
      <w:szCs w:val="20"/>
    </w:rPr>
  </w:style>
  <w:style w:type="paragraph" w:styleId="Nadpis1">
    <w:name w:val="heading 1"/>
    <w:basedOn w:val="Normln"/>
    <w:next w:val="Normln"/>
    <w:link w:val="Nadpis1Char"/>
    <w:uiPriority w:val="99"/>
    <w:qFormat/>
    <w:rsid w:val="00F75FB4"/>
    <w:pPr>
      <w:keepNext/>
      <w:keepLines/>
      <w:numPr>
        <w:numId w:val="2"/>
      </w:numPr>
      <w:spacing w:before="480"/>
      <w:outlineLvl w:val="0"/>
    </w:pPr>
    <w:rPr>
      <w:rFonts w:ascii="Cambria" w:hAnsi="Cambria"/>
      <w:b/>
      <w:bCs/>
      <w:color w:val="1F497D"/>
      <w:sz w:val="32"/>
      <w:szCs w:val="28"/>
    </w:rPr>
  </w:style>
  <w:style w:type="paragraph" w:styleId="Nadpis2">
    <w:name w:val="heading 2"/>
    <w:basedOn w:val="Normln"/>
    <w:next w:val="Normln"/>
    <w:link w:val="Nadpis2Char"/>
    <w:uiPriority w:val="99"/>
    <w:qFormat/>
    <w:rsid w:val="00CC70F8"/>
    <w:pPr>
      <w:keepNext/>
      <w:keepLines/>
      <w:numPr>
        <w:ilvl w:val="1"/>
        <w:numId w:val="2"/>
      </w:numPr>
      <w:spacing w:before="200" w:after="240"/>
      <w:outlineLvl w:val="1"/>
    </w:pPr>
    <w:rPr>
      <w:rFonts w:ascii="Cambria" w:hAnsi="Cambria"/>
      <w:b/>
      <w:bCs/>
      <w:color w:val="548DD4"/>
      <w:sz w:val="28"/>
      <w:szCs w:val="26"/>
    </w:rPr>
  </w:style>
  <w:style w:type="paragraph" w:styleId="Nadpis3">
    <w:name w:val="heading 3"/>
    <w:basedOn w:val="Normln"/>
    <w:next w:val="Normln"/>
    <w:link w:val="Nadpis3Char"/>
    <w:uiPriority w:val="99"/>
    <w:qFormat/>
    <w:rsid w:val="009D1228"/>
    <w:pPr>
      <w:keepNext/>
      <w:keepLines/>
      <w:numPr>
        <w:ilvl w:val="2"/>
        <w:numId w:val="2"/>
      </w:numPr>
      <w:spacing w:before="200" w:after="240"/>
      <w:outlineLvl w:val="2"/>
    </w:pPr>
    <w:rPr>
      <w:rFonts w:ascii="Cambria" w:hAnsi="Cambria"/>
      <w:b/>
      <w:bCs/>
      <w:color w:val="548DD4"/>
      <w:sz w:val="28"/>
    </w:rPr>
  </w:style>
  <w:style w:type="paragraph" w:styleId="Nadpis4">
    <w:name w:val="heading 4"/>
    <w:basedOn w:val="Normln"/>
    <w:next w:val="Normln"/>
    <w:link w:val="Nadpis4Char"/>
    <w:uiPriority w:val="99"/>
    <w:qFormat/>
    <w:rsid w:val="00B9734A"/>
    <w:pPr>
      <w:keepNext/>
      <w:keepLines/>
      <w:numPr>
        <w:ilvl w:val="3"/>
        <w:numId w:val="2"/>
      </w:numPr>
      <w:spacing w:before="200"/>
      <w:outlineLvl w:val="3"/>
    </w:pPr>
    <w:rPr>
      <w:rFonts w:ascii="Cambria" w:hAnsi="Cambria"/>
      <w:b/>
      <w:bCs/>
      <w:i/>
      <w:iCs/>
      <w:color w:val="4F81BD"/>
    </w:rPr>
  </w:style>
  <w:style w:type="paragraph" w:styleId="Nadpis5">
    <w:name w:val="heading 5"/>
    <w:basedOn w:val="Normln"/>
    <w:next w:val="Normln"/>
    <w:link w:val="Nadpis5Char"/>
    <w:uiPriority w:val="99"/>
    <w:qFormat/>
    <w:rsid w:val="00B9734A"/>
    <w:pPr>
      <w:keepNext/>
      <w:keepLines/>
      <w:numPr>
        <w:ilvl w:val="4"/>
        <w:numId w:val="2"/>
      </w:numPr>
      <w:spacing w:before="200"/>
      <w:outlineLvl w:val="4"/>
    </w:pPr>
    <w:rPr>
      <w:rFonts w:ascii="Cambria" w:hAnsi="Cambria"/>
      <w:color w:val="243F60"/>
    </w:rPr>
  </w:style>
  <w:style w:type="paragraph" w:styleId="Nadpis6">
    <w:name w:val="heading 6"/>
    <w:basedOn w:val="Normln"/>
    <w:next w:val="Normln"/>
    <w:link w:val="Nadpis6Char"/>
    <w:uiPriority w:val="99"/>
    <w:qFormat/>
    <w:rsid w:val="00B9734A"/>
    <w:pPr>
      <w:keepNext/>
      <w:keepLines/>
      <w:numPr>
        <w:ilvl w:val="5"/>
        <w:numId w:val="2"/>
      </w:numPr>
      <w:spacing w:before="200"/>
      <w:outlineLvl w:val="5"/>
    </w:pPr>
    <w:rPr>
      <w:rFonts w:ascii="Cambria" w:hAnsi="Cambria"/>
      <w:i/>
      <w:iCs/>
      <w:color w:val="243F60"/>
    </w:rPr>
  </w:style>
  <w:style w:type="paragraph" w:styleId="Nadpis7">
    <w:name w:val="heading 7"/>
    <w:basedOn w:val="Normln"/>
    <w:next w:val="Normln"/>
    <w:link w:val="Nadpis7Char"/>
    <w:uiPriority w:val="99"/>
    <w:qFormat/>
    <w:rsid w:val="00B9734A"/>
    <w:pPr>
      <w:keepNext/>
      <w:keepLines/>
      <w:numPr>
        <w:ilvl w:val="6"/>
        <w:numId w:val="2"/>
      </w:numPr>
      <w:spacing w:before="200"/>
      <w:outlineLvl w:val="6"/>
    </w:pPr>
    <w:rPr>
      <w:rFonts w:ascii="Cambria" w:hAnsi="Cambria"/>
      <w:i/>
      <w:iCs/>
      <w:color w:val="404040"/>
    </w:rPr>
  </w:style>
  <w:style w:type="paragraph" w:styleId="Nadpis8">
    <w:name w:val="heading 8"/>
    <w:basedOn w:val="Normln"/>
    <w:next w:val="Normln"/>
    <w:link w:val="Nadpis8Char"/>
    <w:uiPriority w:val="99"/>
    <w:qFormat/>
    <w:rsid w:val="00B9734A"/>
    <w:pPr>
      <w:keepNext/>
      <w:keepLines/>
      <w:numPr>
        <w:ilvl w:val="7"/>
        <w:numId w:val="2"/>
      </w:numPr>
      <w:spacing w:before="200"/>
      <w:outlineLvl w:val="7"/>
    </w:pPr>
    <w:rPr>
      <w:rFonts w:ascii="Cambria" w:hAnsi="Cambria"/>
      <w:color w:val="404040"/>
      <w:sz w:val="20"/>
    </w:rPr>
  </w:style>
  <w:style w:type="paragraph" w:styleId="Nadpis9">
    <w:name w:val="heading 9"/>
    <w:basedOn w:val="Normln"/>
    <w:next w:val="Normln"/>
    <w:link w:val="Nadpis9Char"/>
    <w:uiPriority w:val="99"/>
    <w:qFormat/>
    <w:rsid w:val="00B9734A"/>
    <w:pPr>
      <w:keepNext/>
      <w:keepLines/>
      <w:numPr>
        <w:ilvl w:val="8"/>
        <w:numId w:val="2"/>
      </w:numPr>
      <w:spacing w:before="20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75FB4"/>
    <w:rPr>
      <w:rFonts w:ascii="Cambria" w:hAnsi="Cambria" w:cs="Times New Roman"/>
      <w:b/>
      <w:bCs/>
      <w:color w:val="1F497D"/>
      <w:sz w:val="28"/>
      <w:szCs w:val="28"/>
    </w:rPr>
  </w:style>
  <w:style w:type="character" w:customStyle="1" w:styleId="Nadpis2Char">
    <w:name w:val="Nadpis 2 Char"/>
    <w:basedOn w:val="Standardnpsmoodstavce"/>
    <w:link w:val="Nadpis2"/>
    <w:uiPriority w:val="99"/>
    <w:locked/>
    <w:rsid w:val="00CC70F8"/>
    <w:rPr>
      <w:rFonts w:ascii="Cambria" w:hAnsi="Cambria" w:cs="Times New Roman"/>
      <w:b/>
      <w:bCs/>
      <w:color w:val="548DD4"/>
      <w:sz w:val="26"/>
      <w:szCs w:val="26"/>
      <w:lang w:val="cs-CZ" w:eastAsia="cs-CZ" w:bidi="ar-SA"/>
    </w:rPr>
  </w:style>
  <w:style w:type="character" w:customStyle="1" w:styleId="Nadpis3Char">
    <w:name w:val="Nadpis 3 Char"/>
    <w:basedOn w:val="Standardnpsmoodstavce"/>
    <w:link w:val="Nadpis3"/>
    <w:uiPriority w:val="99"/>
    <w:locked/>
    <w:rsid w:val="009D1228"/>
    <w:rPr>
      <w:rFonts w:ascii="Cambria" w:hAnsi="Cambria" w:cs="Times New Roman"/>
      <w:b/>
      <w:bCs/>
      <w:color w:val="548DD4"/>
      <w:sz w:val="28"/>
      <w:lang w:val="cs-CZ" w:eastAsia="cs-CZ" w:bidi="ar-SA"/>
    </w:rPr>
  </w:style>
  <w:style w:type="character" w:customStyle="1" w:styleId="Nadpis4Char">
    <w:name w:val="Nadpis 4 Char"/>
    <w:basedOn w:val="Standardnpsmoodstavce"/>
    <w:link w:val="Nadpis4"/>
    <w:uiPriority w:val="99"/>
    <w:locked/>
    <w:rsid w:val="00B9734A"/>
    <w:rPr>
      <w:rFonts w:ascii="Cambria" w:hAnsi="Cambria" w:cs="Times New Roman"/>
      <w:b/>
      <w:bCs/>
      <w:i/>
      <w:iCs/>
      <w:color w:val="4F81BD"/>
      <w:sz w:val="22"/>
      <w:lang w:val="cs-CZ" w:eastAsia="cs-CZ" w:bidi="ar-SA"/>
    </w:rPr>
  </w:style>
  <w:style w:type="character" w:customStyle="1" w:styleId="Nadpis5Char">
    <w:name w:val="Nadpis 5 Char"/>
    <w:basedOn w:val="Standardnpsmoodstavce"/>
    <w:link w:val="Nadpis5"/>
    <w:uiPriority w:val="99"/>
    <w:locked/>
    <w:rsid w:val="00B9734A"/>
    <w:rPr>
      <w:rFonts w:ascii="Cambria" w:hAnsi="Cambria" w:cs="Times New Roman"/>
      <w:color w:val="243F60"/>
      <w:sz w:val="22"/>
      <w:lang w:val="cs-CZ" w:eastAsia="cs-CZ" w:bidi="ar-SA"/>
    </w:rPr>
  </w:style>
  <w:style w:type="character" w:customStyle="1" w:styleId="Nadpis6Char">
    <w:name w:val="Nadpis 6 Char"/>
    <w:basedOn w:val="Standardnpsmoodstavce"/>
    <w:link w:val="Nadpis6"/>
    <w:uiPriority w:val="99"/>
    <w:locked/>
    <w:rsid w:val="00B9734A"/>
    <w:rPr>
      <w:rFonts w:ascii="Cambria" w:hAnsi="Cambria" w:cs="Times New Roman"/>
      <w:i/>
      <w:iCs/>
      <w:color w:val="243F60"/>
      <w:sz w:val="22"/>
      <w:lang w:val="cs-CZ" w:eastAsia="cs-CZ" w:bidi="ar-SA"/>
    </w:rPr>
  </w:style>
  <w:style w:type="character" w:customStyle="1" w:styleId="Nadpis7Char">
    <w:name w:val="Nadpis 7 Char"/>
    <w:basedOn w:val="Standardnpsmoodstavce"/>
    <w:link w:val="Nadpis7"/>
    <w:uiPriority w:val="99"/>
    <w:locked/>
    <w:rsid w:val="00B9734A"/>
    <w:rPr>
      <w:rFonts w:ascii="Cambria" w:hAnsi="Cambria" w:cs="Times New Roman"/>
      <w:i/>
      <w:iCs/>
      <w:color w:val="404040"/>
      <w:sz w:val="22"/>
      <w:lang w:val="cs-CZ" w:eastAsia="cs-CZ" w:bidi="ar-SA"/>
    </w:rPr>
  </w:style>
  <w:style w:type="character" w:customStyle="1" w:styleId="Nadpis8Char">
    <w:name w:val="Nadpis 8 Char"/>
    <w:basedOn w:val="Standardnpsmoodstavce"/>
    <w:link w:val="Nadpis8"/>
    <w:uiPriority w:val="99"/>
    <w:semiHidden/>
    <w:locked/>
    <w:rsid w:val="00B9734A"/>
    <w:rPr>
      <w:rFonts w:ascii="Cambria" w:hAnsi="Cambria" w:cs="Times New Roman"/>
      <w:color w:val="404040"/>
      <w:lang w:val="cs-CZ" w:eastAsia="cs-CZ" w:bidi="ar-SA"/>
    </w:rPr>
  </w:style>
  <w:style w:type="character" w:customStyle="1" w:styleId="Nadpis9Char">
    <w:name w:val="Nadpis 9 Char"/>
    <w:basedOn w:val="Standardnpsmoodstavce"/>
    <w:link w:val="Nadpis9"/>
    <w:uiPriority w:val="99"/>
    <w:semiHidden/>
    <w:locked/>
    <w:rsid w:val="00B9734A"/>
    <w:rPr>
      <w:rFonts w:ascii="Cambria" w:hAnsi="Cambria" w:cs="Times New Roman"/>
      <w:i/>
      <w:iCs/>
      <w:color w:val="404040"/>
      <w:lang w:val="cs-CZ" w:eastAsia="cs-CZ" w:bidi="ar-SA"/>
    </w:rPr>
  </w:style>
  <w:style w:type="paragraph" w:styleId="Textbubliny">
    <w:name w:val="Balloon Text"/>
    <w:basedOn w:val="Normln"/>
    <w:link w:val="TextbublinyChar"/>
    <w:uiPriority w:val="99"/>
    <w:semiHidden/>
    <w:rsid w:val="003709F3"/>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3709F3"/>
    <w:rPr>
      <w:rFonts w:ascii="Tahoma" w:hAnsi="Tahoma" w:cs="Tahoma"/>
      <w:sz w:val="16"/>
      <w:szCs w:val="16"/>
    </w:rPr>
  </w:style>
  <w:style w:type="paragraph" w:styleId="Zhlav">
    <w:name w:val="header"/>
    <w:basedOn w:val="Normln"/>
    <w:link w:val="ZhlavChar"/>
    <w:uiPriority w:val="99"/>
    <w:rsid w:val="006561E1"/>
    <w:pPr>
      <w:tabs>
        <w:tab w:val="center" w:pos="4536"/>
        <w:tab w:val="right" w:pos="9072"/>
      </w:tabs>
    </w:pPr>
  </w:style>
  <w:style w:type="character" w:customStyle="1" w:styleId="ZhlavChar">
    <w:name w:val="Záhlaví Char"/>
    <w:basedOn w:val="Standardnpsmoodstavce"/>
    <w:link w:val="Zhlav"/>
    <w:uiPriority w:val="99"/>
    <w:locked/>
    <w:rsid w:val="006561E1"/>
    <w:rPr>
      <w:rFonts w:ascii="Calibri" w:hAnsi="Calibri" w:cs="Times New Roman"/>
      <w:sz w:val="22"/>
    </w:rPr>
  </w:style>
  <w:style w:type="paragraph" w:styleId="Zpat">
    <w:name w:val="footer"/>
    <w:basedOn w:val="Normln"/>
    <w:link w:val="ZpatChar"/>
    <w:uiPriority w:val="99"/>
    <w:rsid w:val="006561E1"/>
    <w:pPr>
      <w:tabs>
        <w:tab w:val="center" w:pos="4536"/>
        <w:tab w:val="right" w:pos="9072"/>
      </w:tabs>
    </w:pPr>
  </w:style>
  <w:style w:type="character" w:customStyle="1" w:styleId="ZpatChar">
    <w:name w:val="Zápatí Char"/>
    <w:basedOn w:val="Standardnpsmoodstavce"/>
    <w:link w:val="Zpat"/>
    <w:uiPriority w:val="99"/>
    <w:locked/>
    <w:rsid w:val="006561E1"/>
    <w:rPr>
      <w:rFonts w:ascii="Calibri" w:hAnsi="Calibri" w:cs="Times New Roman"/>
      <w:sz w:val="22"/>
    </w:rPr>
  </w:style>
  <w:style w:type="character" w:styleId="Hypertextovodkaz">
    <w:name w:val="Hyperlink"/>
    <w:basedOn w:val="Standardnpsmoodstavce"/>
    <w:uiPriority w:val="99"/>
    <w:rsid w:val="000C1B4F"/>
    <w:rPr>
      <w:rFonts w:cs="Times New Roman"/>
      <w:color w:val="0000FF"/>
      <w:u w:val="single"/>
    </w:rPr>
  </w:style>
  <w:style w:type="character" w:styleId="slostrnky">
    <w:name w:val="page number"/>
    <w:basedOn w:val="Standardnpsmoodstavce"/>
    <w:uiPriority w:val="99"/>
    <w:rsid w:val="000C1B4F"/>
    <w:rPr>
      <w:rFonts w:cs="Times New Roman"/>
    </w:rPr>
  </w:style>
  <w:style w:type="paragraph" w:styleId="Odstavecseseznamem">
    <w:name w:val="List Paragraph"/>
    <w:aliases w:val="Odstavec cíl se seznamem,Odstavec se seznamem1,Nad,Odstavec se seznamem5"/>
    <w:basedOn w:val="Normln"/>
    <w:link w:val="OdstavecseseznamemChar"/>
    <w:uiPriority w:val="99"/>
    <w:qFormat/>
    <w:rsid w:val="00EB7775"/>
    <w:pPr>
      <w:ind w:left="720"/>
      <w:contextualSpacing/>
    </w:pPr>
  </w:style>
  <w:style w:type="character" w:customStyle="1" w:styleId="OdstavecseseznamemChar">
    <w:name w:val="Odstavec se seznamem Char"/>
    <w:aliases w:val="Odstavec cíl se seznamem Char,Odstavec se seznamem1 Char,Nad Char,Odstavec se seznamem5 Char"/>
    <w:link w:val="Odstavecseseznamem"/>
    <w:uiPriority w:val="99"/>
    <w:locked/>
    <w:rsid w:val="008346A6"/>
    <w:rPr>
      <w:rFonts w:ascii="Calibri" w:hAnsi="Calibri"/>
      <w:sz w:val="22"/>
    </w:rPr>
  </w:style>
  <w:style w:type="character" w:styleId="Znakapoznpodarou">
    <w:name w:val="footnote reference"/>
    <w:aliases w:val="Überschrift 4 Zchn1,Título 4 Car Zchn,Heading 4 Char1 Car Zchn,no vale 2 Zchn,no vale 2 Car Zchn,PGI Fußnote Ziffer,BVI fnr,Footnote symbol,Footnote Reference Superscript,Appel note de bas de p,Appel note de bas de page,Légende"/>
    <w:basedOn w:val="Standardnpsmoodstavce"/>
    <w:uiPriority w:val="99"/>
    <w:rsid w:val="00CC70F8"/>
    <w:rPr>
      <w:rFonts w:ascii="Arial" w:hAnsi="Arial" w:cs="Times New Roman"/>
      <w:sz w:val="16"/>
      <w:vertAlign w:val="superscript"/>
    </w:rPr>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fn"/>
    <w:basedOn w:val="Normln"/>
    <w:link w:val="TextpoznpodarouChar"/>
    <w:uiPriority w:val="99"/>
    <w:rsid w:val="00CC70F8"/>
    <w:pPr>
      <w:overflowPunct/>
      <w:autoSpaceDE/>
      <w:autoSpaceDN/>
      <w:adjustRightInd/>
      <w:textAlignment w:val="auto"/>
    </w:pPr>
    <w:rPr>
      <w:rFonts w:ascii="Arial" w:hAnsi="Arial" w:cs="Arial"/>
      <w:sz w:val="16"/>
      <w:lang w:eastAsia="en-US"/>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locked/>
    <w:rsid w:val="00CC70F8"/>
    <w:rPr>
      <w:rFonts w:ascii="Arial" w:hAnsi="Arial" w:cs="Arial"/>
      <w:sz w:val="16"/>
      <w:lang w:eastAsia="en-US"/>
    </w:rPr>
  </w:style>
  <w:style w:type="paragraph" w:styleId="Titulek">
    <w:name w:val="caption"/>
    <w:basedOn w:val="Normln"/>
    <w:next w:val="Normln"/>
    <w:link w:val="TitulekChar"/>
    <w:uiPriority w:val="99"/>
    <w:qFormat/>
    <w:rsid w:val="00CC70F8"/>
    <w:pPr>
      <w:overflowPunct/>
      <w:autoSpaceDE/>
      <w:autoSpaceDN/>
      <w:adjustRightInd/>
      <w:textAlignment w:val="auto"/>
    </w:pPr>
    <w:rPr>
      <w:rFonts w:ascii="Arial" w:hAnsi="Arial" w:cs="Arial"/>
      <w:b/>
      <w:bCs/>
      <w:color w:val="4F81BD"/>
      <w:sz w:val="20"/>
      <w:lang w:eastAsia="en-US"/>
    </w:rPr>
  </w:style>
  <w:style w:type="character" w:customStyle="1" w:styleId="TitulekChar">
    <w:name w:val="Titulek Char"/>
    <w:basedOn w:val="Standardnpsmoodstavce"/>
    <w:link w:val="Titulek"/>
    <w:uiPriority w:val="99"/>
    <w:locked/>
    <w:rsid w:val="00CC70F8"/>
    <w:rPr>
      <w:rFonts w:ascii="Arial" w:hAnsi="Arial" w:cs="Arial"/>
      <w:b/>
      <w:bCs/>
      <w:color w:val="4F81BD"/>
      <w:lang w:eastAsia="en-US"/>
    </w:rPr>
  </w:style>
  <w:style w:type="table" w:customStyle="1" w:styleId="TableGridLight1">
    <w:name w:val="Table Grid Light1"/>
    <w:uiPriority w:val="99"/>
    <w:rsid w:val="00CC70F8"/>
    <w:rPr>
      <w:sz w:val="20"/>
      <w:szCs w:val="20"/>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eslovannadpisy">
    <w:name w:val="Nečíslované nadpisy"/>
    <w:basedOn w:val="Normln"/>
    <w:uiPriority w:val="99"/>
    <w:rsid w:val="00A57419"/>
    <w:pPr>
      <w:spacing w:after="120"/>
    </w:pPr>
    <w:rPr>
      <w:b/>
      <w:color w:val="18B462"/>
    </w:rPr>
  </w:style>
  <w:style w:type="table" w:customStyle="1" w:styleId="Deloittetable1">
    <w:name w:val="Deloitte table 1"/>
    <w:uiPriority w:val="99"/>
    <w:rsid w:val="00A21A86"/>
    <w:rPr>
      <w:rFonts w:ascii="Arial" w:hAnsi="Arial"/>
      <w:sz w:val="19"/>
      <w:szCs w:val="20"/>
    </w:rPr>
    <w:tblPr>
      <w:tblInd w:w="0" w:type="dxa"/>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paragraph" w:customStyle="1" w:styleId="Vtneslovannadpis">
    <w:name w:val="Větší nečíslovaný nadpis"/>
    <w:basedOn w:val="Neslovannadpisy"/>
    <w:uiPriority w:val="99"/>
    <w:rsid w:val="00A21A86"/>
    <w:pPr>
      <w:spacing w:after="240"/>
    </w:pPr>
    <w:rPr>
      <w:rFonts w:ascii="Cambria" w:hAnsi="Cambria"/>
      <w:color w:val="548DD4"/>
      <w:sz w:val="24"/>
    </w:rPr>
  </w:style>
  <w:style w:type="table" w:styleId="Mkatabulky">
    <w:name w:val="Table Grid"/>
    <w:aliases w:val="Deloitte table 3"/>
    <w:basedOn w:val="Normlntabulka"/>
    <w:uiPriority w:val="99"/>
    <w:rsid w:val="002B7553"/>
    <w:rPr>
      <w:rFonts w:ascii="Arial" w:hAnsi="Arial"/>
      <w:sz w:val="19"/>
      <w:szCs w:val="20"/>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Times New Roman"/>
        <w:b/>
        <w:color w:val="FFFFFF"/>
        <w:sz w:val="19"/>
      </w:rPr>
      <w:tblPr/>
      <w:tcPr>
        <w:shd w:val="clear" w:color="auto" w:fill="72C7E7"/>
      </w:tcPr>
    </w:tblStylePr>
    <w:tblStylePr w:type="firstCol">
      <w:rPr>
        <w:rFonts w:ascii="Arial" w:hAnsi="Arial" w:cs="Times New Roman"/>
        <w:sz w:val="19"/>
      </w:rPr>
    </w:tblStylePr>
  </w:style>
  <w:style w:type="paragraph" w:customStyle="1" w:styleId="Textpspvku">
    <w:name w:val="Text příspěvku"/>
    <w:basedOn w:val="Normln"/>
    <w:uiPriority w:val="99"/>
    <w:rsid w:val="00FF70E4"/>
    <w:pPr>
      <w:tabs>
        <w:tab w:val="left" w:pos="284"/>
      </w:tabs>
      <w:overflowPunct/>
      <w:autoSpaceDE/>
      <w:autoSpaceDN/>
      <w:adjustRightInd/>
      <w:spacing w:after="120"/>
      <w:textAlignment w:val="auto"/>
    </w:pPr>
    <w:rPr>
      <w:szCs w:val="24"/>
      <w:lang w:eastAsia="en-US"/>
    </w:rPr>
  </w:style>
  <w:style w:type="table" w:customStyle="1" w:styleId="Deloittetable2">
    <w:name w:val="Deloitte table 2"/>
    <w:uiPriority w:val="99"/>
    <w:rsid w:val="00E528C8"/>
    <w:rPr>
      <w:rFonts w:ascii="Arial" w:hAnsi="Arial"/>
      <w:sz w:val="19"/>
      <w:szCs w:val="20"/>
    </w:rPr>
    <w:tblPr>
      <w:tblInd w:w="0" w:type="dxa"/>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character" w:customStyle="1" w:styleId="BodytextChar">
    <w:name w:val="Body text Char"/>
    <w:link w:val="BodyText1"/>
    <w:uiPriority w:val="99"/>
    <w:locked/>
    <w:rsid w:val="00416BF2"/>
    <w:rPr>
      <w:rFonts w:ascii="Arial" w:hAnsi="Arial"/>
      <w:color w:val="000000"/>
      <w:sz w:val="48"/>
      <w:lang w:val="cs-CZ" w:eastAsia="en-US"/>
    </w:rPr>
  </w:style>
  <w:style w:type="paragraph" w:customStyle="1" w:styleId="BodyText1">
    <w:name w:val="Body Text1"/>
    <w:link w:val="BodytextChar"/>
    <w:uiPriority w:val="99"/>
    <w:rsid w:val="00416BF2"/>
    <w:rPr>
      <w:rFonts w:ascii="Arial" w:hAnsi="Arial" w:cs="Arial"/>
      <w:color w:val="000000"/>
      <w:sz w:val="19"/>
      <w:szCs w:val="48"/>
      <w:lang w:eastAsia="en-US"/>
    </w:rPr>
  </w:style>
  <w:style w:type="character" w:styleId="Odkaznakoment">
    <w:name w:val="annotation reference"/>
    <w:basedOn w:val="Standardnpsmoodstavce"/>
    <w:uiPriority w:val="99"/>
    <w:rsid w:val="001F3C28"/>
    <w:rPr>
      <w:rFonts w:cs="Times New Roman"/>
      <w:sz w:val="16"/>
      <w:szCs w:val="16"/>
    </w:rPr>
  </w:style>
  <w:style w:type="paragraph" w:styleId="Textkomente">
    <w:name w:val="annotation text"/>
    <w:basedOn w:val="Normln"/>
    <w:link w:val="TextkomenteChar"/>
    <w:uiPriority w:val="99"/>
    <w:rsid w:val="001F3C28"/>
    <w:rPr>
      <w:sz w:val="20"/>
    </w:rPr>
  </w:style>
  <w:style w:type="character" w:customStyle="1" w:styleId="TextkomenteChar">
    <w:name w:val="Text komentáře Char"/>
    <w:basedOn w:val="Standardnpsmoodstavce"/>
    <w:link w:val="Textkomente"/>
    <w:uiPriority w:val="99"/>
    <w:locked/>
    <w:rsid w:val="001F3C28"/>
    <w:rPr>
      <w:rFonts w:ascii="Calibri" w:hAnsi="Calibri" w:cs="Times New Roman"/>
    </w:rPr>
  </w:style>
  <w:style w:type="paragraph" w:styleId="Pedmtkomente">
    <w:name w:val="annotation subject"/>
    <w:basedOn w:val="Textkomente"/>
    <w:next w:val="Textkomente"/>
    <w:link w:val="PedmtkomenteChar"/>
    <w:uiPriority w:val="99"/>
    <w:rsid w:val="001F3C28"/>
    <w:rPr>
      <w:b/>
      <w:bCs/>
    </w:rPr>
  </w:style>
  <w:style w:type="character" w:customStyle="1" w:styleId="PedmtkomenteChar">
    <w:name w:val="Předmět komentáře Char"/>
    <w:basedOn w:val="TextkomenteChar"/>
    <w:link w:val="Pedmtkomente"/>
    <w:uiPriority w:val="99"/>
    <w:locked/>
    <w:rsid w:val="001F3C28"/>
    <w:rPr>
      <w:rFonts w:ascii="Calibri" w:hAnsi="Calibri" w:cs="Times New Roman"/>
      <w:b/>
      <w:bCs/>
    </w:rPr>
  </w:style>
  <w:style w:type="paragraph" w:styleId="Obsah1">
    <w:name w:val="toc 1"/>
    <w:basedOn w:val="Normln"/>
    <w:next w:val="Normln"/>
    <w:autoRedefine/>
    <w:uiPriority w:val="99"/>
    <w:locked/>
    <w:rsid w:val="006075D5"/>
    <w:pPr>
      <w:tabs>
        <w:tab w:val="left" w:pos="426"/>
        <w:tab w:val="right" w:leader="dot" w:pos="9060"/>
      </w:tabs>
    </w:pPr>
  </w:style>
  <w:style w:type="paragraph" w:styleId="Obsah2">
    <w:name w:val="toc 2"/>
    <w:basedOn w:val="Normln"/>
    <w:next w:val="Normln"/>
    <w:autoRedefine/>
    <w:uiPriority w:val="99"/>
    <w:locked/>
    <w:rsid w:val="0022745A"/>
    <w:pPr>
      <w:ind w:left="220"/>
    </w:pPr>
  </w:style>
  <w:style w:type="paragraph" w:styleId="Obsah3">
    <w:name w:val="toc 3"/>
    <w:basedOn w:val="Normln"/>
    <w:next w:val="Normln"/>
    <w:autoRedefine/>
    <w:uiPriority w:val="99"/>
    <w:locked/>
    <w:rsid w:val="0022745A"/>
    <w:pPr>
      <w:ind w:left="440"/>
    </w:pPr>
  </w:style>
  <w:style w:type="character" w:customStyle="1" w:styleId="hps">
    <w:name w:val="hps"/>
    <w:basedOn w:val="Standardnpsmoodstavce"/>
    <w:uiPriority w:val="99"/>
    <w:rsid w:val="009F5E79"/>
    <w:rPr>
      <w:rFonts w:cs="Times New Roman"/>
    </w:rPr>
  </w:style>
  <w:style w:type="paragraph" w:styleId="Zkladntext">
    <w:name w:val="Body Text"/>
    <w:basedOn w:val="Normln"/>
    <w:link w:val="ZkladntextChar"/>
    <w:uiPriority w:val="99"/>
    <w:locked/>
    <w:rsid w:val="00BF6C4F"/>
    <w:pPr>
      <w:overflowPunct/>
      <w:autoSpaceDE/>
      <w:autoSpaceDN/>
      <w:adjustRightInd/>
      <w:spacing w:after="240" w:line="240" w:lineRule="atLeast"/>
      <w:textAlignment w:val="auto"/>
    </w:pPr>
    <w:rPr>
      <w:rFonts w:ascii="Georgia" w:hAnsi="Georgia"/>
      <w:sz w:val="24"/>
      <w:lang w:eastAsia="en-US"/>
    </w:rPr>
  </w:style>
  <w:style w:type="character" w:customStyle="1" w:styleId="ZkladntextChar">
    <w:name w:val="Základní text Char"/>
    <w:basedOn w:val="Standardnpsmoodstavce"/>
    <w:link w:val="Zkladntext"/>
    <w:uiPriority w:val="99"/>
    <w:locked/>
    <w:rsid w:val="00BF6C4F"/>
    <w:rPr>
      <w:rFonts w:ascii="Georgia" w:hAnsi="Georgia" w:cs="Times New Roman"/>
      <w:sz w:val="24"/>
      <w:lang w:val="cs-CZ" w:eastAsia="en-US" w:bidi="ar-SA"/>
    </w:rPr>
  </w:style>
  <w:style w:type="paragraph" w:customStyle="1" w:styleId="Legalentity">
    <w:name w:val="Legal entity"/>
    <w:basedOn w:val="Normln"/>
    <w:uiPriority w:val="99"/>
    <w:rsid w:val="006638C9"/>
    <w:pPr>
      <w:widowControl w:val="0"/>
      <w:suppressAutoHyphens/>
      <w:overflowPunct/>
      <w:spacing w:after="90" w:line="180" w:lineRule="atLeast"/>
      <w:textAlignment w:val="center"/>
    </w:pPr>
    <w:rPr>
      <w:rFonts w:ascii="Arial" w:hAnsi="Arial" w:cs="Arial"/>
      <w:color w:val="000000"/>
      <w:sz w:val="16"/>
      <w:lang w:val="en-GB" w:eastAsia="en-GB"/>
    </w:rPr>
  </w:style>
  <w:style w:type="paragraph" w:customStyle="1" w:styleId="smlouvaheading1">
    <w:name w:val="smlouva heading 1"/>
    <w:next w:val="BodyText1"/>
    <w:uiPriority w:val="99"/>
    <w:rsid w:val="006638C9"/>
    <w:pPr>
      <w:numPr>
        <w:numId w:val="50"/>
      </w:numPr>
      <w:tabs>
        <w:tab w:val="left" w:pos="873"/>
      </w:tabs>
      <w:spacing w:before="240" w:after="120"/>
      <w:ind w:left="357" w:hanging="357"/>
      <w:jc w:val="both"/>
    </w:pPr>
    <w:rPr>
      <w:rFonts w:ascii="Arial" w:hAnsi="Arial"/>
      <w:b/>
      <w:noProof/>
      <w:color w:val="000000"/>
      <w:sz w:val="19"/>
      <w:szCs w:val="24"/>
      <w:lang w:eastAsia="en-US"/>
    </w:rPr>
  </w:style>
  <w:style w:type="paragraph" w:customStyle="1" w:styleId="CaptionIntroductionparagraph">
    <w:name w:val="Caption Introduction paragraph"/>
    <w:uiPriority w:val="99"/>
    <w:rsid w:val="006638C9"/>
    <w:rPr>
      <w:rFonts w:ascii="Arial" w:hAnsi="Arial"/>
      <w:b/>
      <w:color w:val="00A1DE"/>
      <w:sz w:val="24"/>
      <w:lang w:eastAsia="en-US"/>
    </w:rPr>
  </w:style>
  <w:style w:type="paragraph" w:customStyle="1" w:styleId="smlouvaheading2">
    <w:name w:val="smlouva heading 2"/>
    <w:basedOn w:val="CaptionIntroductionparagraph"/>
    <w:next w:val="BodyText1"/>
    <w:uiPriority w:val="99"/>
    <w:rsid w:val="006638C9"/>
    <w:pPr>
      <w:numPr>
        <w:ilvl w:val="1"/>
        <w:numId w:val="50"/>
      </w:numPr>
      <w:tabs>
        <w:tab w:val="left" w:pos="567"/>
      </w:tabs>
      <w:spacing w:before="120"/>
      <w:ind w:left="567" w:hanging="567"/>
      <w:jc w:val="both"/>
    </w:pPr>
    <w:rPr>
      <w:b w:val="0"/>
      <w:color w:val="000000"/>
      <w:sz w:val="19"/>
    </w:rPr>
  </w:style>
  <w:style w:type="paragraph" w:customStyle="1" w:styleId="smlouvaheading3">
    <w:name w:val="smlouva heading 3"/>
    <w:basedOn w:val="smlouvaheading2"/>
    <w:next w:val="BodyText1"/>
    <w:uiPriority w:val="99"/>
    <w:rsid w:val="006638C9"/>
    <w:pPr>
      <w:numPr>
        <w:ilvl w:val="2"/>
      </w:numPr>
      <w:tabs>
        <w:tab w:val="clear" w:pos="567"/>
        <w:tab w:val="left" w:pos="794"/>
      </w:tabs>
      <w:ind w:left="794" w:hanging="794"/>
    </w:pPr>
  </w:style>
  <w:style w:type="paragraph" w:customStyle="1" w:styleId="smlouvaheading4">
    <w:name w:val="smlouva heading 4"/>
    <w:basedOn w:val="smlouvaheading3"/>
    <w:next w:val="BodyText1"/>
    <w:uiPriority w:val="99"/>
    <w:rsid w:val="006638C9"/>
    <w:pPr>
      <w:numPr>
        <w:ilvl w:val="3"/>
      </w:numPr>
      <w:tabs>
        <w:tab w:val="clear" w:pos="794"/>
        <w:tab w:val="left" w:pos="1021"/>
      </w:tabs>
      <w:ind w:left="1021" w:hanging="1021"/>
    </w:pPr>
    <w:rPr>
      <w:color w:val="auto"/>
    </w:rPr>
  </w:style>
  <w:style w:type="paragraph" w:customStyle="1" w:styleId="smlouvabodytextbold">
    <w:name w:val="smlouva body text bold"/>
    <w:basedOn w:val="smlouvaheading4"/>
    <w:next w:val="BodyText1"/>
    <w:uiPriority w:val="99"/>
    <w:rsid w:val="006638C9"/>
    <w:pPr>
      <w:numPr>
        <w:ilvl w:val="0"/>
        <w:numId w:val="0"/>
      </w:numPr>
    </w:pPr>
    <w:rPr>
      <w:b/>
    </w:rPr>
  </w:style>
  <w:style w:type="paragraph" w:customStyle="1" w:styleId="Bodytextbold">
    <w:name w:val="Body text bold"/>
    <w:basedOn w:val="smlouvabodytextbold"/>
    <w:next w:val="BodyText1"/>
    <w:uiPriority w:val="99"/>
    <w:rsid w:val="006638C9"/>
    <w:pPr>
      <w:tabs>
        <w:tab w:val="clear" w:pos="1021"/>
        <w:tab w:val="left" w:pos="1134"/>
      </w:tabs>
    </w:pPr>
    <w:rPr>
      <w:color w:val="000000"/>
    </w:rPr>
  </w:style>
  <w:style w:type="character" w:customStyle="1" w:styleId="CaptionbodyChar">
    <w:name w:val="Caption body Char"/>
    <w:link w:val="Captionbody"/>
    <w:uiPriority w:val="99"/>
    <w:locked/>
    <w:rsid w:val="006638C9"/>
    <w:rPr>
      <w:rFonts w:ascii="Arial" w:hAnsi="Arial"/>
      <w:color w:val="000000"/>
      <w:sz w:val="22"/>
      <w:lang w:val="en-US" w:eastAsia="en-US"/>
    </w:rPr>
  </w:style>
  <w:style w:type="paragraph" w:customStyle="1" w:styleId="Captionbody">
    <w:name w:val="Caption body"/>
    <w:link w:val="CaptionbodyChar"/>
    <w:uiPriority w:val="99"/>
    <w:rsid w:val="006638C9"/>
    <w:rPr>
      <w:rFonts w:ascii="Arial" w:hAnsi="Arial"/>
      <w:color w:val="000000"/>
      <w:sz w:val="18"/>
      <w:lang w:val="en-US" w:eastAsia="en-US"/>
    </w:rPr>
  </w:style>
  <w:style w:type="paragraph" w:customStyle="1" w:styleId="Captionheading">
    <w:name w:val="Caption heading"/>
    <w:basedOn w:val="Captionbody"/>
    <w:uiPriority w:val="99"/>
    <w:rsid w:val="006638C9"/>
    <w:rPr>
      <w:b/>
    </w:rPr>
  </w:style>
  <w:style w:type="paragraph" w:customStyle="1" w:styleId="smlouvabodytext">
    <w:name w:val="smlouva body text"/>
    <w:basedOn w:val="Normln"/>
    <w:uiPriority w:val="99"/>
    <w:rsid w:val="006638C9"/>
    <w:pPr>
      <w:overflowPunct/>
      <w:autoSpaceDE/>
      <w:autoSpaceDN/>
      <w:adjustRightInd/>
      <w:spacing w:before="120"/>
      <w:textAlignment w:val="auto"/>
    </w:pPr>
    <w:rPr>
      <w:rFonts w:ascii="Arial" w:hAnsi="Arial" w:cs="Arial"/>
      <w:noProof/>
      <w:sz w:val="19"/>
      <w:szCs w:val="24"/>
      <w:lang w:eastAsia="en-US"/>
    </w:rPr>
  </w:style>
  <w:style w:type="paragraph" w:customStyle="1" w:styleId="Bulletslevel1">
    <w:name w:val="Bullets level 1"/>
    <w:basedOn w:val="Normln"/>
    <w:link w:val="Bulletslevel1Char"/>
    <w:uiPriority w:val="99"/>
    <w:rsid w:val="006638C9"/>
    <w:pPr>
      <w:numPr>
        <w:numId w:val="47"/>
      </w:numPr>
      <w:overflowPunct/>
      <w:autoSpaceDE/>
      <w:autoSpaceDN/>
      <w:adjustRightInd/>
      <w:spacing w:before="120"/>
      <w:ind w:left="360"/>
      <w:textAlignment w:val="auto"/>
    </w:pPr>
    <w:rPr>
      <w:rFonts w:ascii="Arial" w:hAnsi="Arial"/>
      <w:color w:val="000000"/>
      <w:sz w:val="19"/>
      <w:lang w:val="en-GB" w:eastAsia="en-US"/>
    </w:rPr>
  </w:style>
  <w:style w:type="character" w:customStyle="1" w:styleId="Bulletslevel1Char">
    <w:name w:val="Bullets level 1 Char"/>
    <w:link w:val="Bulletslevel1"/>
    <w:uiPriority w:val="99"/>
    <w:locked/>
    <w:rsid w:val="006638C9"/>
    <w:rPr>
      <w:rFonts w:ascii="Arial" w:eastAsia="Times New Roman" w:hAnsi="Arial"/>
      <w:color w:val="000000"/>
      <w:sz w:val="20"/>
      <w:lang w:val="en-GB" w:eastAsia="en-US"/>
    </w:rPr>
  </w:style>
  <w:style w:type="paragraph" w:customStyle="1" w:styleId="Bulletslevel2">
    <w:name w:val="Bullets level 2"/>
    <w:basedOn w:val="Normln"/>
    <w:link w:val="Bulletslevel2Char"/>
    <w:uiPriority w:val="99"/>
    <w:rsid w:val="006638C9"/>
    <w:pPr>
      <w:numPr>
        <w:numId w:val="49"/>
      </w:numPr>
      <w:tabs>
        <w:tab w:val="left" w:pos="567"/>
      </w:tabs>
      <w:overflowPunct/>
      <w:autoSpaceDE/>
      <w:autoSpaceDN/>
      <w:adjustRightInd/>
      <w:spacing w:before="120"/>
      <w:textAlignment w:val="auto"/>
    </w:pPr>
    <w:rPr>
      <w:rFonts w:ascii="Arial" w:hAnsi="Arial"/>
      <w:color w:val="000000"/>
      <w:sz w:val="19"/>
      <w:lang w:val="en-GB" w:eastAsia="en-US"/>
    </w:rPr>
  </w:style>
  <w:style w:type="character" w:customStyle="1" w:styleId="Bulletslevel2Char">
    <w:name w:val="Bullets level 2 Char"/>
    <w:link w:val="Bulletslevel2"/>
    <w:uiPriority w:val="99"/>
    <w:locked/>
    <w:rsid w:val="006638C9"/>
    <w:rPr>
      <w:rFonts w:ascii="Arial" w:eastAsia="Times New Roman" w:hAnsi="Arial"/>
      <w:color w:val="000000"/>
      <w:sz w:val="20"/>
      <w:lang w:val="en-GB" w:eastAsia="en-US"/>
    </w:rPr>
  </w:style>
  <w:style w:type="paragraph" w:customStyle="1" w:styleId="PulloutQuote">
    <w:name w:val="Pullout Quote"/>
    <w:uiPriority w:val="99"/>
    <w:rsid w:val="006638C9"/>
    <w:pPr>
      <w:pBdr>
        <w:top w:val="single" w:sz="4" w:space="4" w:color="00A1DE"/>
      </w:pBdr>
      <w:suppressAutoHyphens/>
      <w:spacing w:line="320" w:lineRule="exact"/>
    </w:pPr>
    <w:rPr>
      <w:color w:val="00A1DE"/>
      <w:sz w:val="32"/>
      <w:szCs w:val="20"/>
      <w:lang w:val="en-GB" w:eastAsia="en-US"/>
    </w:rPr>
  </w:style>
  <w:style w:type="paragraph" w:customStyle="1" w:styleId="Highlight1">
    <w:name w:val="Highlight 1"/>
    <w:basedOn w:val="Normln"/>
    <w:uiPriority w:val="99"/>
    <w:rsid w:val="006638C9"/>
    <w:pPr>
      <w:overflowPunct/>
      <w:autoSpaceDE/>
      <w:autoSpaceDN/>
      <w:adjustRightInd/>
      <w:textAlignment w:val="auto"/>
    </w:pPr>
    <w:rPr>
      <w:rFonts w:ascii="Arial" w:hAnsi="Arial" w:cs="Arial"/>
      <w:b/>
      <w:color w:val="3C8A2E"/>
      <w:sz w:val="20"/>
      <w:szCs w:val="16"/>
      <w:lang w:eastAsia="en-US"/>
    </w:rPr>
  </w:style>
  <w:style w:type="paragraph" w:customStyle="1" w:styleId="Highlight2">
    <w:name w:val="Highlight 2"/>
    <w:basedOn w:val="Highlight1"/>
    <w:uiPriority w:val="99"/>
    <w:rsid w:val="006638C9"/>
    <w:rPr>
      <w:color w:val="92D400"/>
    </w:rPr>
  </w:style>
  <w:style w:type="paragraph" w:styleId="Obsah4">
    <w:name w:val="toc 4"/>
    <w:basedOn w:val="Normln"/>
    <w:next w:val="Normln"/>
    <w:autoRedefine/>
    <w:uiPriority w:val="99"/>
    <w:rsid w:val="006638C9"/>
    <w:pPr>
      <w:overflowPunct/>
      <w:autoSpaceDE/>
      <w:autoSpaceDN/>
      <w:adjustRightInd/>
      <w:spacing w:after="240"/>
      <w:ind w:left="720"/>
      <w:textAlignment w:val="auto"/>
    </w:pPr>
    <w:rPr>
      <w:rFonts w:ascii="Arial" w:hAnsi="Arial" w:cs="Arial"/>
      <w:sz w:val="19"/>
      <w:szCs w:val="24"/>
      <w:lang w:eastAsia="en-US"/>
    </w:rPr>
  </w:style>
  <w:style w:type="table" w:styleId="Tabulkasprostorovmiefekty1">
    <w:name w:val="Table 3D effects 1"/>
    <w:basedOn w:val="Normlntabulka"/>
    <w:uiPriority w:val="99"/>
    <w:locked/>
    <w:rsid w:val="006638C9"/>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uiPriority w:val="99"/>
    <w:rsid w:val="006638C9"/>
    <w:rPr>
      <w:rFonts w:ascii="Arial" w:hAnsi="Arial"/>
      <w:sz w:val="19"/>
      <w:szCs w:val="20"/>
    </w:rPr>
    <w:tblPr>
      <w:tblInd w:w="0" w:type="dxa"/>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cs="Times New Roman"/>
        <w:b/>
        <w:color w:val="FFFFFF"/>
        <w:sz w:val="19"/>
      </w:rPr>
      <w:tblPr/>
      <w:tcPr>
        <w:shd w:val="clear" w:color="auto" w:fill="3C8A2E"/>
      </w:tcPr>
    </w:tblStylePr>
    <w:tblStylePr w:type="firstCol">
      <w:rPr>
        <w:rFonts w:ascii="Arial" w:hAnsi="Arial" w:cs="Times New Roman"/>
        <w:sz w:val="19"/>
      </w:rPr>
      <w:tblPr>
        <w:tblCellMar>
          <w:top w:w="0" w:type="dxa"/>
          <w:left w:w="0" w:type="dxa"/>
          <w:bottom w:w="0" w:type="dxa"/>
          <w:right w:w="0" w:type="dxa"/>
        </w:tblCellMar>
      </w:tblPr>
    </w:tblStylePr>
  </w:style>
  <w:style w:type="table" w:customStyle="1" w:styleId="Deloittetable5">
    <w:name w:val="Deloitte table 5"/>
    <w:uiPriority w:val="99"/>
    <w:rsid w:val="006638C9"/>
    <w:rPr>
      <w:rFonts w:ascii="Arial" w:hAnsi="Arial"/>
      <w:sz w:val="19"/>
      <w:szCs w:val="20"/>
    </w:rPr>
    <w:tblPr>
      <w:tblInd w:w="0" w:type="dxa"/>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cs="Times New Roman"/>
        <w:b/>
        <w:color w:val="000000"/>
        <w:sz w:val="19"/>
      </w:rPr>
      <w:tblPr/>
      <w:tcPr>
        <w:shd w:val="clear" w:color="auto" w:fill="C9DD03"/>
      </w:tcPr>
    </w:tblStylePr>
    <w:tblStylePr w:type="firstCol">
      <w:pPr>
        <w:spacing w:beforeLines="0" w:beforeAutospacing="0" w:afterLines="0" w:afterAutospacing="0"/>
      </w:pPr>
      <w:rPr>
        <w:rFonts w:ascii="Arial" w:hAnsi="Arial" w:cs="Times New Roman"/>
        <w:sz w:val="19"/>
      </w:rPr>
    </w:tblStylePr>
  </w:style>
  <w:style w:type="table" w:customStyle="1" w:styleId="Style1">
    <w:name w:val="Style1"/>
    <w:uiPriority w:val="99"/>
    <w:rsid w:val="006638C9"/>
    <w:rPr>
      <w:rFonts w:ascii="Arial" w:hAnsi="Arial"/>
      <w:sz w:val="19"/>
      <w:szCs w:val="20"/>
    </w:rPr>
    <w:tblPr>
      <w:tblInd w:w="0" w:type="dxa"/>
      <w:tblCellMar>
        <w:top w:w="0" w:type="dxa"/>
        <w:left w:w="108" w:type="dxa"/>
        <w:bottom w:w="0" w:type="dxa"/>
        <w:right w:w="108" w:type="dxa"/>
      </w:tblCellMar>
    </w:tblPr>
  </w:style>
  <w:style w:type="table" w:customStyle="1" w:styleId="Deloittetable6">
    <w:name w:val="Deloitte table 6"/>
    <w:uiPriority w:val="99"/>
    <w:rsid w:val="006638C9"/>
    <w:rPr>
      <w:rFonts w:ascii="Arial" w:hAnsi="Arial"/>
      <w:sz w:val="19"/>
      <w:szCs w:val="20"/>
    </w:rPr>
    <w:tblPr>
      <w:tblInd w:w="0" w:type="dxa"/>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cs="Times New Roman"/>
        <w:b/>
        <w:color w:val="FFFFFF"/>
        <w:sz w:val="19"/>
      </w:rPr>
      <w:tblPr/>
      <w:tcPr>
        <w:shd w:val="clear" w:color="auto" w:fill="52D0FF"/>
      </w:tcPr>
    </w:tblStylePr>
    <w:tblStylePr w:type="firstCol">
      <w:pPr>
        <w:spacing w:beforeLines="0" w:beforeAutospacing="0" w:afterLines="0" w:afterAutospacing="0"/>
      </w:pPr>
      <w:rPr>
        <w:rFonts w:ascii="Arial" w:hAnsi="Arial" w:cs="Times New Roman"/>
        <w:sz w:val="19"/>
      </w:rPr>
    </w:tblStylePr>
  </w:style>
  <w:style w:type="table" w:customStyle="1" w:styleId="Deloittetable7">
    <w:name w:val="Deloitte table 7"/>
    <w:uiPriority w:val="99"/>
    <w:rsid w:val="006638C9"/>
    <w:rPr>
      <w:rFonts w:ascii="Arial" w:hAnsi="Arial"/>
      <w:sz w:val="19"/>
      <w:szCs w:val="20"/>
    </w:rPr>
    <w:tblPr>
      <w:tblInd w:w="0" w:type="dxa"/>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cs="Times New Roman"/>
        <w:b/>
        <w:color w:val="FFFFFF"/>
        <w:sz w:val="19"/>
      </w:rPr>
      <w:tblPr/>
      <w:tcPr>
        <w:shd w:val="clear" w:color="auto" w:fill="2D6823"/>
      </w:tcPr>
    </w:tblStylePr>
    <w:tblStylePr w:type="firstCol">
      <w:pPr>
        <w:spacing w:beforeLines="0" w:beforeAutospacing="0" w:afterLines="0" w:afterAutospacing="0"/>
      </w:pPr>
      <w:rPr>
        <w:rFonts w:ascii="Arial" w:hAnsi="Arial" w:cs="Times New Roman"/>
        <w:sz w:val="19"/>
      </w:rPr>
    </w:tblStylePr>
  </w:style>
  <w:style w:type="table" w:styleId="Tabulkasprostorovmiefekty3">
    <w:name w:val="Table 3D effects 3"/>
    <w:basedOn w:val="Normlntabulka"/>
    <w:uiPriority w:val="99"/>
    <w:locked/>
    <w:rsid w:val="006638C9"/>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Deloittetable8">
    <w:name w:val="Deloitte table 8"/>
    <w:uiPriority w:val="99"/>
    <w:rsid w:val="006638C9"/>
    <w:pPr>
      <w:contextualSpacing/>
    </w:pPr>
    <w:rPr>
      <w:rFonts w:ascii="Arial" w:hAnsi="Arial"/>
      <w:sz w:val="19"/>
      <w:szCs w:val="20"/>
    </w:rPr>
    <w:tblPr>
      <w:tblInd w:w="0" w:type="dxa"/>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cs="Times New Roman"/>
        <w:sz w:val="19"/>
      </w:rPr>
    </w:tblStylePr>
    <w:tblStylePr w:type="firstCol">
      <w:pPr>
        <w:spacing w:beforeLines="0" w:beforeAutospacing="0" w:afterLines="0" w:afterAutospacing="0"/>
      </w:pPr>
      <w:rPr>
        <w:rFonts w:ascii="Arial" w:hAnsi="Arial" w:cs="Times New Roman"/>
        <w:b/>
        <w:color w:val="FFFFFF"/>
        <w:sz w:val="19"/>
      </w:rPr>
      <w:tblPr/>
      <w:tcPr>
        <w:shd w:val="clear" w:color="auto" w:fill="2D6823"/>
      </w:tcPr>
    </w:tblStylePr>
  </w:style>
  <w:style w:type="table" w:customStyle="1" w:styleId="Deloittetable81">
    <w:name w:val="Deloitte table 8.1"/>
    <w:uiPriority w:val="99"/>
    <w:rsid w:val="006638C9"/>
    <w:rPr>
      <w:rFonts w:ascii="Arial" w:hAnsi="Arial"/>
      <w:sz w:val="19"/>
      <w:szCs w:val="20"/>
    </w:rPr>
    <w:tblPr>
      <w:tblInd w:w="0" w:type="dxa"/>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rFonts w:ascii="Arial" w:hAnsi="Arial" w:cs="Times New Roman"/>
        <w:sz w:val="19"/>
      </w:rPr>
    </w:tblStylePr>
    <w:tblStylePr w:type="firstCol">
      <w:pPr>
        <w:spacing w:beforeLines="0" w:beforeAutospacing="0" w:afterLines="0" w:afterAutospacing="0"/>
      </w:pPr>
      <w:rPr>
        <w:rFonts w:ascii="Arial" w:hAnsi="Arial" w:cs="Times New Roman"/>
        <w:b/>
        <w:color w:val="FFFFFF"/>
        <w:sz w:val="19"/>
      </w:rPr>
      <w:tblPr/>
      <w:tcPr>
        <w:shd w:val="clear" w:color="auto" w:fill="92D400"/>
      </w:tcPr>
    </w:tblStylePr>
  </w:style>
  <w:style w:type="table" w:customStyle="1" w:styleId="Deloittetable82">
    <w:name w:val="Deloitte table 8.2"/>
    <w:uiPriority w:val="99"/>
    <w:rsid w:val="006638C9"/>
    <w:rPr>
      <w:rFonts w:ascii="Arial" w:hAnsi="Arial"/>
      <w:sz w:val="19"/>
      <w:szCs w:val="20"/>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cs="Times New Roman"/>
        <w:sz w:val="19"/>
      </w:rPr>
    </w:tblStylePr>
    <w:tblStylePr w:type="firstCol">
      <w:pPr>
        <w:spacing w:beforeLines="0" w:beforeAutospacing="0" w:afterLines="0" w:afterAutospacing="0"/>
      </w:pPr>
      <w:rPr>
        <w:rFonts w:ascii="Arial" w:hAnsi="Arial" w:cs="Times New Roman"/>
        <w:b/>
        <w:color w:val="FFFFFF"/>
        <w:sz w:val="19"/>
      </w:rPr>
      <w:tblPr/>
      <w:tcPr>
        <w:shd w:val="clear" w:color="auto" w:fill="00A1DE"/>
      </w:tcPr>
    </w:tblStylePr>
  </w:style>
  <w:style w:type="table" w:customStyle="1" w:styleId="Deloittetable83">
    <w:name w:val="Deloitte table 8.3"/>
    <w:uiPriority w:val="99"/>
    <w:rsid w:val="006638C9"/>
    <w:rPr>
      <w:rFonts w:ascii="Arial" w:hAnsi="Arial"/>
      <w:sz w:val="19"/>
      <w:szCs w:val="20"/>
    </w:rPr>
    <w:tblPr>
      <w:tblInd w:w="0" w:type="dxa"/>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Times New Roman"/>
        <w:sz w:val="19"/>
      </w:rPr>
    </w:tblStylePr>
    <w:tblStylePr w:type="firstCol">
      <w:rPr>
        <w:rFonts w:ascii="Arial" w:hAnsi="Arial" w:cs="Times New Roman"/>
        <w:b/>
        <w:sz w:val="19"/>
      </w:rPr>
      <w:tblPr/>
      <w:tcPr>
        <w:shd w:val="clear" w:color="auto" w:fill="72C7E7"/>
      </w:tcPr>
    </w:tblStylePr>
  </w:style>
  <w:style w:type="table" w:customStyle="1" w:styleId="Deloittetable84">
    <w:name w:val="Deloitte table 8.4"/>
    <w:uiPriority w:val="99"/>
    <w:rsid w:val="006638C9"/>
    <w:rPr>
      <w:rFonts w:ascii="Arial" w:hAnsi="Arial"/>
      <w:sz w:val="19"/>
      <w:szCs w:val="20"/>
    </w:rPr>
    <w:tblPr>
      <w:tblInd w:w="0" w:type="dxa"/>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spacing w:beforeLines="0" w:beforeAutospacing="0" w:afterLines="0" w:afterAutospacing="0"/>
      </w:pPr>
      <w:rPr>
        <w:rFonts w:ascii="Arial" w:hAnsi="Arial" w:cs="Times New Roman"/>
        <w:sz w:val="19"/>
      </w:rPr>
    </w:tblStylePr>
    <w:tblStylePr w:type="firstCol">
      <w:rPr>
        <w:rFonts w:ascii="Arial" w:hAnsi="Arial" w:cs="Times New Roman"/>
        <w:b/>
        <w:color w:val="FFFFFF"/>
        <w:sz w:val="19"/>
      </w:rPr>
      <w:tblPr/>
      <w:tcPr>
        <w:shd w:val="clear" w:color="auto" w:fill="3C8A2E"/>
      </w:tcPr>
    </w:tblStylePr>
  </w:style>
  <w:style w:type="table" w:customStyle="1" w:styleId="Deloittetable85">
    <w:name w:val="Deloitte table 8.5"/>
    <w:uiPriority w:val="99"/>
    <w:rsid w:val="006638C9"/>
    <w:rPr>
      <w:rFonts w:ascii="Arial" w:hAnsi="Arial"/>
      <w:sz w:val="19"/>
      <w:szCs w:val="20"/>
    </w:rPr>
    <w:tblPr>
      <w:tblInd w:w="0" w:type="dxa"/>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cs="Times New Roman"/>
        <w:sz w:val="19"/>
      </w:rPr>
    </w:tblStylePr>
    <w:tblStylePr w:type="firstCol">
      <w:pPr>
        <w:spacing w:beforeLines="0" w:beforeAutospacing="0" w:afterLines="0" w:afterAutospacing="0"/>
      </w:pPr>
      <w:rPr>
        <w:rFonts w:ascii="Arial" w:hAnsi="Arial" w:cs="Times New Roman"/>
        <w:b/>
        <w:sz w:val="19"/>
      </w:rPr>
      <w:tblPr/>
      <w:tcPr>
        <w:shd w:val="clear" w:color="auto" w:fill="C9DD03"/>
      </w:tcPr>
    </w:tblStylePr>
  </w:style>
  <w:style w:type="table" w:customStyle="1" w:styleId="Deloittetable86">
    <w:name w:val="Deloitte table 8.6"/>
    <w:uiPriority w:val="99"/>
    <w:rsid w:val="006638C9"/>
    <w:rPr>
      <w:rFonts w:ascii="Arial" w:hAnsi="Arial"/>
      <w:sz w:val="19"/>
      <w:szCs w:val="20"/>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cs="Times New Roman"/>
        <w:sz w:val="19"/>
      </w:rPr>
    </w:tblStylePr>
    <w:tblStylePr w:type="firstCol">
      <w:pPr>
        <w:spacing w:beforeLines="0" w:beforeAutospacing="0" w:afterLines="0" w:afterAutospacing="0"/>
      </w:pPr>
      <w:rPr>
        <w:rFonts w:ascii="Arial" w:hAnsi="Arial" w:cs="Times New Roman"/>
        <w:b/>
        <w:color w:val="FFFFFF"/>
        <w:sz w:val="19"/>
      </w:rPr>
      <w:tblPr/>
      <w:tcPr>
        <w:shd w:val="clear" w:color="auto" w:fill="00A1DE"/>
      </w:tcPr>
    </w:tblStylePr>
  </w:style>
  <w:style w:type="table" w:styleId="Sloupcetabulky3">
    <w:name w:val="Table Columns 3"/>
    <w:basedOn w:val="Normlntabulka"/>
    <w:uiPriority w:val="99"/>
    <w:locked/>
    <w:rsid w:val="006638C9"/>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Barevnseznamzvraznn4">
    <w:name w:val="Colorful List Accent 4"/>
    <w:basedOn w:val="Normlntabulka"/>
    <w:uiPriority w:val="99"/>
    <w:rsid w:val="006638C9"/>
    <w:rPr>
      <w:color w:val="000000"/>
      <w:sz w:val="20"/>
      <w:szCs w:val="20"/>
    </w:rPr>
    <w:tblPr>
      <w:tblStyleRowBandSize w:val="1"/>
      <w:tblStyleColBandSize w:val="1"/>
    </w:tblPr>
    <w:tcPr>
      <w:shd w:val="clear" w:color="auto" w:fill="F1F9FC"/>
    </w:tcPr>
    <w:tblStylePr w:type="firstRow">
      <w:rPr>
        <w:rFonts w:cs="Times New Roman"/>
        <w:b/>
        <w:bCs/>
        <w:color w:val="FFFFFF"/>
      </w:rPr>
      <w:tblPr/>
      <w:tcPr>
        <w:tcBorders>
          <w:bottom w:val="single" w:sz="12" w:space="0" w:color="FFFFFF"/>
        </w:tcBorders>
        <w:shd w:val="clear" w:color="auto" w:fill="007FB1"/>
      </w:tcPr>
    </w:tblStylePr>
    <w:tblStylePr w:type="lastRow">
      <w:rPr>
        <w:rFonts w:cs="Times New Roman"/>
        <w:b/>
        <w:bCs/>
        <w:color w:val="007FB1"/>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F1F9"/>
      </w:tcPr>
    </w:tblStylePr>
    <w:tblStylePr w:type="band1Horz">
      <w:rPr>
        <w:rFonts w:cs="Times New Roman"/>
      </w:rPr>
      <w:tblPr/>
      <w:tcPr>
        <w:shd w:val="clear" w:color="auto" w:fill="E2F3FA"/>
      </w:tcPr>
    </w:tblStylePr>
  </w:style>
  <w:style w:type="table" w:styleId="Stednmka2zvraznn4">
    <w:name w:val="Medium Grid 2 Accent 4"/>
    <w:basedOn w:val="Normlntabulka"/>
    <w:uiPriority w:val="99"/>
    <w:rsid w:val="006638C9"/>
    <w:rPr>
      <w:rFonts w:ascii="Arial" w:hAnsi="Arial"/>
      <w:color w:val="000000"/>
      <w:sz w:val="20"/>
      <w:szCs w:val="20"/>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rFonts w:cs="Times New Roman"/>
        <w:b/>
        <w:bCs/>
        <w:color w:val="000000"/>
      </w:rPr>
      <w:tblPr/>
      <w:tcPr>
        <w:shd w:val="clear" w:color="auto" w:fill="F1F9F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F3FA"/>
      </w:tcPr>
    </w:tblStylePr>
    <w:tblStylePr w:type="band1Vert">
      <w:rPr>
        <w:rFonts w:cs="Times New Roman"/>
      </w:rPr>
      <w:tblPr/>
      <w:tcPr>
        <w:shd w:val="clear" w:color="auto" w:fill="B8E2F3"/>
      </w:tcPr>
    </w:tblStylePr>
    <w:tblStylePr w:type="band1Horz">
      <w:rPr>
        <w:rFonts w:cs="Times New Roman"/>
      </w:rPr>
      <w:tblPr/>
      <w:tcPr>
        <w:tcBorders>
          <w:insideH w:val="single" w:sz="6" w:space="0" w:color="72C7E7"/>
          <w:insideV w:val="single" w:sz="6" w:space="0" w:color="72C7E7"/>
        </w:tcBorders>
        <w:shd w:val="clear" w:color="auto" w:fill="B8E2F3"/>
      </w:tcPr>
    </w:tblStylePr>
    <w:tblStylePr w:type="nwCell">
      <w:rPr>
        <w:rFonts w:cs="Times New Roman"/>
      </w:rPr>
      <w:tblPr/>
      <w:tcPr>
        <w:shd w:val="clear" w:color="auto" w:fill="FFFFFF"/>
      </w:tcPr>
    </w:tblStylePr>
  </w:style>
  <w:style w:type="paragraph" w:styleId="Obsah5">
    <w:name w:val="toc 5"/>
    <w:basedOn w:val="Normln"/>
    <w:next w:val="Normln"/>
    <w:autoRedefine/>
    <w:uiPriority w:val="99"/>
    <w:rsid w:val="006638C9"/>
    <w:pPr>
      <w:overflowPunct/>
      <w:autoSpaceDE/>
      <w:autoSpaceDN/>
      <w:adjustRightInd/>
      <w:spacing w:after="100"/>
      <w:ind w:left="960"/>
      <w:textAlignment w:val="auto"/>
    </w:pPr>
    <w:rPr>
      <w:rFonts w:ascii="Arial" w:hAnsi="Arial" w:cs="Arial"/>
      <w:sz w:val="19"/>
      <w:szCs w:val="24"/>
      <w:lang w:eastAsia="en-US"/>
    </w:rPr>
  </w:style>
  <w:style w:type="paragraph" w:customStyle="1" w:styleId="Highlight3">
    <w:name w:val="Highlight 3"/>
    <w:basedOn w:val="Highlight2"/>
    <w:uiPriority w:val="99"/>
    <w:rsid w:val="006638C9"/>
    <w:rPr>
      <w:color w:val="00A1DE"/>
    </w:rPr>
  </w:style>
  <w:style w:type="paragraph" w:styleId="Nadpisobsahu">
    <w:name w:val="TOC Heading"/>
    <w:basedOn w:val="Nadpis1"/>
    <w:next w:val="Normln"/>
    <w:uiPriority w:val="99"/>
    <w:qFormat/>
    <w:rsid w:val="006638C9"/>
    <w:pPr>
      <w:numPr>
        <w:numId w:val="0"/>
      </w:numPr>
      <w:overflowPunct/>
      <w:autoSpaceDE/>
      <w:autoSpaceDN/>
      <w:adjustRightInd/>
      <w:spacing w:line="276" w:lineRule="auto"/>
      <w:jc w:val="left"/>
      <w:textAlignment w:val="auto"/>
      <w:outlineLvl w:val="9"/>
    </w:pPr>
    <w:rPr>
      <w:rFonts w:ascii="Arial" w:hAnsi="Arial"/>
      <w:color w:val="001D58"/>
      <w:sz w:val="28"/>
      <w:lang w:eastAsia="en-US"/>
    </w:rPr>
  </w:style>
  <w:style w:type="character" w:customStyle="1" w:styleId="st1">
    <w:name w:val="st1"/>
    <w:uiPriority w:val="99"/>
    <w:rsid w:val="006638C9"/>
  </w:style>
  <w:style w:type="paragraph" w:customStyle="1" w:styleId="Default">
    <w:name w:val="Default"/>
    <w:uiPriority w:val="99"/>
    <w:rsid w:val="006638C9"/>
    <w:pPr>
      <w:autoSpaceDE w:val="0"/>
      <w:autoSpaceDN w:val="0"/>
      <w:adjustRightInd w:val="0"/>
    </w:pPr>
    <w:rPr>
      <w:color w:val="000000"/>
      <w:sz w:val="24"/>
      <w:szCs w:val="24"/>
    </w:rPr>
  </w:style>
  <w:style w:type="paragraph" w:styleId="Normlnweb">
    <w:name w:val="Normal (Web)"/>
    <w:basedOn w:val="Normln"/>
    <w:uiPriority w:val="99"/>
    <w:locked/>
    <w:rsid w:val="006638C9"/>
    <w:pPr>
      <w:overflowPunct/>
      <w:autoSpaceDE/>
      <w:autoSpaceDN/>
      <w:adjustRightInd/>
      <w:spacing w:before="100" w:beforeAutospacing="1" w:after="100" w:afterAutospacing="1"/>
      <w:textAlignment w:val="auto"/>
    </w:pPr>
    <w:rPr>
      <w:rFonts w:ascii="Arial Unicode MS" w:hAnsi="Arial Unicode MS" w:cs="Arial Unicode MS"/>
      <w:sz w:val="24"/>
      <w:szCs w:val="24"/>
      <w:lang w:val="en-US"/>
    </w:rPr>
  </w:style>
  <w:style w:type="character" w:customStyle="1" w:styleId="apple-converted-space">
    <w:name w:val="apple-converted-space"/>
    <w:basedOn w:val="Standardnpsmoodstavce"/>
    <w:uiPriority w:val="99"/>
    <w:rsid w:val="006638C9"/>
    <w:rPr>
      <w:rFonts w:cs="Times New Roman"/>
    </w:rPr>
  </w:style>
  <w:style w:type="paragraph" w:customStyle="1" w:styleId="Styl1">
    <w:name w:val="Styl1"/>
    <w:basedOn w:val="Normln"/>
    <w:uiPriority w:val="99"/>
    <w:rsid w:val="006638C9"/>
    <w:pPr>
      <w:numPr>
        <w:numId w:val="63"/>
      </w:numPr>
      <w:tabs>
        <w:tab w:val="left" w:pos="540"/>
      </w:tabs>
      <w:overflowPunct/>
      <w:autoSpaceDE/>
      <w:autoSpaceDN/>
      <w:adjustRightInd/>
      <w:spacing w:after="60"/>
      <w:jc w:val="center"/>
      <w:textAlignment w:val="auto"/>
    </w:pPr>
    <w:rPr>
      <w:rFonts w:ascii="Cambria" w:hAnsi="Cambria" w:cs="Arial"/>
      <w:b/>
      <w:szCs w:val="22"/>
    </w:rPr>
  </w:style>
  <w:style w:type="paragraph" w:customStyle="1" w:styleId="Zkladntext21">
    <w:name w:val="Základní text 21"/>
    <w:basedOn w:val="Default"/>
    <w:next w:val="Default"/>
    <w:uiPriority w:val="99"/>
    <w:rsid w:val="006638C9"/>
    <w:rPr>
      <w:rFonts w:ascii="Tahoma" w:hAnsi="Tahoma" w:cs="Tahoma"/>
      <w:color w:val="auto"/>
    </w:rPr>
  </w:style>
  <w:style w:type="character" w:styleId="Siln">
    <w:name w:val="Strong"/>
    <w:basedOn w:val="Standardnpsmoodstavce"/>
    <w:uiPriority w:val="99"/>
    <w:qFormat/>
    <w:rsid w:val="006638C9"/>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206734">
      <w:marLeft w:val="0"/>
      <w:marRight w:val="0"/>
      <w:marTop w:val="0"/>
      <w:marBottom w:val="0"/>
      <w:divBdr>
        <w:top w:val="none" w:sz="0" w:space="0" w:color="auto"/>
        <w:left w:val="none" w:sz="0" w:space="0" w:color="auto"/>
        <w:bottom w:val="none" w:sz="0" w:space="0" w:color="auto"/>
        <w:right w:val="none" w:sz="0" w:space="0" w:color="auto"/>
      </w:divBdr>
    </w:div>
    <w:div w:id="541206735">
      <w:marLeft w:val="0"/>
      <w:marRight w:val="0"/>
      <w:marTop w:val="0"/>
      <w:marBottom w:val="0"/>
      <w:divBdr>
        <w:top w:val="none" w:sz="0" w:space="0" w:color="auto"/>
        <w:left w:val="none" w:sz="0" w:space="0" w:color="auto"/>
        <w:bottom w:val="none" w:sz="0" w:space="0" w:color="auto"/>
        <w:right w:val="none" w:sz="0" w:space="0" w:color="auto"/>
      </w:divBdr>
    </w:div>
    <w:div w:id="541206736">
      <w:marLeft w:val="0"/>
      <w:marRight w:val="0"/>
      <w:marTop w:val="0"/>
      <w:marBottom w:val="0"/>
      <w:divBdr>
        <w:top w:val="none" w:sz="0" w:space="0" w:color="auto"/>
        <w:left w:val="none" w:sz="0" w:space="0" w:color="auto"/>
        <w:bottom w:val="none" w:sz="0" w:space="0" w:color="auto"/>
        <w:right w:val="none" w:sz="0" w:space="0" w:color="auto"/>
      </w:divBdr>
    </w:div>
    <w:div w:id="541206737">
      <w:marLeft w:val="0"/>
      <w:marRight w:val="0"/>
      <w:marTop w:val="0"/>
      <w:marBottom w:val="0"/>
      <w:divBdr>
        <w:top w:val="none" w:sz="0" w:space="0" w:color="auto"/>
        <w:left w:val="none" w:sz="0" w:space="0" w:color="auto"/>
        <w:bottom w:val="none" w:sz="0" w:space="0" w:color="auto"/>
        <w:right w:val="none" w:sz="0" w:space="0" w:color="auto"/>
      </w:divBdr>
    </w:div>
    <w:div w:id="541206738">
      <w:marLeft w:val="0"/>
      <w:marRight w:val="0"/>
      <w:marTop w:val="0"/>
      <w:marBottom w:val="0"/>
      <w:divBdr>
        <w:top w:val="none" w:sz="0" w:space="0" w:color="auto"/>
        <w:left w:val="none" w:sz="0" w:space="0" w:color="auto"/>
        <w:bottom w:val="none" w:sz="0" w:space="0" w:color="auto"/>
        <w:right w:val="none" w:sz="0" w:space="0" w:color="auto"/>
      </w:divBdr>
    </w:div>
    <w:div w:id="541206739">
      <w:marLeft w:val="0"/>
      <w:marRight w:val="0"/>
      <w:marTop w:val="0"/>
      <w:marBottom w:val="0"/>
      <w:divBdr>
        <w:top w:val="none" w:sz="0" w:space="0" w:color="auto"/>
        <w:left w:val="none" w:sz="0" w:space="0" w:color="auto"/>
        <w:bottom w:val="none" w:sz="0" w:space="0" w:color="auto"/>
        <w:right w:val="none" w:sz="0" w:space="0" w:color="auto"/>
      </w:divBdr>
    </w:div>
    <w:div w:id="541206740">
      <w:marLeft w:val="0"/>
      <w:marRight w:val="0"/>
      <w:marTop w:val="0"/>
      <w:marBottom w:val="0"/>
      <w:divBdr>
        <w:top w:val="none" w:sz="0" w:space="0" w:color="auto"/>
        <w:left w:val="none" w:sz="0" w:space="0" w:color="auto"/>
        <w:bottom w:val="none" w:sz="0" w:space="0" w:color="auto"/>
        <w:right w:val="none" w:sz="0" w:space="0" w:color="auto"/>
      </w:divBdr>
    </w:div>
    <w:div w:id="541206741">
      <w:marLeft w:val="0"/>
      <w:marRight w:val="0"/>
      <w:marTop w:val="0"/>
      <w:marBottom w:val="0"/>
      <w:divBdr>
        <w:top w:val="none" w:sz="0" w:space="0" w:color="auto"/>
        <w:left w:val="none" w:sz="0" w:space="0" w:color="auto"/>
        <w:bottom w:val="none" w:sz="0" w:space="0" w:color="auto"/>
        <w:right w:val="none" w:sz="0" w:space="0" w:color="auto"/>
      </w:divBdr>
    </w:div>
    <w:div w:id="541206742">
      <w:marLeft w:val="0"/>
      <w:marRight w:val="0"/>
      <w:marTop w:val="0"/>
      <w:marBottom w:val="0"/>
      <w:divBdr>
        <w:top w:val="none" w:sz="0" w:space="0" w:color="auto"/>
        <w:left w:val="none" w:sz="0" w:space="0" w:color="auto"/>
        <w:bottom w:val="none" w:sz="0" w:space="0" w:color="auto"/>
        <w:right w:val="none" w:sz="0" w:space="0" w:color="auto"/>
      </w:divBdr>
    </w:div>
    <w:div w:id="541206743">
      <w:marLeft w:val="0"/>
      <w:marRight w:val="0"/>
      <w:marTop w:val="0"/>
      <w:marBottom w:val="0"/>
      <w:divBdr>
        <w:top w:val="none" w:sz="0" w:space="0" w:color="auto"/>
        <w:left w:val="none" w:sz="0" w:space="0" w:color="auto"/>
        <w:bottom w:val="none" w:sz="0" w:space="0" w:color="auto"/>
        <w:right w:val="none" w:sz="0" w:space="0" w:color="auto"/>
      </w:divBdr>
    </w:div>
    <w:div w:id="541206744">
      <w:marLeft w:val="0"/>
      <w:marRight w:val="0"/>
      <w:marTop w:val="0"/>
      <w:marBottom w:val="0"/>
      <w:divBdr>
        <w:top w:val="none" w:sz="0" w:space="0" w:color="auto"/>
        <w:left w:val="none" w:sz="0" w:space="0" w:color="auto"/>
        <w:bottom w:val="none" w:sz="0" w:space="0" w:color="auto"/>
        <w:right w:val="none" w:sz="0" w:space="0" w:color="auto"/>
      </w:divBdr>
    </w:div>
    <w:div w:id="541206745">
      <w:marLeft w:val="0"/>
      <w:marRight w:val="0"/>
      <w:marTop w:val="0"/>
      <w:marBottom w:val="0"/>
      <w:divBdr>
        <w:top w:val="none" w:sz="0" w:space="0" w:color="auto"/>
        <w:left w:val="none" w:sz="0" w:space="0" w:color="auto"/>
        <w:bottom w:val="none" w:sz="0" w:space="0" w:color="auto"/>
        <w:right w:val="none" w:sz="0" w:space="0" w:color="auto"/>
      </w:divBdr>
    </w:div>
    <w:div w:id="541206746">
      <w:marLeft w:val="0"/>
      <w:marRight w:val="0"/>
      <w:marTop w:val="0"/>
      <w:marBottom w:val="0"/>
      <w:divBdr>
        <w:top w:val="none" w:sz="0" w:space="0" w:color="auto"/>
        <w:left w:val="none" w:sz="0" w:space="0" w:color="auto"/>
        <w:bottom w:val="none" w:sz="0" w:space="0" w:color="auto"/>
        <w:right w:val="none" w:sz="0" w:space="0" w:color="auto"/>
      </w:divBdr>
    </w:div>
    <w:div w:id="541206747">
      <w:marLeft w:val="0"/>
      <w:marRight w:val="0"/>
      <w:marTop w:val="0"/>
      <w:marBottom w:val="0"/>
      <w:divBdr>
        <w:top w:val="none" w:sz="0" w:space="0" w:color="auto"/>
        <w:left w:val="none" w:sz="0" w:space="0" w:color="auto"/>
        <w:bottom w:val="none" w:sz="0" w:space="0" w:color="auto"/>
        <w:right w:val="none" w:sz="0" w:space="0" w:color="auto"/>
      </w:divBdr>
    </w:div>
    <w:div w:id="541206748">
      <w:marLeft w:val="0"/>
      <w:marRight w:val="0"/>
      <w:marTop w:val="0"/>
      <w:marBottom w:val="0"/>
      <w:divBdr>
        <w:top w:val="none" w:sz="0" w:space="0" w:color="auto"/>
        <w:left w:val="none" w:sz="0" w:space="0" w:color="auto"/>
        <w:bottom w:val="none" w:sz="0" w:space="0" w:color="auto"/>
        <w:right w:val="none" w:sz="0" w:space="0" w:color="auto"/>
      </w:divBdr>
    </w:div>
    <w:div w:id="541206749">
      <w:marLeft w:val="0"/>
      <w:marRight w:val="0"/>
      <w:marTop w:val="0"/>
      <w:marBottom w:val="0"/>
      <w:divBdr>
        <w:top w:val="none" w:sz="0" w:space="0" w:color="auto"/>
        <w:left w:val="none" w:sz="0" w:space="0" w:color="auto"/>
        <w:bottom w:val="none" w:sz="0" w:space="0" w:color="auto"/>
        <w:right w:val="none" w:sz="0" w:space="0" w:color="auto"/>
      </w:divBdr>
    </w:div>
    <w:div w:id="541206750">
      <w:marLeft w:val="0"/>
      <w:marRight w:val="0"/>
      <w:marTop w:val="0"/>
      <w:marBottom w:val="0"/>
      <w:divBdr>
        <w:top w:val="none" w:sz="0" w:space="0" w:color="auto"/>
        <w:left w:val="none" w:sz="0" w:space="0" w:color="auto"/>
        <w:bottom w:val="none" w:sz="0" w:space="0" w:color="auto"/>
        <w:right w:val="none" w:sz="0" w:space="0" w:color="auto"/>
      </w:divBdr>
    </w:div>
    <w:div w:id="541206751">
      <w:marLeft w:val="0"/>
      <w:marRight w:val="0"/>
      <w:marTop w:val="0"/>
      <w:marBottom w:val="0"/>
      <w:divBdr>
        <w:top w:val="none" w:sz="0" w:space="0" w:color="auto"/>
        <w:left w:val="none" w:sz="0" w:space="0" w:color="auto"/>
        <w:bottom w:val="none" w:sz="0" w:space="0" w:color="auto"/>
        <w:right w:val="none" w:sz="0" w:space="0" w:color="auto"/>
      </w:divBdr>
    </w:div>
    <w:div w:id="541206752">
      <w:marLeft w:val="0"/>
      <w:marRight w:val="0"/>
      <w:marTop w:val="0"/>
      <w:marBottom w:val="0"/>
      <w:divBdr>
        <w:top w:val="none" w:sz="0" w:space="0" w:color="auto"/>
        <w:left w:val="none" w:sz="0" w:space="0" w:color="auto"/>
        <w:bottom w:val="none" w:sz="0" w:space="0" w:color="auto"/>
        <w:right w:val="none" w:sz="0" w:space="0" w:color="auto"/>
      </w:divBdr>
    </w:div>
    <w:div w:id="541206753">
      <w:marLeft w:val="0"/>
      <w:marRight w:val="0"/>
      <w:marTop w:val="0"/>
      <w:marBottom w:val="0"/>
      <w:divBdr>
        <w:top w:val="none" w:sz="0" w:space="0" w:color="auto"/>
        <w:left w:val="none" w:sz="0" w:space="0" w:color="auto"/>
        <w:bottom w:val="none" w:sz="0" w:space="0" w:color="auto"/>
        <w:right w:val="none" w:sz="0" w:space="0" w:color="auto"/>
      </w:divBdr>
    </w:div>
    <w:div w:id="541206754">
      <w:marLeft w:val="0"/>
      <w:marRight w:val="0"/>
      <w:marTop w:val="0"/>
      <w:marBottom w:val="0"/>
      <w:divBdr>
        <w:top w:val="none" w:sz="0" w:space="0" w:color="auto"/>
        <w:left w:val="none" w:sz="0" w:space="0" w:color="auto"/>
        <w:bottom w:val="none" w:sz="0" w:space="0" w:color="auto"/>
        <w:right w:val="none" w:sz="0" w:space="0" w:color="auto"/>
      </w:divBdr>
    </w:div>
    <w:div w:id="541206755">
      <w:marLeft w:val="0"/>
      <w:marRight w:val="0"/>
      <w:marTop w:val="0"/>
      <w:marBottom w:val="0"/>
      <w:divBdr>
        <w:top w:val="none" w:sz="0" w:space="0" w:color="auto"/>
        <w:left w:val="none" w:sz="0" w:space="0" w:color="auto"/>
        <w:bottom w:val="none" w:sz="0" w:space="0" w:color="auto"/>
        <w:right w:val="none" w:sz="0" w:space="0" w:color="auto"/>
      </w:divBdr>
    </w:div>
    <w:div w:id="541206756">
      <w:marLeft w:val="0"/>
      <w:marRight w:val="0"/>
      <w:marTop w:val="0"/>
      <w:marBottom w:val="0"/>
      <w:divBdr>
        <w:top w:val="none" w:sz="0" w:space="0" w:color="auto"/>
        <w:left w:val="none" w:sz="0" w:space="0" w:color="auto"/>
        <w:bottom w:val="none" w:sz="0" w:space="0" w:color="auto"/>
        <w:right w:val="none" w:sz="0" w:space="0" w:color="auto"/>
      </w:divBdr>
    </w:div>
    <w:div w:id="541206757">
      <w:marLeft w:val="0"/>
      <w:marRight w:val="0"/>
      <w:marTop w:val="0"/>
      <w:marBottom w:val="0"/>
      <w:divBdr>
        <w:top w:val="none" w:sz="0" w:space="0" w:color="auto"/>
        <w:left w:val="none" w:sz="0" w:space="0" w:color="auto"/>
        <w:bottom w:val="none" w:sz="0" w:space="0" w:color="auto"/>
        <w:right w:val="none" w:sz="0" w:space="0" w:color="auto"/>
      </w:divBdr>
    </w:div>
    <w:div w:id="541206758">
      <w:marLeft w:val="0"/>
      <w:marRight w:val="0"/>
      <w:marTop w:val="0"/>
      <w:marBottom w:val="0"/>
      <w:divBdr>
        <w:top w:val="none" w:sz="0" w:space="0" w:color="auto"/>
        <w:left w:val="none" w:sz="0" w:space="0" w:color="auto"/>
        <w:bottom w:val="none" w:sz="0" w:space="0" w:color="auto"/>
        <w:right w:val="none" w:sz="0" w:space="0" w:color="auto"/>
      </w:divBdr>
    </w:div>
    <w:div w:id="541206759">
      <w:marLeft w:val="0"/>
      <w:marRight w:val="0"/>
      <w:marTop w:val="0"/>
      <w:marBottom w:val="0"/>
      <w:divBdr>
        <w:top w:val="none" w:sz="0" w:space="0" w:color="auto"/>
        <w:left w:val="none" w:sz="0" w:space="0" w:color="auto"/>
        <w:bottom w:val="none" w:sz="0" w:space="0" w:color="auto"/>
        <w:right w:val="none" w:sz="0" w:space="0" w:color="auto"/>
      </w:divBdr>
    </w:div>
    <w:div w:id="541206760">
      <w:marLeft w:val="0"/>
      <w:marRight w:val="0"/>
      <w:marTop w:val="0"/>
      <w:marBottom w:val="0"/>
      <w:divBdr>
        <w:top w:val="none" w:sz="0" w:space="0" w:color="auto"/>
        <w:left w:val="none" w:sz="0" w:space="0" w:color="auto"/>
        <w:bottom w:val="none" w:sz="0" w:space="0" w:color="auto"/>
        <w:right w:val="none" w:sz="0" w:space="0" w:color="auto"/>
      </w:divBdr>
    </w:div>
    <w:div w:id="541206761">
      <w:marLeft w:val="0"/>
      <w:marRight w:val="0"/>
      <w:marTop w:val="0"/>
      <w:marBottom w:val="0"/>
      <w:divBdr>
        <w:top w:val="none" w:sz="0" w:space="0" w:color="auto"/>
        <w:left w:val="none" w:sz="0" w:space="0" w:color="auto"/>
        <w:bottom w:val="none" w:sz="0" w:space="0" w:color="auto"/>
        <w:right w:val="none" w:sz="0" w:space="0" w:color="auto"/>
      </w:divBdr>
    </w:div>
    <w:div w:id="541206762">
      <w:marLeft w:val="0"/>
      <w:marRight w:val="0"/>
      <w:marTop w:val="0"/>
      <w:marBottom w:val="0"/>
      <w:divBdr>
        <w:top w:val="none" w:sz="0" w:space="0" w:color="auto"/>
        <w:left w:val="none" w:sz="0" w:space="0" w:color="auto"/>
        <w:bottom w:val="none" w:sz="0" w:space="0" w:color="auto"/>
        <w:right w:val="none" w:sz="0" w:space="0" w:color="auto"/>
      </w:divBdr>
    </w:div>
    <w:div w:id="541206763">
      <w:marLeft w:val="0"/>
      <w:marRight w:val="0"/>
      <w:marTop w:val="0"/>
      <w:marBottom w:val="0"/>
      <w:divBdr>
        <w:top w:val="none" w:sz="0" w:space="0" w:color="auto"/>
        <w:left w:val="none" w:sz="0" w:space="0" w:color="auto"/>
        <w:bottom w:val="none" w:sz="0" w:space="0" w:color="auto"/>
        <w:right w:val="none" w:sz="0" w:space="0" w:color="auto"/>
      </w:divBdr>
    </w:div>
    <w:div w:id="541206764">
      <w:marLeft w:val="0"/>
      <w:marRight w:val="0"/>
      <w:marTop w:val="0"/>
      <w:marBottom w:val="0"/>
      <w:divBdr>
        <w:top w:val="none" w:sz="0" w:space="0" w:color="auto"/>
        <w:left w:val="none" w:sz="0" w:space="0" w:color="auto"/>
        <w:bottom w:val="none" w:sz="0" w:space="0" w:color="auto"/>
        <w:right w:val="none" w:sz="0" w:space="0" w:color="auto"/>
      </w:divBdr>
    </w:div>
    <w:div w:id="541206765">
      <w:marLeft w:val="0"/>
      <w:marRight w:val="0"/>
      <w:marTop w:val="0"/>
      <w:marBottom w:val="0"/>
      <w:divBdr>
        <w:top w:val="none" w:sz="0" w:space="0" w:color="auto"/>
        <w:left w:val="none" w:sz="0" w:space="0" w:color="auto"/>
        <w:bottom w:val="none" w:sz="0" w:space="0" w:color="auto"/>
        <w:right w:val="none" w:sz="0" w:space="0" w:color="auto"/>
      </w:divBdr>
    </w:div>
    <w:div w:id="541206766">
      <w:marLeft w:val="0"/>
      <w:marRight w:val="0"/>
      <w:marTop w:val="0"/>
      <w:marBottom w:val="0"/>
      <w:divBdr>
        <w:top w:val="none" w:sz="0" w:space="0" w:color="auto"/>
        <w:left w:val="none" w:sz="0" w:space="0" w:color="auto"/>
        <w:bottom w:val="none" w:sz="0" w:space="0" w:color="auto"/>
        <w:right w:val="none" w:sz="0" w:space="0" w:color="auto"/>
      </w:divBdr>
    </w:div>
    <w:div w:id="541206767">
      <w:marLeft w:val="0"/>
      <w:marRight w:val="0"/>
      <w:marTop w:val="0"/>
      <w:marBottom w:val="0"/>
      <w:divBdr>
        <w:top w:val="none" w:sz="0" w:space="0" w:color="auto"/>
        <w:left w:val="none" w:sz="0" w:space="0" w:color="auto"/>
        <w:bottom w:val="none" w:sz="0" w:space="0" w:color="auto"/>
        <w:right w:val="none" w:sz="0" w:space="0" w:color="auto"/>
      </w:divBdr>
    </w:div>
    <w:div w:id="541206768">
      <w:marLeft w:val="0"/>
      <w:marRight w:val="0"/>
      <w:marTop w:val="0"/>
      <w:marBottom w:val="0"/>
      <w:divBdr>
        <w:top w:val="none" w:sz="0" w:space="0" w:color="auto"/>
        <w:left w:val="none" w:sz="0" w:space="0" w:color="auto"/>
        <w:bottom w:val="none" w:sz="0" w:space="0" w:color="auto"/>
        <w:right w:val="none" w:sz="0" w:space="0" w:color="auto"/>
      </w:divBdr>
    </w:div>
    <w:div w:id="541206769">
      <w:marLeft w:val="0"/>
      <w:marRight w:val="0"/>
      <w:marTop w:val="0"/>
      <w:marBottom w:val="0"/>
      <w:divBdr>
        <w:top w:val="none" w:sz="0" w:space="0" w:color="auto"/>
        <w:left w:val="none" w:sz="0" w:space="0" w:color="auto"/>
        <w:bottom w:val="none" w:sz="0" w:space="0" w:color="auto"/>
        <w:right w:val="none" w:sz="0" w:space="0" w:color="auto"/>
      </w:divBdr>
    </w:div>
    <w:div w:id="541206770">
      <w:marLeft w:val="0"/>
      <w:marRight w:val="0"/>
      <w:marTop w:val="0"/>
      <w:marBottom w:val="0"/>
      <w:divBdr>
        <w:top w:val="none" w:sz="0" w:space="0" w:color="auto"/>
        <w:left w:val="none" w:sz="0" w:space="0" w:color="auto"/>
        <w:bottom w:val="none" w:sz="0" w:space="0" w:color="auto"/>
        <w:right w:val="none" w:sz="0" w:space="0" w:color="auto"/>
      </w:divBdr>
    </w:div>
    <w:div w:id="541206771">
      <w:marLeft w:val="0"/>
      <w:marRight w:val="0"/>
      <w:marTop w:val="0"/>
      <w:marBottom w:val="0"/>
      <w:divBdr>
        <w:top w:val="none" w:sz="0" w:space="0" w:color="auto"/>
        <w:left w:val="none" w:sz="0" w:space="0" w:color="auto"/>
        <w:bottom w:val="none" w:sz="0" w:space="0" w:color="auto"/>
        <w:right w:val="none" w:sz="0" w:space="0" w:color="auto"/>
      </w:divBdr>
    </w:div>
    <w:div w:id="541206772">
      <w:marLeft w:val="0"/>
      <w:marRight w:val="0"/>
      <w:marTop w:val="0"/>
      <w:marBottom w:val="0"/>
      <w:divBdr>
        <w:top w:val="none" w:sz="0" w:space="0" w:color="auto"/>
        <w:left w:val="none" w:sz="0" w:space="0" w:color="auto"/>
        <w:bottom w:val="none" w:sz="0" w:space="0" w:color="auto"/>
        <w:right w:val="none" w:sz="0" w:space="0" w:color="auto"/>
      </w:divBdr>
    </w:div>
    <w:div w:id="541206773">
      <w:marLeft w:val="0"/>
      <w:marRight w:val="0"/>
      <w:marTop w:val="0"/>
      <w:marBottom w:val="0"/>
      <w:divBdr>
        <w:top w:val="none" w:sz="0" w:space="0" w:color="auto"/>
        <w:left w:val="none" w:sz="0" w:space="0" w:color="auto"/>
        <w:bottom w:val="none" w:sz="0" w:space="0" w:color="auto"/>
        <w:right w:val="none" w:sz="0" w:space="0" w:color="auto"/>
      </w:divBdr>
    </w:div>
    <w:div w:id="541206774">
      <w:marLeft w:val="0"/>
      <w:marRight w:val="0"/>
      <w:marTop w:val="0"/>
      <w:marBottom w:val="0"/>
      <w:divBdr>
        <w:top w:val="none" w:sz="0" w:space="0" w:color="auto"/>
        <w:left w:val="none" w:sz="0" w:space="0" w:color="auto"/>
        <w:bottom w:val="none" w:sz="0" w:space="0" w:color="auto"/>
        <w:right w:val="none" w:sz="0" w:space="0" w:color="auto"/>
      </w:divBdr>
    </w:div>
    <w:div w:id="541206775">
      <w:marLeft w:val="0"/>
      <w:marRight w:val="0"/>
      <w:marTop w:val="0"/>
      <w:marBottom w:val="0"/>
      <w:divBdr>
        <w:top w:val="none" w:sz="0" w:space="0" w:color="auto"/>
        <w:left w:val="none" w:sz="0" w:space="0" w:color="auto"/>
        <w:bottom w:val="none" w:sz="0" w:space="0" w:color="auto"/>
        <w:right w:val="none" w:sz="0" w:space="0" w:color="auto"/>
      </w:divBdr>
    </w:div>
    <w:div w:id="541206776">
      <w:marLeft w:val="0"/>
      <w:marRight w:val="0"/>
      <w:marTop w:val="0"/>
      <w:marBottom w:val="0"/>
      <w:divBdr>
        <w:top w:val="none" w:sz="0" w:space="0" w:color="auto"/>
        <w:left w:val="none" w:sz="0" w:space="0" w:color="auto"/>
        <w:bottom w:val="none" w:sz="0" w:space="0" w:color="auto"/>
        <w:right w:val="none" w:sz="0" w:space="0" w:color="auto"/>
      </w:divBdr>
    </w:div>
    <w:div w:id="541206777">
      <w:marLeft w:val="0"/>
      <w:marRight w:val="0"/>
      <w:marTop w:val="0"/>
      <w:marBottom w:val="0"/>
      <w:divBdr>
        <w:top w:val="none" w:sz="0" w:space="0" w:color="auto"/>
        <w:left w:val="none" w:sz="0" w:space="0" w:color="auto"/>
        <w:bottom w:val="none" w:sz="0" w:space="0" w:color="auto"/>
        <w:right w:val="none" w:sz="0" w:space="0" w:color="auto"/>
      </w:divBdr>
    </w:div>
    <w:div w:id="541206778">
      <w:marLeft w:val="0"/>
      <w:marRight w:val="0"/>
      <w:marTop w:val="0"/>
      <w:marBottom w:val="0"/>
      <w:divBdr>
        <w:top w:val="none" w:sz="0" w:space="0" w:color="auto"/>
        <w:left w:val="none" w:sz="0" w:space="0" w:color="auto"/>
        <w:bottom w:val="none" w:sz="0" w:space="0" w:color="auto"/>
        <w:right w:val="none" w:sz="0" w:space="0" w:color="auto"/>
      </w:divBdr>
    </w:div>
    <w:div w:id="541206779">
      <w:marLeft w:val="0"/>
      <w:marRight w:val="0"/>
      <w:marTop w:val="0"/>
      <w:marBottom w:val="0"/>
      <w:divBdr>
        <w:top w:val="none" w:sz="0" w:space="0" w:color="auto"/>
        <w:left w:val="none" w:sz="0" w:space="0" w:color="auto"/>
        <w:bottom w:val="none" w:sz="0" w:space="0" w:color="auto"/>
        <w:right w:val="none" w:sz="0" w:space="0" w:color="auto"/>
      </w:divBdr>
    </w:div>
    <w:div w:id="541206780">
      <w:marLeft w:val="0"/>
      <w:marRight w:val="0"/>
      <w:marTop w:val="0"/>
      <w:marBottom w:val="0"/>
      <w:divBdr>
        <w:top w:val="none" w:sz="0" w:space="0" w:color="auto"/>
        <w:left w:val="none" w:sz="0" w:space="0" w:color="auto"/>
        <w:bottom w:val="none" w:sz="0" w:space="0" w:color="auto"/>
        <w:right w:val="none" w:sz="0" w:space="0" w:color="auto"/>
      </w:divBdr>
    </w:div>
    <w:div w:id="541206781">
      <w:marLeft w:val="0"/>
      <w:marRight w:val="0"/>
      <w:marTop w:val="0"/>
      <w:marBottom w:val="0"/>
      <w:divBdr>
        <w:top w:val="none" w:sz="0" w:space="0" w:color="auto"/>
        <w:left w:val="none" w:sz="0" w:space="0" w:color="auto"/>
        <w:bottom w:val="none" w:sz="0" w:space="0" w:color="auto"/>
        <w:right w:val="none" w:sz="0" w:space="0" w:color="auto"/>
      </w:divBdr>
    </w:div>
    <w:div w:id="541206782">
      <w:marLeft w:val="0"/>
      <w:marRight w:val="0"/>
      <w:marTop w:val="0"/>
      <w:marBottom w:val="0"/>
      <w:divBdr>
        <w:top w:val="none" w:sz="0" w:space="0" w:color="auto"/>
        <w:left w:val="none" w:sz="0" w:space="0" w:color="auto"/>
        <w:bottom w:val="none" w:sz="0" w:space="0" w:color="auto"/>
        <w:right w:val="none" w:sz="0" w:space="0" w:color="auto"/>
      </w:divBdr>
    </w:div>
    <w:div w:id="541206783">
      <w:marLeft w:val="0"/>
      <w:marRight w:val="0"/>
      <w:marTop w:val="0"/>
      <w:marBottom w:val="0"/>
      <w:divBdr>
        <w:top w:val="none" w:sz="0" w:space="0" w:color="auto"/>
        <w:left w:val="none" w:sz="0" w:space="0" w:color="auto"/>
        <w:bottom w:val="none" w:sz="0" w:space="0" w:color="auto"/>
        <w:right w:val="none" w:sz="0" w:space="0" w:color="auto"/>
      </w:divBdr>
    </w:div>
    <w:div w:id="541206784">
      <w:marLeft w:val="0"/>
      <w:marRight w:val="0"/>
      <w:marTop w:val="0"/>
      <w:marBottom w:val="0"/>
      <w:divBdr>
        <w:top w:val="none" w:sz="0" w:space="0" w:color="auto"/>
        <w:left w:val="none" w:sz="0" w:space="0" w:color="auto"/>
        <w:bottom w:val="none" w:sz="0" w:space="0" w:color="auto"/>
        <w:right w:val="none" w:sz="0" w:space="0" w:color="auto"/>
      </w:divBdr>
    </w:div>
    <w:div w:id="541206785">
      <w:marLeft w:val="0"/>
      <w:marRight w:val="0"/>
      <w:marTop w:val="0"/>
      <w:marBottom w:val="0"/>
      <w:divBdr>
        <w:top w:val="none" w:sz="0" w:space="0" w:color="auto"/>
        <w:left w:val="none" w:sz="0" w:space="0" w:color="auto"/>
        <w:bottom w:val="none" w:sz="0" w:space="0" w:color="auto"/>
        <w:right w:val="none" w:sz="0" w:space="0" w:color="auto"/>
      </w:divBdr>
    </w:div>
    <w:div w:id="541206786">
      <w:marLeft w:val="0"/>
      <w:marRight w:val="0"/>
      <w:marTop w:val="0"/>
      <w:marBottom w:val="0"/>
      <w:divBdr>
        <w:top w:val="none" w:sz="0" w:space="0" w:color="auto"/>
        <w:left w:val="none" w:sz="0" w:space="0" w:color="auto"/>
        <w:bottom w:val="none" w:sz="0" w:space="0" w:color="auto"/>
        <w:right w:val="none" w:sz="0" w:space="0" w:color="auto"/>
      </w:divBdr>
    </w:div>
    <w:div w:id="541206787">
      <w:marLeft w:val="0"/>
      <w:marRight w:val="0"/>
      <w:marTop w:val="0"/>
      <w:marBottom w:val="0"/>
      <w:divBdr>
        <w:top w:val="none" w:sz="0" w:space="0" w:color="auto"/>
        <w:left w:val="none" w:sz="0" w:space="0" w:color="auto"/>
        <w:bottom w:val="none" w:sz="0" w:space="0" w:color="auto"/>
        <w:right w:val="none" w:sz="0" w:space="0" w:color="auto"/>
      </w:divBdr>
    </w:div>
    <w:div w:id="541206788">
      <w:marLeft w:val="0"/>
      <w:marRight w:val="0"/>
      <w:marTop w:val="0"/>
      <w:marBottom w:val="0"/>
      <w:divBdr>
        <w:top w:val="none" w:sz="0" w:space="0" w:color="auto"/>
        <w:left w:val="none" w:sz="0" w:space="0" w:color="auto"/>
        <w:bottom w:val="none" w:sz="0" w:space="0" w:color="auto"/>
        <w:right w:val="none" w:sz="0" w:space="0" w:color="auto"/>
      </w:divBdr>
    </w:div>
    <w:div w:id="541206789">
      <w:marLeft w:val="0"/>
      <w:marRight w:val="0"/>
      <w:marTop w:val="0"/>
      <w:marBottom w:val="0"/>
      <w:divBdr>
        <w:top w:val="none" w:sz="0" w:space="0" w:color="auto"/>
        <w:left w:val="none" w:sz="0" w:space="0" w:color="auto"/>
        <w:bottom w:val="none" w:sz="0" w:space="0" w:color="auto"/>
        <w:right w:val="none" w:sz="0" w:space="0" w:color="auto"/>
      </w:divBdr>
    </w:div>
    <w:div w:id="541206790">
      <w:marLeft w:val="0"/>
      <w:marRight w:val="0"/>
      <w:marTop w:val="0"/>
      <w:marBottom w:val="0"/>
      <w:divBdr>
        <w:top w:val="none" w:sz="0" w:space="0" w:color="auto"/>
        <w:left w:val="none" w:sz="0" w:space="0" w:color="auto"/>
        <w:bottom w:val="none" w:sz="0" w:space="0" w:color="auto"/>
        <w:right w:val="none" w:sz="0" w:space="0" w:color="auto"/>
      </w:divBdr>
    </w:div>
    <w:div w:id="541206791">
      <w:marLeft w:val="0"/>
      <w:marRight w:val="0"/>
      <w:marTop w:val="0"/>
      <w:marBottom w:val="0"/>
      <w:divBdr>
        <w:top w:val="none" w:sz="0" w:space="0" w:color="auto"/>
        <w:left w:val="none" w:sz="0" w:space="0" w:color="auto"/>
        <w:bottom w:val="none" w:sz="0" w:space="0" w:color="auto"/>
        <w:right w:val="none" w:sz="0" w:space="0" w:color="auto"/>
      </w:divBdr>
    </w:div>
    <w:div w:id="541206792">
      <w:marLeft w:val="0"/>
      <w:marRight w:val="0"/>
      <w:marTop w:val="0"/>
      <w:marBottom w:val="0"/>
      <w:divBdr>
        <w:top w:val="none" w:sz="0" w:space="0" w:color="auto"/>
        <w:left w:val="none" w:sz="0" w:space="0" w:color="auto"/>
        <w:bottom w:val="none" w:sz="0" w:space="0" w:color="auto"/>
        <w:right w:val="none" w:sz="0" w:space="0" w:color="auto"/>
      </w:divBdr>
    </w:div>
    <w:div w:id="541206793">
      <w:marLeft w:val="0"/>
      <w:marRight w:val="0"/>
      <w:marTop w:val="0"/>
      <w:marBottom w:val="0"/>
      <w:divBdr>
        <w:top w:val="none" w:sz="0" w:space="0" w:color="auto"/>
        <w:left w:val="none" w:sz="0" w:space="0" w:color="auto"/>
        <w:bottom w:val="none" w:sz="0" w:space="0" w:color="auto"/>
        <w:right w:val="none" w:sz="0" w:space="0" w:color="auto"/>
      </w:divBdr>
    </w:div>
    <w:div w:id="541206794">
      <w:marLeft w:val="0"/>
      <w:marRight w:val="0"/>
      <w:marTop w:val="0"/>
      <w:marBottom w:val="0"/>
      <w:divBdr>
        <w:top w:val="none" w:sz="0" w:space="0" w:color="auto"/>
        <w:left w:val="none" w:sz="0" w:space="0" w:color="auto"/>
        <w:bottom w:val="none" w:sz="0" w:space="0" w:color="auto"/>
        <w:right w:val="none" w:sz="0" w:space="0" w:color="auto"/>
      </w:divBdr>
    </w:div>
    <w:div w:id="541206795">
      <w:marLeft w:val="0"/>
      <w:marRight w:val="0"/>
      <w:marTop w:val="0"/>
      <w:marBottom w:val="0"/>
      <w:divBdr>
        <w:top w:val="none" w:sz="0" w:space="0" w:color="auto"/>
        <w:left w:val="none" w:sz="0" w:space="0" w:color="auto"/>
        <w:bottom w:val="none" w:sz="0" w:space="0" w:color="auto"/>
        <w:right w:val="none" w:sz="0" w:space="0" w:color="auto"/>
      </w:divBdr>
    </w:div>
    <w:div w:id="541206796">
      <w:marLeft w:val="0"/>
      <w:marRight w:val="0"/>
      <w:marTop w:val="0"/>
      <w:marBottom w:val="0"/>
      <w:divBdr>
        <w:top w:val="none" w:sz="0" w:space="0" w:color="auto"/>
        <w:left w:val="none" w:sz="0" w:space="0" w:color="auto"/>
        <w:bottom w:val="none" w:sz="0" w:space="0" w:color="auto"/>
        <w:right w:val="none" w:sz="0" w:space="0" w:color="auto"/>
      </w:divBdr>
    </w:div>
    <w:div w:id="541206797">
      <w:marLeft w:val="0"/>
      <w:marRight w:val="0"/>
      <w:marTop w:val="0"/>
      <w:marBottom w:val="0"/>
      <w:divBdr>
        <w:top w:val="none" w:sz="0" w:space="0" w:color="auto"/>
        <w:left w:val="none" w:sz="0" w:space="0" w:color="auto"/>
        <w:bottom w:val="none" w:sz="0" w:space="0" w:color="auto"/>
        <w:right w:val="none" w:sz="0" w:space="0" w:color="auto"/>
      </w:divBdr>
    </w:div>
    <w:div w:id="541206798">
      <w:marLeft w:val="0"/>
      <w:marRight w:val="0"/>
      <w:marTop w:val="0"/>
      <w:marBottom w:val="0"/>
      <w:divBdr>
        <w:top w:val="none" w:sz="0" w:space="0" w:color="auto"/>
        <w:left w:val="none" w:sz="0" w:space="0" w:color="auto"/>
        <w:bottom w:val="none" w:sz="0" w:space="0" w:color="auto"/>
        <w:right w:val="none" w:sz="0" w:space="0" w:color="auto"/>
      </w:divBdr>
    </w:div>
    <w:div w:id="541206799">
      <w:marLeft w:val="0"/>
      <w:marRight w:val="0"/>
      <w:marTop w:val="0"/>
      <w:marBottom w:val="0"/>
      <w:divBdr>
        <w:top w:val="none" w:sz="0" w:space="0" w:color="auto"/>
        <w:left w:val="none" w:sz="0" w:space="0" w:color="auto"/>
        <w:bottom w:val="none" w:sz="0" w:space="0" w:color="auto"/>
        <w:right w:val="none" w:sz="0" w:space="0" w:color="auto"/>
      </w:divBdr>
    </w:div>
    <w:div w:id="541206800">
      <w:marLeft w:val="0"/>
      <w:marRight w:val="0"/>
      <w:marTop w:val="0"/>
      <w:marBottom w:val="0"/>
      <w:divBdr>
        <w:top w:val="none" w:sz="0" w:space="0" w:color="auto"/>
        <w:left w:val="none" w:sz="0" w:space="0" w:color="auto"/>
        <w:bottom w:val="none" w:sz="0" w:space="0" w:color="auto"/>
        <w:right w:val="none" w:sz="0" w:space="0" w:color="auto"/>
      </w:divBdr>
    </w:div>
    <w:div w:id="541206801">
      <w:marLeft w:val="0"/>
      <w:marRight w:val="0"/>
      <w:marTop w:val="0"/>
      <w:marBottom w:val="0"/>
      <w:divBdr>
        <w:top w:val="none" w:sz="0" w:space="0" w:color="auto"/>
        <w:left w:val="none" w:sz="0" w:space="0" w:color="auto"/>
        <w:bottom w:val="none" w:sz="0" w:space="0" w:color="auto"/>
        <w:right w:val="none" w:sz="0" w:space="0" w:color="auto"/>
      </w:divBdr>
    </w:div>
    <w:div w:id="541206802">
      <w:marLeft w:val="0"/>
      <w:marRight w:val="0"/>
      <w:marTop w:val="0"/>
      <w:marBottom w:val="0"/>
      <w:divBdr>
        <w:top w:val="none" w:sz="0" w:space="0" w:color="auto"/>
        <w:left w:val="none" w:sz="0" w:space="0" w:color="auto"/>
        <w:bottom w:val="none" w:sz="0" w:space="0" w:color="auto"/>
        <w:right w:val="none" w:sz="0" w:space="0" w:color="auto"/>
      </w:divBdr>
    </w:div>
    <w:div w:id="541206803">
      <w:marLeft w:val="0"/>
      <w:marRight w:val="0"/>
      <w:marTop w:val="0"/>
      <w:marBottom w:val="0"/>
      <w:divBdr>
        <w:top w:val="none" w:sz="0" w:space="0" w:color="auto"/>
        <w:left w:val="none" w:sz="0" w:space="0" w:color="auto"/>
        <w:bottom w:val="none" w:sz="0" w:space="0" w:color="auto"/>
        <w:right w:val="none" w:sz="0" w:space="0" w:color="auto"/>
      </w:divBdr>
    </w:div>
    <w:div w:id="541206804">
      <w:marLeft w:val="0"/>
      <w:marRight w:val="0"/>
      <w:marTop w:val="0"/>
      <w:marBottom w:val="0"/>
      <w:divBdr>
        <w:top w:val="none" w:sz="0" w:space="0" w:color="auto"/>
        <w:left w:val="none" w:sz="0" w:space="0" w:color="auto"/>
        <w:bottom w:val="none" w:sz="0" w:space="0" w:color="auto"/>
        <w:right w:val="none" w:sz="0" w:space="0" w:color="auto"/>
      </w:divBdr>
    </w:div>
    <w:div w:id="541206805">
      <w:marLeft w:val="0"/>
      <w:marRight w:val="0"/>
      <w:marTop w:val="0"/>
      <w:marBottom w:val="0"/>
      <w:divBdr>
        <w:top w:val="none" w:sz="0" w:space="0" w:color="auto"/>
        <w:left w:val="none" w:sz="0" w:space="0" w:color="auto"/>
        <w:bottom w:val="none" w:sz="0" w:space="0" w:color="auto"/>
        <w:right w:val="none" w:sz="0" w:space="0" w:color="auto"/>
      </w:divBdr>
    </w:div>
    <w:div w:id="541206806">
      <w:marLeft w:val="0"/>
      <w:marRight w:val="0"/>
      <w:marTop w:val="0"/>
      <w:marBottom w:val="0"/>
      <w:divBdr>
        <w:top w:val="none" w:sz="0" w:space="0" w:color="auto"/>
        <w:left w:val="none" w:sz="0" w:space="0" w:color="auto"/>
        <w:bottom w:val="none" w:sz="0" w:space="0" w:color="auto"/>
        <w:right w:val="none" w:sz="0" w:space="0" w:color="auto"/>
      </w:divBdr>
    </w:div>
    <w:div w:id="541206807">
      <w:marLeft w:val="0"/>
      <w:marRight w:val="0"/>
      <w:marTop w:val="0"/>
      <w:marBottom w:val="0"/>
      <w:divBdr>
        <w:top w:val="none" w:sz="0" w:space="0" w:color="auto"/>
        <w:left w:val="none" w:sz="0" w:space="0" w:color="auto"/>
        <w:bottom w:val="none" w:sz="0" w:space="0" w:color="auto"/>
        <w:right w:val="none" w:sz="0" w:space="0" w:color="auto"/>
      </w:divBdr>
    </w:div>
    <w:div w:id="541206808">
      <w:marLeft w:val="0"/>
      <w:marRight w:val="0"/>
      <w:marTop w:val="0"/>
      <w:marBottom w:val="0"/>
      <w:divBdr>
        <w:top w:val="none" w:sz="0" w:space="0" w:color="auto"/>
        <w:left w:val="none" w:sz="0" w:space="0" w:color="auto"/>
        <w:bottom w:val="none" w:sz="0" w:space="0" w:color="auto"/>
        <w:right w:val="none" w:sz="0" w:space="0" w:color="auto"/>
      </w:divBdr>
    </w:div>
    <w:div w:id="541206809">
      <w:marLeft w:val="0"/>
      <w:marRight w:val="0"/>
      <w:marTop w:val="0"/>
      <w:marBottom w:val="0"/>
      <w:divBdr>
        <w:top w:val="none" w:sz="0" w:space="0" w:color="auto"/>
        <w:left w:val="none" w:sz="0" w:space="0" w:color="auto"/>
        <w:bottom w:val="none" w:sz="0" w:space="0" w:color="auto"/>
        <w:right w:val="none" w:sz="0" w:space="0" w:color="auto"/>
      </w:divBdr>
    </w:div>
    <w:div w:id="541206810">
      <w:marLeft w:val="0"/>
      <w:marRight w:val="0"/>
      <w:marTop w:val="0"/>
      <w:marBottom w:val="0"/>
      <w:divBdr>
        <w:top w:val="none" w:sz="0" w:space="0" w:color="auto"/>
        <w:left w:val="none" w:sz="0" w:space="0" w:color="auto"/>
        <w:bottom w:val="none" w:sz="0" w:space="0" w:color="auto"/>
        <w:right w:val="none" w:sz="0" w:space="0" w:color="auto"/>
      </w:divBdr>
    </w:div>
    <w:div w:id="541206811">
      <w:marLeft w:val="0"/>
      <w:marRight w:val="0"/>
      <w:marTop w:val="0"/>
      <w:marBottom w:val="0"/>
      <w:divBdr>
        <w:top w:val="none" w:sz="0" w:space="0" w:color="auto"/>
        <w:left w:val="none" w:sz="0" w:space="0" w:color="auto"/>
        <w:bottom w:val="none" w:sz="0" w:space="0" w:color="auto"/>
        <w:right w:val="none" w:sz="0" w:space="0" w:color="auto"/>
      </w:divBdr>
    </w:div>
    <w:div w:id="541206812">
      <w:marLeft w:val="0"/>
      <w:marRight w:val="0"/>
      <w:marTop w:val="0"/>
      <w:marBottom w:val="0"/>
      <w:divBdr>
        <w:top w:val="none" w:sz="0" w:space="0" w:color="auto"/>
        <w:left w:val="none" w:sz="0" w:space="0" w:color="auto"/>
        <w:bottom w:val="none" w:sz="0" w:space="0" w:color="auto"/>
        <w:right w:val="none" w:sz="0" w:space="0" w:color="auto"/>
      </w:divBdr>
    </w:div>
    <w:div w:id="541206813">
      <w:marLeft w:val="0"/>
      <w:marRight w:val="0"/>
      <w:marTop w:val="0"/>
      <w:marBottom w:val="0"/>
      <w:divBdr>
        <w:top w:val="none" w:sz="0" w:space="0" w:color="auto"/>
        <w:left w:val="none" w:sz="0" w:space="0" w:color="auto"/>
        <w:bottom w:val="none" w:sz="0" w:space="0" w:color="auto"/>
        <w:right w:val="none" w:sz="0" w:space="0" w:color="auto"/>
      </w:divBdr>
    </w:div>
    <w:div w:id="541206814">
      <w:marLeft w:val="0"/>
      <w:marRight w:val="0"/>
      <w:marTop w:val="0"/>
      <w:marBottom w:val="0"/>
      <w:divBdr>
        <w:top w:val="none" w:sz="0" w:space="0" w:color="auto"/>
        <w:left w:val="none" w:sz="0" w:space="0" w:color="auto"/>
        <w:bottom w:val="none" w:sz="0" w:space="0" w:color="auto"/>
        <w:right w:val="none" w:sz="0" w:space="0" w:color="auto"/>
      </w:divBdr>
    </w:div>
    <w:div w:id="541206815">
      <w:marLeft w:val="0"/>
      <w:marRight w:val="0"/>
      <w:marTop w:val="0"/>
      <w:marBottom w:val="0"/>
      <w:divBdr>
        <w:top w:val="none" w:sz="0" w:space="0" w:color="auto"/>
        <w:left w:val="none" w:sz="0" w:space="0" w:color="auto"/>
        <w:bottom w:val="none" w:sz="0" w:space="0" w:color="auto"/>
        <w:right w:val="none" w:sz="0" w:space="0" w:color="auto"/>
      </w:divBdr>
    </w:div>
    <w:div w:id="541206816">
      <w:marLeft w:val="0"/>
      <w:marRight w:val="0"/>
      <w:marTop w:val="0"/>
      <w:marBottom w:val="0"/>
      <w:divBdr>
        <w:top w:val="none" w:sz="0" w:space="0" w:color="auto"/>
        <w:left w:val="none" w:sz="0" w:space="0" w:color="auto"/>
        <w:bottom w:val="none" w:sz="0" w:space="0" w:color="auto"/>
        <w:right w:val="none" w:sz="0" w:space="0" w:color="auto"/>
      </w:divBdr>
    </w:div>
    <w:div w:id="541206817">
      <w:marLeft w:val="0"/>
      <w:marRight w:val="0"/>
      <w:marTop w:val="0"/>
      <w:marBottom w:val="0"/>
      <w:divBdr>
        <w:top w:val="none" w:sz="0" w:space="0" w:color="auto"/>
        <w:left w:val="none" w:sz="0" w:space="0" w:color="auto"/>
        <w:bottom w:val="none" w:sz="0" w:space="0" w:color="auto"/>
        <w:right w:val="none" w:sz="0" w:space="0" w:color="auto"/>
      </w:divBdr>
    </w:div>
    <w:div w:id="541206818">
      <w:marLeft w:val="0"/>
      <w:marRight w:val="0"/>
      <w:marTop w:val="0"/>
      <w:marBottom w:val="0"/>
      <w:divBdr>
        <w:top w:val="none" w:sz="0" w:space="0" w:color="auto"/>
        <w:left w:val="none" w:sz="0" w:space="0" w:color="auto"/>
        <w:bottom w:val="none" w:sz="0" w:space="0" w:color="auto"/>
        <w:right w:val="none" w:sz="0" w:space="0" w:color="auto"/>
      </w:divBdr>
    </w:div>
    <w:div w:id="541206819">
      <w:marLeft w:val="0"/>
      <w:marRight w:val="0"/>
      <w:marTop w:val="0"/>
      <w:marBottom w:val="0"/>
      <w:divBdr>
        <w:top w:val="none" w:sz="0" w:space="0" w:color="auto"/>
        <w:left w:val="none" w:sz="0" w:space="0" w:color="auto"/>
        <w:bottom w:val="none" w:sz="0" w:space="0" w:color="auto"/>
        <w:right w:val="none" w:sz="0" w:space="0" w:color="auto"/>
      </w:divBdr>
    </w:div>
    <w:div w:id="541206820">
      <w:marLeft w:val="0"/>
      <w:marRight w:val="0"/>
      <w:marTop w:val="0"/>
      <w:marBottom w:val="0"/>
      <w:divBdr>
        <w:top w:val="none" w:sz="0" w:space="0" w:color="auto"/>
        <w:left w:val="none" w:sz="0" w:space="0" w:color="auto"/>
        <w:bottom w:val="none" w:sz="0" w:space="0" w:color="auto"/>
        <w:right w:val="none" w:sz="0" w:space="0" w:color="auto"/>
      </w:divBdr>
    </w:div>
    <w:div w:id="541206821">
      <w:marLeft w:val="0"/>
      <w:marRight w:val="0"/>
      <w:marTop w:val="0"/>
      <w:marBottom w:val="0"/>
      <w:divBdr>
        <w:top w:val="none" w:sz="0" w:space="0" w:color="auto"/>
        <w:left w:val="none" w:sz="0" w:space="0" w:color="auto"/>
        <w:bottom w:val="none" w:sz="0" w:space="0" w:color="auto"/>
        <w:right w:val="none" w:sz="0" w:space="0" w:color="auto"/>
      </w:divBdr>
    </w:div>
    <w:div w:id="541206822">
      <w:marLeft w:val="0"/>
      <w:marRight w:val="0"/>
      <w:marTop w:val="0"/>
      <w:marBottom w:val="0"/>
      <w:divBdr>
        <w:top w:val="none" w:sz="0" w:space="0" w:color="auto"/>
        <w:left w:val="none" w:sz="0" w:space="0" w:color="auto"/>
        <w:bottom w:val="none" w:sz="0" w:space="0" w:color="auto"/>
        <w:right w:val="none" w:sz="0" w:space="0" w:color="auto"/>
      </w:divBdr>
    </w:div>
    <w:div w:id="541206823">
      <w:marLeft w:val="0"/>
      <w:marRight w:val="0"/>
      <w:marTop w:val="0"/>
      <w:marBottom w:val="0"/>
      <w:divBdr>
        <w:top w:val="none" w:sz="0" w:space="0" w:color="auto"/>
        <w:left w:val="none" w:sz="0" w:space="0" w:color="auto"/>
        <w:bottom w:val="none" w:sz="0" w:space="0" w:color="auto"/>
        <w:right w:val="none" w:sz="0" w:space="0" w:color="auto"/>
      </w:divBdr>
    </w:div>
    <w:div w:id="541206824">
      <w:marLeft w:val="0"/>
      <w:marRight w:val="0"/>
      <w:marTop w:val="0"/>
      <w:marBottom w:val="0"/>
      <w:divBdr>
        <w:top w:val="none" w:sz="0" w:space="0" w:color="auto"/>
        <w:left w:val="none" w:sz="0" w:space="0" w:color="auto"/>
        <w:bottom w:val="none" w:sz="0" w:space="0" w:color="auto"/>
        <w:right w:val="none" w:sz="0" w:space="0" w:color="auto"/>
      </w:divBdr>
    </w:div>
    <w:div w:id="541206825">
      <w:marLeft w:val="0"/>
      <w:marRight w:val="0"/>
      <w:marTop w:val="0"/>
      <w:marBottom w:val="0"/>
      <w:divBdr>
        <w:top w:val="none" w:sz="0" w:space="0" w:color="auto"/>
        <w:left w:val="none" w:sz="0" w:space="0" w:color="auto"/>
        <w:bottom w:val="none" w:sz="0" w:space="0" w:color="auto"/>
        <w:right w:val="none" w:sz="0" w:space="0" w:color="auto"/>
      </w:divBdr>
    </w:div>
    <w:div w:id="541206826">
      <w:marLeft w:val="0"/>
      <w:marRight w:val="0"/>
      <w:marTop w:val="0"/>
      <w:marBottom w:val="0"/>
      <w:divBdr>
        <w:top w:val="none" w:sz="0" w:space="0" w:color="auto"/>
        <w:left w:val="none" w:sz="0" w:space="0" w:color="auto"/>
        <w:bottom w:val="none" w:sz="0" w:space="0" w:color="auto"/>
        <w:right w:val="none" w:sz="0" w:space="0" w:color="auto"/>
      </w:divBdr>
    </w:div>
    <w:div w:id="541206827">
      <w:marLeft w:val="0"/>
      <w:marRight w:val="0"/>
      <w:marTop w:val="0"/>
      <w:marBottom w:val="0"/>
      <w:divBdr>
        <w:top w:val="none" w:sz="0" w:space="0" w:color="auto"/>
        <w:left w:val="none" w:sz="0" w:space="0" w:color="auto"/>
        <w:bottom w:val="none" w:sz="0" w:space="0" w:color="auto"/>
        <w:right w:val="none" w:sz="0" w:space="0" w:color="auto"/>
      </w:divBdr>
    </w:div>
    <w:div w:id="541206828">
      <w:marLeft w:val="0"/>
      <w:marRight w:val="0"/>
      <w:marTop w:val="0"/>
      <w:marBottom w:val="0"/>
      <w:divBdr>
        <w:top w:val="none" w:sz="0" w:space="0" w:color="auto"/>
        <w:left w:val="none" w:sz="0" w:space="0" w:color="auto"/>
        <w:bottom w:val="none" w:sz="0" w:space="0" w:color="auto"/>
        <w:right w:val="none" w:sz="0" w:space="0" w:color="auto"/>
      </w:divBdr>
    </w:div>
    <w:div w:id="541206829">
      <w:marLeft w:val="0"/>
      <w:marRight w:val="0"/>
      <w:marTop w:val="0"/>
      <w:marBottom w:val="0"/>
      <w:divBdr>
        <w:top w:val="none" w:sz="0" w:space="0" w:color="auto"/>
        <w:left w:val="none" w:sz="0" w:space="0" w:color="auto"/>
        <w:bottom w:val="none" w:sz="0" w:space="0" w:color="auto"/>
        <w:right w:val="none" w:sz="0" w:space="0" w:color="auto"/>
      </w:divBdr>
    </w:div>
    <w:div w:id="541206830">
      <w:marLeft w:val="0"/>
      <w:marRight w:val="0"/>
      <w:marTop w:val="0"/>
      <w:marBottom w:val="0"/>
      <w:divBdr>
        <w:top w:val="none" w:sz="0" w:space="0" w:color="auto"/>
        <w:left w:val="none" w:sz="0" w:space="0" w:color="auto"/>
        <w:bottom w:val="none" w:sz="0" w:space="0" w:color="auto"/>
        <w:right w:val="none" w:sz="0" w:space="0" w:color="auto"/>
      </w:divBdr>
    </w:div>
    <w:div w:id="541206831">
      <w:marLeft w:val="0"/>
      <w:marRight w:val="0"/>
      <w:marTop w:val="0"/>
      <w:marBottom w:val="0"/>
      <w:divBdr>
        <w:top w:val="none" w:sz="0" w:space="0" w:color="auto"/>
        <w:left w:val="none" w:sz="0" w:space="0" w:color="auto"/>
        <w:bottom w:val="none" w:sz="0" w:space="0" w:color="auto"/>
        <w:right w:val="none" w:sz="0" w:space="0" w:color="auto"/>
      </w:divBdr>
    </w:div>
    <w:div w:id="541206832">
      <w:marLeft w:val="0"/>
      <w:marRight w:val="0"/>
      <w:marTop w:val="0"/>
      <w:marBottom w:val="0"/>
      <w:divBdr>
        <w:top w:val="none" w:sz="0" w:space="0" w:color="auto"/>
        <w:left w:val="none" w:sz="0" w:space="0" w:color="auto"/>
        <w:bottom w:val="none" w:sz="0" w:space="0" w:color="auto"/>
        <w:right w:val="none" w:sz="0" w:space="0" w:color="auto"/>
      </w:divBdr>
    </w:div>
    <w:div w:id="541206833">
      <w:marLeft w:val="0"/>
      <w:marRight w:val="0"/>
      <w:marTop w:val="0"/>
      <w:marBottom w:val="0"/>
      <w:divBdr>
        <w:top w:val="none" w:sz="0" w:space="0" w:color="auto"/>
        <w:left w:val="none" w:sz="0" w:space="0" w:color="auto"/>
        <w:bottom w:val="none" w:sz="0" w:space="0" w:color="auto"/>
        <w:right w:val="none" w:sz="0" w:space="0" w:color="auto"/>
      </w:divBdr>
    </w:div>
    <w:div w:id="541206834">
      <w:marLeft w:val="0"/>
      <w:marRight w:val="0"/>
      <w:marTop w:val="0"/>
      <w:marBottom w:val="0"/>
      <w:divBdr>
        <w:top w:val="none" w:sz="0" w:space="0" w:color="auto"/>
        <w:left w:val="none" w:sz="0" w:space="0" w:color="auto"/>
        <w:bottom w:val="none" w:sz="0" w:space="0" w:color="auto"/>
        <w:right w:val="none" w:sz="0" w:space="0" w:color="auto"/>
      </w:divBdr>
    </w:div>
    <w:div w:id="541206835">
      <w:marLeft w:val="0"/>
      <w:marRight w:val="0"/>
      <w:marTop w:val="0"/>
      <w:marBottom w:val="0"/>
      <w:divBdr>
        <w:top w:val="none" w:sz="0" w:space="0" w:color="auto"/>
        <w:left w:val="none" w:sz="0" w:space="0" w:color="auto"/>
        <w:bottom w:val="none" w:sz="0" w:space="0" w:color="auto"/>
        <w:right w:val="none" w:sz="0" w:space="0" w:color="auto"/>
      </w:divBdr>
    </w:div>
    <w:div w:id="541206836">
      <w:marLeft w:val="0"/>
      <w:marRight w:val="0"/>
      <w:marTop w:val="0"/>
      <w:marBottom w:val="0"/>
      <w:divBdr>
        <w:top w:val="none" w:sz="0" w:space="0" w:color="auto"/>
        <w:left w:val="none" w:sz="0" w:space="0" w:color="auto"/>
        <w:bottom w:val="none" w:sz="0" w:space="0" w:color="auto"/>
        <w:right w:val="none" w:sz="0" w:space="0" w:color="auto"/>
      </w:divBdr>
    </w:div>
    <w:div w:id="541206837">
      <w:marLeft w:val="0"/>
      <w:marRight w:val="0"/>
      <w:marTop w:val="0"/>
      <w:marBottom w:val="0"/>
      <w:divBdr>
        <w:top w:val="none" w:sz="0" w:space="0" w:color="auto"/>
        <w:left w:val="none" w:sz="0" w:space="0" w:color="auto"/>
        <w:bottom w:val="none" w:sz="0" w:space="0" w:color="auto"/>
        <w:right w:val="none" w:sz="0" w:space="0" w:color="auto"/>
      </w:divBdr>
    </w:div>
    <w:div w:id="541206838">
      <w:marLeft w:val="0"/>
      <w:marRight w:val="0"/>
      <w:marTop w:val="0"/>
      <w:marBottom w:val="0"/>
      <w:divBdr>
        <w:top w:val="none" w:sz="0" w:space="0" w:color="auto"/>
        <w:left w:val="none" w:sz="0" w:space="0" w:color="auto"/>
        <w:bottom w:val="none" w:sz="0" w:space="0" w:color="auto"/>
        <w:right w:val="none" w:sz="0" w:space="0" w:color="auto"/>
      </w:divBdr>
    </w:div>
    <w:div w:id="541206839">
      <w:marLeft w:val="0"/>
      <w:marRight w:val="0"/>
      <w:marTop w:val="0"/>
      <w:marBottom w:val="0"/>
      <w:divBdr>
        <w:top w:val="none" w:sz="0" w:space="0" w:color="auto"/>
        <w:left w:val="none" w:sz="0" w:space="0" w:color="auto"/>
        <w:bottom w:val="none" w:sz="0" w:space="0" w:color="auto"/>
        <w:right w:val="none" w:sz="0" w:space="0" w:color="auto"/>
      </w:divBdr>
    </w:div>
    <w:div w:id="541206840">
      <w:marLeft w:val="0"/>
      <w:marRight w:val="0"/>
      <w:marTop w:val="0"/>
      <w:marBottom w:val="0"/>
      <w:divBdr>
        <w:top w:val="none" w:sz="0" w:space="0" w:color="auto"/>
        <w:left w:val="none" w:sz="0" w:space="0" w:color="auto"/>
        <w:bottom w:val="none" w:sz="0" w:space="0" w:color="auto"/>
        <w:right w:val="none" w:sz="0" w:space="0" w:color="auto"/>
      </w:divBdr>
    </w:div>
    <w:div w:id="541206841">
      <w:marLeft w:val="0"/>
      <w:marRight w:val="0"/>
      <w:marTop w:val="0"/>
      <w:marBottom w:val="0"/>
      <w:divBdr>
        <w:top w:val="none" w:sz="0" w:space="0" w:color="auto"/>
        <w:left w:val="none" w:sz="0" w:space="0" w:color="auto"/>
        <w:bottom w:val="none" w:sz="0" w:space="0" w:color="auto"/>
        <w:right w:val="none" w:sz="0" w:space="0" w:color="auto"/>
      </w:divBdr>
    </w:div>
    <w:div w:id="541206842">
      <w:marLeft w:val="0"/>
      <w:marRight w:val="0"/>
      <w:marTop w:val="0"/>
      <w:marBottom w:val="0"/>
      <w:divBdr>
        <w:top w:val="none" w:sz="0" w:space="0" w:color="auto"/>
        <w:left w:val="none" w:sz="0" w:space="0" w:color="auto"/>
        <w:bottom w:val="none" w:sz="0" w:space="0" w:color="auto"/>
        <w:right w:val="none" w:sz="0" w:space="0" w:color="auto"/>
      </w:divBdr>
    </w:div>
    <w:div w:id="541206843">
      <w:marLeft w:val="0"/>
      <w:marRight w:val="0"/>
      <w:marTop w:val="0"/>
      <w:marBottom w:val="0"/>
      <w:divBdr>
        <w:top w:val="none" w:sz="0" w:space="0" w:color="auto"/>
        <w:left w:val="none" w:sz="0" w:space="0" w:color="auto"/>
        <w:bottom w:val="none" w:sz="0" w:space="0" w:color="auto"/>
        <w:right w:val="none" w:sz="0" w:space="0" w:color="auto"/>
      </w:divBdr>
    </w:div>
    <w:div w:id="5412068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is.muni.cz/th/172093/esf_m/diplomova_prace.pdf" TargetMode="External"/><Relationship Id="rId2" Type="http://schemas.openxmlformats.org/officeDocument/2006/relationships/hyperlink" Target="http://is.muni.cz/th/323053/esf_m/Diplomova_prace-Monika_Vyskovska.pdf" TargetMode="External"/><Relationship Id="rId1" Type="http://schemas.openxmlformats.org/officeDocument/2006/relationships/hyperlink" Target="http://www.rr-moravskoslezsko.cz/moznosti-financni-podpory/jessi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7A129-9EFA-4F3D-BC85-A90EC4249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AF1C166B.dotm</Template>
  <TotalTime>2</TotalTime>
  <Pages>47</Pages>
  <Words>13695</Words>
  <Characters>87896</Characters>
  <Application>Microsoft Office Word</Application>
  <DocSecurity>0</DocSecurity>
  <Lines>2143</Lines>
  <Paragraphs>899</Paragraphs>
  <ScaleCrop>false</ScaleCrop>
  <HeadingPairs>
    <vt:vector size="2" baseType="variant">
      <vt:variant>
        <vt:lpstr>Název</vt:lpstr>
      </vt:variant>
      <vt:variant>
        <vt:i4>1</vt:i4>
      </vt:variant>
    </vt:vector>
  </HeadingPairs>
  <TitlesOfParts>
    <vt:vector size="1" baseType="lpstr">
      <vt:lpstr>Předběžné posouzení finančních nástrojů</vt:lpstr>
    </vt:vector>
  </TitlesOfParts>
  <Company>Ministerstvo průmyslu a obchodu</Company>
  <LinksUpToDate>false</LinksUpToDate>
  <CharactersWithSpaces>100692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Předběžné posouzení finančních nástrojů</dc:title>
  <dc:creator>Laube Pavel</dc:creator>
  <cp:lastModifiedBy>Laube Pavel</cp:lastModifiedBy>
  <cp:revision>3</cp:revision>
  <cp:lastPrinted>2015-03-02T09:40:00Z</cp:lastPrinted>
  <dcterms:created xsi:type="dcterms:W3CDTF">2015-03-19T11:04:00Z</dcterms:created>
  <dcterms:modified xsi:type="dcterms:W3CDTF">2015-03-19T11:05:00Z</dcterms:modified>
</cp:coreProperties>
</file>